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A1A8E" w14:textId="77777777" w:rsidR="005B7BF6" w:rsidRDefault="00F10791">
      <w:pPr>
        <w:bidi/>
        <w:spacing w:before="240" w:after="240"/>
        <w:jc w:val="center"/>
        <w:rPr>
          <w:rFonts w:ascii="David" w:eastAsia="David" w:hAnsi="David" w:cs="David"/>
          <w:b/>
          <w:sz w:val="32"/>
          <w:szCs w:val="32"/>
        </w:rPr>
      </w:pPr>
      <w:r>
        <w:rPr>
          <w:rFonts w:ascii="David" w:eastAsia="David" w:hAnsi="David" w:cs="David"/>
          <w:b/>
          <w:sz w:val="32"/>
          <w:szCs w:val="32"/>
          <w:rtl/>
          <w:lang w:bidi="he-IL"/>
        </w:rPr>
        <w:t xml:space="preserve"> אקדמיית אלקאסמי </w:t>
      </w:r>
      <w:r>
        <w:rPr>
          <w:rFonts w:ascii="David" w:eastAsia="David" w:hAnsi="David" w:cs="David"/>
          <w:b/>
          <w:sz w:val="32"/>
          <w:szCs w:val="32"/>
          <w:rtl/>
        </w:rPr>
        <w:t xml:space="preserve">- </w:t>
      </w:r>
      <w:r>
        <w:rPr>
          <w:rFonts w:ascii="David" w:eastAsia="David" w:hAnsi="David" w:cs="David"/>
          <w:b/>
          <w:sz w:val="32"/>
          <w:szCs w:val="32"/>
          <w:rtl/>
          <w:lang w:bidi="he-IL"/>
        </w:rPr>
        <w:t>מכללה אקדמית לחינוך</w:t>
      </w:r>
    </w:p>
    <w:p w14:paraId="60B97933" w14:textId="77777777" w:rsidR="005B7BF6" w:rsidRDefault="00F10791">
      <w:pPr>
        <w:bidi/>
        <w:spacing w:before="240" w:after="240"/>
        <w:rPr>
          <w:rFonts w:ascii="David" w:eastAsia="David" w:hAnsi="David" w:cs="David"/>
          <w:b/>
          <w:sz w:val="28"/>
          <w:szCs w:val="28"/>
        </w:rPr>
      </w:pPr>
      <w:r>
        <w:rPr>
          <w:rFonts w:ascii="David" w:eastAsia="David" w:hAnsi="David" w:cs="David"/>
          <w:b/>
          <w:sz w:val="28"/>
          <w:szCs w:val="28"/>
        </w:rPr>
        <w:t xml:space="preserve"> </w:t>
      </w:r>
    </w:p>
    <w:p w14:paraId="466B7B89" w14:textId="77777777" w:rsidR="005B7BF6" w:rsidRDefault="00F10791">
      <w:pPr>
        <w:bidi/>
        <w:spacing w:before="240" w:after="240" w:line="480" w:lineRule="auto"/>
        <w:rPr>
          <w:rFonts w:ascii="David" w:eastAsia="David" w:hAnsi="David" w:cs="David"/>
          <w:b/>
          <w:sz w:val="28"/>
          <w:szCs w:val="28"/>
        </w:rPr>
      </w:pPr>
      <w:r>
        <w:rPr>
          <w:rFonts w:ascii="David" w:eastAsia="David" w:hAnsi="David" w:cs="David"/>
          <w:b/>
          <w:sz w:val="28"/>
          <w:szCs w:val="28"/>
        </w:rPr>
        <w:t xml:space="preserve"> </w:t>
      </w:r>
    </w:p>
    <w:p w14:paraId="246F00BA" w14:textId="77777777" w:rsidR="005B7BF6" w:rsidRDefault="005B7BF6">
      <w:pPr>
        <w:bidi/>
        <w:spacing w:before="240" w:after="240" w:line="480" w:lineRule="auto"/>
        <w:rPr>
          <w:rFonts w:ascii="David" w:eastAsia="David" w:hAnsi="David" w:cs="David"/>
          <w:b/>
          <w:sz w:val="28"/>
          <w:szCs w:val="28"/>
        </w:rPr>
      </w:pPr>
    </w:p>
    <w:p w14:paraId="517B9DC3" w14:textId="77777777" w:rsidR="005B7BF6" w:rsidRDefault="00F10791">
      <w:pPr>
        <w:bidi/>
        <w:spacing w:before="240" w:after="240" w:line="480" w:lineRule="auto"/>
        <w:jc w:val="center"/>
        <w:rPr>
          <w:rFonts w:ascii="David" w:eastAsia="David" w:hAnsi="David" w:cs="David"/>
          <w:b/>
          <w:sz w:val="28"/>
          <w:szCs w:val="28"/>
        </w:rPr>
      </w:pPr>
      <w:r>
        <w:rPr>
          <w:rFonts w:ascii="David" w:eastAsia="David" w:hAnsi="David" w:cs="David"/>
          <w:b/>
          <w:sz w:val="28"/>
          <w:szCs w:val="28"/>
          <w:rtl/>
          <w:lang w:bidi="he-IL"/>
        </w:rPr>
        <w:t>למידת מושגים גיאומטריים  במסגרת ניתוח אירועים מתמטיים בקרב סטודנטים המתכשרים להוראה בכיתות א</w:t>
      </w:r>
      <w:r>
        <w:rPr>
          <w:rFonts w:ascii="David" w:eastAsia="David" w:hAnsi="David" w:cs="David"/>
          <w:b/>
          <w:sz w:val="28"/>
          <w:szCs w:val="28"/>
          <w:rtl/>
        </w:rPr>
        <w:t>'-</w:t>
      </w:r>
      <w:r>
        <w:rPr>
          <w:rFonts w:ascii="David" w:eastAsia="David" w:hAnsi="David" w:cs="David"/>
          <w:b/>
          <w:sz w:val="28"/>
          <w:szCs w:val="28"/>
          <w:rtl/>
          <w:lang w:bidi="he-IL"/>
        </w:rPr>
        <w:t>ב</w:t>
      </w:r>
      <w:r>
        <w:rPr>
          <w:rFonts w:ascii="David" w:eastAsia="David" w:hAnsi="David" w:cs="David"/>
          <w:b/>
          <w:sz w:val="28"/>
          <w:szCs w:val="28"/>
          <w:rtl/>
        </w:rPr>
        <w:t xml:space="preserve">' </w:t>
      </w:r>
      <w:r>
        <w:rPr>
          <w:rFonts w:ascii="David" w:eastAsia="David" w:hAnsi="David" w:cs="David"/>
          <w:b/>
          <w:sz w:val="28"/>
          <w:szCs w:val="28"/>
          <w:rtl/>
          <w:lang w:bidi="he-IL"/>
        </w:rPr>
        <w:t>במכללה לדוברי ערבית</w:t>
      </w:r>
    </w:p>
    <w:p w14:paraId="0E60128A" w14:textId="77777777" w:rsidR="005B7BF6" w:rsidRDefault="00CB4445">
      <w:pPr>
        <w:spacing w:before="240" w:after="240" w:line="480" w:lineRule="auto"/>
        <w:jc w:val="center"/>
        <w:rPr>
          <w:rFonts w:ascii="David" w:eastAsia="David" w:hAnsi="David" w:cs="David"/>
          <w:b/>
        </w:rPr>
      </w:pPr>
      <w:r>
        <w:rPr>
          <w:rFonts w:ascii="David" w:eastAsia="David" w:hAnsi="David" w:cs="David"/>
          <w:b/>
          <w:sz w:val="28"/>
          <w:szCs w:val="28"/>
        </w:rPr>
        <w:t>Learning geometrical concepts</w:t>
      </w:r>
      <w:r w:rsidR="00F10791">
        <w:rPr>
          <w:rFonts w:ascii="David" w:eastAsia="David" w:hAnsi="David" w:cs="David"/>
          <w:b/>
          <w:sz w:val="28"/>
          <w:szCs w:val="28"/>
        </w:rPr>
        <w:t xml:space="preserve"> while analyzing mathematical cases among first</w:t>
      </w:r>
      <w:r w:rsidR="00F10791">
        <w:rPr>
          <w:rFonts w:ascii="David" w:eastAsia="David" w:hAnsi="David" w:cs="David"/>
          <w:sz w:val="28"/>
          <w:szCs w:val="28"/>
        </w:rPr>
        <w:t>-</w:t>
      </w:r>
      <w:r w:rsidR="00F10791">
        <w:rPr>
          <w:rFonts w:ascii="David" w:eastAsia="David" w:hAnsi="David" w:cs="David"/>
          <w:b/>
          <w:sz w:val="28"/>
          <w:szCs w:val="28"/>
        </w:rPr>
        <w:t xml:space="preserve"> and second-grade prospective teachers studying at an Arabic </w:t>
      </w:r>
      <w:proofErr w:type="gramStart"/>
      <w:r w:rsidR="00F10791">
        <w:rPr>
          <w:rFonts w:ascii="David" w:eastAsia="David" w:hAnsi="David" w:cs="David"/>
          <w:b/>
          <w:sz w:val="28"/>
          <w:szCs w:val="28"/>
        </w:rPr>
        <w:t>speakers</w:t>
      </w:r>
      <w:proofErr w:type="gramEnd"/>
      <w:r w:rsidR="00F10791">
        <w:rPr>
          <w:rFonts w:ascii="David" w:eastAsia="David" w:hAnsi="David" w:cs="David"/>
          <w:b/>
          <w:sz w:val="28"/>
          <w:szCs w:val="28"/>
        </w:rPr>
        <w:t xml:space="preserve"> college</w:t>
      </w:r>
    </w:p>
    <w:p w14:paraId="16B403AA" w14:textId="77777777" w:rsidR="005B7BF6" w:rsidRDefault="00F10791">
      <w:pPr>
        <w:spacing w:before="240" w:after="240" w:line="480" w:lineRule="auto"/>
        <w:rPr>
          <w:rFonts w:ascii="David" w:eastAsia="David" w:hAnsi="David" w:cs="David"/>
          <w:sz w:val="32"/>
          <w:szCs w:val="32"/>
        </w:rPr>
      </w:pPr>
      <w:r>
        <w:rPr>
          <w:rFonts w:ascii="David" w:eastAsia="David" w:hAnsi="David" w:cs="David"/>
          <w:sz w:val="32"/>
          <w:szCs w:val="32"/>
        </w:rPr>
        <w:t xml:space="preserve"> </w:t>
      </w:r>
    </w:p>
    <w:p w14:paraId="12FD47D5" w14:textId="77777777" w:rsidR="005B7BF6" w:rsidRDefault="005B7BF6">
      <w:pPr>
        <w:bidi/>
        <w:spacing w:before="240" w:after="240" w:line="480" w:lineRule="auto"/>
        <w:rPr>
          <w:rFonts w:ascii="David" w:eastAsia="David" w:hAnsi="David" w:cs="David"/>
          <w:sz w:val="32"/>
          <w:szCs w:val="32"/>
        </w:rPr>
      </w:pPr>
    </w:p>
    <w:p w14:paraId="19B97D44" w14:textId="77777777" w:rsidR="005B7BF6" w:rsidRDefault="00F10791">
      <w:pPr>
        <w:bidi/>
        <w:spacing w:before="240" w:after="240" w:line="480" w:lineRule="auto"/>
        <w:rPr>
          <w:rFonts w:ascii="David" w:eastAsia="David" w:hAnsi="David" w:cs="David"/>
          <w:sz w:val="32"/>
          <w:szCs w:val="32"/>
        </w:rPr>
      </w:pPr>
      <w:r>
        <w:rPr>
          <w:rFonts w:ascii="David" w:eastAsia="David" w:hAnsi="David" w:cs="David"/>
          <w:sz w:val="32"/>
          <w:szCs w:val="32"/>
          <w:rtl/>
          <w:lang w:bidi="he-IL"/>
        </w:rPr>
        <w:t>מחברים</w:t>
      </w:r>
      <w:r>
        <w:rPr>
          <w:rFonts w:ascii="David" w:eastAsia="David" w:hAnsi="David" w:cs="David"/>
          <w:sz w:val="32"/>
          <w:szCs w:val="32"/>
          <w:rtl/>
        </w:rPr>
        <w:t xml:space="preserve">: </w:t>
      </w:r>
      <w:r>
        <w:rPr>
          <w:rFonts w:ascii="David" w:eastAsia="David" w:hAnsi="David" w:cs="David"/>
          <w:sz w:val="32"/>
          <w:szCs w:val="32"/>
          <w:rtl/>
          <w:lang w:bidi="he-IL"/>
        </w:rPr>
        <w:t>ג</w:t>
      </w:r>
      <w:r>
        <w:rPr>
          <w:rFonts w:ascii="David" w:eastAsia="David" w:hAnsi="David" w:cs="David"/>
          <w:sz w:val="32"/>
          <w:szCs w:val="32"/>
          <w:rtl/>
        </w:rPr>
        <w:t>'</w:t>
      </w:r>
      <w:r>
        <w:rPr>
          <w:rFonts w:ascii="David" w:eastAsia="David" w:hAnsi="David" w:cs="David"/>
          <w:sz w:val="32"/>
          <w:szCs w:val="32"/>
          <w:rtl/>
          <w:lang w:bidi="he-IL"/>
        </w:rPr>
        <w:t>והיינה עואודה</w:t>
      </w:r>
      <w:r>
        <w:rPr>
          <w:rFonts w:ascii="David" w:eastAsia="David" w:hAnsi="David" w:cs="David"/>
          <w:sz w:val="32"/>
          <w:szCs w:val="32"/>
          <w:rtl/>
        </w:rPr>
        <w:t>-</w:t>
      </w:r>
      <w:r>
        <w:rPr>
          <w:rFonts w:ascii="David" w:eastAsia="David" w:hAnsi="David" w:cs="David"/>
          <w:sz w:val="32"/>
          <w:szCs w:val="32"/>
          <w:rtl/>
          <w:lang w:bidi="he-IL"/>
        </w:rPr>
        <w:t>שחברי</w:t>
      </w:r>
      <w:r>
        <w:rPr>
          <w:rFonts w:ascii="David" w:eastAsia="David" w:hAnsi="David" w:cs="David"/>
          <w:sz w:val="32"/>
          <w:szCs w:val="32"/>
          <w:rtl/>
        </w:rPr>
        <w:t xml:space="preserve">, </w:t>
      </w:r>
      <w:r>
        <w:rPr>
          <w:rFonts w:ascii="David" w:eastAsia="David" w:hAnsi="David" w:cs="David"/>
          <w:sz w:val="32"/>
          <w:szCs w:val="32"/>
          <w:rtl/>
          <w:lang w:bidi="he-IL"/>
        </w:rPr>
        <w:t>הודא שאיב ואיחסאן חאג</w:t>
      </w:r>
      <w:r>
        <w:rPr>
          <w:rFonts w:ascii="David" w:eastAsia="David" w:hAnsi="David" w:cs="David"/>
          <w:sz w:val="32"/>
          <w:szCs w:val="32"/>
          <w:rtl/>
        </w:rPr>
        <w:t xml:space="preserve">' </w:t>
      </w:r>
      <w:r>
        <w:rPr>
          <w:rFonts w:ascii="David" w:eastAsia="David" w:hAnsi="David" w:cs="David"/>
          <w:sz w:val="32"/>
          <w:szCs w:val="32"/>
          <w:rtl/>
          <w:lang w:bidi="he-IL"/>
        </w:rPr>
        <w:t>יחיא</w:t>
      </w:r>
    </w:p>
    <w:p w14:paraId="7C0746BB" w14:textId="77777777" w:rsidR="005B7BF6" w:rsidRDefault="005B7BF6">
      <w:pPr>
        <w:spacing w:before="240" w:after="240" w:line="480" w:lineRule="auto"/>
        <w:rPr>
          <w:rFonts w:ascii="David" w:eastAsia="David" w:hAnsi="David" w:cs="David"/>
          <w:sz w:val="32"/>
          <w:szCs w:val="32"/>
        </w:rPr>
      </w:pPr>
    </w:p>
    <w:p w14:paraId="3E317A81" w14:textId="77777777" w:rsidR="005B7BF6" w:rsidRDefault="005B7BF6">
      <w:pPr>
        <w:spacing w:before="240" w:after="240" w:line="480" w:lineRule="auto"/>
        <w:rPr>
          <w:rFonts w:ascii="David" w:eastAsia="David" w:hAnsi="David" w:cs="David"/>
          <w:sz w:val="32"/>
          <w:szCs w:val="32"/>
        </w:rPr>
      </w:pPr>
    </w:p>
    <w:p w14:paraId="0B358966" w14:textId="77777777" w:rsidR="005B7BF6" w:rsidRDefault="005B7BF6">
      <w:pPr>
        <w:spacing w:before="240" w:after="240" w:line="480" w:lineRule="auto"/>
        <w:rPr>
          <w:rFonts w:ascii="David" w:eastAsia="David" w:hAnsi="David" w:cs="David"/>
          <w:sz w:val="32"/>
          <w:szCs w:val="32"/>
        </w:rPr>
      </w:pPr>
    </w:p>
    <w:p w14:paraId="1FE4BC10" w14:textId="77777777" w:rsidR="005B7BF6" w:rsidRDefault="00F10791">
      <w:pPr>
        <w:bidi/>
        <w:spacing w:before="240" w:after="200"/>
        <w:rPr>
          <w:rFonts w:ascii="David" w:eastAsia="David" w:hAnsi="David" w:cs="David"/>
          <w:b/>
          <w:sz w:val="32"/>
          <w:szCs w:val="32"/>
        </w:rPr>
      </w:pPr>
      <w:r>
        <w:rPr>
          <w:rFonts w:ascii="David" w:eastAsia="David" w:hAnsi="David" w:cs="David"/>
          <w:sz w:val="32"/>
          <w:szCs w:val="32"/>
        </w:rPr>
        <w:t xml:space="preserve"> </w:t>
      </w:r>
      <w:r>
        <w:rPr>
          <w:rFonts w:ascii="David" w:eastAsia="David" w:hAnsi="David" w:cs="David"/>
          <w:b/>
          <w:sz w:val="32"/>
          <w:szCs w:val="32"/>
          <w:rtl/>
          <w:lang w:bidi="he-IL"/>
        </w:rPr>
        <w:t>מחקר זה נערך בהתאם להמלצת הוועדה הבין</w:t>
      </w:r>
      <w:r>
        <w:rPr>
          <w:rFonts w:ascii="David" w:eastAsia="David" w:hAnsi="David" w:cs="David"/>
          <w:b/>
          <w:sz w:val="32"/>
          <w:szCs w:val="32"/>
          <w:rtl/>
        </w:rPr>
        <w:t xml:space="preserve">- </w:t>
      </w:r>
      <w:r>
        <w:rPr>
          <w:rFonts w:ascii="David" w:eastAsia="David" w:hAnsi="David" w:cs="David"/>
          <w:b/>
          <w:sz w:val="32"/>
          <w:szCs w:val="32"/>
          <w:rtl/>
          <w:lang w:bidi="he-IL"/>
        </w:rPr>
        <w:t>מכללתית במכון מופ</w:t>
      </w:r>
      <w:r>
        <w:rPr>
          <w:rFonts w:ascii="David" w:eastAsia="David" w:hAnsi="David" w:cs="David"/>
          <w:b/>
          <w:sz w:val="32"/>
          <w:szCs w:val="32"/>
          <w:rtl/>
        </w:rPr>
        <w:t>"</w:t>
      </w:r>
      <w:r>
        <w:rPr>
          <w:rFonts w:ascii="David" w:eastAsia="David" w:hAnsi="David" w:cs="David"/>
          <w:b/>
          <w:sz w:val="32"/>
          <w:szCs w:val="32"/>
          <w:rtl/>
          <w:lang w:bidi="he-IL"/>
        </w:rPr>
        <w:t>ת</w:t>
      </w:r>
    </w:p>
    <w:p w14:paraId="250F7985" w14:textId="77777777" w:rsidR="005B7BF6" w:rsidRDefault="00F10791">
      <w:pPr>
        <w:bidi/>
        <w:spacing w:before="240" w:after="240" w:line="480" w:lineRule="auto"/>
        <w:jc w:val="center"/>
        <w:rPr>
          <w:rFonts w:ascii="David" w:eastAsia="David" w:hAnsi="David" w:cs="David"/>
        </w:rPr>
      </w:pPr>
      <w:r>
        <w:rPr>
          <w:rFonts w:ascii="David" w:eastAsia="David" w:hAnsi="David" w:cs="David"/>
          <w:b/>
          <w:sz w:val="32"/>
          <w:szCs w:val="32"/>
          <w:rtl/>
          <w:lang w:bidi="he-IL"/>
        </w:rPr>
        <w:t>ובתמיכת האגף להכשרת עובדי הוראה במשרד החינוך</w:t>
      </w:r>
    </w:p>
    <w:p w14:paraId="5DB5B6A3" w14:textId="77777777" w:rsidR="005B7BF6" w:rsidRDefault="005B7BF6">
      <w:pPr>
        <w:spacing w:before="240" w:after="200"/>
        <w:rPr>
          <w:rFonts w:ascii="David" w:eastAsia="David" w:hAnsi="David" w:cs="David"/>
        </w:rPr>
      </w:pPr>
    </w:p>
    <w:p w14:paraId="1F2C6475" w14:textId="77777777" w:rsidR="005B7BF6" w:rsidRDefault="005B7BF6">
      <w:pPr>
        <w:spacing w:before="240" w:after="200"/>
        <w:rPr>
          <w:rFonts w:ascii="David" w:eastAsia="David" w:hAnsi="David" w:cs="David"/>
        </w:rPr>
      </w:pPr>
    </w:p>
    <w:p w14:paraId="05169CCC" w14:textId="77777777" w:rsidR="005B7BF6" w:rsidRDefault="005B7BF6">
      <w:pPr>
        <w:spacing w:before="240" w:after="200"/>
        <w:rPr>
          <w:rFonts w:ascii="David" w:eastAsia="David" w:hAnsi="David" w:cs="David"/>
        </w:rPr>
      </w:pPr>
    </w:p>
    <w:p w14:paraId="4F89EBBD" w14:textId="77777777" w:rsidR="005B7BF6" w:rsidRDefault="00F10791">
      <w:pPr>
        <w:bidi/>
        <w:spacing w:before="240" w:after="200" w:line="360" w:lineRule="auto"/>
        <w:rPr>
          <w:rFonts w:ascii="David" w:eastAsia="David" w:hAnsi="David" w:cs="David"/>
          <w:b/>
          <w:sz w:val="28"/>
          <w:szCs w:val="28"/>
        </w:rPr>
      </w:pPr>
      <w:r>
        <w:rPr>
          <w:rFonts w:ascii="David" w:eastAsia="David" w:hAnsi="David" w:cs="David"/>
          <w:sz w:val="14"/>
          <w:szCs w:val="14"/>
        </w:rPr>
        <w:lastRenderedPageBreak/>
        <w:tab/>
      </w:r>
      <w:r>
        <w:rPr>
          <w:rFonts w:ascii="David" w:eastAsia="David" w:hAnsi="David" w:cs="David"/>
          <w:b/>
          <w:sz w:val="28"/>
          <w:szCs w:val="28"/>
          <w:rtl/>
          <w:lang w:bidi="he-IL"/>
        </w:rPr>
        <w:t>תקציר</w:t>
      </w:r>
    </w:p>
    <w:p w14:paraId="7925A340" w14:textId="77777777" w:rsidR="005B7BF6" w:rsidRDefault="00F10791">
      <w:pPr>
        <w:bidi/>
        <w:spacing w:before="240" w:after="240" w:line="360" w:lineRule="auto"/>
        <w:ind w:left="14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תחום הגיאומטריה נחשב לאתגר משמעותי בקרב מורי מתמטיקה בכלל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ובפרט בקרב מורים המלמדים בכיתות א</w:t>
      </w:r>
      <w:r>
        <w:rPr>
          <w:rFonts w:ascii="David" w:eastAsia="David" w:hAnsi="David" w:cs="David"/>
          <w:sz w:val="24"/>
          <w:szCs w:val="24"/>
          <w:rtl/>
        </w:rPr>
        <w:t>'-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</w:t>
      </w:r>
      <w:r>
        <w:rPr>
          <w:rFonts w:ascii="David" w:eastAsia="David" w:hAnsi="David" w:cs="David"/>
          <w:sz w:val="24"/>
          <w:szCs w:val="24"/>
          <w:rtl/>
        </w:rPr>
        <w:t xml:space="preserve">'.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מחקרים מצביעים על פערים בידע הגיאומטרי של מורים בשכבות גיל אלו לעומת מורים המלמדים בכיתות גבוהות יותר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למרות חשיבות הנושא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העיסוק המחקרי במורי מתמטיקה לכיתות א</w:t>
      </w:r>
      <w:r>
        <w:rPr>
          <w:rFonts w:ascii="David" w:eastAsia="David" w:hAnsi="David" w:cs="David"/>
          <w:sz w:val="24"/>
          <w:szCs w:val="24"/>
          <w:rtl/>
        </w:rPr>
        <w:t>'-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מועט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33F4B62D" w14:textId="77777777" w:rsidR="005B7BF6" w:rsidRDefault="00F10791">
      <w:pPr>
        <w:bidi/>
        <w:spacing w:before="240" w:after="240" w:line="360" w:lineRule="auto"/>
        <w:ind w:left="14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המחקר הנוכחי מציע תהליך הוראה</w:t>
      </w:r>
      <w:r>
        <w:rPr>
          <w:rFonts w:ascii="David" w:eastAsia="David" w:hAnsi="David" w:cs="David"/>
          <w:sz w:val="24"/>
          <w:szCs w:val="24"/>
          <w:rtl/>
        </w:rPr>
        <w:t>–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למידה המבוסס על רצף אירועים מתמטיים המדגישים הגדרות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דימוי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מושג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דוגמאות ואי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דוגמאות בגיאומטריה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הצדקות המצורפים למטלות שיפוט דוגמאות ואי דוגמאות ובוחן כיצד ניתוח אירועים אלה בשיח טיעוני מעצב את פיתוח הידע הגיאומטרי של סטודנטים המתכשרים להוראה בכיתות א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-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במכללה לדוברי ערבית ואת המעבר מהבנות אישיות להבנות קולקטיביות</w:t>
      </w:r>
      <w:r>
        <w:rPr>
          <w:rFonts w:ascii="David" w:eastAsia="David" w:hAnsi="David" w:cs="David"/>
          <w:sz w:val="24"/>
          <w:szCs w:val="24"/>
          <w:rtl/>
        </w:rPr>
        <w:t xml:space="preserve">;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במחקר א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נבדקת השפעת הניתוח על דיוק הגדרת מושג האלכסון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הרחבת דימוי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המושג וזיהוי דוגמאות לא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פרוטוטיפיות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לצד תיעוד שינוי ההצדקות מהסתמכות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וויזואלית להגדרה פורמלית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ואילו במחקר ב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נבחנת השפעת הדיון על דיוק זיהוי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ההכלה בין מרובעים שונים הנתונות באופן מילולי ובאופן וויזואלי והפחתת הצדקות המבוססות  על תכונות לא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קריטיות המאפיינות את הדוגמאות הפרוטוטיפיות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 לשימוש בדוגמא הפרוטוטיפית כיחוס  והגדלת השימוש בהצדקות המבוססות על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הכלה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הגדרות פורמאליות או תכונות קריטיות משותפות בין המרובעים השונים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כלי המחקר בשני המחקרים שילבו שני מקורות נתונים משלימים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שאלוני קדם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פוסט ותצפיות וידאו על דיוני הכיתה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בכל מחקר הועברו למשתתפים שאלונים זהים במבנה בתחילת ההתערבות ובסיומה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במחקר א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במבחנים חלק אחד דרש ניסוח הגדרה מדויקת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אלכסון</w:t>
      </w:r>
      <w:r>
        <w:rPr>
          <w:rFonts w:ascii="David" w:eastAsia="David" w:hAnsi="David" w:cs="David"/>
          <w:sz w:val="24"/>
          <w:szCs w:val="24"/>
          <w:rtl/>
        </w:rPr>
        <w:t xml:space="preserve">),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וחלק אחר הציג משימות זיהוי ונימוק של דוגמאות ואי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דוגמאות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במחקר ב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ניתנו משימות של זיהוי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הכלה בין מרובעים שונים הנותנים באופן וויזואלי ובאופן מילולי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המשתתפים התבקשו להצדיק את בחירתם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תגובות הסטודנטים נותחו בניתוח תוכן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במחקר א׳ סווגו ההגדרות בקטגוריות שהציעו צמיר ועמיתיה </w:t>
      </w:r>
      <w:r>
        <w:rPr>
          <w:rFonts w:ascii="David" w:eastAsia="David" w:hAnsi="David" w:cs="David"/>
          <w:sz w:val="24"/>
          <w:szCs w:val="24"/>
          <w:rtl/>
        </w:rPr>
        <w:t>(</w:t>
      </w:r>
      <w:proofErr w:type="spellStart"/>
      <w:r>
        <w:rPr>
          <w:rFonts w:ascii="David" w:eastAsia="David" w:hAnsi="David" w:cs="David"/>
          <w:sz w:val="24"/>
          <w:szCs w:val="24"/>
        </w:rPr>
        <w:t>Tsamir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 et al</w:t>
      </w:r>
      <w:r>
        <w:rPr>
          <w:rFonts w:ascii="David" w:eastAsia="David" w:hAnsi="David" w:cs="David"/>
          <w:sz w:val="24"/>
          <w:szCs w:val="24"/>
          <w:rtl/>
        </w:rPr>
        <w:t xml:space="preserve">, 2015)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להגדרות מושגים גיאומטריים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ואילו במחקר ב׳ נותחו ההצדקות לפי מערכת הקטגוריות של חאג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יחיא והירשקוביץ 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Haj-Yahya &amp; Hershkowitz</w:t>
      </w:r>
      <w:r>
        <w:rPr>
          <w:rFonts w:ascii="David" w:eastAsia="David" w:hAnsi="David" w:cs="David"/>
          <w:sz w:val="24"/>
          <w:szCs w:val="24"/>
          <w:rtl/>
        </w:rPr>
        <w:t xml:space="preserve">, 2013)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הכלה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במקביל צולמו דיוני הכיתה במלואם</w:t>
      </w:r>
      <w:r>
        <w:rPr>
          <w:rFonts w:ascii="David" w:eastAsia="David" w:hAnsi="David" w:cs="David"/>
          <w:sz w:val="24"/>
          <w:szCs w:val="24"/>
          <w:rtl/>
        </w:rPr>
        <w:t xml:space="preserve">;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ונותחו האינטראקציות במודל טולמין </w:t>
      </w:r>
      <w:r>
        <w:rPr>
          <w:rFonts w:ascii="David" w:eastAsia="David" w:hAnsi="David" w:cs="David"/>
          <w:sz w:val="24"/>
          <w:szCs w:val="24"/>
        </w:rPr>
        <w:t xml:space="preserve">(1969, </w:t>
      </w:r>
      <w:r>
        <w:rPr>
          <w:rFonts w:ascii="David" w:eastAsia="David" w:hAnsi="David" w:cs="David"/>
        </w:rPr>
        <w:t xml:space="preserve">Toulmin, </w:t>
      </w:r>
      <w:r>
        <w:rPr>
          <w:rFonts w:ascii="David" w:eastAsia="David" w:hAnsi="David" w:cs="David"/>
          <w:sz w:val="24"/>
          <w:szCs w:val="24"/>
        </w:rPr>
        <w:t>2003)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שאִפשר להתחקות אחר מבנה הטיעון והתקדמות ההבנה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4DFDB3CA" w14:textId="77777777" w:rsidR="005B7BF6" w:rsidRDefault="00F10791">
      <w:pPr>
        <w:bidi/>
        <w:spacing w:before="120" w:after="240" w:line="360" w:lineRule="auto"/>
        <w:ind w:left="14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ממצאי המחקר א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מצביעים על כך שלפני ההתערבות כל המשתתפים סיפקו הגדרות שגויות והתקשו לזהות דוגמאות לא פרוטוטיפיות של אלכסונים בשאלון הקדם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ואילו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תהליך ניתוח האירועים המתמטיים סייע למשתתפים לבנות מחדש את ההגדרות שלהם לאלכסונים ולזהות את התכונות הקריטיות של מושג זה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מה ששיפר את יכולתם להרחיב את דמוי המושג שלהם כך שיכללו דוגמאות לא פרוטוטיפיות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ההבנה המשופרת של המשתתפים התבטאה בשיפורים משמעותיים בשאלון פוסט שנערך בתום תהליך ההתערבות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</w:p>
    <w:p w14:paraId="18E72540" w14:textId="77777777" w:rsidR="005B7BF6" w:rsidRDefault="00F10791">
      <w:pPr>
        <w:bidi/>
        <w:spacing w:before="120" w:after="240" w:line="360" w:lineRule="auto"/>
        <w:ind w:left="140"/>
        <w:jc w:val="both"/>
        <w:rPr>
          <w:rFonts w:ascii="David" w:eastAsia="David" w:hAnsi="David" w:cs="David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ממצאי מחקר ב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הנגזרים מני</w:t>
      </w:r>
      <w:r>
        <w:rPr>
          <w:rFonts w:ascii="David" w:eastAsia="David" w:hAnsi="David" w:cs="David"/>
          <w:rtl/>
          <w:lang w:bidi="he-IL"/>
        </w:rPr>
        <w:t>תוח שאלוני קדם</w:t>
      </w:r>
      <w:r>
        <w:rPr>
          <w:rFonts w:ascii="David" w:eastAsia="David" w:hAnsi="David" w:cs="David"/>
          <w:rtl/>
        </w:rPr>
        <w:t>-</w:t>
      </w:r>
      <w:r>
        <w:rPr>
          <w:rFonts w:ascii="David" w:eastAsia="David" w:hAnsi="David" w:cs="David"/>
          <w:rtl/>
          <w:lang w:bidi="he-IL"/>
        </w:rPr>
        <w:t>פוסט ותצפיות וידאו מעידים על שיפור משמעותי בזיהוי יחסי</w:t>
      </w:r>
      <w:r>
        <w:rPr>
          <w:rFonts w:ascii="David" w:eastAsia="David" w:hAnsi="David" w:cs="David"/>
          <w:rtl/>
        </w:rPr>
        <w:t>-</w:t>
      </w:r>
      <w:r>
        <w:rPr>
          <w:rFonts w:ascii="David" w:eastAsia="David" w:hAnsi="David" w:cs="David"/>
          <w:rtl/>
          <w:lang w:bidi="he-IL"/>
        </w:rPr>
        <w:t>ההכלה במטלות המילויות ובמטלות הוויזואליות וגם על שיפור משמעותי בהצדקות שמשתמשים בהם המשתתפים בעת שיפוט יחסי</w:t>
      </w:r>
      <w:r>
        <w:rPr>
          <w:rFonts w:ascii="David" w:eastAsia="David" w:hAnsi="David" w:cs="David"/>
          <w:rtl/>
        </w:rPr>
        <w:t>-</w:t>
      </w:r>
      <w:r>
        <w:rPr>
          <w:rFonts w:ascii="David" w:eastAsia="David" w:hAnsi="David" w:cs="David"/>
          <w:rtl/>
          <w:lang w:bidi="he-IL"/>
        </w:rPr>
        <w:t>ההכלה כאשר במבחן המקדים יותר משתתפים התבססו על הדוגמאות הפרוטוטיפיות כנקודות יחוס וגם על התכונות הלא קריטיות המאפיינות את הדוגמאות הפרוטוטיפיות כאשר במבחן פוסט  יותר משתתפים התבססו על הגדרות פורמאליות</w:t>
      </w:r>
      <w:r>
        <w:rPr>
          <w:rFonts w:ascii="David" w:eastAsia="David" w:hAnsi="David" w:cs="David"/>
          <w:rtl/>
        </w:rPr>
        <w:t xml:space="preserve">, </w:t>
      </w:r>
      <w:r>
        <w:rPr>
          <w:rFonts w:ascii="David" w:eastAsia="David" w:hAnsi="David" w:cs="David"/>
          <w:rtl/>
          <w:lang w:bidi="he-IL"/>
        </w:rPr>
        <w:t>תכונות קריטיות ויחסי</w:t>
      </w:r>
      <w:r>
        <w:rPr>
          <w:rFonts w:ascii="David" w:eastAsia="David" w:hAnsi="David" w:cs="David"/>
          <w:rtl/>
        </w:rPr>
        <w:t>-</w:t>
      </w:r>
      <w:r>
        <w:rPr>
          <w:rFonts w:ascii="David" w:eastAsia="David" w:hAnsi="David" w:cs="David"/>
          <w:rtl/>
          <w:lang w:bidi="he-IL"/>
        </w:rPr>
        <w:t xml:space="preserve">הכלה בין התכונות הקריטיות של המרובעים השונים </w:t>
      </w:r>
      <w:r>
        <w:rPr>
          <w:rFonts w:ascii="David" w:eastAsia="David" w:hAnsi="David" w:cs="David"/>
          <w:rtl/>
        </w:rPr>
        <w:t>(</w:t>
      </w:r>
      <w:r>
        <w:rPr>
          <w:rFonts w:ascii="David" w:eastAsia="David" w:hAnsi="David" w:cs="David"/>
          <w:rtl/>
          <w:lang w:bidi="he-IL"/>
        </w:rPr>
        <w:t>תכונות קריטיות משותפות</w:t>
      </w:r>
      <w:r>
        <w:rPr>
          <w:rFonts w:ascii="David" w:eastAsia="David" w:hAnsi="David" w:cs="David"/>
          <w:rtl/>
        </w:rPr>
        <w:t xml:space="preserve">). </w:t>
      </w:r>
      <w:r>
        <w:rPr>
          <w:rFonts w:ascii="David" w:eastAsia="David" w:hAnsi="David" w:cs="David"/>
          <w:rtl/>
          <w:lang w:bidi="he-IL"/>
        </w:rPr>
        <w:t>חשוב לציין כי השינוי בזיהוי יחסי</w:t>
      </w:r>
      <w:r>
        <w:rPr>
          <w:rFonts w:ascii="David" w:eastAsia="David" w:hAnsi="David" w:cs="David"/>
          <w:rtl/>
        </w:rPr>
        <w:t>-</w:t>
      </w:r>
      <w:r>
        <w:rPr>
          <w:rFonts w:ascii="David" w:eastAsia="David" w:hAnsi="David" w:cs="David"/>
          <w:rtl/>
          <w:lang w:bidi="he-IL"/>
        </w:rPr>
        <w:t>ההכלה והצדקותיהם היה גם ליחסי</w:t>
      </w:r>
      <w:r>
        <w:rPr>
          <w:rFonts w:ascii="David" w:eastAsia="David" w:hAnsi="David" w:cs="David"/>
          <w:rtl/>
        </w:rPr>
        <w:t>-</w:t>
      </w:r>
      <w:r>
        <w:rPr>
          <w:rFonts w:ascii="David" w:eastAsia="David" w:hAnsi="David" w:cs="David"/>
          <w:rtl/>
          <w:lang w:bidi="he-IL"/>
        </w:rPr>
        <w:t>הכלה אשר לא נדונו במאורעות המתמטיים</w:t>
      </w:r>
      <w:r>
        <w:rPr>
          <w:rFonts w:ascii="David" w:eastAsia="David" w:hAnsi="David" w:cs="David"/>
          <w:rtl/>
        </w:rPr>
        <w:t>.</w:t>
      </w:r>
      <w:r>
        <w:br w:type="page"/>
      </w:r>
    </w:p>
    <w:p w14:paraId="768CCC0F" w14:textId="087B6D6E" w:rsidR="005B7BF6" w:rsidRDefault="005B7BF6" w:rsidP="00503505">
      <w:pPr>
        <w:bidi/>
        <w:spacing w:before="120" w:after="240" w:line="360" w:lineRule="auto"/>
        <w:jc w:val="both"/>
        <w:rPr>
          <w:rFonts w:ascii="David" w:eastAsia="David" w:hAnsi="David" w:cs="David"/>
        </w:rPr>
      </w:pPr>
    </w:p>
    <w:p w14:paraId="127D440D" w14:textId="50B1F01A" w:rsidR="005B7BF6" w:rsidRPr="006E1877" w:rsidRDefault="00F10791">
      <w:pPr>
        <w:bidi/>
        <w:spacing w:before="120" w:after="240" w:line="360" w:lineRule="auto"/>
        <w:ind w:left="140"/>
        <w:jc w:val="both"/>
        <w:rPr>
          <w:rFonts w:ascii="David" w:eastAsia="David" w:hAnsi="David" w:cs="David"/>
          <w:b/>
          <w:bCs/>
          <w:sz w:val="24"/>
          <w:szCs w:val="24"/>
        </w:rPr>
      </w:pPr>
      <w:r w:rsidRPr="006E1877">
        <w:rPr>
          <w:rFonts w:ascii="David" w:eastAsia="David" w:hAnsi="David" w:cs="David"/>
          <w:b/>
          <w:bCs/>
          <w:sz w:val="24"/>
          <w:szCs w:val="24"/>
          <w:rtl/>
          <w:lang w:bidi="he-IL"/>
        </w:rPr>
        <w:t xml:space="preserve">ממצאי </w:t>
      </w:r>
      <w:r w:rsidR="00503505" w:rsidRPr="006E1877">
        <w:rPr>
          <w:rFonts w:ascii="David" w:eastAsia="David" w:hAnsi="David" w:cs="David" w:hint="cs"/>
          <w:b/>
          <w:bCs/>
          <w:sz w:val="24"/>
          <w:szCs w:val="24"/>
          <w:rtl/>
          <w:lang w:bidi="he-IL"/>
        </w:rPr>
        <w:t>המחקרים שנערכ</w:t>
      </w:r>
      <w:r w:rsidR="00503505" w:rsidRPr="006E1877">
        <w:rPr>
          <w:rFonts w:ascii="David" w:eastAsia="David" w:hAnsi="David" w:cs="David" w:hint="eastAsia"/>
          <w:b/>
          <w:bCs/>
          <w:sz w:val="24"/>
          <w:szCs w:val="24"/>
          <w:rtl/>
          <w:lang w:bidi="he-IL"/>
        </w:rPr>
        <w:t>ו</w:t>
      </w:r>
      <w:r w:rsidRPr="006E1877">
        <w:rPr>
          <w:rFonts w:ascii="David" w:eastAsia="David" w:hAnsi="David" w:cs="David"/>
          <w:b/>
          <w:bCs/>
          <w:sz w:val="24"/>
          <w:szCs w:val="24"/>
          <w:rtl/>
          <w:lang w:bidi="he-IL"/>
        </w:rPr>
        <w:t xml:space="preserve"> מפורסמים</w:t>
      </w:r>
      <w:r w:rsidRPr="006E1877">
        <w:rPr>
          <w:rFonts w:ascii="David" w:eastAsia="David" w:hAnsi="David" w:cs="David"/>
          <w:b/>
          <w:bCs/>
          <w:sz w:val="24"/>
          <w:szCs w:val="24"/>
          <w:rtl/>
        </w:rPr>
        <w:t>:</w:t>
      </w:r>
    </w:p>
    <w:p w14:paraId="6AA87013" w14:textId="2140B1DA" w:rsidR="005B7BF6" w:rsidRDefault="005B7BF6" w:rsidP="00503505">
      <w:pPr>
        <w:bidi/>
        <w:spacing w:before="120" w:after="240" w:line="360" w:lineRule="auto"/>
        <w:ind w:left="140"/>
        <w:jc w:val="both"/>
        <w:rPr>
          <w:rFonts w:ascii="David" w:eastAsia="David" w:hAnsi="David" w:cs="David"/>
          <w:sz w:val="24"/>
          <w:szCs w:val="24"/>
        </w:rPr>
      </w:pPr>
    </w:p>
    <w:p w14:paraId="1D15E85D" w14:textId="77777777" w:rsidR="00503505" w:rsidRPr="00503505" w:rsidRDefault="00503505" w:rsidP="00503505">
      <w:pPr>
        <w:bidi/>
        <w:spacing w:before="120" w:after="240" w:line="360" w:lineRule="auto"/>
        <w:jc w:val="right"/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503505">
        <w:rPr>
          <w:rFonts w:asciiTheme="majorBidi" w:hAnsiTheme="majorBidi" w:cstheme="majorBidi"/>
          <w:sz w:val="24"/>
          <w:szCs w:val="24"/>
        </w:rPr>
        <w:t>Shayeb</w:t>
      </w:r>
      <w:r w:rsidRPr="00503505">
        <w:rPr>
          <w:rFonts w:asciiTheme="majorBidi" w:hAnsiTheme="majorBidi" w:cstheme="majorBidi"/>
          <w:bCs/>
          <w:sz w:val="24"/>
          <w:szCs w:val="24"/>
        </w:rPr>
        <w:t xml:space="preserve">, H., Shahbari. J. A., &amp; </w:t>
      </w:r>
      <w:r w:rsidRPr="00503505">
        <w:rPr>
          <w:rFonts w:asciiTheme="majorBidi" w:hAnsiTheme="majorBidi" w:cstheme="majorBidi"/>
          <w:sz w:val="24"/>
          <w:szCs w:val="24"/>
        </w:rPr>
        <w:t>Haj-Yahya</w:t>
      </w:r>
      <w:r w:rsidRPr="00503505">
        <w:rPr>
          <w:rFonts w:asciiTheme="majorBidi" w:hAnsiTheme="majorBidi" w:cstheme="majorBidi"/>
          <w:bCs/>
          <w:sz w:val="24"/>
          <w:szCs w:val="24"/>
        </w:rPr>
        <w:t xml:space="preserve">, E. (2024). First- and second-grade prospective teachers reconstructing definitions of </w:t>
      </w:r>
      <w:proofErr w:type="gramStart"/>
      <w:r w:rsidRPr="00503505">
        <w:rPr>
          <w:rFonts w:asciiTheme="majorBidi" w:hAnsiTheme="majorBidi" w:cstheme="majorBidi"/>
          <w:bCs/>
          <w:sz w:val="24"/>
          <w:szCs w:val="24"/>
        </w:rPr>
        <w:t>polygon</w:t>
      </w:r>
      <w:proofErr w:type="gramEnd"/>
      <w:r w:rsidRPr="00503505">
        <w:rPr>
          <w:rFonts w:asciiTheme="majorBidi" w:hAnsiTheme="majorBidi" w:cstheme="majorBidi"/>
          <w:bCs/>
          <w:sz w:val="24"/>
          <w:szCs w:val="24"/>
        </w:rPr>
        <w:t xml:space="preserve"> diagonals.  </w:t>
      </w:r>
      <w:r w:rsidRPr="00503505">
        <w:rPr>
          <w:rFonts w:asciiTheme="majorBidi" w:hAnsiTheme="majorBidi" w:cstheme="majorBidi"/>
          <w:i/>
          <w:iCs/>
          <w:sz w:val="24"/>
          <w:szCs w:val="24"/>
        </w:rPr>
        <w:t>Mathematics Education Research Journal.</w:t>
      </w:r>
      <w:r w:rsidRPr="00503505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50350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10.1007/s13394-024-00495-z</w:t>
      </w:r>
      <w:r w:rsidRPr="0050350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0220BEA3" w14:textId="77777777" w:rsidR="00503505" w:rsidRPr="00503505" w:rsidRDefault="00503505" w:rsidP="00503505">
      <w:pPr>
        <w:bidi/>
        <w:spacing w:before="120" w:after="240" w:line="360" w:lineRule="auto"/>
        <w:jc w:val="right"/>
        <w:rPr>
          <w:rFonts w:asciiTheme="majorBidi" w:hAnsiTheme="majorBidi" w:cstheme="majorBidi"/>
          <w:i/>
          <w:iCs/>
          <w:sz w:val="24"/>
          <w:szCs w:val="24"/>
          <w:rtl/>
        </w:rPr>
      </w:pPr>
    </w:p>
    <w:p w14:paraId="705115C9" w14:textId="5A8CED0D" w:rsidR="000F7D40" w:rsidRPr="00503505" w:rsidRDefault="00503505" w:rsidP="00503505">
      <w:pPr>
        <w:spacing w:before="120" w:after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3505">
        <w:rPr>
          <w:rFonts w:asciiTheme="majorBidi" w:hAnsiTheme="majorBidi" w:cstheme="majorBidi"/>
          <w:sz w:val="24"/>
          <w:szCs w:val="24"/>
          <w:lang w:bidi="he-IL"/>
        </w:rPr>
        <w:t>H</w:t>
      </w:r>
      <w:r w:rsidR="000F7D40" w:rsidRPr="00503505">
        <w:rPr>
          <w:rFonts w:asciiTheme="majorBidi" w:hAnsiTheme="majorBidi" w:cstheme="majorBidi"/>
          <w:sz w:val="24"/>
          <w:szCs w:val="24"/>
        </w:rPr>
        <w:t xml:space="preserve">aj-Yahya, E. Shayeb. H. </w:t>
      </w:r>
      <w:r w:rsidR="000F7D40" w:rsidRPr="00503505">
        <w:rPr>
          <w:rFonts w:asciiTheme="majorBidi" w:hAnsiTheme="majorBidi" w:cstheme="majorBidi"/>
          <w:color w:val="000000"/>
          <w:sz w:val="24"/>
          <w:szCs w:val="24"/>
        </w:rPr>
        <w:t xml:space="preserve">&amp; Shahbari, J. A. (2025). </w:t>
      </w:r>
      <w:r w:rsidR="000F7D40" w:rsidRPr="00503505">
        <w:rPr>
          <w:rFonts w:asciiTheme="majorBidi" w:hAnsiTheme="majorBidi" w:cstheme="majorBidi"/>
          <w:sz w:val="24"/>
          <w:szCs w:val="24"/>
        </w:rPr>
        <w:t xml:space="preserve">Developing recognition and justification of quadrilateral inclusion relations following a discussion of mathematical events. In N. Ehrenfeld, R. Barkai, M. </w:t>
      </w:r>
      <w:r w:rsidR="000F7D40" w:rsidRPr="00503505">
        <w:rPr>
          <w:rFonts w:asciiTheme="majorBidi" w:hAnsiTheme="majorBidi" w:cstheme="majorBidi"/>
          <w:sz w:val="24"/>
          <w:szCs w:val="24"/>
          <w:shd w:val="clear" w:color="auto" w:fill="FFFFFF"/>
        </w:rPr>
        <w:t> Weinga</w:t>
      </w:r>
      <w:r w:rsidRPr="0050350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rden, Z. </w:t>
      </w:r>
      <w:proofErr w:type="gramStart"/>
      <w:r w:rsidRPr="00503505">
        <w:rPr>
          <w:rFonts w:asciiTheme="majorBidi" w:hAnsiTheme="majorBidi" w:cstheme="majorBidi"/>
          <w:sz w:val="24"/>
          <w:szCs w:val="24"/>
          <w:shd w:val="clear" w:color="auto" w:fill="FFFFFF"/>
        </w:rPr>
        <w:t>Cohen ,</w:t>
      </w:r>
      <w:proofErr w:type="gramEnd"/>
      <w:r w:rsidRPr="0050350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A. </w:t>
      </w:r>
      <w:proofErr w:type="spellStart"/>
      <w:r w:rsidRPr="00503505">
        <w:rPr>
          <w:rFonts w:asciiTheme="majorBidi" w:hAnsiTheme="majorBidi" w:cstheme="majorBidi"/>
          <w:sz w:val="24"/>
          <w:szCs w:val="24"/>
          <w:shd w:val="clear" w:color="auto" w:fill="FFFFFF"/>
        </w:rPr>
        <w:t>Platni</w:t>
      </w:r>
      <w:proofErr w:type="spellEnd"/>
      <w:r w:rsidR="000F7D40" w:rsidRPr="00503505">
        <w:rPr>
          <w:rFonts w:asciiTheme="majorBidi" w:hAnsiTheme="majorBidi" w:cstheme="majorBidi"/>
          <w:sz w:val="24"/>
          <w:szCs w:val="24"/>
          <w:shd w:val="clear" w:color="auto" w:fill="FFFFFF"/>
          <w:rtl/>
        </w:rPr>
        <w:t xml:space="preserve"> </w:t>
      </w:r>
      <w:proofErr w:type="gramStart"/>
      <w:r w:rsidR="000F7D40" w:rsidRPr="00503505">
        <w:rPr>
          <w:rFonts w:asciiTheme="majorBidi" w:hAnsiTheme="majorBidi" w:cstheme="majorBidi"/>
          <w:sz w:val="24"/>
          <w:szCs w:val="24"/>
        </w:rPr>
        <w:t>&amp;</w:t>
      </w:r>
      <w:r w:rsidR="000F7D40" w:rsidRPr="00503505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="000F7D40" w:rsidRPr="00503505">
        <w:rPr>
          <w:rFonts w:asciiTheme="majorBidi" w:hAnsiTheme="majorBidi" w:cstheme="majorBidi"/>
          <w:sz w:val="24"/>
          <w:szCs w:val="24"/>
        </w:rPr>
        <w:t>G.</w:t>
      </w:r>
      <w:proofErr w:type="gramEnd"/>
      <w:r w:rsidR="000F7D40" w:rsidRPr="0050350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0F7D40" w:rsidRPr="00503505">
        <w:rPr>
          <w:rFonts w:asciiTheme="majorBidi" w:hAnsiTheme="majorBidi" w:cstheme="majorBidi"/>
          <w:sz w:val="24"/>
          <w:szCs w:val="24"/>
        </w:rPr>
        <w:t>Schwartz(</w:t>
      </w:r>
      <w:proofErr w:type="gramEnd"/>
      <w:r w:rsidR="000F7D40" w:rsidRPr="00503505">
        <w:rPr>
          <w:rFonts w:asciiTheme="majorBidi" w:hAnsiTheme="majorBidi" w:cstheme="majorBidi"/>
          <w:sz w:val="24"/>
          <w:szCs w:val="24"/>
        </w:rPr>
        <w:t>Eds.).</w:t>
      </w:r>
      <w:r w:rsidR="000F7D40" w:rsidRPr="0050350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0F7D40" w:rsidRPr="00503505">
        <w:rPr>
          <w:rFonts w:asciiTheme="majorBidi" w:hAnsiTheme="majorBidi" w:cstheme="majorBidi"/>
          <w:i/>
          <w:iCs/>
          <w:color w:val="000000"/>
          <w:sz w:val="24"/>
          <w:szCs w:val="24"/>
        </w:rPr>
        <w:t>Proceedings of the 13</w:t>
      </w:r>
      <w:r w:rsidR="000F7D40" w:rsidRPr="00503505">
        <w:rPr>
          <w:rFonts w:asciiTheme="majorBidi" w:hAnsiTheme="majorBidi" w:cstheme="majorBidi"/>
          <w:i/>
          <w:iCs/>
          <w:color w:val="000000"/>
          <w:sz w:val="24"/>
          <w:szCs w:val="24"/>
          <w:vertAlign w:val="superscript"/>
        </w:rPr>
        <w:t>th</w:t>
      </w:r>
      <w:r w:rsidR="000F7D40" w:rsidRPr="00503505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Jerusalem conference for research on mathematical education </w:t>
      </w:r>
      <w:r w:rsidR="000F7D40" w:rsidRPr="00503505">
        <w:rPr>
          <w:rFonts w:asciiTheme="majorBidi" w:hAnsiTheme="majorBidi" w:cstheme="majorBidi"/>
          <w:color w:val="000000"/>
          <w:sz w:val="24"/>
          <w:szCs w:val="24"/>
        </w:rPr>
        <w:t xml:space="preserve">(pp. </w:t>
      </w:r>
      <w:r w:rsidR="000F7D40" w:rsidRPr="00503505">
        <w:rPr>
          <w:rFonts w:asciiTheme="majorBidi" w:hAnsiTheme="majorBidi" w:cstheme="majorBidi"/>
          <w:color w:val="000000"/>
          <w:sz w:val="24"/>
          <w:szCs w:val="24"/>
          <w:rtl/>
        </w:rPr>
        <w:t>134</w:t>
      </w:r>
      <w:r w:rsidR="000F7D40" w:rsidRPr="00503505"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0F7D40" w:rsidRPr="00503505">
        <w:rPr>
          <w:rFonts w:asciiTheme="majorBidi" w:hAnsiTheme="majorBidi" w:cstheme="majorBidi"/>
          <w:color w:val="000000"/>
          <w:sz w:val="24"/>
          <w:szCs w:val="24"/>
          <w:rtl/>
        </w:rPr>
        <w:t>135</w:t>
      </w:r>
      <w:r w:rsidR="000F7D40" w:rsidRPr="00503505">
        <w:rPr>
          <w:rFonts w:asciiTheme="majorBidi" w:hAnsiTheme="majorBidi" w:cstheme="majorBidi"/>
          <w:color w:val="000000"/>
          <w:sz w:val="24"/>
          <w:szCs w:val="24"/>
        </w:rPr>
        <w:t>). Jerusalem, Israel.</w:t>
      </w:r>
    </w:p>
    <w:p w14:paraId="703D0761" w14:textId="5554EFE2" w:rsidR="000F7D40" w:rsidRPr="00503505" w:rsidRDefault="000F7D40" w:rsidP="00503505">
      <w:pPr>
        <w:bidi/>
        <w:spacing w:before="120" w:after="240" w:line="360" w:lineRule="auto"/>
        <w:jc w:val="both"/>
        <w:rPr>
          <w:rFonts w:asciiTheme="majorBidi" w:eastAsia="David" w:hAnsiTheme="majorBidi" w:cstheme="majorBidi"/>
          <w:sz w:val="24"/>
          <w:szCs w:val="24"/>
          <w:rtl/>
          <w:lang w:bidi="he-IL"/>
        </w:rPr>
      </w:pPr>
    </w:p>
    <w:p w14:paraId="51FC9562" w14:textId="77777777" w:rsidR="00503505" w:rsidRPr="00503505" w:rsidRDefault="000F7D40" w:rsidP="00503505">
      <w:pPr>
        <w:bidi/>
        <w:spacing w:before="120" w:after="240" w:line="360" w:lineRule="auto"/>
        <w:jc w:val="both"/>
        <w:rPr>
          <w:rFonts w:asciiTheme="majorBidi" w:eastAsia="David" w:hAnsiTheme="majorBidi" w:cstheme="majorBidi"/>
          <w:sz w:val="24"/>
          <w:szCs w:val="24"/>
          <w:rtl/>
        </w:rPr>
      </w:pPr>
      <w:r w:rsidRPr="00503505">
        <w:rPr>
          <w:rFonts w:asciiTheme="majorBidi" w:eastAsia="David" w:hAnsiTheme="majorBidi" w:cstheme="majorBidi"/>
          <w:sz w:val="24"/>
          <w:szCs w:val="24"/>
          <w:lang w:bidi="he-IL"/>
        </w:rPr>
        <w:t xml:space="preserve"> </w:t>
      </w:r>
      <w:r w:rsidRPr="00503505">
        <w:rPr>
          <w:rFonts w:asciiTheme="majorBidi" w:eastAsia="David" w:hAnsiTheme="majorBidi" w:cstheme="majorBidi"/>
          <w:sz w:val="24"/>
          <w:szCs w:val="24"/>
          <w:rtl/>
          <w:lang w:bidi="he-IL"/>
        </w:rPr>
        <w:t xml:space="preserve">הממצאים </w:t>
      </w:r>
      <w:r w:rsidR="00F10791" w:rsidRPr="00503505">
        <w:rPr>
          <w:rFonts w:asciiTheme="majorBidi" w:eastAsia="David" w:hAnsiTheme="majorBidi" w:cstheme="majorBidi"/>
          <w:sz w:val="24"/>
          <w:szCs w:val="24"/>
          <w:rtl/>
        </w:rPr>
        <w:t xml:space="preserve"> </w:t>
      </w:r>
      <w:r w:rsidR="00F10791" w:rsidRPr="00503505">
        <w:rPr>
          <w:rFonts w:asciiTheme="majorBidi" w:eastAsia="David" w:hAnsiTheme="majorBidi" w:cstheme="majorBidi"/>
          <w:sz w:val="24"/>
          <w:szCs w:val="24"/>
          <w:rtl/>
          <w:lang w:bidi="he-IL"/>
        </w:rPr>
        <w:t xml:space="preserve">הוגשו לשיפוט כמאמר בכתב העת </w:t>
      </w:r>
      <w:r w:rsidR="00F10791" w:rsidRPr="00503505">
        <w:rPr>
          <w:rFonts w:asciiTheme="majorBidi" w:eastAsia="David" w:hAnsiTheme="majorBidi" w:cstheme="majorBidi"/>
          <w:sz w:val="24"/>
          <w:szCs w:val="24"/>
        </w:rPr>
        <w:t>Mathematical Thinking and Learning</w:t>
      </w:r>
      <w:r w:rsidR="00F10791" w:rsidRPr="00503505">
        <w:rPr>
          <w:rFonts w:asciiTheme="majorBidi" w:eastAsia="David" w:hAnsiTheme="majorBidi" w:cstheme="majorBidi"/>
          <w:sz w:val="24"/>
          <w:szCs w:val="24"/>
          <w:rtl/>
          <w:lang w:bidi="he-IL"/>
        </w:rPr>
        <w:t xml:space="preserve">  וכעת המאמר נמצא בתהליך שיפוט</w:t>
      </w:r>
      <w:r w:rsidR="00F10791" w:rsidRPr="00503505">
        <w:rPr>
          <w:rFonts w:asciiTheme="majorBidi" w:eastAsia="David" w:hAnsiTheme="majorBidi" w:cstheme="majorBidi"/>
          <w:sz w:val="24"/>
          <w:szCs w:val="24"/>
          <w:rtl/>
        </w:rPr>
        <w:t xml:space="preserve">. </w:t>
      </w:r>
    </w:p>
    <w:p w14:paraId="710351CD" w14:textId="2CFCC7DC" w:rsidR="005B7BF6" w:rsidRPr="00503505" w:rsidRDefault="000F7D40" w:rsidP="00503505">
      <w:pPr>
        <w:bidi/>
        <w:spacing w:before="12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 w:rsidRPr="00503505">
        <w:rPr>
          <w:rFonts w:asciiTheme="majorBidi" w:eastAsia="David" w:hAnsiTheme="majorBidi" w:cstheme="majorBidi"/>
          <w:sz w:val="24"/>
          <w:szCs w:val="24"/>
          <w:lang w:bidi="he-IL"/>
        </w:rPr>
        <w:t xml:space="preserve"> </w:t>
      </w:r>
      <w:r w:rsidR="00F10791" w:rsidRPr="00503505">
        <w:rPr>
          <w:rFonts w:asciiTheme="majorBidi" w:eastAsia="David" w:hAnsiTheme="majorBidi" w:cstheme="majorBidi"/>
          <w:sz w:val="24"/>
          <w:szCs w:val="24"/>
          <w:rtl/>
          <w:lang w:bidi="he-IL"/>
        </w:rPr>
        <w:t xml:space="preserve">חלק </w:t>
      </w:r>
      <w:r w:rsidRPr="00503505">
        <w:rPr>
          <w:rFonts w:asciiTheme="majorBidi" w:eastAsia="David" w:hAnsiTheme="majorBidi" w:cstheme="majorBidi"/>
          <w:sz w:val="24"/>
          <w:szCs w:val="24"/>
          <w:rtl/>
          <w:lang w:bidi="he-IL"/>
        </w:rPr>
        <w:t>מהממצאים</w:t>
      </w:r>
      <w:r w:rsidR="00F10791" w:rsidRPr="00503505">
        <w:rPr>
          <w:rFonts w:asciiTheme="majorBidi" w:eastAsia="David" w:hAnsiTheme="majorBidi" w:cstheme="majorBidi"/>
          <w:sz w:val="24"/>
          <w:szCs w:val="24"/>
          <w:rtl/>
          <w:lang w:bidi="he-IL"/>
        </w:rPr>
        <w:t xml:space="preserve"> הוצג בכנס הקונגרס הארבע עשר של האגודה האירופית למחקר בחינוך מתמטי </w:t>
      </w:r>
      <w:r w:rsidR="00F10791" w:rsidRPr="00503505">
        <w:rPr>
          <w:rFonts w:asciiTheme="majorBidi" w:eastAsia="David" w:hAnsiTheme="majorBidi" w:cstheme="majorBidi"/>
          <w:sz w:val="24"/>
          <w:szCs w:val="24"/>
          <w:rtl/>
        </w:rPr>
        <w:t>(</w:t>
      </w:r>
      <w:r w:rsidR="00F10791" w:rsidRPr="00503505">
        <w:rPr>
          <w:rFonts w:asciiTheme="majorBidi" w:eastAsia="David" w:hAnsiTheme="majorBidi" w:cstheme="majorBidi"/>
          <w:sz w:val="24"/>
          <w:szCs w:val="24"/>
        </w:rPr>
        <w:t>CERME</w:t>
      </w:r>
      <w:r w:rsidR="00F10791" w:rsidRPr="00503505">
        <w:rPr>
          <w:rFonts w:asciiTheme="majorBidi" w:eastAsia="David" w:hAnsiTheme="majorBidi" w:cstheme="majorBidi"/>
          <w:sz w:val="24"/>
          <w:szCs w:val="24"/>
          <w:rtl/>
        </w:rPr>
        <w:t>14),</w:t>
      </w:r>
      <w:r w:rsidR="00503505" w:rsidRPr="00503505">
        <w:rPr>
          <w:rFonts w:asciiTheme="majorBidi" w:hAnsiTheme="majorBidi" w:cstheme="majorBidi"/>
          <w:sz w:val="24"/>
          <w:szCs w:val="24"/>
          <w:shd w:val="clear" w:color="auto" w:fill="FFFFFF"/>
        </w:rPr>
        <w:t>14th Congress of the European Society for Research in Mathematics Education</w:t>
      </w:r>
      <w:r w:rsidR="00F10791" w:rsidRPr="00503505">
        <w:rPr>
          <w:rFonts w:asciiTheme="majorBidi" w:eastAsia="David" w:hAnsiTheme="majorBidi" w:cstheme="majorBidi"/>
          <w:sz w:val="24"/>
          <w:szCs w:val="24"/>
          <w:rtl/>
        </w:rPr>
        <w:t xml:space="preserve"> </w:t>
      </w:r>
      <w:r w:rsidR="00F10791" w:rsidRPr="00503505">
        <w:rPr>
          <w:rFonts w:asciiTheme="majorBidi" w:eastAsia="David" w:hAnsiTheme="majorBidi" w:cstheme="majorBidi"/>
          <w:sz w:val="24"/>
          <w:szCs w:val="24"/>
          <w:rtl/>
          <w:lang w:bidi="he-IL"/>
        </w:rPr>
        <w:t>באירוח האוניברסיטה החופשית של בוזן</w:t>
      </w:r>
      <w:r w:rsidR="00F10791" w:rsidRPr="00503505">
        <w:rPr>
          <w:rFonts w:asciiTheme="majorBidi" w:eastAsia="David" w:hAnsiTheme="majorBidi" w:cstheme="majorBidi"/>
          <w:sz w:val="24"/>
          <w:szCs w:val="24"/>
          <w:rtl/>
        </w:rPr>
        <w:t>-</w:t>
      </w:r>
      <w:r w:rsidR="00F10791" w:rsidRPr="00503505">
        <w:rPr>
          <w:rFonts w:asciiTheme="majorBidi" w:eastAsia="David" w:hAnsiTheme="majorBidi" w:cstheme="majorBidi"/>
          <w:sz w:val="24"/>
          <w:szCs w:val="24"/>
          <w:rtl/>
          <w:lang w:bidi="he-IL"/>
        </w:rPr>
        <w:t>בולצאנו באיטליה</w:t>
      </w:r>
      <w:r w:rsidR="00F10791">
        <w:rPr>
          <w:rFonts w:ascii="David" w:eastAsia="David" w:hAnsi="David" w:cs="David"/>
          <w:sz w:val="24"/>
          <w:szCs w:val="24"/>
          <w:rtl/>
        </w:rPr>
        <w:t>.</w:t>
      </w:r>
      <w:r w:rsidR="00F10791">
        <w:br w:type="page"/>
      </w:r>
    </w:p>
    <w:p w14:paraId="27661F15" w14:textId="77777777" w:rsidR="005B7BF6" w:rsidRDefault="005B7BF6">
      <w:pPr>
        <w:bidi/>
        <w:spacing w:before="120" w:after="240" w:line="360" w:lineRule="auto"/>
        <w:jc w:val="both"/>
        <w:rPr>
          <w:rFonts w:ascii="David" w:eastAsia="David" w:hAnsi="David" w:cs="David"/>
          <w:b/>
          <w:sz w:val="24"/>
          <w:szCs w:val="24"/>
        </w:rPr>
      </w:pPr>
    </w:p>
    <w:p w14:paraId="13C33AFA" w14:textId="05B7C90E" w:rsidR="005B7BF6" w:rsidRPr="00F10791" w:rsidRDefault="00F10791" w:rsidP="00F10791">
      <w:pPr>
        <w:bidi/>
        <w:spacing w:before="120" w:after="240" w:line="360" w:lineRule="auto"/>
        <w:ind w:left="140"/>
        <w:jc w:val="center"/>
        <w:rPr>
          <w:rFonts w:ascii="David" w:eastAsia="David" w:hAnsi="David" w:cs="David"/>
          <w:bCs/>
          <w:sz w:val="28"/>
          <w:szCs w:val="28"/>
        </w:rPr>
      </w:pPr>
      <w:r w:rsidRPr="00F10791">
        <w:rPr>
          <w:rFonts w:ascii="David" w:eastAsia="David" w:hAnsi="David" w:cs="David"/>
          <w:bCs/>
          <w:sz w:val="28"/>
          <w:szCs w:val="28"/>
          <w:rtl/>
          <w:lang w:bidi="he-IL"/>
        </w:rPr>
        <w:t>מבוא</w:t>
      </w:r>
    </w:p>
    <w:p w14:paraId="43BA5433" w14:textId="77777777" w:rsidR="005B7BF6" w:rsidRDefault="00F10791">
      <w:pPr>
        <w:bidi/>
        <w:spacing w:before="240" w:after="240" w:line="360" w:lineRule="auto"/>
        <w:ind w:left="14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מורים למתמטיקה בכיתות א</w:t>
      </w:r>
      <w:r>
        <w:rPr>
          <w:rFonts w:ascii="David" w:eastAsia="David" w:hAnsi="David" w:cs="David"/>
          <w:sz w:val="24"/>
          <w:szCs w:val="24"/>
          <w:rtl/>
        </w:rPr>
        <w:t>'-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נחשבים לאחראים להקניית יסודות המתמטיקה בכלל והגיאומטריה בפרט לתלמידיהם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חשיבות תפקידו של המורה והשפעתו על הישגי התלמידים במתמטיקה הודגשו יותר מאשר בתחומים אחרים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Boonen et al</w:t>
      </w:r>
      <w:r>
        <w:rPr>
          <w:rFonts w:ascii="David" w:eastAsia="David" w:hAnsi="David" w:cs="David"/>
          <w:sz w:val="24"/>
          <w:szCs w:val="24"/>
          <w:rtl/>
        </w:rPr>
        <w:t xml:space="preserve">., 2014)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והקשר בין רמת הידע של המורים במתמטיקה לבין הישגי תלמידיהם נמצא ואומת במחקרים שונים לאורך השנים </w:t>
      </w:r>
      <w:r>
        <w:rPr>
          <w:rFonts w:ascii="David" w:eastAsia="David" w:hAnsi="David" w:cs="David"/>
          <w:color w:val="222222"/>
          <w:sz w:val="24"/>
          <w:szCs w:val="24"/>
        </w:rPr>
        <w:t>(</w:t>
      </w:r>
      <w:proofErr w:type="spellStart"/>
      <w:r>
        <w:rPr>
          <w:rFonts w:ascii="David" w:eastAsia="David" w:hAnsi="David" w:cs="David"/>
          <w:color w:val="222222"/>
          <w:sz w:val="24"/>
          <w:szCs w:val="24"/>
        </w:rPr>
        <w:t>Sherstha</w:t>
      </w:r>
      <w:proofErr w:type="spellEnd"/>
      <w:r>
        <w:rPr>
          <w:rFonts w:ascii="David" w:eastAsia="David" w:hAnsi="David" w:cs="David"/>
          <w:color w:val="222222"/>
          <w:sz w:val="24"/>
          <w:szCs w:val="24"/>
        </w:rPr>
        <w:t xml:space="preserve">, 2022; Campbell et al., 2014; </w:t>
      </w:r>
      <w:r>
        <w:rPr>
          <w:rFonts w:ascii="David" w:eastAsia="David" w:hAnsi="David" w:cs="David"/>
          <w:sz w:val="24"/>
          <w:szCs w:val="24"/>
        </w:rPr>
        <w:t>Hill et al., 2005; Peterson et al., 1989</w:t>
      </w:r>
      <w:r>
        <w:rPr>
          <w:rFonts w:ascii="David" w:eastAsia="David" w:hAnsi="David" w:cs="David"/>
          <w:color w:val="222222"/>
          <w:sz w:val="24"/>
          <w:szCs w:val="24"/>
        </w:rPr>
        <w:t>).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 באופן מיוחד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ידע בגאומטריה ורמת החשיבה הגאומטרית של המורים משפיעים על רמת החשיבה הגאומטרית של תלמידיהם </w:t>
      </w:r>
      <w:r>
        <w:rPr>
          <w:rFonts w:ascii="David" w:eastAsia="David" w:hAnsi="David" w:cs="David"/>
          <w:sz w:val="24"/>
          <w:szCs w:val="24"/>
          <w:rtl/>
        </w:rPr>
        <w:t>(</w:t>
      </w:r>
      <w:proofErr w:type="spellStart"/>
      <w:r>
        <w:rPr>
          <w:rFonts w:ascii="David" w:eastAsia="David" w:hAnsi="David" w:cs="David"/>
          <w:sz w:val="24"/>
          <w:szCs w:val="24"/>
        </w:rPr>
        <w:t>Pavlovičová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 et al</w:t>
      </w:r>
      <w:r>
        <w:rPr>
          <w:rFonts w:ascii="David" w:eastAsia="David" w:hAnsi="David" w:cs="David"/>
          <w:sz w:val="24"/>
          <w:szCs w:val="24"/>
          <w:rtl/>
        </w:rPr>
        <w:t xml:space="preserve">., 2022).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מורים למתמטיקה בכיתות א</w:t>
      </w:r>
      <w:r>
        <w:rPr>
          <w:rFonts w:ascii="David" w:eastAsia="David" w:hAnsi="David" w:cs="David"/>
          <w:sz w:val="24"/>
          <w:szCs w:val="24"/>
          <w:rtl/>
        </w:rPr>
        <w:t>'-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מוכשרים בארץ בשני מסלולים במכללות לחינוך </w:t>
      </w:r>
      <w:r>
        <w:rPr>
          <w:rFonts w:ascii="David" w:eastAsia="David" w:hAnsi="David" w:cs="David"/>
          <w:sz w:val="24"/>
          <w:szCs w:val="24"/>
          <w:rtl/>
        </w:rPr>
        <w:t xml:space="preserve">-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החוג להוראת מתמטיקה בבית ספר יסודי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והחוג לגיל הרך שמאפשר הרחבת ההסמכה לכיתות א</w:t>
      </w:r>
      <w:r>
        <w:rPr>
          <w:rFonts w:ascii="David" w:eastAsia="David" w:hAnsi="David" w:cs="David"/>
          <w:sz w:val="24"/>
          <w:szCs w:val="24"/>
          <w:rtl/>
        </w:rPr>
        <w:t>'-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</w:t>
      </w:r>
      <w:r>
        <w:rPr>
          <w:rFonts w:ascii="David" w:eastAsia="David" w:hAnsi="David" w:cs="David"/>
          <w:sz w:val="24"/>
          <w:szCs w:val="24"/>
          <w:rtl/>
        </w:rPr>
        <w:t xml:space="preserve">'.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ממצאי מחקרים מעידים על רמת ידע לוקה בחסר בקרב מורים וסטודנטים בתחום הגאומטריה בעולם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Jones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 למשל </w:t>
      </w:r>
      <w:r>
        <w:rPr>
          <w:rFonts w:ascii="David" w:eastAsia="David" w:hAnsi="David" w:cs="David"/>
          <w:sz w:val="24"/>
          <w:szCs w:val="24"/>
        </w:rPr>
        <w:t>et al</w:t>
      </w:r>
      <w:r>
        <w:rPr>
          <w:rFonts w:ascii="David" w:eastAsia="David" w:hAnsi="David" w:cs="David"/>
          <w:sz w:val="24"/>
          <w:szCs w:val="24"/>
          <w:rtl/>
        </w:rPr>
        <w:t xml:space="preserve">., 2002)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בארץ </w:t>
      </w:r>
      <w:r>
        <w:rPr>
          <w:rFonts w:ascii="David" w:eastAsia="David" w:hAnsi="David" w:cs="David"/>
          <w:sz w:val="24"/>
          <w:szCs w:val="24"/>
          <w:rtl/>
        </w:rPr>
        <w:t>(</w:t>
      </w:r>
      <w:proofErr w:type="spellStart"/>
      <w:r>
        <w:rPr>
          <w:rFonts w:ascii="David" w:eastAsia="David" w:hAnsi="David" w:cs="David"/>
          <w:sz w:val="24"/>
          <w:szCs w:val="24"/>
        </w:rPr>
        <w:t>Tsamir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 et al</w:t>
      </w:r>
      <w:r>
        <w:rPr>
          <w:rFonts w:ascii="David" w:eastAsia="David" w:hAnsi="David" w:cs="David"/>
          <w:sz w:val="24"/>
          <w:szCs w:val="24"/>
          <w:rtl/>
        </w:rPr>
        <w:t xml:space="preserve">., 2014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למשל</w:t>
      </w:r>
      <w:r>
        <w:rPr>
          <w:rFonts w:ascii="David" w:eastAsia="David" w:hAnsi="David" w:cs="David"/>
          <w:sz w:val="24"/>
          <w:szCs w:val="24"/>
          <w:rtl/>
        </w:rPr>
        <w:t xml:space="preserve">)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ובחברה הערבית בישראל בפרט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Shahbari</w:t>
      </w:r>
      <w:r>
        <w:rPr>
          <w:rFonts w:ascii="David" w:eastAsia="David" w:hAnsi="David" w:cs="David"/>
          <w:sz w:val="24"/>
          <w:szCs w:val="24"/>
          <w:rtl/>
        </w:rPr>
        <w:t>, 2022).</w:t>
      </w:r>
    </w:p>
    <w:p w14:paraId="5E3CF806" w14:textId="77777777" w:rsidR="005B7BF6" w:rsidRDefault="00F10791">
      <w:pPr>
        <w:bidi/>
        <w:spacing w:before="240" w:after="240" w:line="360" w:lineRule="auto"/>
        <w:ind w:left="14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לנוכח הדברים לעיל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יש חשיבות רבה לטפח את הידע בגאומטריה של המורים העתידיים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Sharyn &amp; Colleen, 2011; Tutak</w:t>
      </w:r>
      <w:r>
        <w:rPr>
          <w:rFonts w:ascii="David" w:eastAsia="David" w:hAnsi="David" w:cs="David"/>
          <w:sz w:val="24"/>
          <w:szCs w:val="24"/>
          <w:rtl/>
        </w:rPr>
        <w:t xml:space="preserve">, 2009).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הבנת הגדרות מתמטיות של מושגים נחשבת להכרחית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ומורים לגיל הרך נדרשים להיות בקיאים בהגדרות מתמטיות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בזיהוי תכונות קריטיות של הצורות הגאומטריות השונות ובעלי דימוי מושג מורחב ומדוייק ככל האפשר לגבי צורות אלו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Hill et al</w:t>
      </w:r>
      <w:r>
        <w:rPr>
          <w:rFonts w:ascii="David" w:eastAsia="David" w:hAnsi="David" w:cs="David"/>
          <w:sz w:val="24"/>
          <w:szCs w:val="24"/>
          <w:rtl/>
        </w:rPr>
        <w:t xml:space="preserve">., 2005).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לכך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עלה צורך במחקרים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Mammarella et al., 2017; Taylor et al</w:t>
      </w:r>
      <w:r>
        <w:rPr>
          <w:rFonts w:ascii="David" w:eastAsia="David" w:hAnsi="David" w:cs="David"/>
          <w:sz w:val="24"/>
          <w:szCs w:val="24"/>
          <w:rtl/>
        </w:rPr>
        <w:t xml:space="preserve">., 2017)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בפיתוח ידע בקרב מורים אלה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</w:p>
    <w:p w14:paraId="6403F3AA" w14:textId="77777777" w:rsidR="005B7BF6" w:rsidRDefault="00F10791">
      <w:pPr>
        <w:bidi/>
        <w:spacing w:before="240" w:after="240" w:line="360" w:lineRule="auto"/>
        <w:ind w:left="140"/>
        <w:jc w:val="both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אחד הכלים החשובים שנעשה בהם שימוש בפיתוח ידע במהלך הכשרת מורים הוא דיון באירועים מתמטיים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Shulman, 1992; Tirosh et al., 2019; Herbst et al</w:t>
      </w:r>
      <w:r>
        <w:rPr>
          <w:rFonts w:ascii="David" w:eastAsia="David" w:hAnsi="David" w:cs="David"/>
          <w:sz w:val="24"/>
          <w:szCs w:val="24"/>
          <w:rtl/>
        </w:rPr>
        <w:t xml:space="preserve">., 2017),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במיוחד אירועים מבוססי שיח טיעוני שיאפשרו יצירת קהילת לומדים שדנים באירועים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color w:val="222222"/>
          <w:sz w:val="24"/>
          <w:szCs w:val="24"/>
        </w:rPr>
        <w:t>Flynn &amp; Klein, 2001</w:t>
      </w:r>
      <w:r>
        <w:rPr>
          <w:rFonts w:ascii="David" w:eastAsia="David" w:hAnsi="David" w:cs="David"/>
          <w:color w:val="222222"/>
          <w:sz w:val="20"/>
          <w:szCs w:val="20"/>
        </w:rPr>
        <w:t xml:space="preserve">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ניתוח אירועים מתמטיים מחייב את הסטודנטים לבחון קונפליקטים מושגיים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למקד את תשומת הלב בתכונות קריטיות ולגבש הצדקות פורמליות</w:t>
      </w:r>
      <w:r>
        <w:rPr>
          <w:rFonts w:ascii="David" w:eastAsia="David" w:hAnsi="David" w:cs="David"/>
          <w:sz w:val="24"/>
          <w:szCs w:val="24"/>
          <w:rtl/>
        </w:rPr>
        <w:t xml:space="preserve">;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תהליך זה מקדם מעבר מהסתמכות על אינטואיציות חזותיות להבנות מושגיות מעמיקות ומנומקות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Tirosh et al</w:t>
      </w:r>
      <w:r>
        <w:rPr>
          <w:rFonts w:ascii="David" w:eastAsia="David" w:hAnsi="David" w:cs="David"/>
          <w:sz w:val="24"/>
          <w:szCs w:val="24"/>
          <w:rtl/>
        </w:rPr>
        <w:t xml:space="preserve">., 2019).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התבוננות רגעית ומחקרית ב</w:t>
      </w:r>
      <w:r>
        <w:rPr>
          <w:rFonts w:ascii="David" w:eastAsia="David" w:hAnsi="David" w:cs="David"/>
          <w:sz w:val="24"/>
          <w:szCs w:val="24"/>
          <w:rtl/>
        </w:rPr>
        <w:t>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נקודות מפנה</w:t>
      </w:r>
      <w:r>
        <w:rPr>
          <w:rFonts w:ascii="David" w:eastAsia="David" w:hAnsi="David" w:cs="David"/>
          <w:sz w:val="24"/>
          <w:szCs w:val="24"/>
          <w:rtl/>
        </w:rPr>
        <w:t xml:space="preserve">”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כיתתיות אינה מעשירה רק את ההבנה המתמטית של המורים לעתיד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אלא גם מציעה אסטרטגיות מורכבות לבניית אינטראקציות כיתתיות פוריות וליצירת ידע משותף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Lin</w:t>
      </w:r>
      <w:r>
        <w:rPr>
          <w:rFonts w:ascii="David" w:eastAsia="David" w:hAnsi="David" w:cs="David"/>
          <w:sz w:val="24"/>
          <w:szCs w:val="24"/>
          <w:rtl/>
        </w:rPr>
        <w:t xml:space="preserve">, 2002).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בחינה ביקורתית של רגעים אותנטיים אלה משמשת מנוף מרכזי להתפתחות מקצועית ולעיצוב הוראה מיטבית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לנוכח מיעוט התכניות הפורמליות והמחקר האמפירי בגאומטריה במכללות דוברות ערבית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Shahbari</w:t>
      </w:r>
      <w:r>
        <w:rPr>
          <w:rFonts w:ascii="David" w:eastAsia="David" w:hAnsi="David" w:cs="David"/>
          <w:sz w:val="24"/>
          <w:szCs w:val="24"/>
          <w:rtl/>
        </w:rPr>
        <w:t xml:space="preserve">, 2022),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המחקר הנוכחי מאמץ את גישת האירועים המתמטיים ובוחן את השפעתה על הבניית הידע הגאומטרי</w:t>
      </w:r>
      <w:r>
        <w:rPr>
          <w:rFonts w:ascii="David" w:eastAsia="David" w:hAnsi="David" w:cs="David"/>
          <w:sz w:val="24"/>
          <w:szCs w:val="24"/>
          <w:rtl/>
        </w:rPr>
        <w:t>—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בהגדרת מושג האלכסון ובזיהוי יחסי־הכלה</w:t>
      </w:r>
      <w:r>
        <w:rPr>
          <w:rFonts w:ascii="David" w:eastAsia="David" w:hAnsi="David" w:cs="David"/>
          <w:sz w:val="24"/>
          <w:szCs w:val="24"/>
          <w:rtl/>
        </w:rPr>
        <w:t>—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ועל המעבר מהבנות אישיות להבנות קולקטיביות בקרב מורי העתיד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br w:type="page"/>
      </w:r>
    </w:p>
    <w:p w14:paraId="06A7B9C5" w14:textId="3CEFE5AB" w:rsidR="005B7BF6" w:rsidRPr="00F10791" w:rsidRDefault="00F10791" w:rsidP="00F10791">
      <w:pPr>
        <w:bidi/>
        <w:spacing w:before="240" w:after="240" w:line="360" w:lineRule="auto"/>
        <w:jc w:val="center"/>
        <w:rPr>
          <w:rFonts w:ascii="David" w:eastAsia="David" w:hAnsi="David" w:cs="David"/>
          <w:bCs/>
          <w:sz w:val="28"/>
          <w:szCs w:val="28"/>
        </w:rPr>
      </w:pPr>
      <w:r w:rsidRPr="00F10791">
        <w:rPr>
          <w:rFonts w:ascii="David" w:eastAsia="David" w:hAnsi="David" w:cs="David"/>
          <w:bCs/>
          <w:sz w:val="28"/>
          <w:szCs w:val="28"/>
          <w:rtl/>
          <w:lang w:bidi="he-IL"/>
        </w:rPr>
        <w:lastRenderedPageBreak/>
        <w:t>סקירה ספרותית</w:t>
      </w:r>
    </w:p>
    <w:p w14:paraId="3CA2BFD5" w14:textId="77777777" w:rsidR="00F10791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</w:p>
    <w:p w14:paraId="631CC11E" w14:textId="77777777" w:rsidR="00F10791" w:rsidRDefault="00F10791" w:rsidP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</w:p>
    <w:p w14:paraId="6B8E7B74" w14:textId="4AA6266B" w:rsidR="005B7BF6" w:rsidRPr="00F10791" w:rsidRDefault="00F10791" w:rsidP="00F10791">
      <w:pPr>
        <w:bidi/>
        <w:spacing w:before="240" w:after="240" w:line="360" w:lineRule="auto"/>
        <w:jc w:val="both"/>
        <w:rPr>
          <w:rFonts w:ascii="David" w:eastAsia="David" w:hAnsi="David" w:cs="David"/>
          <w:b/>
          <w:bCs/>
          <w:sz w:val="24"/>
          <w:szCs w:val="24"/>
        </w:rPr>
      </w:pPr>
      <w:r w:rsidRPr="00F10791">
        <w:rPr>
          <w:rFonts w:ascii="David" w:eastAsia="David" w:hAnsi="David" w:cs="David"/>
          <w:b/>
          <w:bCs/>
          <w:sz w:val="24"/>
          <w:szCs w:val="24"/>
          <w:rtl/>
          <w:lang w:bidi="he-IL"/>
        </w:rPr>
        <w:t>החשיבה הגאומטרית והתפתחותה</w:t>
      </w:r>
    </w:p>
    <w:p w14:paraId="5422F685" w14:textId="77777777" w:rsidR="005B7BF6" w:rsidRDefault="00F10791">
      <w:pPr>
        <w:bidi/>
        <w:spacing w:before="240" w:after="240" w:line="360" w:lineRule="auto"/>
        <w:ind w:left="100"/>
        <w:jc w:val="both"/>
        <w:rPr>
          <w:rFonts w:ascii="David" w:eastAsia="David" w:hAnsi="David" w:cs="David"/>
          <w:sz w:val="21"/>
          <w:szCs w:val="21"/>
          <w:highlight w:val="white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חשיבה גיאומטרית כפי שהוגדרה על ידי פאבלובקובה  </w:t>
      </w:r>
      <w:r>
        <w:rPr>
          <w:rFonts w:ascii="David" w:eastAsia="David" w:hAnsi="David" w:cs="David"/>
          <w:sz w:val="24"/>
          <w:szCs w:val="24"/>
          <w:rtl/>
        </w:rPr>
        <w:t>(</w:t>
      </w:r>
      <w:proofErr w:type="spellStart"/>
      <w:r>
        <w:rPr>
          <w:rFonts w:ascii="David" w:eastAsia="David" w:hAnsi="David" w:cs="David"/>
          <w:sz w:val="21"/>
          <w:szCs w:val="21"/>
          <w:highlight w:val="white"/>
        </w:rPr>
        <w:t>Pavlovičová</w:t>
      </w:r>
      <w:proofErr w:type="spellEnd"/>
      <w:r>
        <w:rPr>
          <w:rFonts w:ascii="David" w:eastAsia="David" w:hAnsi="David" w:cs="David"/>
          <w:sz w:val="21"/>
          <w:szCs w:val="21"/>
          <w:highlight w:val="white"/>
        </w:rPr>
        <w:t xml:space="preserve"> et al., 2022)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היא היכולת של הלומדים להשתמש במושגים גיאומטריים בשיעורי מתמטיקה ותחומים שונים בחיים </w:t>
      </w:r>
      <w:proofErr w:type="gramStart"/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האמיתיים </w:t>
      </w:r>
      <w:r>
        <w:rPr>
          <w:rFonts w:ascii="David" w:eastAsia="David" w:hAnsi="David" w:cs="David"/>
          <w:sz w:val="21"/>
          <w:szCs w:val="21"/>
          <w:highlight w:val="white"/>
        </w:rPr>
        <w:t>.</w:t>
      </w:r>
      <w:proofErr w:type="gramEnd"/>
      <w:r>
        <w:rPr>
          <w:rFonts w:ascii="David" w:eastAsia="David" w:hAnsi="David" w:cs="David"/>
          <w:sz w:val="21"/>
          <w:szCs w:val="21"/>
          <w:highlight w:val="white"/>
        </w:rPr>
        <w:t xml:space="preserve"> </w:t>
      </w:r>
    </w:p>
    <w:p w14:paraId="5C581D03" w14:textId="77777777" w:rsidR="005B7BF6" w:rsidRDefault="00F10791">
      <w:pPr>
        <w:bidi/>
        <w:spacing w:before="240" w:after="240" w:line="360" w:lineRule="auto"/>
        <w:ind w:left="100"/>
        <w:jc w:val="both"/>
        <w:rPr>
          <w:rFonts w:ascii="David" w:eastAsia="David" w:hAnsi="David" w:cs="David"/>
          <w:sz w:val="24"/>
          <w:szCs w:val="24"/>
          <w:highlight w:val="white"/>
        </w:rPr>
      </w:pPr>
      <w:r>
        <w:rPr>
          <w:rFonts w:ascii="David" w:eastAsia="David" w:hAnsi="David" w:cs="David"/>
          <w:sz w:val="24"/>
          <w:szCs w:val="24"/>
          <w:highlight w:val="white"/>
          <w:rtl/>
          <w:lang w:bidi="he-IL"/>
        </w:rPr>
        <w:t xml:space="preserve">תיאוריית החשיבה הגיאומטרית של ואן הילה מתארת את התפתחות רמות ההבנה הגיאומטרית השונות 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>(</w:t>
      </w:r>
      <w:r>
        <w:rPr>
          <w:rFonts w:ascii="David" w:eastAsia="David" w:hAnsi="David" w:cs="David"/>
          <w:sz w:val="24"/>
          <w:szCs w:val="24"/>
          <w:highlight w:val="white"/>
        </w:rPr>
        <w:t>Van Hiele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 1984). </w:t>
      </w:r>
      <w:r>
        <w:rPr>
          <w:rFonts w:ascii="David" w:eastAsia="David" w:hAnsi="David" w:cs="David"/>
          <w:sz w:val="24"/>
          <w:szCs w:val="24"/>
          <w:highlight w:val="white"/>
          <w:rtl/>
          <w:lang w:bidi="he-IL"/>
        </w:rPr>
        <w:t>הבסיס של התיאוריה הוא הרעיון כי צמיחת ידע הלומד בגיאומטריה מתרחשת במונחים של התקדמות היררכית ברמות החשיבה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highlight w:val="white"/>
          <w:rtl/>
          <w:lang w:bidi="he-IL"/>
        </w:rPr>
        <w:t xml:space="preserve">כאשר אי אפשר לדלג על ולעקוף אף רמה ברמות אלו בעת ההתקדמות 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>(</w:t>
      </w:r>
      <w:r>
        <w:rPr>
          <w:rFonts w:ascii="David" w:eastAsia="David" w:hAnsi="David" w:cs="David"/>
          <w:sz w:val="24"/>
          <w:szCs w:val="24"/>
          <w:highlight w:val="white"/>
        </w:rPr>
        <w:t>Burger and Shaughnessy 1986; Clements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 2003). </w:t>
      </w:r>
      <w:r>
        <w:rPr>
          <w:rFonts w:ascii="David" w:eastAsia="David" w:hAnsi="David" w:cs="David"/>
          <w:sz w:val="24"/>
          <w:szCs w:val="24"/>
          <w:highlight w:val="white"/>
          <w:rtl/>
          <w:lang w:bidi="he-IL"/>
        </w:rPr>
        <w:t xml:space="preserve">חמש רמות החשיבה מוצגות בטבלה 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1. </w:t>
      </w:r>
    </w:p>
    <w:p w14:paraId="3B5DEDFB" w14:textId="77777777" w:rsidR="005B7BF6" w:rsidRPr="00F10791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b/>
          <w:bCs/>
          <w:sz w:val="24"/>
          <w:szCs w:val="24"/>
          <w:highlight w:val="white"/>
        </w:rPr>
      </w:pPr>
      <w:r w:rsidRPr="00F10791">
        <w:rPr>
          <w:rFonts w:ascii="David" w:eastAsia="David" w:hAnsi="David" w:cs="David"/>
          <w:b/>
          <w:bCs/>
          <w:sz w:val="24"/>
          <w:szCs w:val="24"/>
          <w:highlight w:val="white"/>
          <w:rtl/>
          <w:lang w:bidi="he-IL"/>
        </w:rPr>
        <w:t xml:space="preserve">טבלה </w:t>
      </w:r>
      <w:r w:rsidRPr="00F10791">
        <w:rPr>
          <w:rFonts w:ascii="David" w:eastAsia="David" w:hAnsi="David" w:cs="David"/>
          <w:b/>
          <w:bCs/>
          <w:sz w:val="24"/>
          <w:szCs w:val="24"/>
          <w:highlight w:val="white"/>
          <w:rtl/>
        </w:rPr>
        <w:t xml:space="preserve">1. </w:t>
      </w:r>
    </w:p>
    <w:p w14:paraId="1D7F939F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  <w:highlight w:val="white"/>
        </w:rPr>
      </w:pPr>
      <w:r>
        <w:rPr>
          <w:rFonts w:ascii="David" w:eastAsia="David" w:hAnsi="David" w:cs="David"/>
          <w:sz w:val="24"/>
          <w:szCs w:val="24"/>
          <w:highlight w:val="white"/>
          <w:rtl/>
          <w:lang w:bidi="he-IL"/>
        </w:rPr>
        <w:t xml:space="preserve"> תיאור רמות תיאוריית החשיבה הגיאומטרית של ואן הילה</w:t>
      </w:r>
    </w:p>
    <w:tbl>
      <w:tblPr>
        <w:tblStyle w:val="a"/>
        <w:bidiVisual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410"/>
        <w:gridCol w:w="6300"/>
      </w:tblGrid>
      <w:tr w:rsidR="005B7BF6" w14:paraId="5A53AF4F" w14:textId="77777777">
        <w:trPr>
          <w:trHeight w:val="735"/>
        </w:trPr>
        <w:tc>
          <w:tcPr>
            <w:tcW w:w="117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F01A5" w14:textId="77777777" w:rsidR="005B7BF6" w:rsidRDefault="00F10791">
            <w:pPr>
              <w:bidi/>
              <w:spacing w:before="240" w:line="360" w:lineRule="auto"/>
              <w:jc w:val="both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</w:rPr>
              <w:t>#</w:t>
            </w: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  <w:lang w:bidi="he-IL"/>
              </w:rPr>
              <w:t>רמה</w:t>
            </w:r>
          </w:p>
        </w:tc>
        <w:tc>
          <w:tcPr>
            <w:tcW w:w="141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EEA56" w14:textId="77777777" w:rsidR="005B7BF6" w:rsidRDefault="00F10791">
            <w:pPr>
              <w:bidi/>
              <w:spacing w:before="240" w:line="360" w:lineRule="auto"/>
              <w:jc w:val="both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  <w:lang w:bidi="he-IL"/>
              </w:rPr>
              <w:t>תיאור</w:t>
            </w:r>
          </w:p>
        </w:tc>
        <w:tc>
          <w:tcPr>
            <w:tcW w:w="63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0C574" w14:textId="77777777" w:rsidR="005B7BF6" w:rsidRDefault="00F10791">
            <w:pPr>
              <w:bidi/>
              <w:spacing w:before="240" w:line="360" w:lineRule="auto"/>
              <w:jc w:val="both"/>
              <w:rPr>
                <w:rFonts w:ascii="David" w:eastAsia="David" w:hAnsi="David" w:cs="David"/>
                <w:sz w:val="24"/>
                <w:szCs w:val="24"/>
                <w:highlight w:val="white"/>
              </w:rPr>
            </w:pPr>
            <w:r>
              <w:rPr>
                <w:rFonts w:ascii="David" w:eastAsia="David" w:hAnsi="David" w:cs="David"/>
                <w:sz w:val="24"/>
                <w:szCs w:val="24"/>
                <w:highlight w:val="white"/>
                <w:rtl/>
                <w:lang w:bidi="he-IL"/>
              </w:rPr>
              <w:t>יכולת הלומד ברמה זו</w:t>
            </w:r>
          </w:p>
        </w:tc>
      </w:tr>
      <w:tr w:rsidR="005B7BF6" w14:paraId="7A4A7E7E" w14:textId="77777777">
        <w:trPr>
          <w:trHeight w:val="117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93E11" w14:textId="77777777" w:rsidR="005B7BF6" w:rsidRDefault="00F10791">
            <w:pPr>
              <w:bidi/>
              <w:spacing w:before="240" w:line="360" w:lineRule="auto"/>
              <w:jc w:val="both"/>
              <w:rPr>
                <w:rFonts w:ascii="David" w:eastAsia="David" w:hAnsi="David" w:cs="David"/>
                <w:highlight w:val="white"/>
              </w:rPr>
            </w:pPr>
            <w:r>
              <w:rPr>
                <w:rFonts w:ascii="David" w:eastAsia="David" w:hAnsi="David" w:cs="David"/>
                <w:highlight w:val="white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F003E" w14:textId="77777777" w:rsidR="005B7BF6" w:rsidRDefault="00F10791">
            <w:pPr>
              <w:bidi/>
              <w:spacing w:before="240" w:line="360" w:lineRule="auto"/>
              <w:jc w:val="both"/>
              <w:rPr>
                <w:rFonts w:ascii="David" w:eastAsia="David" w:hAnsi="David" w:cs="David"/>
                <w:highlight w:val="white"/>
              </w:rPr>
            </w:pPr>
            <w:r>
              <w:rPr>
                <w:rFonts w:ascii="David" w:eastAsia="David" w:hAnsi="David" w:cs="David"/>
                <w:highlight w:val="white"/>
                <w:rtl/>
                <w:lang w:bidi="he-IL"/>
              </w:rPr>
              <w:t>וויזואליזציה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94435" w14:textId="77777777" w:rsidR="005B7BF6" w:rsidRDefault="00F10791">
            <w:pPr>
              <w:bidi/>
              <w:spacing w:before="240" w:line="360" w:lineRule="auto"/>
              <w:jc w:val="both"/>
              <w:rPr>
                <w:rFonts w:ascii="David" w:eastAsia="David" w:hAnsi="David" w:cs="David"/>
                <w:highlight w:val="white"/>
              </w:rPr>
            </w:pPr>
            <w:r>
              <w:rPr>
                <w:rFonts w:ascii="David" w:eastAsia="David" w:hAnsi="David" w:cs="David"/>
                <w:highlight w:val="white"/>
                <w:rtl/>
                <w:lang w:bidi="he-IL"/>
              </w:rPr>
              <w:t>תפיסת צורות גיאומטריות כשלמויות ובאופן הוליסטי</w:t>
            </w:r>
            <w:r>
              <w:rPr>
                <w:rFonts w:ascii="David" w:eastAsia="David" w:hAnsi="David" w:cs="David"/>
                <w:highlight w:val="white"/>
                <w:rtl/>
              </w:rPr>
              <w:t xml:space="preserve">, </w:t>
            </w:r>
            <w:r>
              <w:rPr>
                <w:rFonts w:ascii="David" w:eastAsia="David" w:hAnsi="David" w:cs="David"/>
                <w:highlight w:val="white"/>
                <w:rtl/>
                <w:lang w:bidi="he-IL"/>
              </w:rPr>
              <w:t>עדיין ללא הבנת תכונות הצורה אלא זיהוי ושיום שלה</w:t>
            </w:r>
            <w:r>
              <w:rPr>
                <w:rFonts w:ascii="David" w:eastAsia="David" w:hAnsi="David" w:cs="David"/>
                <w:highlight w:val="white"/>
                <w:rtl/>
              </w:rPr>
              <w:t xml:space="preserve">. </w:t>
            </w:r>
            <w:r>
              <w:rPr>
                <w:rFonts w:ascii="David" w:eastAsia="David" w:hAnsi="David" w:cs="David"/>
                <w:highlight w:val="white"/>
                <w:rtl/>
                <w:lang w:bidi="he-IL"/>
              </w:rPr>
              <w:t>הצורות נשפטות לפי הופעתן והמראה שלהן</w:t>
            </w:r>
            <w:r>
              <w:rPr>
                <w:rFonts w:ascii="David" w:eastAsia="David" w:hAnsi="David" w:cs="David"/>
                <w:highlight w:val="white"/>
                <w:rtl/>
              </w:rPr>
              <w:t>.</w:t>
            </w:r>
          </w:p>
        </w:tc>
      </w:tr>
      <w:tr w:rsidR="005B7BF6" w14:paraId="46CED21F" w14:textId="77777777">
        <w:trPr>
          <w:trHeight w:val="115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38E6E" w14:textId="77777777" w:rsidR="005B7BF6" w:rsidRDefault="00F10791">
            <w:pPr>
              <w:bidi/>
              <w:spacing w:before="240" w:line="360" w:lineRule="auto"/>
              <w:jc w:val="both"/>
              <w:rPr>
                <w:rFonts w:ascii="David" w:eastAsia="David" w:hAnsi="David" w:cs="David"/>
                <w:highlight w:val="white"/>
              </w:rPr>
            </w:pPr>
            <w:r>
              <w:rPr>
                <w:rFonts w:ascii="David" w:eastAsia="David" w:hAnsi="David" w:cs="David"/>
                <w:highlight w:val="white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BBFBE" w14:textId="77777777" w:rsidR="005B7BF6" w:rsidRDefault="00F10791">
            <w:pPr>
              <w:bidi/>
              <w:spacing w:before="240" w:line="360" w:lineRule="auto"/>
              <w:jc w:val="both"/>
              <w:rPr>
                <w:rFonts w:ascii="David" w:eastAsia="David" w:hAnsi="David" w:cs="David"/>
                <w:highlight w:val="white"/>
              </w:rPr>
            </w:pPr>
            <w:r>
              <w:rPr>
                <w:rFonts w:ascii="David" w:eastAsia="David" w:hAnsi="David" w:cs="David"/>
                <w:highlight w:val="white"/>
                <w:rtl/>
                <w:lang w:bidi="he-IL"/>
              </w:rPr>
              <w:t>אנליזה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7B530" w14:textId="77777777" w:rsidR="005B7BF6" w:rsidRDefault="00F10791">
            <w:pPr>
              <w:bidi/>
              <w:spacing w:before="240" w:line="360" w:lineRule="auto"/>
              <w:jc w:val="both"/>
              <w:rPr>
                <w:rFonts w:ascii="David" w:eastAsia="David" w:hAnsi="David" w:cs="David"/>
                <w:highlight w:val="white"/>
              </w:rPr>
            </w:pPr>
            <w:r>
              <w:rPr>
                <w:rFonts w:ascii="David" w:eastAsia="David" w:hAnsi="David" w:cs="David"/>
                <w:highlight w:val="white"/>
                <w:rtl/>
                <w:lang w:bidi="he-IL"/>
              </w:rPr>
              <w:t>הלומד חוקר את הצורות מבחינת תכונותיהן באופן אמפירי</w:t>
            </w:r>
            <w:r>
              <w:rPr>
                <w:rFonts w:ascii="David" w:eastAsia="David" w:hAnsi="David" w:cs="David"/>
                <w:highlight w:val="white"/>
                <w:rtl/>
              </w:rPr>
              <w:t xml:space="preserve">, </w:t>
            </w:r>
            <w:r>
              <w:rPr>
                <w:rFonts w:ascii="David" w:eastAsia="David" w:hAnsi="David" w:cs="David"/>
                <w:highlight w:val="white"/>
                <w:rtl/>
                <w:lang w:bidi="he-IL"/>
              </w:rPr>
              <w:t>מפרק אותן לחלקיהן ומזהה תכונות שונות של כל אחת מהן</w:t>
            </w:r>
            <w:r>
              <w:rPr>
                <w:rFonts w:ascii="David" w:eastAsia="David" w:hAnsi="David" w:cs="David"/>
                <w:highlight w:val="white"/>
                <w:rtl/>
              </w:rPr>
              <w:t xml:space="preserve">. </w:t>
            </w:r>
            <w:r>
              <w:rPr>
                <w:rFonts w:ascii="David" w:eastAsia="David" w:hAnsi="David" w:cs="David"/>
                <w:highlight w:val="white"/>
                <w:rtl/>
                <w:lang w:bidi="he-IL"/>
              </w:rPr>
              <w:t>לכן</w:t>
            </w:r>
            <w:r>
              <w:rPr>
                <w:rFonts w:ascii="David" w:eastAsia="David" w:hAnsi="David" w:cs="David"/>
                <w:highlight w:val="white"/>
                <w:rtl/>
              </w:rPr>
              <w:t xml:space="preserve">, </w:t>
            </w:r>
            <w:r>
              <w:rPr>
                <w:rFonts w:ascii="David" w:eastAsia="David" w:hAnsi="David" w:cs="David"/>
                <w:highlight w:val="white"/>
                <w:rtl/>
                <w:lang w:bidi="he-IL"/>
              </w:rPr>
              <w:t>כל צורה מתקשרת עם מכלול תכונותיה</w:t>
            </w:r>
            <w:r>
              <w:rPr>
                <w:rFonts w:ascii="David" w:eastAsia="David" w:hAnsi="David" w:cs="David"/>
                <w:highlight w:val="white"/>
                <w:rtl/>
              </w:rPr>
              <w:t>.</w:t>
            </w:r>
          </w:p>
        </w:tc>
      </w:tr>
      <w:tr w:rsidR="005B7BF6" w14:paraId="7CBB4471" w14:textId="77777777">
        <w:trPr>
          <w:trHeight w:val="127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FC762" w14:textId="77777777" w:rsidR="005B7BF6" w:rsidRDefault="00F10791">
            <w:pPr>
              <w:bidi/>
              <w:spacing w:before="240" w:line="360" w:lineRule="auto"/>
              <w:jc w:val="both"/>
              <w:rPr>
                <w:rFonts w:ascii="David" w:eastAsia="David" w:hAnsi="David" w:cs="David"/>
                <w:highlight w:val="white"/>
              </w:rPr>
            </w:pPr>
            <w:r>
              <w:rPr>
                <w:rFonts w:ascii="David" w:eastAsia="David" w:hAnsi="David" w:cs="David"/>
                <w:highlight w:val="white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9F19" w14:textId="77777777" w:rsidR="005B7BF6" w:rsidRDefault="00F10791">
            <w:pPr>
              <w:bidi/>
              <w:spacing w:before="240" w:line="360" w:lineRule="auto"/>
              <w:jc w:val="both"/>
              <w:rPr>
                <w:rFonts w:ascii="David" w:eastAsia="David" w:hAnsi="David" w:cs="David"/>
                <w:highlight w:val="white"/>
              </w:rPr>
            </w:pPr>
            <w:r>
              <w:rPr>
                <w:rFonts w:ascii="David" w:eastAsia="David" w:hAnsi="David" w:cs="David"/>
                <w:highlight w:val="white"/>
                <w:rtl/>
                <w:lang w:bidi="he-IL"/>
              </w:rPr>
              <w:t>סידור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420CD" w14:textId="77777777" w:rsidR="005B7BF6" w:rsidRDefault="00F10791">
            <w:pPr>
              <w:bidi/>
              <w:spacing w:before="240" w:line="360" w:lineRule="auto"/>
              <w:jc w:val="both"/>
              <w:rPr>
                <w:rFonts w:ascii="David" w:eastAsia="David" w:hAnsi="David" w:cs="David"/>
                <w:highlight w:val="white"/>
              </w:rPr>
            </w:pPr>
            <w:r>
              <w:rPr>
                <w:rFonts w:ascii="David" w:eastAsia="David" w:hAnsi="David" w:cs="David"/>
                <w:highlight w:val="white"/>
                <w:rtl/>
                <w:lang w:bidi="he-IL"/>
              </w:rPr>
              <w:t>הלומד מודע לקשרים בין צורות</w:t>
            </w:r>
            <w:r>
              <w:rPr>
                <w:rFonts w:ascii="David" w:eastAsia="David" w:hAnsi="David" w:cs="David"/>
                <w:highlight w:val="white"/>
                <w:rtl/>
              </w:rPr>
              <w:t xml:space="preserve">, </w:t>
            </w:r>
            <w:r>
              <w:rPr>
                <w:rFonts w:ascii="David" w:eastAsia="David" w:hAnsi="David" w:cs="David"/>
                <w:highlight w:val="white"/>
                <w:rtl/>
                <w:lang w:bidi="he-IL"/>
              </w:rPr>
              <w:t>מודע לקשרים בין התכונות השונות של אותו מושג כאשר הוא מסוגל להבין שישנו קשר בין תכונות המושגו</w:t>
            </w:r>
            <w:r>
              <w:rPr>
                <w:rFonts w:ascii="David" w:eastAsia="David" w:hAnsi="David" w:cs="David"/>
                <w:highlight w:val="white"/>
                <w:rtl/>
              </w:rPr>
              <w:t xml:space="preserve">, </w:t>
            </w:r>
            <w:r>
              <w:rPr>
                <w:rFonts w:ascii="David" w:eastAsia="David" w:hAnsi="David" w:cs="David"/>
                <w:highlight w:val="white"/>
                <w:rtl/>
                <w:lang w:bidi="he-IL"/>
              </w:rPr>
              <w:t>ואף להבין את תפקיד ההגדרה הפורמלית</w:t>
            </w:r>
            <w:r>
              <w:rPr>
                <w:rFonts w:ascii="David" w:eastAsia="David" w:hAnsi="David" w:cs="David"/>
                <w:highlight w:val="white"/>
                <w:rtl/>
              </w:rPr>
              <w:t xml:space="preserve">. </w:t>
            </w:r>
            <w:r>
              <w:rPr>
                <w:rFonts w:ascii="David" w:eastAsia="David" w:hAnsi="David" w:cs="David"/>
                <w:highlight w:val="white"/>
                <w:rtl/>
                <w:lang w:bidi="he-IL"/>
              </w:rPr>
              <w:t>אך</w:t>
            </w:r>
            <w:r>
              <w:rPr>
                <w:rFonts w:ascii="David" w:eastAsia="David" w:hAnsi="David" w:cs="David"/>
                <w:highlight w:val="white"/>
                <w:rtl/>
              </w:rPr>
              <w:t xml:space="preserve">, </w:t>
            </w:r>
            <w:r>
              <w:rPr>
                <w:rFonts w:ascii="David" w:eastAsia="David" w:hAnsi="David" w:cs="David"/>
                <w:highlight w:val="white"/>
                <w:rtl/>
                <w:lang w:bidi="he-IL"/>
              </w:rPr>
              <w:t>הנימוקים שלו עדיין אינם נימוקים פורמאליים</w:t>
            </w:r>
          </w:p>
        </w:tc>
      </w:tr>
      <w:tr w:rsidR="005B7BF6" w14:paraId="69ED22A0" w14:textId="77777777">
        <w:trPr>
          <w:trHeight w:val="91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DA50D" w14:textId="77777777" w:rsidR="005B7BF6" w:rsidRDefault="00F10791">
            <w:pPr>
              <w:bidi/>
              <w:spacing w:before="240" w:line="360" w:lineRule="auto"/>
              <w:jc w:val="both"/>
              <w:rPr>
                <w:rFonts w:ascii="David" w:eastAsia="David" w:hAnsi="David" w:cs="David"/>
                <w:highlight w:val="white"/>
              </w:rPr>
            </w:pPr>
            <w:r>
              <w:rPr>
                <w:rFonts w:ascii="David" w:eastAsia="David" w:hAnsi="David" w:cs="David"/>
                <w:highlight w:val="white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1C341" w14:textId="77777777" w:rsidR="005B7BF6" w:rsidRDefault="00F10791">
            <w:pPr>
              <w:bidi/>
              <w:spacing w:before="240" w:line="360" w:lineRule="auto"/>
              <w:jc w:val="both"/>
              <w:rPr>
                <w:rFonts w:ascii="David" w:eastAsia="David" w:hAnsi="David" w:cs="David"/>
                <w:highlight w:val="white"/>
              </w:rPr>
            </w:pPr>
            <w:r>
              <w:rPr>
                <w:rFonts w:ascii="David" w:eastAsia="David" w:hAnsi="David" w:cs="David"/>
                <w:highlight w:val="white"/>
                <w:rtl/>
                <w:lang w:bidi="he-IL"/>
              </w:rPr>
              <w:t>דדוקציה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C8528" w14:textId="77777777" w:rsidR="005B7BF6" w:rsidRDefault="00F10791">
            <w:pPr>
              <w:bidi/>
              <w:spacing w:before="240" w:line="360" w:lineRule="auto"/>
              <w:jc w:val="both"/>
              <w:rPr>
                <w:rFonts w:ascii="David" w:eastAsia="David" w:hAnsi="David" w:cs="David"/>
                <w:highlight w:val="white"/>
              </w:rPr>
            </w:pPr>
            <w:r>
              <w:rPr>
                <w:rFonts w:ascii="David" w:eastAsia="David" w:hAnsi="David" w:cs="David"/>
                <w:highlight w:val="white"/>
                <w:rtl/>
                <w:lang w:bidi="he-IL"/>
              </w:rPr>
              <w:t xml:space="preserve">הלומד תופס את משמעות הדדוקציה </w:t>
            </w:r>
            <w:r>
              <w:rPr>
                <w:rFonts w:ascii="David" w:eastAsia="David" w:hAnsi="David" w:cs="David"/>
                <w:highlight w:val="white"/>
                <w:rtl/>
              </w:rPr>
              <w:t>(</w:t>
            </w:r>
            <w:r>
              <w:rPr>
                <w:rFonts w:ascii="David" w:eastAsia="David" w:hAnsi="David" w:cs="David"/>
                <w:highlight w:val="white"/>
                <w:rtl/>
                <w:lang w:bidi="he-IL"/>
              </w:rPr>
              <w:t>הסקת מסקנות מן הכלל אל הפרט</w:t>
            </w:r>
            <w:r>
              <w:rPr>
                <w:rFonts w:ascii="David" w:eastAsia="David" w:hAnsi="David" w:cs="David"/>
                <w:highlight w:val="white"/>
                <w:rtl/>
              </w:rPr>
              <w:t xml:space="preserve">) </w:t>
            </w:r>
            <w:r>
              <w:rPr>
                <w:rFonts w:ascii="David" w:eastAsia="David" w:hAnsi="David" w:cs="David"/>
                <w:highlight w:val="white"/>
                <w:rtl/>
                <w:lang w:bidi="he-IL"/>
              </w:rPr>
              <w:t>כאמצעי לבניה ולפיתוח תיאוריה גיאומטרית</w:t>
            </w:r>
          </w:p>
        </w:tc>
      </w:tr>
      <w:tr w:rsidR="005B7BF6" w14:paraId="756C970B" w14:textId="77777777">
        <w:trPr>
          <w:trHeight w:val="930"/>
        </w:trPr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63ED3" w14:textId="77777777" w:rsidR="005B7BF6" w:rsidRDefault="00F10791">
            <w:pPr>
              <w:bidi/>
              <w:spacing w:before="240" w:line="360" w:lineRule="auto"/>
              <w:jc w:val="both"/>
              <w:rPr>
                <w:rFonts w:ascii="David" w:eastAsia="David" w:hAnsi="David" w:cs="David"/>
                <w:highlight w:val="white"/>
              </w:rPr>
            </w:pPr>
            <w:r>
              <w:rPr>
                <w:rFonts w:ascii="David" w:eastAsia="David" w:hAnsi="David" w:cs="David"/>
                <w:highlight w:val="white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4F14F" w14:textId="77777777" w:rsidR="005B7BF6" w:rsidRDefault="00F10791">
            <w:pPr>
              <w:bidi/>
              <w:spacing w:before="240" w:line="360" w:lineRule="auto"/>
              <w:jc w:val="both"/>
              <w:rPr>
                <w:rFonts w:ascii="David" w:eastAsia="David" w:hAnsi="David" w:cs="David"/>
                <w:highlight w:val="white"/>
              </w:rPr>
            </w:pPr>
            <w:r>
              <w:rPr>
                <w:rFonts w:ascii="David" w:eastAsia="David" w:hAnsi="David" w:cs="David"/>
                <w:highlight w:val="white"/>
                <w:rtl/>
                <w:lang w:bidi="he-IL"/>
              </w:rPr>
              <w:t>דיוק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A1036" w14:textId="77777777" w:rsidR="005B7BF6" w:rsidRDefault="00F10791">
            <w:pPr>
              <w:bidi/>
              <w:spacing w:before="240" w:line="360" w:lineRule="auto"/>
              <w:jc w:val="both"/>
              <w:rPr>
                <w:rFonts w:ascii="David" w:eastAsia="David" w:hAnsi="David" w:cs="David"/>
                <w:highlight w:val="white"/>
              </w:rPr>
            </w:pPr>
            <w:r>
              <w:rPr>
                <w:rFonts w:ascii="David" w:eastAsia="David" w:hAnsi="David" w:cs="David"/>
                <w:highlight w:val="white"/>
                <w:rtl/>
                <w:lang w:bidi="he-IL"/>
              </w:rPr>
              <w:t>הלומד מבין את האספקט הפורמאלי של הגיאומטריה</w:t>
            </w:r>
            <w:r>
              <w:rPr>
                <w:rFonts w:ascii="David" w:eastAsia="David" w:hAnsi="David" w:cs="David"/>
                <w:highlight w:val="white"/>
                <w:rtl/>
              </w:rPr>
              <w:t xml:space="preserve">, </w:t>
            </w:r>
            <w:r>
              <w:rPr>
                <w:rFonts w:ascii="David" w:eastAsia="David" w:hAnsi="David" w:cs="David"/>
                <w:highlight w:val="white"/>
                <w:rtl/>
                <w:lang w:bidi="he-IL"/>
              </w:rPr>
              <w:t>ויש לו יכולת לחקור את התוצאות הנובעות מהחלפת מערכת אקסיומות אחת בשנייה</w:t>
            </w:r>
            <w:r>
              <w:rPr>
                <w:rFonts w:ascii="David" w:eastAsia="David" w:hAnsi="David" w:cs="David"/>
                <w:highlight w:val="white"/>
                <w:rtl/>
              </w:rPr>
              <w:t>.</w:t>
            </w:r>
          </w:p>
        </w:tc>
      </w:tr>
    </w:tbl>
    <w:p w14:paraId="61EB805F" w14:textId="77777777" w:rsidR="005B7BF6" w:rsidRDefault="00F10791">
      <w:pPr>
        <w:bidi/>
        <w:spacing w:before="240" w:after="240" w:line="360" w:lineRule="auto"/>
        <w:ind w:left="14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highlight w:val="white"/>
          <w:rtl/>
          <w:lang w:bidi="he-IL"/>
        </w:rPr>
        <w:lastRenderedPageBreak/>
        <w:t xml:space="preserve"> הזוג וואן הילי 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( </w:t>
      </w:r>
      <w:r>
        <w:rPr>
          <w:rFonts w:ascii="David" w:eastAsia="David" w:hAnsi="David" w:cs="David"/>
          <w:sz w:val="24"/>
          <w:szCs w:val="24"/>
          <w:highlight w:val="white"/>
        </w:rPr>
        <w:t>Van Hiele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,  1999)  </w:t>
      </w:r>
      <w:r>
        <w:rPr>
          <w:rFonts w:ascii="David" w:eastAsia="David" w:hAnsi="David" w:cs="David"/>
          <w:sz w:val="24"/>
          <w:szCs w:val="24"/>
          <w:highlight w:val="white"/>
          <w:rtl/>
          <w:lang w:bidi="he-IL"/>
        </w:rPr>
        <w:t>הצביעו על כך כי ההתקדמות מרמה אחת לשנייה לא קשורה בגיל או בהתבגרות אלא קשורה בסגנון ההוראה אשר משתמשים בו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highlight w:val="white"/>
          <w:rtl/>
          <w:lang w:bidi="he-IL"/>
        </w:rPr>
        <w:t>כאשר סוגי הוראה מסויימים מעקבים את ההתפתחות וסוגים אחרים מקדמים את ההתפתחות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highlight w:val="white"/>
          <w:rtl/>
          <w:lang w:bidi="he-IL"/>
        </w:rPr>
        <w:t>באמצעות תיאוריה זו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highlight w:val="white"/>
          <w:rtl/>
          <w:lang w:bidi="he-IL"/>
        </w:rPr>
        <w:t>הזוג ואן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>-</w:t>
      </w:r>
      <w:r>
        <w:rPr>
          <w:rFonts w:ascii="David" w:eastAsia="David" w:hAnsi="David" w:cs="David"/>
          <w:sz w:val="24"/>
          <w:szCs w:val="24"/>
          <w:highlight w:val="white"/>
          <w:rtl/>
          <w:lang w:bidi="he-IL"/>
        </w:rPr>
        <w:t xml:space="preserve">הילה 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>(</w:t>
      </w:r>
      <w:r>
        <w:rPr>
          <w:rFonts w:ascii="David" w:eastAsia="David" w:hAnsi="David" w:cs="David"/>
          <w:sz w:val="24"/>
          <w:szCs w:val="24"/>
          <w:highlight w:val="white"/>
        </w:rPr>
        <w:t>Van Hiele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 1984) </w:t>
      </w:r>
      <w:r>
        <w:rPr>
          <w:rFonts w:ascii="David" w:eastAsia="David" w:hAnsi="David" w:cs="David"/>
          <w:sz w:val="24"/>
          <w:szCs w:val="24"/>
          <w:highlight w:val="white"/>
          <w:rtl/>
          <w:lang w:bidi="he-IL"/>
        </w:rPr>
        <w:t>ניסו לתת הסבר לעובדה שלומדים רבים נתקלים בקשיים בכל הקשור לתהליכים המעורבים בחשיבה גיאומטרית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highlight w:val="white"/>
          <w:rtl/>
          <w:lang w:bidi="he-IL"/>
        </w:rPr>
        <w:t>קשיים אלה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highlight w:val="white"/>
          <w:rtl/>
          <w:lang w:bidi="he-IL"/>
        </w:rPr>
        <w:t>נובעים מתוך אי התאמה בין רמת ההוראה לבין רמת ההבנה הגיאומטרית של הלומדים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highlight w:val="white"/>
          <w:rtl/>
          <w:lang w:bidi="he-IL"/>
        </w:rPr>
        <w:t>כעדות לכך קלימנטס וסאראמה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( 2011, </w:t>
      </w:r>
      <w:r>
        <w:rPr>
          <w:rFonts w:ascii="David" w:eastAsia="David" w:hAnsi="David" w:cs="David"/>
          <w:sz w:val="24"/>
          <w:szCs w:val="24"/>
          <w:highlight w:val="white"/>
        </w:rPr>
        <w:t>Clements &amp; Sarama)</w:t>
      </w:r>
      <w:r>
        <w:rPr>
          <w:rFonts w:ascii="David" w:eastAsia="David" w:hAnsi="David" w:cs="David"/>
          <w:sz w:val="24"/>
          <w:szCs w:val="24"/>
          <w:highlight w:val="white"/>
          <w:rtl/>
          <w:lang w:bidi="he-IL"/>
        </w:rPr>
        <w:t xml:space="preserve"> ציינו במחקרם כי מורים רבים מתבססים על המראה החיצוני של הצורה והדמיון לצורות האב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>-</w:t>
      </w:r>
      <w:r>
        <w:rPr>
          <w:rFonts w:ascii="David" w:eastAsia="David" w:hAnsi="David" w:cs="David"/>
          <w:sz w:val="24"/>
          <w:szCs w:val="24"/>
          <w:highlight w:val="white"/>
          <w:rtl/>
          <w:lang w:bidi="he-IL"/>
        </w:rPr>
        <w:t>טיפוסיות אשר זה מתבטא ברמה ראשונה של החשיבה הגיאומטרית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highlight w:val="white"/>
          <w:rtl/>
          <w:lang w:bidi="he-IL"/>
        </w:rPr>
        <w:t xml:space="preserve">כלומר מתבססים על הדוגמה הפרוטוטיפית 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>(</w:t>
      </w:r>
      <w:r>
        <w:rPr>
          <w:rFonts w:ascii="David" w:eastAsia="David" w:hAnsi="David" w:cs="David"/>
          <w:sz w:val="24"/>
          <w:szCs w:val="24"/>
          <w:highlight w:val="white"/>
          <w:rtl/>
          <w:lang w:bidi="he-IL"/>
        </w:rPr>
        <w:t>אב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>-</w:t>
      </w:r>
      <w:r>
        <w:rPr>
          <w:rFonts w:ascii="David" w:eastAsia="David" w:hAnsi="David" w:cs="David"/>
          <w:sz w:val="24"/>
          <w:szCs w:val="24"/>
          <w:highlight w:val="white"/>
          <w:rtl/>
          <w:lang w:bidi="he-IL"/>
        </w:rPr>
        <w:t>טיפוסית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) </w:t>
      </w:r>
      <w:r>
        <w:rPr>
          <w:rFonts w:ascii="David" w:eastAsia="David" w:hAnsi="David" w:cs="David"/>
          <w:sz w:val="24"/>
          <w:szCs w:val="24"/>
          <w:highlight w:val="white"/>
          <w:rtl/>
          <w:lang w:bidi="he-IL"/>
        </w:rPr>
        <w:t>כנקודת ייחוס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highlight w:val="white"/>
          <w:rtl/>
          <w:lang w:bidi="he-IL"/>
        </w:rPr>
        <w:t>ובמקרה הטוב מזהים ומאפיינים צורות לפי תכונותיהן אשר מסווגים לפי רמה שניה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highlight w:val="white"/>
          <w:rtl/>
          <w:lang w:bidi="he-IL"/>
        </w:rPr>
        <w:t>אך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highlight w:val="white"/>
          <w:rtl/>
          <w:lang w:bidi="he-IL"/>
        </w:rPr>
        <w:t>מעט מהם מגיעים לרמה חשיבה שלישית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highlight w:val="white"/>
          <w:rtl/>
          <w:lang w:bidi="he-IL"/>
        </w:rPr>
        <w:t>בה יחסי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>-</w:t>
      </w:r>
      <w:r>
        <w:rPr>
          <w:rFonts w:ascii="David" w:eastAsia="David" w:hAnsi="David" w:cs="David"/>
          <w:sz w:val="24"/>
          <w:szCs w:val="24"/>
          <w:highlight w:val="white"/>
          <w:rtl/>
          <w:lang w:bidi="he-IL"/>
        </w:rPr>
        <w:t xml:space="preserve">ההכלה בין הצורות השונות ותכונותיהן  והבנת תפקיד ההגדרה מהוות נדבך מרכזי 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>(</w:t>
      </w:r>
      <w:r>
        <w:rPr>
          <w:rFonts w:ascii="David" w:eastAsia="David" w:hAnsi="David" w:cs="David"/>
          <w:sz w:val="24"/>
          <w:szCs w:val="24"/>
          <w:highlight w:val="white"/>
        </w:rPr>
        <w:t>van Hiele and van Hiele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, 1958). </w:t>
      </w:r>
      <w:r>
        <w:rPr>
          <w:rFonts w:ascii="David" w:eastAsia="David" w:hAnsi="David" w:cs="David"/>
          <w:sz w:val="24"/>
          <w:szCs w:val="24"/>
          <w:highlight w:val="white"/>
          <w:rtl/>
          <w:lang w:bidi="he-IL"/>
        </w:rPr>
        <w:t>לאור האמור לעיל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highlight w:val="white"/>
          <w:rtl/>
          <w:lang w:bidi="he-IL"/>
        </w:rPr>
        <w:t xml:space="preserve">הוראת תחום הגיאומטריה צריכה להיות מתוכננת בהתבסס על רמות אלו </w:t>
      </w:r>
      <w:r>
        <w:rPr>
          <w:rFonts w:ascii="David" w:eastAsia="David" w:hAnsi="David" w:cs="David"/>
          <w:sz w:val="24"/>
          <w:szCs w:val="24"/>
          <w:highlight w:val="white"/>
          <w:rtl/>
        </w:rPr>
        <w:t>(</w:t>
      </w:r>
      <w:r>
        <w:rPr>
          <w:rFonts w:ascii="David" w:eastAsia="David" w:hAnsi="David" w:cs="David"/>
          <w:sz w:val="24"/>
          <w:szCs w:val="24"/>
          <w:highlight w:val="white"/>
        </w:rPr>
        <w:t xml:space="preserve">Choi-koh 1999). </w:t>
      </w:r>
    </w:p>
    <w:p w14:paraId="22A8B4A0" w14:textId="48EE0C9C" w:rsidR="005B7BF6" w:rsidRPr="00F10791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bCs/>
          <w:sz w:val="24"/>
          <w:szCs w:val="24"/>
        </w:rPr>
      </w:pPr>
      <w:r w:rsidRPr="00F10791">
        <w:rPr>
          <w:rFonts w:ascii="David" w:eastAsia="David" w:hAnsi="David" w:cs="David"/>
          <w:bCs/>
          <w:sz w:val="24"/>
          <w:szCs w:val="24"/>
          <w:rtl/>
          <w:lang w:bidi="he-IL"/>
        </w:rPr>
        <w:t>הגדרות בגאומטריה</w:t>
      </w:r>
    </w:p>
    <w:p w14:paraId="3D26181F" w14:textId="77777777" w:rsidR="005B7BF6" w:rsidRDefault="00F10791">
      <w:pPr>
        <w:bidi/>
        <w:spacing w:after="160" w:line="360" w:lineRule="auto"/>
        <w:ind w:left="140" w:right="-4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אחד המודלים המרכזיים של רכישת מושגים מתמטיים הוא המודל שפיתחו ווינר והרשקוביץ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Vinner &amp; Hershkowitz</w:t>
      </w:r>
      <w:r>
        <w:rPr>
          <w:rFonts w:ascii="David" w:eastAsia="David" w:hAnsi="David" w:cs="David"/>
          <w:sz w:val="24"/>
          <w:szCs w:val="24"/>
          <w:rtl/>
        </w:rPr>
        <w:t xml:space="preserve">, 1980),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וטול ווינר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Tall &amp; Vinner</w:t>
      </w:r>
      <w:r>
        <w:rPr>
          <w:rFonts w:ascii="David" w:eastAsia="David" w:hAnsi="David" w:cs="David"/>
          <w:sz w:val="24"/>
          <w:szCs w:val="24"/>
          <w:rtl/>
        </w:rPr>
        <w:t xml:space="preserve">, 1981).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המודל כולל שני מרכיבים</w:t>
      </w:r>
      <w:r>
        <w:rPr>
          <w:rFonts w:ascii="David" w:eastAsia="David" w:hAnsi="David" w:cs="David"/>
          <w:sz w:val="24"/>
          <w:szCs w:val="24"/>
          <w:rtl/>
        </w:rPr>
        <w:t xml:space="preserve">: 1)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הגדרת המושג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התיאור המילולי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מתמטי של המושג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שהוא אוסף מילים שמטרתו לאפיין את המושג</w:t>
      </w:r>
      <w:r>
        <w:rPr>
          <w:rFonts w:ascii="David" w:eastAsia="David" w:hAnsi="David" w:cs="David"/>
          <w:sz w:val="24"/>
          <w:szCs w:val="24"/>
          <w:rtl/>
        </w:rPr>
        <w:t xml:space="preserve">. 2)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דימוי המושג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מבנה הקוגניטיבי שכולל את כל הדוגמאות והתהליכים הנמצאים בקוגניציה של תלמיד מסוים והקשורים במושג נתון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מבנה זה נבנה ומשתנה במהלך תקופת הלימוד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 דרך חוויותיו האישיות של הלומד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דימוי המושג יכול להיות שלם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חלקי או שגוי</w:t>
      </w:r>
      <w:r>
        <w:rPr>
          <w:rFonts w:ascii="David" w:eastAsia="David" w:hAnsi="David" w:cs="David"/>
          <w:sz w:val="24"/>
          <w:szCs w:val="24"/>
          <w:rtl/>
        </w:rPr>
        <w:t xml:space="preserve">;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למעשה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המושג נלמד כאשר דימוי המושג שנבנה מתאים להגדרת המושג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Vinner</w:t>
      </w:r>
      <w:r>
        <w:rPr>
          <w:rFonts w:ascii="David" w:eastAsia="David" w:hAnsi="David" w:cs="David"/>
          <w:sz w:val="24"/>
          <w:szCs w:val="24"/>
          <w:rtl/>
        </w:rPr>
        <w:t>, 1991).</w:t>
      </w:r>
    </w:p>
    <w:p w14:paraId="7978275D" w14:textId="77777777" w:rsidR="005B7BF6" w:rsidRDefault="00F10791">
      <w:pPr>
        <w:bidi/>
        <w:spacing w:after="160" w:line="360" w:lineRule="auto"/>
        <w:ind w:left="140" w:right="-2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להגדרות מתמטיות יש תפקיד מרכזי בהבנת המשמעות של מושגים מתמטיים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Okazaki</w:t>
      </w:r>
      <w:r>
        <w:rPr>
          <w:rFonts w:ascii="David" w:eastAsia="David" w:hAnsi="David" w:cs="David"/>
          <w:sz w:val="24"/>
          <w:szCs w:val="24"/>
          <w:rtl/>
        </w:rPr>
        <w:t xml:space="preserve">, 2013)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וגם בפתרון בעיות מתמטיות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כגון בבניית משפטים והוכחות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Haj-Yahya et al.,2019; Haj-Yahya</w:t>
      </w:r>
      <w:r>
        <w:rPr>
          <w:rFonts w:ascii="David" w:eastAsia="David" w:hAnsi="David" w:cs="David"/>
          <w:sz w:val="24"/>
          <w:szCs w:val="24"/>
          <w:rtl/>
        </w:rPr>
        <w:t xml:space="preserve">, 2021),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וגם ההגדרות והדרך בה הן מוצגות לתלמידים מעצבות את הקשרים בין דימוי המושג והגדרת המושג ומהוות לכן חלק בסיסי במבנה הידע של הפרט אשר משפיע על תהליך החשיבה שלו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Tall &amp; Vinner, 1981; Vinner &amp; Hershkowitz</w:t>
      </w:r>
      <w:r>
        <w:rPr>
          <w:rFonts w:ascii="David" w:eastAsia="David" w:hAnsi="David" w:cs="David"/>
          <w:sz w:val="24"/>
          <w:szCs w:val="24"/>
          <w:rtl/>
        </w:rPr>
        <w:t>, 1980).</w:t>
      </w:r>
    </w:p>
    <w:p w14:paraId="0E66D488" w14:textId="4E06825C" w:rsidR="005B7BF6" w:rsidRDefault="00F10791" w:rsidP="00F10791">
      <w:pPr>
        <w:bidi/>
        <w:spacing w:after="160" w:line="360" w:lineRule="auto"/>
        <w:ind w:left="140" w:right="-2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מחקרים רבים הראו כי תלמידים רבים נתקלים בקשיים רבים במטלות בהן הם מתבקשים להגדיר מושגים מתמטיים בכלל או גאומטריים בפרט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כמו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יש להם קשיים בהבנת המבנה של ההגדרה ומשמעותו </w:t>
      </w:r>
      <w:r>
        <w:rPr>
          <w:rFonts w:ascii="David" w:eastAsia="David" w:hAnsi="David" w:cs="David"/>
          <w:sz w:val="24"/>
          <w:szCs w:val="24"/>
          <w:rtl/>
        </w:rPr>
        <w:t>(</w:t>
      </w:r>
      <w:proofErr w:type="spellStart"/>
      <w:r>
        <w:rPr>
          <w:rFonts w:ascii="David" w:eastAsia="David" w:hAnsi="David" w:cs="David"/>
          <w:sz w:val="24"/>
          <w:szCs w:val="24"/>
        </w:rPr>
        <w:t>Marchis</w:t>
      </w:r>
      <w:proofErr w:type="spellEnd"/>
      <w:r>
        <w:rPr>
          <w:rFonts w:ascii="David" w:eastAsia="David" w:hAnsi="David" w:cs="David"/>
          <w:sz w:val="24"/>
          <w:szCs w:val="24"/>
        </w:rPr>
        <w:t>, 2012;Haj-Yahya et al.,2019; Haj-Yahya</w:t>
      </w:r>
      <w:r>
        <w:rPr>
          <w:rFonts w:ascii="David" w:eastAsia="David" w:hAnsi="David" w:cs="David"/>
          <w:sz w:val="24"/>
          <w:szCs w:val="24"/>
          <w:rtl/>
        </w:rPr>
        <w:t xml:space="preserve">, 2021).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פעילויות מתמטיות המעמידות את התלמידים בפני קונפליקט שיכול להיפתר על ידי הגדרה מתמטית מדויקת נחשבות לפעילות מומלצת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Vinner</w:t>
      </w:r>
      <w:r>
        <w:rPr>
          <w:rFonts w:ascii="David" w:eastAsia="David" w:hAnsi="David" w:cs="David"/>
          <w:sz w:val="24"/>
          <w:szCs w:val="24"/>
          <w:rtl/>
        </w:rPr>
        <w:t xml:space="preserve">, 1991).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 סוגי הכשלים הקיימים בהגד</w:t>
      </w:r>
      <w:r>
        <w:rPr>
          <w:rFonts w:ascii="David" w:eastAsia="David" w:hAnsi="David" w:cs="David" w:hint="cs"/>
          <w:sz w:val="24"/>
          <w:szCs w:val="24"/>
          <w:rtl/>
          <w:lang w:bidi="he-IL"/>
        </w:rPr>
        <w:t xml:space="preserve">רות,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הכשל הראשון הוא </w:t>
      </w:r>
      <w:r>
        <w:rPr>
          <w:rFonts w:ascii="David" w:eastAsia="David" w:hAnsi="David" w:cs="David"/>
          <w:b/>
          <w:sz w:val="24"/>
          <w:szCs w:val="24"/>
          <w:rtl/>
          <w:lang w:bidi="he-IL"/>
        </w:rPr>
        <w:t>הגדרה כוללת תכונות לא קריטיות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כלומר הנחקרים כללו תכונות לא קריטיות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המופיעות רק בחלק מהדוגמאות של הצורה </w:t>
      </w:r>
      <w:r>
        <w:rPr>
          <w:rFonts w:ascii="David" w:eastAsia="David" w:hAnsi="David" w:cs="David"/>
          <w:sz w:val="24"/>
          <w:szCs w:val="24"/>
          <w:rtl/>
        </w:rPr>
        <w:t xml:space="preserve">–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הדוגמאות הפרוטוטיפיות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לדוגמה כאשר מוסיפים להגדרת המלבן את התכונה כי זוג אחד של צלעות יותר ארוך מהזוג השני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 xml:space="preserve">Hershkowitz, 1990; Fujita &amp; Jones, 2007; </w:t>
      </w:r>
      <w:proofErr w:type="spellStart"/>
      <w:r>
        <w:rPr>
          <w:rFonts w:ascii="David" w:eastAsia="David" w:hAnsi="David" w:cs="David"/>
          <w:sz w:val="24"/>
          <w:szCs w:val="24"/>
        </w:rPr>
        <w:t>Türnüklü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 et al</w:t>
      </w:r>
      <w:r>
        <w:rPr>
          <w:rFonts w:ascii="David" w:eastAsia="David" w:hAnsi="David" w:cs="David"/>
          <w:sz w:val="24"/>
          <w:szCs w:val="24"/>
          <w:rtl/>
        </w:rPr>
        <w:t xml:space="preserve">., 2013).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אספקט אחר לגבי קשיים וכשלים בהגדרות קשור במבנה הלוגי של ההגדרה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דה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ווילייה</w:t>
      </w:r>
      <w:r>
        <w:rPr>
          <w:rFonts w:ascii="David" w:eastAsia="David" w:hAnsi="David" w:cs="David"/>
          <w:sz w:val="24"/>
          <w:szCs w:val="24"/>
          <w:rtl/>
        </w:rPr>
        <w:t xml:space="preserve"> (</w:t>
      </w:r>
      <w:r>
        <w:rPr>
          <w:rFonts w:ascii="David" w:eastAsia="David" w:hAnsi="David" w:cs="David"/>
          <w:sz w:val="24"/>
          <w:szCs w:val="24"/>
        </w:rPr>
        <w:t>de Villiers</w:t>
      </w:r>
      <w:r>
        <w:rPr>
          <w:rFonts w:ascii="David" w:eastAsia="David" w:hAnsi="David" w:cs="David"/>
          <w:sz w:val="24"/>
          <w:szCs w:val="24"/>
          <w:rtl/>
        </w:rPr>
        <w:t xml:space="preserve">, 1998) 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דיווח על בעיית ההגדרה </w:t>
      </w:r>
      <w:r>
        <w:rPr>
          <w:rFonts w:ascii="David" w:eastAsia="David" w:hAnsi="David" w:cs="David"/>
          <w:sz w:val="24"/>
          <w:szCs w:val="24"/>
          <w:rtl/>
        </w:rPr>
        <w:t>"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הלא חסכונית</w:t>
      </w:r>
      <w:r>
        <w:rPr>
          <w:rFonts w:ascii="David" w:eastAsia="David" w:hAnsi="David" w:cs="David"/>
          <w:sz w:val="24"/>
          <w:szCs w:val="24"/>
          <w:rtl/>
        </w:rPr>
        <w:t>" (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עודפת</w:t>
      </w:r>
      <w:r>
        <w:rPr>
          <w:rFonts w:ascii="David" w:eastAsia="David" w:hAnsi="David" w:cs="David"/>
          <w:sz w:val="24"/>
          <w:szCs w:val="24"/>
          <w:rtl/>
        </w:rPr>
        <w:t xml:space="preserve">)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או </w:t>
      </w:r>
      <w:r>
        <w:rPr>
          <w:rFonts w:ascii="David" w:eastAsia="David" w:hAnsi="David" w:cs="David"/>
          <w:sz w:val="24"/>
          <w:szCs w:val="24"/>
          <w:rtl/>
        </w:rPr>
        <w:t>"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הגדרה חסרה</w:t>
      </w:r>
      <w:r>
        <w:rPr>
          <w:rFonts w:ascii="David" w:eastAsia="David" w:hAnsi="David" w:cs="David"/>
          <w:sz w:val="24"/>
          <w:szCs w:val="24"/>
          <w:rtl/>
        </w:rPr>
        <w:t xml:space="preserve">".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לגבי הגדרה לא חיסכונית דה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ווילייה דיווח על כך שכאשר התלמידים התבקשו להגדיר מעוין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הנטייה של רוב התלמידים הייתה לכלול בהגדרה רשימה ארוכה של כל התכונות של המעוין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ההגדרה </w:t>
      </w:r>
      <w:r>
        <w:rPr>
          <w:rFonts w:ascii="David" w:eastAsia="David" w:hAnsi="David" w:cs="David"/>
          <w:sz w:val="24"/>
          <w:szCs w:val="24"/>
          <w:rtl/>
        </w:rPr>
        <w:t>"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הלא חסכונית</w:t>
      </w:r>
      <w:r>
        <w:rPr>
          <w:rFonts w:ascii="David" w:eastAsia="David" w:hAnsi="David" w:cs="David"/>
          <w:sz w:val="24"/>
          <w:szCs w:val="24"/>
          <w:rtl/>
        </w:rPr>
        <w:t xml:space="preserve">"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היא נכונה אבל חלק מאנשי החינוך המתמטי דוגלים בה וחלק אחר לא מקבלים אותה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נקודה אחרת לגבי המבנה הלוגי של ההגדרה קשור בהגדרה </w:t>
      </w:r>
      <w:r>
        <w:rPr>
          <w:rFonts w:ascii="David" w:eastAsia="David" w:hAnsi="David" w:cs="David"/>
          <w:sz w:val="24"/>
          <w:szCs w:val="24"/>
          <w:rtl/>
          <w:lang w:bidi="he-IL"/>
        </w:rPr>
        <w:lastRenderedPageBreak/>
        <w:t>החסרה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תלמידים נתנו הגדרות תכונות קריטיות נכונות אך לא שלמות </w:t>
      </w:r>
      <w:r>
        <w:rPr>
          <w:rFonts w:ascii="David" w:eastAsia="David" w:hAnsi="David" w:cs="David"/>
          <w:sz w:val="24"/>
          <w:szCs w:val="24"/>
          <w:rtl/>
        </w:rPr>
        <w:t>("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חסרות</w:t>
      </w:r>
      <w:r>
        <w:rPr>
          <w:rFonts w:ascii="David" w:eastAsia="David" w:hAnsi="David" w:cs="David"/>
          <w:sz w:val="24"/>
          <w:szCs w:val="24"/>
          <w:rtl/>
        </w:rPr>
        <w:t xml:space="preserve">").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לדוגמה כאשר מגדירים מעוין כמרובע שבו האלכסונים ניצבים זה לזה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ההגדרה מכילה תכונה קריטית של המושג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אבל תחת הגדרה זו יכול להיכלל אי דוגמאות כמו דלתון לדוגמה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למרות שגם אלכסונים ניצבים היא הגדרה חסרה גם עבור דלתון</w:t>
      </w:r>
      <w:r>
        <w:rPr>
          <w:rFonts w:ascii="David" w:eastAsia="David" w:hAnsi="David" w:cs="David"/>
          <w:sz w:val="24"/>
          <w:szCs w:val="24"/>
          <w:rtl/>
        </w:rPr>
        <w:t xml:space="preserve">). </w:t>
      </w:r>
    </w:p>
    <w:p w14:paraId="19F41570" w14:textId="197C7E4D" w:rsidR="005B7BF6" w:rsidRPr="00F10791" w:rsidRDefault="00F10791">
      <w:pPr>
        <w:bidi/>
        <w:spacing w:before="240" w:line="360" w:lineRule="auto"/>
        <w:jc w:val="both"/>
        <w:rPr>
          <w:rFonts w:ascii="David" w:eastAsia="David" w:hAnsi="David" w:cs="David"/>
          <w:bCs/>
          <w:sz w:val="24"/>
          <w:szCs w:val="24"/>
        </w:rPr>
      </w:pPr>
      <w:r w:rsidRPr="00F10791">
        <w:rPr>
          <w:rFonts w:ascii="David" w:eastAsia="David" w:hAnsi="David" w:cs="David"/>
          <w:bCs/>
          <w:sz w:val="24"/>
          <w:szCs w:val="24"/>
          <w:rtl/>
          <w:lang w:bidi="he-IL"/>
        </w:rPr>
        <w:t>יחסי</w:t>
      </w:r>
      <w:r w:rsidRPr="00F10791">
        <w:rPr>
          <w:rFonts w:ascii="David" w:eastAsia="David" w:hAnsi="David" w:cs="David"/>
          <w:bCs/>
          <w:sz w:val="24"/>
          <w:szCs w:val="24"/>
          <w:rtl/>
        </w:rPr>
        <w:t>-</w:t>
      </w:r>
      <w:r w:rsidRPr="00F10791">
        <w:rPr>
          <w:rFonts w:ascii="David" w:eastAsia="David" w:hAnsi="David" w:cs="David"/>
          <w:bCs/>
          <w:sz w:val="24"/>
          <w:szCs w:val="24"/>
          <w:rtl/>
          <w:lang w:bidi="he-IL"/>
        </w:rPr>
        <w:t>ההכלה</w:t>
      </w:r>
    </w:p>
    <w:p w14:paraId="43E72DB9" w14:textId="77777777" w:rsidR="005B7BF6" w:rsidRDefault="00F10791">
      <w:pPr>
        <w:bidi/>
        <w:spacing w:before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אחת היכולות החשובות ברמה השלישית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רמת הסדר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Ordering</w:t>
      </w:r>
      <w:r>
        <w:rPr>
          <w:rFonts w:ascii="David" w:eastAsia="David" w:hAnsi="David" w:cs="David"/>
          <w:sz w:val="24"/>
          <w:szCs w:val="24"/>
          <w:rtl/>
        </w:rPr>
        <w:t xml:space="preserve">)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ברמות הזוג וואן הילי היא הבנת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הכלה בין המושגים השונים מצד אחד ובין התכונות של אותם מושגים מצד שני</w:t>
      </w:r>
      <w:r>
        <w:rPr>
          <w:rFonts w:ascii="David" w:eastAsia="David" w:hAnsi="David" w:cs="David"/>
          <w:sz w:val="24"/>
          <w:szCs w:val="24"/>
          <w:rtl/>
        </w:rPr>
        <w:t>,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מחקרים רבים הראו כי לילדים קשה לקבל כי ריבוע הוא מלבן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מעוין או מקבילית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גם אם הם יודעים את התכונות של כל הצורות הגיאומטריות הללו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Fujita &amp; Jones, 2007; Hershkowitz, 1990; Okazaki &amp; Fujita, 2007; Pickreign</w:t>
      </w:r>
      <w:r>
        <w:rPr>
          <w:rFonts w:ascii="David" w:eastAsia="David" w:hAnsi="David" w:cs="David"/>
          <w:sz w:val="24"/>
          <w:szCs w:val="24"/>
          <w:rtl/>
        </w:rPr>
        <w:t xml:space="preserve"> 2007). 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אוקאזאקי ופוג</w:t>
      </w:r>
      <w:r>
        <w:rPr>
          <w:rFonts w:ascii="David" w:eastAsia="David" w:hAnsi="David" w:cs="David"/>
          <w:sz w:val="24"/>
          <w:szCs w:val="24"/>
          <w:rtl/>
        </w:rPr>
        <w:t>'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יטה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Okazaki &amp; Fujita, 2007)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 ערכו מחקר שבדק </w:t>
      </w:r>
      <w:r>
        <w:rPr>
          <w:rFonts w:ascii="David" w:eastAsia="David" w:hAnsi="David" w:cs="David"/>
          <w:sz w:val="24"/>
          <w:szCs w:val="24"/>
          <w:rtl/>
        </w:rPr>
        <w:t xml:space="preserve">234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תלמידי כיתות ט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ביפן בשנת </w:t>
      </w:r>
      <w:r>
        <w:rPr>
          <w:rFonts w:ascii="David" w:eastAsia="David" w:hAnsi="David" w:cs="David"/>
          <w:sz w:val="24"/>
          <w:szCs w:val="24"/>
          <w:rtl/>
        </w:rPr>
        <w:t xml:space="preserve">1996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-111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פרחי הוראה בסקוטלנד בשנת </w:t>
      </w:r>
      <w:r>
        <w:rPr>
          <w:rFonts w:ascii="David" w:eastAsia="David" w:hAnsi="David" w:cs="David"/>
          <w:sz w:val="24"/>
          <w:szCs w:val="24"/>
          <w:rtl/>
        </w:rPr>
        <w:t xml:space="preserve">2006.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שתי קבוצות המחקר מילאו אותו שאלון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והממצאים היו מעניינים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הן היפנים והן הסקוטים אך רבים מהם לא ראו את המלבן כסוג של מקבילית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כמו כן הן תלמידי יפן והן פרחי הוראה סקוטים התקשו לראות את הריבוע כסוג של מלבן או מעוין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עם זאת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ליפנים היה קשה יותר לראות את הריבוע כמלבן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בעוד שפרחי ההוראה הסקוטים התקשו יותר לראותו כמעוין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16D1E95A" w14:textId="77777777" w:rsidR="005B7BF6" w:rsidRDefault="00F10791">
      <w:pPr>
        <w:bidi/>
        <w:spacing w:before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במחקרם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חאג</w:t>
      </w:r>
      <w:r>
        <w:rPr>
          <w:rFonts w:ascii="David" w:eastAsia="David" w:hAnsi="David" w:cs="David"/>
          <w:sz w:val="24"/>
          <w:szCs w:val="24"/>
          <w:rtl/>
        </w:rPr>
        <w:t>'-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יחיא והרשקוביץ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Haj-Yahya &amp; Hershkowitz</w:t>
      </w:r>
      <w:r>
        <w:rPr>
          <w:rFonts w:ascii="David" w:eastAsia="David" w:hAnsi="David" w:cs="David"/>
          <w:sz w:val="24"/>
          <w:szCs w:val="24"/>
          <w:rtl/>
        </w:rPr>
        <w:t xml:space="preserve">, 2013)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אישרו את תוצאות מחקרים קודמים בנוגע להשפעתם של תכונות לא קריטיות הקשורות בדוגמאות פרוטוטיפיות המאופיינות באלמנטים חזותיים מאוד חזקים על הבנת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ההכלה בין מרובעים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בנוסף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הם גילו כי תלמידי כיתה י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הצליחו יותר בזיהוי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הכלה בין מרובעים כאשר הציגו להם משימות מילוליות ולא משימות וויזואליות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וזה היה ממצא בלתי צפוי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עוד מצאו חאג</w:t>
      </w:r>
      <w:r>
        <w:rPr>
          <w:rFonts w:ascii="David" w:eastAsia="David" w:hAnsi="David" w:cs="David"/>
          <w:sz w:val="24"/>
          <w:szCs w:val="24"/>
          <w:rtl/>
        </w:rPr>
        <w:t>'-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יחיא והרשקוביץ באמצעות ראיונות עם תלמידים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הם גם גילו של פוזיציה של  הצורה יש תפקיד בזיהוי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ההכלה שלהם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כאשר ניתנו שני ריבועים אחד עומד על הקודקוד והשני עומד על הצלע שלו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כאשר התבקשו התלמידים לזהות את כל המעויינים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יותר תלמידים זיהו את הריבוע כמעויין כאשר הוא עומד על אחד הקודקודים מאשר כאשר הוא עומד על אחת הצלעות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ככלל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המחקר שופך אור על הגורמים המורכבים המשפיעים על הבנת התלמידים במושגים מתמטיים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במחקר שהתפרסם לאחרונה גילה כי גורמים שפתיים סימנטיים השפיעו על זיהוי ונימוק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הכלה בין מרובעים שונים ובפרט בין ריבוע ומלבן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Haj-Yahya &amp; Haj-Yahya</w:t>
      </w:r>
      <w:r>
        <w:rPr>
          <w:rFonts w:ascii="David" w:eastAsia="David" w:hAnsi="David" w:cs="David"/>
          <w:sz w:val="24"/>
          <w:szCs w:val="24"/>
          <w:rtl/>
        </w:rPr>
        <w:t>, 2024).</w:t>
      </w:r>
    </w:p>
    <w:p w14:paraId="0DF1DEB1" w14:textId="77777777" w:rsidR="005B7BF6" w:rsidRDefault="00F10791">
      <w:pPr>
        <w:bidi/>
        <w:spacing w:before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במחקר אשר בוצע על ידי זייביק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Zeybek</w:t>
      </w:r>
      <w:r>
        <w:rPr>
          <w:rFonts w:ascii="David" w:eastAsia="David" w:hAnsi="David" w:cs="David"/>
          <w:sz w:val="24"/>
          <w:szCs w:val="24"/>
          <w:rtl/>
        </w:rPr>
        <w:t xml:space="preserve">, 2018)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אשר בדק את ההבנה של פרחי הוראה למתמטיקה לגבי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ההכללה בין מרובעים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המשתתפים התכוננו ללמד מתמטיקה לכיתות התיכון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כיתות ה</w:t>
      </w:r>
      <w:r>
        <w:rPr>
          <w:rFonts w:ascii="David" w:eastAsia="David" w:hAnsi="David" w:cs="David"/>
          <w:sz w:val="24"/>
          <w:szCs w:val="24"/>
          <w:rtl/>
        </w:rPr>
        <w:t>'-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</w:t>
      </w:r>
      <w:r>
        <w:rPr>
          <w:rFonts w:ascii="David" w:eastAsia="David" w:hAnsi="David" w:cs="David"/>
          <w:sz w:val="24"/>
          <w:szCs w:val="24"/>
          <w:rtl/>
        </w:rPr>
        <w:t xml:space="preserve">').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במחקר השתתפו </w:t>
      </w:r>
      <w:r>
        <w:rPr>
          <w:rFonts w:ascii="David" w:eastAsia="David" w:hAnsi="David" w:cs="David"/>
          <w:sz w:val="24"/>
          <w:szCs w:val="24"/>
          <w:rtl/>
        </w:rPr>
        <w:t xml:space="preserve">48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פרחי הוראה אשר מילאו שאלון מעוצב בתחילת וסוף סמסטר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בין הערכות אלה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פרחי ההוראה השתתפו ביחידה של חמישה שבועות לגיאומטריה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בתחילה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רוב פרחי ההוראה גילו קושי בזיהוי מרובעים ויחסי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ההכלה שלהם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עם זאת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עד סוף הסמסטר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יותר פרחי הוראה הפגינו הבנה משופרת של היחסים ההיררכיים בין המרובעים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12F8DA3C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6FD8F088" w14:textId="4C23D233" w:rsidR="005B7BF6" w:rsidRPr="00F10791" w:rsidRDefault="00F10791" w:rsidP="00F10791">
      <w:pPr>
        <w:bidi/>
        <w:spacing w:before="240" w:after="240" w:line="360" w:lineRule="auto"/>
        <w:jc w:val="both"/>
        <w:rPr>
          <w:rFonts w:ascii="David" w:eastAsia="David" w:hAnsi="David" w:cs="David"/>
          <w:bCs/>
          <w:sz w:val="24"/>
          <w:szCs w:val="24"/>
        </w:rPr>
      </w:pPr>
      <w:r w:rsidRPr="00F10791">
        <w:rPr>
          <w:rFonts w:ascii="David" w:eastAsia="David" w:hAnsi="David" w:cs="David" w:hint="cs"/>
          <w:bCs/>
          <w:sz w:val="24"/>
          <w:szCs w:val="24"/>
          <w:rtl/>
          <w:lang w:bidi="he-IL"/>
        </w:rPr>
        <w:t>רמ</w:t>
      </w:r>
      <w:r w:rsidRPr="00F10791">
        <w:rPr>
          <w:rFonts w:ascii="David" w:eastAsia="David" w:hAnsi="David" w:cs="David"/>
          <w:bCs/>
          <w:sz w:val="24"/>
          <w:szCs w:val="24"/>
          <w:rtl/>
          <w:lang w:bidi="he-IL"/>
        </w:rPr>
        <w:t>ת הידע בגאומטריה של מורים וסטודנטים המתכשרים להוראת מתמטיקה</w:t>
      </w:r>
    </w:p>
    <w:p w14:paraId="70908F35" w14:textId="77777777" w:rsidR="005B7BF6" w:rsidRDefault="00F10791">
      <w:pPr>
        <w:bidi/>
        <w:spacing w:before="240" w:after="240" w:line="360" w:lineRule="auto"/>
        <w:ind w:left="14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ממצאי מחקרים שנערכו בעולם בקרב מורים בפועל ומורים המתכשרים להוראת מתמטיקה ובדקו ידע בגאומטריה מצביעים על רמות חשיבה גיאומטרית נמוכות </w:t>
      </w:r>
      <w:r>
        <w:rPr>
          <w:rFonts w:ascii="David" w:eastAsia="David" w:hAnsi="David" w:cs="David"/>
          <w:sz w:val="24"/>
          <w:szCs w:val="24"/>
          <w:rtl/>
        </w:rPr>
        <w:t>(</w:t>
      </w:r>
      <w:proofErr w:type="spellStart"/>
      <w:r>
        <w:rPr>
          <w:rFonts w:ascii="David" w:eastAsia="David" w:hAnsi="David" w:cs="David"/>
          <w:sz w:val="24"/>
          <w:szCs w:val="24"/>
        </w:rPr>
        <w:t>Pavlovičová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 et al</w:t>
      </w:r>
      <w:r>
        <w:rPr>
          <w:rFonts w:ascii="David" w:eastAsia="David" w:hAnsi="David" w:cs="David"/>
          <w:sz w:val="24"/>
          <w:szCs w:val="24"/>
          <w:rtl/>
        </w:rPr>
        <w:t xml:space="preserve">., 2022)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וידע לקוי על למושגים שונים בגאומטריה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מחקרים שנערכו בארץ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כגון מחקר של צמיר ועמיתיה </w:t>
      </w:r>
      <w:r>
        <w:rPr>
          <w:rFonts w:ascii="David" w:eastAsia="David" w:hAnsi="David" w:cs="David"/>
          <w:sz w:val="24"/>
          <w:szCs w:val="24"/>
          <w:rtl/>
        </w:rPr>
        <w:t>(</w:t>
      </w:r>
      <w:proofErr w:type="spellStart"/>
      <w:r>
        <w:rPr>
          <w:rFonts w:ascii="David" w:eastAsia="David" w:hAnsi="David" w:cs="David"/>
          <w:sz w:val="24"/>
          <w:szCs w:val="24"/>
        </w:rPr>
        <w:t>Tsamir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 et al</w:t>
      </w:r>
      <w:r>
        <w:rPr>
          <w:rFonts w:ascii="David" w:eastAsia="David" w:hAnsi="David" w:cs="David"/>
          <w:sz w:val="24"/>
          <w:szCs w:val="24"/>
          <w:rtl/>
        </w:rPr>
        <w:t xml:space="preserve">., 2014), </w:t>
      </w:r>
      <w:r>
        <w:rPr>
          <w:rFonts w:ascii="David" w:eastAsia="David" w:hAnsi="David" w:cs="David"/>
          <w:sz w:val="24"/>
          <w:szCs w:val="24"/>
          <w:rtl/>
          <w:lang w:bidi="he-IL"/>
        </w:rPr>
        <w:lastRenderedPageBreak/>
        <w:t xml:space="preserve">ומחקרה של שחברי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Shahbari</w:t>
      </w:r>
      <w:r>
        <w:rPr>
          <w:rFonts w:ascii="David" w:eastAsia="David" w:hAnsi="David" w:cs="David"/>
          <w:sz w:val="24"/>
          <w:szCs w:val="24"/>
          <w:rtl/>
        </w:rPr>
        <w:t xml:space="preserve">, 2022)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אשר נערך בחברה הערבית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מצביעים על רמה נמוכה של ידע בגאומטריה בהשוואה לשאר התחומים בקרב מורים לכיתות א</w:t>
      </w:r>
      <w:r>
        <w:rPr>
          <w:rFonts w:ascii="David" w:eastAsia="David" w:hAnsi="David" w:cs="David"/>
          <w:sz w:val="24"/>
          <w:szCs w:val="24"/>
          <w:rtl/>
        </w:rPr>
        <w:t>'-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</w:t>
      </w:r>
      <w:r>
        <w:rPr>
          <w:rFonts w:ascii="David" w:eastAsia="David" w:hAnsi="David" w:cs="David"/>
          <w:sz w:val="24"/>
          <w:szCs w:val="24"/>
          <w:rtl/>
        </w:rPr>
        <w:t xml:space="preserve">'.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באופן מיוחד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מורים מתקשים בנושא צורות דו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ממדיות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למשל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</w:rPr>
        <w:t>Fujita &amp; Jones</w:t>
      </w:r>
      <w:r>
        <w:rPr>
          <w:rFonts w:ascii="David" w:eastAsia="David" w:hAnsi="David" w:cs="David"/>
          <w:sz w:val="24"/>
          <w:szCs w:val="24"/>
          <w:rtl/>
        </w:rPr>
        <w:t xml:space="preserve">, 2006)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וגופים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למשל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</w:rPr>
        <w:t>Koçak et al</w:t>
      </w:r>
      <w:r>
        <w:rPr>
          <w:rFonts w:ascii="David" w:eastAsia="David" w:hAnsi="David" w:cs="David"/>
          <w:sz w:val="24"/>
          <w:szCs w:val="24"/>
          <w:rtl/>
        </w:rPr>
        <w:t xml:space="preserve">.,2017).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מחקרים רבים הראו כי למורים יש קשיים לגבי הגדרות בגאומטריה ותפקידן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הם מתקשים להגדיר ולהשתמש בהגדרות לזיהוי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מיון ובנייה של דוגמאות ואי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דוגמאות של המושג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למשל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תוצאות המחקר של צמיר ועמיתיה </w:t>
      </w:r>
      <w:r>
        <w:rPr>
          <w:rFonts w:ascii="David" w:eastAsia="David" w:hAnsi="David" w:cs="David"/>
          <w:sz w:val="24"/>
          <w:szCs w:val="24"/>
          <w:rtl/>
        </w:rPr>
        <w:t>(</w:t>
      </w:r>
      <w:proofErr w:type="spellStart"/>
      <w:r>
        <w:rPr>
          <w:rFonts w:ascii="David" w:eastAsia="David" w:hAnsi="David" w:cs="David"/>
          <w:sz w:val="24"/>
          <w:szCs w:val="24"/>
        </w:rPr>
        <w:t>Tsamir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 et al</w:t>
      </w:r>
      <w:r>
        <w:rPr>
          <w:rFonts w:ascii="David" w:eastAsia="David" w:hAnsi="David" w:cs="David"/>
          <w:sz w:val="24"/>
          <w:szCs w:val="24"/>
          <w:rtl/>
        </w:rPr>
        <w:t xml:space="preserve">., 2014)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מראות שהמורות שהשתתפו במחקר הצליחו בהגדרת משולשים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אך התקשו בהגדרת מעגלים וגלילים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במחקר של פיקריין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Pickreign</w:t>
      </w:r>
      <w:r>
        <w:rPr>
          <w:rFonts w:ascii="David" w:eastAsia="David" w:hAnsi="David" w:cs="David"/>
          <w:sz w:val="24"/>
          <w:szCs w:val="24"/>
          <w:rtl/>
        </w:rPr>
        <w:t xml:space="preserve">, 2007)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דווח שיותר ממחצית הנחקרים חשבו שבמלבן חייבות להיות שתי צלעות ארוכות יותר מהצלעות האחרות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אספקט אחר לגבי קשיים בהגדרות קשור במבנה הלוגי של ההגדרה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חאג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יחיא ועמיתיו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Haj-Yahya et al</w:t>
      </w:r>
      <w:r>
        <w:rPr>
          <w:rFonts w:ascii="David" w:eastAsia="David" w:hAnsi="David" w:cs="David"/>
          <w:sz w:val="24"/>
          <w:szCs w:val="24"/>
          <w:rtl/>
        </w:rPr>
        <w:t xml:space="preserve">., 2019)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דיווחו על בעיות של הגדרה </w:t>
      </w:r>
      <w:r>
        <w:rPr>
          <w:rFonts w:ascii="David" w:eastAsia="David" w:hAnsi="David" w:cs="David"/>
          <w:sz w:val="24"/>
          <w:szCs w:val="24"/>
          <w:rtl/>
        </w:rPr>
        <w:t>"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 חסכונית</w:t>
      </w:r>
      <w:r>
        <w:rPr>
          <w:rFonts w:ascii="David" w:eastAsia="David" w:hAnsi="David" w:cs="David"/>
          <w:sz w:val="24"/>
          <w:szCs w:val="24"/>
          <w:rtl/>
        </w:rPr>
        <w:t>", "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הגדרה חסרה</w:t>
      </w:r>
      <w:r>
        <w:rPr>
          <w:rFonts w:ascii="David" w:eastAsia="David" w:hAnsi="David" w:cs="David"/>
          <w:sz w:val="24"/>
          <w:szCs w:val="24"/>
          <w:rtl/>
        </w:rPr>
        <w:t xml:space="preserve">",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 פסילת הגדרות שקולות בהגדרת המקבילית בקרב מורים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74D2E38E" w14:textId="45864745" w:rsidR="005B7BF6" w:rsidRPr="00F10791" w:rsidRDefault="00F10791" w:rsidP="00F10791">
      <w:pPr>
        <w:bidi/>
        <w:spacing w:before="240" w:after="240" w:line="360" w:lineRule="auto"/>
        <w:jc w:val="both"/>
        <w:rPr>
          <w:rFonts w:ascii="David" w:eastAsia="David" w:hAnsi="David" w:cs="David"/>
          <w:bCs/>
          <w:sz w:val="24"/>
          <w:szCs w:val="24"/>
        </w:rPr>
      </w:pPr>
      <w:r>
        <w:rPr>
          <w:rFonts w:ascii="David" w:eastAsia="David" w:hAnsi="David" w:cs="David"/>
          <w:b/>
          <w:sz w:val="14"/>
          <w:szCs w:val="14"/>
        </w:rPr>
        <w:t xml:space="preserve"> </w:t>
      </w:r>
      <w:r w:rsidRPr="00F10791">
        <w:rPr>
          <w:rFonts w:ascii="David" w:eastAsia="David" w:hAnsi="David" w:cs="David"/>
          <w:bCs/>
          <w:sz w:val="24"/>
          <w:szCs w:val="24"/>
          <w:rtl/>
        </w:rPr>
        <w:t xml:space="preserve"> </w:t>
      </w:r>
      <w:r w:rsidRPr="00F10791">
        <w:rPr>
          <w:rFonts w:ascii="David" w:eastAsia="David" w:hAnsi="David" w:cs="David"/>
          <w:bCs/>
          <w:sz w:val="24"/>
          <w:szCs w:val="24"/>
          <w:rtl/>
          <w:lang w:bidi="he-IL"/>
        </w:rPr>
        <w:t>אירועים מתמטיים</w:t>
      </w:r>
    </w:p>
    <w:p w14:paraId="5970AFCD" w14:textId="77777777" w:rsidR="005B7BF6" w:rsidRDefault="00F10791">
      <w:pPr>
        <w:bidi/>
        <w:spacing w:before="240" w:after="240" w:line="360" w:lineRule="auto"/>
        <w:ind w:left="14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אירועים מתמטיים הם מקרים שמתרחשים בכיתת המתמטיקה ומתארים בעיות במתמטיקה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ועליהם המורה מגיב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מרקוביץ</w:t>
      </w:r>
      <w:r>
        <w:rPr>
          <w:rFonts w:ascii="David" w:eastAsia="David" w:hAnsi="David" w:cs="David"/>
          <w:sz w:val="24"/>
          <w:szCs w:val="24"/>
          <w:rtl/>
        </w:rPr>
        <w:t xml:space="preserve">, 2003).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סוג אחד של אירוע מתמטי הוא </w:t>
      </w:r>
      <w:r>
        <w:rPr>
          <w:rFonts w:ascii="David" w:eastAsia="David" w:hAnsi="David" w:cs="David"/>
          <w:sz w:val="24"/>
          <w:szCs w:val="24"/>
          <w:rtl/>
        </w:rPr>
        <w:t>"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מצב בעייתי</w:t>
      </w:r>
      <w:r>
        <w:rPr>
          <w:rFonts w:ascii="David" w:eastAsia="David" w:hAnsi="David" w:cs="David"/>
          <w:sz w:val="24"/>
          <w:szCs w:val="24"/>
          <w:rtl/>
        </w:rPr>
        <w:t>" (</w:t>
      </w:r>
      <w:r>
        <w:rPr>
          <w:rFonts w:ascii="David" w:eastAsia="David" w:hAnsi="David" w:cs="David"/>
          <w:sz w:val="24"/>
          <w:szCs w:val="24"/>
        </w:rPr>
        <w:t>Markovits &amp; Smith</w:t>
      </w:r>
      <w:r>
        <w:rPr>
          <w:rFonts w:ascii="David" w:eastAsia="David" w:hAnsi="David" w:cs="David"/>
          <w:sz w:val="24"/>
          <w:szCs w:val="24"/>
          <w:rtl/>
        </w:rPr>
        <w:t xml:space="preserve">, 2008).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תרחישים אלה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המבוססים לעתים קרובות על מצבי כיתה היפותטיים אמיתיים או מבוססי מחקר המשקפים את חשיבתם של התלמידים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מציגים בעיה או דילמה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ומעוררים ניתוח ותגובות אפשריות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Markovits &amp; Even</w:t>
      </w:r>
      <w:r>
        <w:rPr>
          <w:rFonts w:ascii="David" w:eastAsia="David" w:hAnsi="David" w:cs="David"/>
          <w:sz w:val="24"/>
          <w:szCs w:val="24"/>
          <w:rtl/>
        </w:rPr>
        <w:t>, 1999).</w:t>
      </w:r>
    </w:p>
    <w:p w14:paraId="531536FE" w14:textId="77777777" w:rsidR="005B7BF6" w:rsidRDefault="00F10791">
      <w:pPr>
        <w:bidi/>
        <w:spacing w:before="240" w:after="240" w:line="360" w:lineRule="auto"/>
        <w:ind w:left="14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אירועים נחשבים לכלי חשוב בהכשרת מורים ושימשו חוקרים שונים לאורך השנים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Tirosh et al., 2019; Herbst et al., 2017; Shulman</w:t>
      </w:r>
      <w:r>
        <w:rPr>
          <w:rFonts w:ascii="David" w:eastAsia="David" w:hAnsi="David" w:cs="David"/>
          <w:sz w:val="24"/>
          <w:szCs w:val="24"/>
          <w:rtl/>
        </w:rPr>
        <w:t xml:space="preserve">, 1992).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העיסוק באירועים מתמטיים נמצא מועיל למורה מכיוון שהוא חושף ומגביר את המודעות שלו לצורות החשיבה השונות אצל תלמידים ולדרכי התגובה להן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מרקוביץ</w:t>
      </w:r>
      <w:r>
        <w:rPr>
          <w:rFonts w:ascii="David" w:eastAsia="David" w:hAnsi="David" w:cs="David"/>
          <w:sz w:val="24"/>
          <w:szCs w:val="24"/>
          <w:rtl/>
        </w:rPr>
        <w:t xml:space="preserve">, 2003).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כמו כן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מאגר האירועים יהווה מאגר תקדימים שיתרמו לעבודת המורה בכיתתו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Shulman</w:t>
      </w:r>
      <w:r>
        <w:rPr>
          <w:rFonts w:ascii="David" w:eastAsia="David" w:hAnsi="David" w:cs="David"/>
          <w:sz w:val="24"/>
          <w:szCs w:val="24"/>
          <w:rtl/>
        </w:rPr>
        <w:t xml:space="preserve">, 1992).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בנוסף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הוא מספק הזדמנות להיבנות על החשיבה המתמטית של הלומדים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כך שהוא יעזור להם להבין טוב יותר רעיונות מתמטיים חשובים </w:t>
      </w:r>
      <w:r>
        <w:rPr>
          <w:rFonts w:ascii="David" w:eastAsia="David" w:hAnsi="David" w:cs="David"/>
          <w:sz w:val="24"/>
          <w:szCs w:val="24"/>
          <w:rtl/>
        </w:rPr>
        <w:t>(</w:t>
      </w:r>
      <w:proofErr w:type="spellStart"/>
      <w:r>
        <w:rPr>
          <w:rFonts w:ascii="David" w:eastAsia="David" w:hAnsi="David" w:cs="David"/>
          <w:sz w:val="24"/>
          <w:szCs w:val="24"/>
        </w:rPr>
        <w:t>Stockero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 et al</w:t>
      </w:r>
      <w:r>
        <w:rPr>
          <w:rFonts w:ascii="David" w:eastAsia="David" w:hAnsi="David" w:cs="David"/>
          <w:sz w:val="24"/>
          <w:szCs w:val="24"/>
          <w:rtl/>
        </w:rPr>
        <w:t xml:space="preserve">., 2019).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החשיבות של האירוע היא בעצם הדיון המתרחש סביבו שמאפשר יצירת קהילת לומדים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דיון המתבסס על שיח טיעוני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שבו הלומדים מסבירים את הטיעון שלהם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מקשיבים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מסכימים או מתנגדים להנמקה של האחר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Toulmin</w:t>
      </w:r>
      <w:r>
        <w:rPr>
          <w:rFonts w:ascii="David" w:eastAsia="David" w:hAnsi="David" w:cs="David"/>
          <w:sz w:val="24"/>
          <w:szCs w:val="24"/>
          <w:rtl/>
        </w:rPr>
        <w:t xml:space="preserve">, 1969, 2003).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לכן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המקרים צריכים להיות עשירים ומהותיים כדי לאפשר רמות מרובות של ניתוח ופרשנות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לייצג את הבעייתיות והמורכבות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וללמד את הלומדים בהקשר כלשהו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6FEBA136" w14:textId="77777777" w:rsidR="005B7BF6" w:rsidRDefault="00F10791">
      <w:pPr>
        <w:bidi/>
        <w:spacing w:before="240" w:after="240" w:line="360" w:lineRule="auto"/>
        <w:ind w:left="14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לנוכח הממצאים לעיל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המחקר הנוכחי יציע איך ניתן לטפח ידע בסיסי בגאומטריה בקרב סטודנטים המתכשרים להוראה בכיתות א</w:t>
      </w:r>
      <w:r>
        <w:rPr>
          <w:rFonts w:ascii="David" w:eastAsia="David" w:hAnsi="David" w:cs="David"/>
          <w:sz w:val="24"/>
          <w:szCs w:val="24"/>
          <w:rtl/>
        </w:rPr>
        <w:t>'-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על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ידי שימוש באירועים מתמטיים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3D9486E2" w14:textId="77777777" w:rsidR="005B7BF6" w:rsidRDefault="005B7BF6">
      <w:pPr>
        <w:bidi/>
        <w:spacing w:before="240" w:after="240" w:line="360" w:lineRule="auto"/>
        <w:ind w:left="140"/>
        <w:jc w:val="both"/>
        <w:rPr>
          <w:rFonts w:ascii="David" w:eastAsia="David" w:hAnsi="David" w:cs="David"/>
          <w:sz w:val="24"/>
          <w:szCs w:val="24"/>
        </w:rPr>
      </w:pPr>
    </w:p>
    <w:p w14:paraId="06076618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b/>
          <w:sz w:val="24"/>
          <w:szCs w:val="24"/>
        </w:rPr>
      </w:pPr>
      <w:r>
        <w:br w:type="page"/>
      </w:r>
    </w:p>
    <w:p w14:paraId="64E45FF6" w14:textId="77777777" w:rsidR="005B7BF6" w:rsidRPr="00F10791" w:rsidRDefault="00F10791">
      <w:pPr>
        <w:bidi/>
        <w:spacing w:before="240" w:after="240" w:line="360" w:lineRule="auto"/>
        <w:jc w:val="center"/>
        <w:rPr>
          <w:rFonts w:ascii="David" w:eastAsia="David" w:hAnsi="David" w:cs="David"/>
          <w:bCs/>
          <w:sz w:val="28"/>
          <w:szCs w:val="28"/>
        </w:rPr>
      </w:pPr>
      <w:r w:rsidRPr="00F10791">
        <w:rPr>
          <w:rFonts w:ascii="David" w:eastAsia="David" w:hAnsi="David" w:cs="David"/>
          <w:bCs/>
          <w:sz w:val="14"/>
          <w:szCs w:val="14"/>
        </w:rPr>
        <w:lastRenderedPageBreak/>
        <w:tab/>
      </w:r>
      <w:r w:rsidRPr="00F10791">
        <w:rPr>
          <w:rFonts w:ascii="David" w:eastAsia="David" w:hAnsi="David" w:cs="David"/>
          <w:bCs/>
          <w:sz w:val="28"/>
          <w:szCs w:val="28"/>
          <w:rtl/>
          <w:lang w:bidi="he-IL"/>
        </w:rPr>
        <w:t>מטרת המחקר ושאלותיו</w:t>
      </w:r>
    </w:p>
    <w:p w14:paraId="284257E1" w14:textId="77777777" w:rsidR="005B7BF6" w:rsidRDefault="00F10791">
      <w:pPr>
        <w:bidi/>
        <w:spacing w:before="240" w:after="240" w:line="360" w:lineRule="auto"/>
        <w:ind w:left="140"/>
        <w:jc w:val="both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מטרת המחקר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לבדוק את ההשפעה של ניתוח אירועים מתמטיים מבוססי שיח טיעוני על הבניית ידע בגאומטריה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הגדרת מושג האלכסון וזיהוי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הכלה בין המרובעים השונים</w:t>
      </w:r>
      <w:r>
        <w:rPr>
          <w:rFonts w:ascii="David" w:eastAsia="David" w:hAnsi="David" w:cs="David"/>
          <w:sz w:val="24"/>
          <w:szCs w:val="24"/>
          <w:rtl/>
        </w:rPr>
        <w:t xml:space="preserve">)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בקרב סטודנטים מתכשרים להוראה בכיתות א</w:t>
      </w:r>
      <w:r>
        <w:rPr>
          <w:rFonts w:ascii="David" w:eastAsia="David" w:hAnsi="David" w:cs="David"/>
          <w:sz w:val="24"/>
          <w:szCs w:val="24"/>
          <w:rtl/>
        </w:rPr>
        <w:t>'-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במכללה לדוברי ערבית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בהתאם למטרת המחקר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ולפי הרקע התיאורטי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נוסחו השאלות הבאות</w:t>
      </w:r>
      <w:r>
        <w:rPr>
          <w:rFonts w:ascii="David" w:eastAsia="David" w:hAnsi="David" w:cs="David"/>
          <w:sz w:val="28"/>
          <w:szCs w:val="28"/>
        </w:rPr>
        <w:t>:</w:t>
      </w:r>
    </w:p>
    <w:p w14:paraId="143221B7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  <w:lang w:bidi="he-IL"/>
        </w:rPr>
        <w:t xml:space="preserve">שאלות מחקר א </w:t>
      </w:r>
      <w:r>
        <w:rPr>
          <w:rFonts w:ascii="David" w:eastAsia="David" w:hAnsi="David" w:cs="David"/>
          <w:b/>
          <w:sz w:val="24"/>
          <w:szCs w:val="24"/>
          <w:rtl/>
        </w:rPr>
        <w:t xml:space="preserve">– </w:t>
      </w:r>
      <w:r>
        <w:rPr>
          <w:rFonts w:ascii="David" w:eastAsia="David" w:hAnsi="David" w:cs="David"/>
          <w:b/>
          <w:sz w:val="24"/>
          <w:szCs w:val="24"/>
          <w:rtl/>
          <w:lang w:bidi="he-IL"/>
        </w:rPr>
        <w:t>מושג האלכסון</w:t>
      </w:r>
    </w:p>
    <w:p w14:paraId="62442E30" w14:textId="77777777" w:rsidR="005B7BF6" w:rsidRDefault="00F10791">
      <w:pPr>
        <w:numPr>
          <w:ilvl w:val="0"/>
          <w:numId w:val="1"/>
        </w:numPr>
        <w:bidi/>
        <w:spacing w:before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כיצד מגדירים סטודנטים  המתכשרים להוראת מתמטיקה לכיתות א׳</w:t>
      </w:r>
      <w:r>
        <w:rPr>
          <w:rFonts w:ascii="David" w:eastAsia="David" w:hAnsi="David" w:cs="David"/>
          <w:sz w:val="24"/>
          <w:szCs w:val="24"/>
          <w:rtl/>
        </w:rPr>
        <w:t>–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ב׳ את מושג האלכסון במצולע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באיזו מידה תואמת דמוי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המושג שלהם את ההגדרה הפורמלית</w:t>
      </w:r>
      <w:r>
        <w:rPr>
          <w:rFonts w:ascii="David" w:eastAsia="David" w:hAnsi="David" w:cs="David"/>
          <w:sz w:val="24"/>
          <w:szCs w:val="24"/>
          <w:rtl/>
        </w:rPr>
        <w:t>?</w:t>
      </w:r>
      <w:r>
        <w:rPr>
          <w:rFonts w:ascii="David" w:eastAsia="David" w:hAnsi="David" w:cs="David"/>
          <w:sz w:val="24"/>
          <w:szCs w:val="24"/>
          <w:rtl/>
        </w:rPr>
        <w:br/>
      </w:r>
    </w:p>
    <w:p w14:paraId="6CACD6EE" w14:textId="77777777" w:rsidR="005B7BF6" w:rsidRDefault="00F10791">
      <w:pPr>
        <w:numPr>
          <w:ilvl w:val="0"/>
          <w:numId w:val="1"/>
        </w:numPr>
        <w:bidi/>
        <w:spacing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כיצד משתנים הן הגדרת האלכסון והן דמוי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המושג של הסטודנטים המתכשרים להוראה בכיתות א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-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בעקבות ניתוח אירועים מתמטיים העוסקים בהגדרה זו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וכיצד מתפתחת ההתאמה בין השתיים לאורך הזמן</w:t>
      </w:r>
      <w:r>
        <w:rPr>
          <w:rFonts w:ascii="David" w:eastAsia="David" w:hAnsi="David" w:cs="David"/>
          <w:sz w:val="24"/>
          <w:szCs w:val="24"/>
          <w:rtl/>
        </w:rPr>
        <w:t>?</w:t>
      </w:r>
      <w:r>
        <w:rPr>
          <w:rFonts w:ascii="David" w:eastAsia="David" w:hAnsi="David" w:cs="David"/>
          <w:sz w:val="24"/>
          <w:szCs w:val="24"/>
          <w:rtl/>
        </w:rPr>
        <w:br/>
      </w:r>
    </w:p>
    <w:p w14:paraId="3DBE4D17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  <w:lang w:bidi="he-IL"/>
        </w:rPr>
        <w:t xml:space="preserve">שאלות מחקר ב </w:t>
      </w:r>
      <w:r>
        <w:rPr>
          <w:rFonts w:ascii="David" w:eastAsia="David" w:hAnsi="David" w:cs="David"/>
          <w:b/>
          <w:sz w:val="24"/>
          <w:szCs w:val="24"/>
          <w:rtl/>
        </w:rPr>
        <w:t xml:space="preserve">– </w:t>
      </w:r>
      <w:r>
        <w:rPr>
          <w:rFonts w:ascii="David" w:eastAsia="David" w:hAnsi="David" w:cs="David"/>
          <w:b/>
          <w:sz w:val="24"/>
          <w:szCs w:val="24"/>
          <w:rtl/>
          <w:lang w:bidi="he-IL"/>
        </w:rPr>
        <w:t>יחסי</w:t>
      </w:r>
      <w:r>
        <w:rPr>
          <w:rFonts w:ascii="David" w:eastAsia="David" w:hAnsi="David" w:cs="David"/>
          <w:b/>
          <w:sz w:val="24"/>
          <w:szCs w:val="24"/>
          <w:rtl/>
        </w:rPr>
        <w:t>-</w:t>
      </w:r>
      <w:r>
        <w:rPr>
          <w:rFonts w:ascii="David" w:eastAsia="David" w:hAnsi="David" w:cs="David"/>
          <w:b/>
          <w:sz w:val="24"/>
          <w:szCs w:val="24"/>
          <w:rtl/>
          <w:lang w:bidi="he-IL"/>
        </w:rPr>
        <w:t>הכלה בין מרובעים</w:t>
      </w:r>
    </w:p>
    <w:p w14:paraId="48A04319" w14:textId="77777777" w:rsidR="005B7BF6" w:rsidRDefault="00F10791">
      <w:pPr>
        <w:numPr>
          <w:ilvl w:val="0"/>
          <w:numId w:val="3"/>
        </w:numPr>
        <w:bidi/>
        <w:spacing w:before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כיצד משפיע הדיון באירועים מתמטיים על דיוקם של סטודנטים המתכשרים להוראה בכיתות א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-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בזיהוי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הכלה בין מרובעים</w:t>
      </w:r>
      <w:r>
        <w:rPr>
          <w:rFonts w:ascii="David" w:eastAsia="David" w:hAnsi="David" w:cs="David"/>
          <w:sz w:val="24"/>
          <w:szCs w:val="24"/>
          <w:rtl/>
        </w:rPr>
        <w:t>?</w:t>
      </w:r>
      <w:r>
        <w:rPr>
          <w:rFonts w:ascii="David" w:eastAsia="David" w:hAnsi="David" w:cs="David"/>
          <w:sz w:val="24"/>
          <w:szCs w:val="24"/>
          <w:rtl/>
        </w:rPr>
        <w:br/>
      </w:r>
    </w:p>
    <w:p w14:paraId="473AE475" w14:textId="77777777" w:rsidR="005B7BF6" w:rsidRDefault="00F10791">
      <w:pPr>
        <w:numPr>
          <w:ilvl w:val="0"/>
          <w:numId w:val="3"/>
        </w:numPr>
        <w:bidi/>
        <w:spacing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באילו דרכים משנה הדיון באירועים מתמטיים את אופי ההצדקות שמציגים הסטודנטים המתכשרים להוראה בכיתות א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-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בעת זיהוי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הכלה בין מרובעים</w:t>
      </w:r>
      <w:r>
        <w:rPr>
          <w:rFonts w:ascii="David" w:eastAsia="David" w:hAnsi="David" w:cs="David"/>
          <w:sz w:val="24"/>
          <w:szCs w:val="24"/>
          <w:rtl/>
        </w:rPr>
        <w:t>?</w:t>
      </w:r>
    </w:p>
    <w:p w14:paraId="395B3632" w14:textId="77777777" w:rsidR="005B7BF6" w:rsidRDefault="005B7BF6">
      <w:pPr>
        <w:bidi/>
        <w:spacing w:before="240" w:after="240" w:line="360" w:lineRule="auto"/>
        <w:ind w:left="720"/>
        <w:jc w:val="both"/>
        <w:rPr>
          <w:rFonts w:ascii="David" w:eastAsia="David" w:hAnsi="David" w:cs="David"/>
          <w:sz w:val="28"/>
          <w:szCs w:val="28"/>
        </w:rPr>
      </w:pPr>
    </w:p>
    <w:p w14:paraId="7B3ADFE5" w14:textId="77777777" w:rsidR="005B7BF6" w:rsidRDefault="005B7BF6">
      <w:pPr>
        <w:bidi/>
        <w:spacing w:before="240" w:after="240" w:line="360" w:lineRule="auto"/>
        <w:ind w:left="360" w:right="1220"/>
        <w:jc w:val="both"/>
        <w:rPr>
          <w:rFonts w:ascii="David" w:eastAsia="David" w:hAnsi="David" w:cs="David"/>
          <w:sz w:val="24"/>
          <w:szCs w:val="24"/>
        </w:rPr>
      </w:pPr>
    </w:p>
    <w:p w14:paraId="1CAC5C30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1B596AFE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b/>
          <w:sz w:val="24"/>
          <w:szCs w:val="24"/>
        </w:rPr>
      </w:pPr>
      <w:r>
        <w:br w:type="page"/>
      </w:r>
    </w:p>
    <w:p w14:paraId="506A45AC" w14:textId="77777777" w:rsidR="005B7BF6" w:rsidRDefault="00F10791">
      <w:pPr>
        <w:bidi/>
        <w:spacing w:before="240" w:after="240" w:line="360" w:lineRule="auto"/>
        <w:jc w:val="center"/>
        <w:rPr>
          <w:rFonts w:ascii="David" w:eastAsia="David" w:hAnsi="David" w:cs="David"/>
          <w:b/>
          <w:sz w:val="28"/>
          <w:szCs w:val="28"/>
        </w:rPr>
      </w:pPr>
      <w:r>
        <w:rPr>
          <w:rFonts w:ascii="David" w:eastAsia="David" w:hAnsi="David" w:cs="David"/>
          <w:sz w:val="14"/>
          <w:szCs w:val="14"/>
        </w:rPr>
        <w:lastRenderedPageBreak/>
        <w:t xml:space="preserve">  </w:t>
      </w:r>
      <w:r>
        <w:rPr>
          <w:rFonts w:ascii="David" w:eastAsia="David" w:hAnsi="David" w:cs="David"/>
          <w:sz w:val="14"/>
          <w:szCs w:val="14"/>
        </w:rPr>
        <w:tab/>
      </w:r>
      <w:r>
        <w:rPr>
          <w:rFonts w:ascii="David" w:eastAsia="David" w:hAnsi="David" w:cs="David"/>
          <w:b/>
          <w:sz w:val="28"/>
          <w:szCs w:val="28"/>
          <w:rtl/>
          <w:lang w:bidi="he-IL"/>
        </w:rPr>
        <w:t>שיטות המחקר</w:t>
      </w:r>
    </w:p>
    <w:p w14:paraId="17FFC88E" w14:textId="77777777" w:rsidR="005B7BF6" w:rsidRDefault="005B7BF6">
      <w:pPr>
        <w:bidi/>
        <w:spacing w:before="240" w:after="240" w:line="360" w:lineRule="auto"/>
        <w:ind w:right="-20"/>
        <w:jc w:val="both"/>
        <w:rPr>
          <w:rFonts w:ascii="David" w:eastAsia="David" w:hAnsi="David" w:cs="David"/>
          <w:sz w:val="24"/>
          <w:szCs w:val="24"/>
        </w:rPr>
      </w:pPr>
    </w:p>
    <w:p w14:paraId="4ABDA6BC" w14:textId="77777777" w:rsidR="005B7BF6" w:rsidRDefault="00F10791">
      <w:pPr>
        <w:bidi/>
        <w:spacing w:before="240" w:after="240" w:line="360" w:lineRule="auto"/>
        <w:ind w:right="-2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המחקר בחלקיו א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הוא מחקר פעולה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לוי</w:t>
      </w:r>
      <w:r>
        <w:rPr>
          <w:rFonts w:ascii="David" w:eastAsia="David" w:hAnsi="David" w:cs="David"/>
          <w:sz w:val="24"/>
          <w:szCs w:val="24"/>
          <w:rtl/>
        </w:rPr>
        <w:t xml:space="preserve">, 2006)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המשלב שיטות איכותניות וכמותיות</w:t>
      </w:r>
      <w:r>
        <w:rPr>
          <w:rFonts w:ascii="David" w:eastAsia="David" w:hAnsi="David" w:cs="David"/>
          <w:sz w:val="24"/>
          <w:szCs w:val="24"/>
          <w:rtl/>
        </w:rPr>
        <w:t xml:space="preserve">. 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המחקר מתבסס על מחקר חלוץ שנערך בשנת תשפ</w:t>
      </w:r>
      <w:r>
        <w:rPr>
          <w:rFonts w:ascii="David" w:eastAsia="David" w:hAnsi="David" w:cs="David"/>
          <w:sz w:val="24"/>
          <w:szCs w:val="24"/>
          <w:rtl/>
        </w:rPr>
        <w:t>"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 וממצאיו הראו שלסטודנטים המתכשרים להוראה בכיתות א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-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יש ידע לקוי בהגדרת מושגים גיאומטריים בסיסיים למידה מבוססת ניתוח אירועים תורמת לבניית ידע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68B24825" w14:textId="77777777" w:rsidR="005B7BF6" w:rsidRPr="00F10791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bCs/>
          <w:sz w:val="24"/>
          <w:szCs w:val="24"/>
        </w:rPr>
      </w:pPr>
      <w:r w:rsidRPr="00F10791">
        <w:rPr>
          <w:rFonts w:ascii="David" w:eastAsia="David" w:hAnsi="David" w:cs="David"/>
          <w:bCs/>
          <w:sz w:val="24"/>
          <w:szCs w:val="24"/>
          <w:rtl/>
          <w:lang w:bidi="he-IL"/>
        </w:rPr>
        <w:t>משתתפים</w:t>
      </w:r>
    </w:p>
    <w:p w14:paraId="1A86A915" w14:textId="01CB9F70" w:rsidR="005B7BF6" w:rsidRDefault="00F10791" w:rsidP="006E1877">
      <w:pPr>
        <w:bidi/>
        <w:spacing w:before="120" w:after="240" w:line="360" w:lineRule="auto"/>
        <w:ind w:left="140"/>
        <w:jc w:val="both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ב</w:t>
      </w:r>
      <w:r>
        <w:rPr>
          <w:rFonts w:ascii="David" w:eastAsia="David" w:hAnsi="David" w:cs="David"/>
          <w:i/>
          <w:sz w:val="24"/>
          <w:szCs w:val="24"/>
          <w:rtl/>
          <w:lang w:bidi="he-IL"/>
        </w:rPr>
        <w:t>מחקר א</w:t>
      </w:r>
      <w:r w:rsidR="006E1877">
        <w:rPr>
          <w:rFonts w:ascii="David" w:eastAsia="David" w:hAnsi="David" w:cs="David" w:hint="cs"/>
          <w:i/>
          <w:sz w:val="24"/>
          <w:szCs w:val="24"/>
          <w:rtl/>
          <w:lang w:bidi="he-IL"/>
        </w:rPr>
        <w:t>'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השתתפו </w:t>
      </w:r>
      <w:r>
        <w:rPr>
          <w:rFonts w:ascii="David" w:eastAsia="David" w:hAnsi="David" w:cs="David"/>
          <w:sz w:val="24"/>
          <w:szCs w:val="24"/>
          <w:rtl/>
        </w:rPr>
        <w:t xml:space="preserve">23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סטודנטים המתכשרים להוראה בכיתות א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-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</w:t>
      </w:r>
      <w:r>
        <w:rPr>
          <w:rFonts w:ascii="David" w:eastAsia="David" w:hAnsi="David" w:cs="David"/>
          <w:sz w:val="24"/>
          <w:szCs w:val="24"/>
          <w:rtl/>
        </w:rPr>
        <w:t xml:space="preserve">'.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</w:t>
      </w:r>
      <w:r>
        <w:rPr>
          <w:rFonts w:ascii="David" w:eastAsia="David" w:hAnsi="David" w:cs="David"/>
          <w:i/>
          <w:sz w:val="24"/>
          <w:szCs w:val="24"/>
          <w:rtl/>
          <w:lang w:bidi="he-IL"/>
        </w:rPr>
        <w:t>מחקר ב</w:t>
      </w:r>
      <w:r w:rsidR="006E1877">
        <w:rPr>
          <w:rFonts w:ascii="David" w:eastAsia="David" w:hAnsi="David" w:cs="David" w:hint="cs"/>
          <w:i/>
          <w:sz w:val="24"/>
          <w:szCs w:val="24"/>
          <w:rtl/>
          <w:lang w:bidi="he-IL"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השתתפו </w:t>
      </w:r>
      <w:r w:rsidR="006E1877">
        <w:rPr>
          <w:rFonts w:ascii="David" w:eastAsia="David" w:hAnsi="David" w:cs="David" w:hint="cs"/>
          <w:sz w:val="24"/>
          <w:szCs w:val="24"/>
          <w:rtl/>
          <w:lang w:bidi="he-IL"/>
        </w:rPr>
        <w:t xml:space="preserve"> </w:t>
      </w:r>
      <w:r>
        <w:rPr>
          <w:rFonts w:ascii="David" w:eastAsia="David" w:hAnsi="David" w:cs="David"/>
          <w:sz w:val="24"/>
          <w:szCs w:val="24"/>
          <w:rtl/>
        </w:rPr>
        <w:t>20</w:t>
      </w:r>
      <w:r w:rsidR="006E1877">
        <w:rPr>
          <w:rFonts w:ascii="David" w:eastAsia="David" w:hAnsi="David" w:cs="David" w:hint="cs"/>
          <w:sz w:val="24"/>
          <w:szCs w:val="24"/>
          <w:rtl/>
          <w:lang w:bidi="he-IL"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סטודנטים המתכשרים להוראה בכיתות א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-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</w:t>
      </w:r>
      <w:r>
        <w:rPr>
          <w:rFonts w:ascii="David" w:eastAsia="David" w:hAnsi="David" w:cs="David"/>
          <w:sz w:val="24"/>
          <w:szCs w:val="24"/>
          <w:rtl/>
        </w:rPr>
        <w:t xml:space="preserve">'.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כל המשתתפים בשני המחקרים למדו בשנתם הרביעית במסלול לתעודת הוראה לכיתות א</w:t>
      </w:r>
      <w:r>
        <w:rPr>
          <w:rFonts w:ascii="David" w:eastAsia="David" w:hAnsi="David" w:cs="David"/>
          <w:sz w:val="24"/>
          <w:szCs w:val="24"/>
          <w:rtl/>
        </w:rPr>
        <w:t>’-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</w:t>
      </w:r>
      <w:r>
        <w:rPr>
          <w:rFonts w:ascii="David" w:eastAsia="David" w:hAnsi="David" w:cs="David"/>
          <w:sz w:val="24"/>
          <w:szCs w:val="24"/>
          <w:rtl/>
        </w:rPr>
        <w:t xml:space="preserve">’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במכללה להכשרת מורים דוברי ערבית בישראל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לאחר שסיימו שלוש שנות לימוד קודמות בהכשרה להוראה</w:t>
      </w:r>
      <w:r>
        <w:rPr>
          <w:rFonts w:ascii="David" w:eastAsia="David" w:hAnsi="David" w:cs="David" w:hint="cs"/>
          <w:sz w:val="24"/>
          <w:szCs w:val="24"/>
          <w:rtl/>
          <w:lang w:bidi="he-IL"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בגיל הרך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שני המחקרים התקיימו במסגרת הקורס </w:t>
      </w:r>
      <w:r>
        <w:rPr>
          <w:rFonts w:ascii="David" w:eastAsia="David" w:hAnsi="David" w:cs="David"/>
          <w:sz w:val="24"/>
          <w:szCs w:val="24"/>
          <w:rtl/>
        </w:rPr>
        <w:t>"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הוראת גיאומטריה</w:t>
      </w:r>
      <w:r>
        <w:rPr>
          <w:rFonts w:ascii="David" w:eastAsia="David" w:hAnsi="David" w:cs="David"/>
          <w:sz w:val="24"/>
          <w:szCs w:val="24"/>
          <w:rtl/>
        </w:rPr>
        <w:t xml:space="preserve">",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שהוא הקורס השני במסלול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לצד הקורס </w:t>
      </w:r>
      <w:r>
        <w:rPr>
          <w:rFonts w:ascii="David" w:eastAsia="David" w:hAnsi="David" w:cs="David"/>
          <w:sz w:val="24"/>
          <w:szCs w:val="24"/>
          <w:rtl/>
        </w:rPr>
        <w:t>"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הוראת חשבון לכיתות א</w:t>
      </w:r>
      <w:r>
        <w:rPr>
          <w:rFonts w:ascii="David" w:eastAsia="David" w:hAnsi="David" w:cs="David"/>
          <w:sz w:val="24"/>
          <w:szCs w:val="24"/>
          <w:rtl/>
        </w:rPr>
        <w:t>’-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</w:t>
      </w:r>
      <w:r>
        <w:rPr>
          <w:rFonts w:ascii="David" w:eastAsia="David" w:hAnsi="David" w:cs="David"/>
          <w:sz w:val="24"/>
          <w:szCs w:val="24"/>
          <w:rtl/>
        </w:rPr>
        <w:t xml:space="preserve">’".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בשני המקרים בוצעה דגימת נוחות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שכללה את כלל הסטודנטים שנרשמו לקורס והסכימו להשתתף במחקר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3B1144D9" w14:textId="77777777" w:rsidR="005B7BF6" w:rsidRPr="00F10791" w:rsidRDefault="00F10791" w:rsidP="00F10791">
      <w:pPr>
        <w:bidi/>
        <w:spacing w:before="120" w:after="240" w:line="360" w:lineRule="auto"/>
        <w:jc w:val="both"/>
        <w:rPr>
          <w:rFonts w:ascii="David" w:eastAsia="David" w:hAnsi="David" w:cs="David"/>
          <w:bCs/>
          <w:sz w:val="24"/>
          <w:szCs w:val="24"/>
        </w:rPr>
      </w:pPr>
      <w:r w:rsidRPr="00F10791">
        <w:rPr>
          <w:rFonts w:ascii="David" w:eastAsia="David" w:hAnsi="David" w:cs="David"/>
          <w:bCs/>
          <w:sz w:val="24"/>
          <w:szCs w:val="24"/>
          <w:rtl/>
          <w:lang w:bidi="he-IL"/>
        </w:rPr>
        <w:t>כלי המחקר</w:t>
      </w:r>
    </w:p>
    <w:p w14:paraId="208B17D8" w14:textId="144FF392" w:rsidR="005B7BF6" w:rsidRDefault="00F10791">
      <w:pPr>
        <w:bidi/>
        <w:spacing w:before="240" w:after="240" w:line="360" w:lineRule="auto"/>
        <w:ind w:right="-2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הנתונים נאספו באמצעות שלושה כלים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תצפית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שאלונים מקדימים ומסכמים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זאת בנוסף</w:t>
      </w:r>
      <w:r>
        <w:rPr>
          <w:rFonts w:ascii="David" w:eastAsia="David" w:hAnsi="David" w:cs="David" w:hint="cs"/>
          <w:sz w:val="24"/>
          <w:szCs w:val="24"/>
          <w:rtl/>
          <w:lang w:bidi="he-IL"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לתצפית</w:t>
      </w:r>
      <w:r>
        <w:rPr>
          <w:rFonts w:ascii="David" w:eastAsia="David" w:hAnsi="David" w:cs="David"/>
          <w:sz w:val="24"/>
          <w:szCs w:val="24"/>
          <w:rtl/>
        </w:rPr>
        <w:t>.:</w:t>
      </w:r>
    </w:p>
    <w:p w14:paraId="131E793C" w14:textId="77777777" w:rsidR="005B7BF6" w:rsidRPr="006E1877" w:rsidRDefault="00F10791">
      <w:pPr>
        <w:pStyle w:val="Heading3"/>
        <w:keepNext w:val="0"/>
        <w:keepLines w:val="0"/>
        <w:bidi/>
        <w:spacing w:before="280" w:line="360" w:lineRule="auto"/>
        <w:ind w:right="-20"/>
        <w:jc w:val="both"/>
        <w:rPr>
          <w:rFonts w:ascii="David" w:eastAsia="David" w:hAnsi="David" w:cs="David"/>
          <w:b/>
          <w:color w:val="000000"/>
          <w:sz w:val="26"/>
          <w:szCs w:val="26"/>
        </w:rPr>
      </w:pPr>
      <w:bookmarkStart w:id="0" w:name="_c5vpwzckh3" w:colFirst="0" w:colLast="0"/>
      <w:bookmarkEnd w:id="0"/>
      <w:r w:rsidRPr="006E1877">
        <w:rPr>
          <w:rFonts w:ascii="David" w:eastAsia="David" w:hAnsi="David" w:cs="David"/>
          <w:b/>
          <w:color w:val="000000"/>
          <w:sz w:val="26"/>
          <w:szCs w:val="26"/>
          <w:rtl/>
          <w:lang w:bidi="he-IL"/>
        </w:rPr>
        <w:t>כילי המחקר א</w:t>
      </w:r>
      <w:r w:rsidRPr="006E1877">
        <w:rPr>
          <w:rFonts w:ascii="David" w:eastAsia="David" w:hAnsi="David" w:cs="David"/>
          <w:b/>
          <w:color w:val="000000"/>
          <w:sz w:val="26"/>
          <w:szCs w:val="26"/>
          <w:rtl/>
        </w:rPr>
        <w:t xml:space="preserve">': </w:t>
      </w:r>
      <w:r w:rsidRPr="006E1877">
        <w:rPr>
          <w:rFonts w:ascii="David" w:eastAsia="David" w:hAnsi="David" w:cs="David"/>
          <w:b/>
          <w:color w:val="000000"/>
          <w:sz w:val="26"/>
          <w:szCs w:val="26"/>
          <w:rtl/>
          <w:lang w:bidi="he-IL"/>
        </w:rPr>
        <w:t>מושג האלכסון</w:t>
      </w:r>
    </w:p>
    <w:p w14:paraId="131DBC61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  <w:lang w:bidi="he-IL"/>
        </w:rPr>
        <w:t>תצפיות וידאו</w:t>
      </w:r>
      <w:r>
        <w:rPr>
          <w:rFonts w:ascii="David" w:eastAsia="David" w:hAnsi="David" w:cs="David"/>
          <w:b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 במהלך שלושת מפגשי ההוראה</w:t>
      </w:r>
      <w:r>
        <w:rPr>
          <w:rFonts w:ascii="David" w:eastAsia="David" w:hAnsi="David" w:cs="David"/>
          <w:sz w:val="24"/>
          <w:szCs w:val="24"/>
          <w:rtl/>
        </w:rPr>
        <w:t>–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למידה שעסקו באלכסונים הוצבה מצלמת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וידאו בפינת הכיתה ותיעדה את מליאת הדיון לכל אורכו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ההקלטות תומללו מילה במילה מיד בתום כל מפגש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התמלולים שימשו לבחינת דפוסי השתתפות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מבנה טיעונים ולכידת </w:t>
      </w:r>
      <w:r>
        <w:rPr>
          <w:rFonts w:ascii="David" w:eastAsia="David" w:hAnsi="David" w:cs="David"/>
          <w:sz w:val="24"/>
          <w:szCs w:val="24"/>
          <w:rtl/>
        </w:rPr>
        <w:t>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נקודות מפנה</w:t>
      </w:r>
      <w:r>
        <w:rPr>
          <w:rFonts w:ascii="David" w:eastAsia="David" w:hAnsi="David" w:cs="David"/>
          <w:sz w:val="24"/>
          <w:szCs w:val="24"/>
          <w:rtl/>
        </w:rPr>
        <w:t xml:space="preserve">”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שבהן הסטודנטים שינו או עדכנו את הגדרתם לאלכסון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76D096F3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  <w:lang w:bidi="he-IL"/>
        </w:rPr>
        <w:t>שאלון מקדים</w:t>
      </w:r>
      <w:r>
        <w:rPr>
          <w:rFonts w:ascii="David" w:eastAsia="David" w:hAnsi="David" w:cs="David"/>
          <w:b/>
          <w:sz w:val="24"/>
          <w:szCs w:val="24"/>
          <w:rtl/>
        </w:rPr>
        <w:t>/</w:t>
      </w:r>
      <w:r>
        <w:rPr>
          <w:rFonts w:ascii="David" w:eastAsia="David" w:hAnsi="David" w:cs="David"/>
          <w:b/>
          <w:sz w:val="24"/>
          <w:szCs w:val="24"/>
          <w:rtl/>
          <w:lang w:bidi="he-IL"/>
        </w:rPr>
        <w:t>מסכם</w:t>
      </w:r>
      <w:r>
        <w:rPr>
          <w:rFonts w:ascii="David" w:eastAsia="David" w:hAnsi="David" w:cs="David"/>
          <w:b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 בתחילת המחקר ובסיומו קיבל כל משתתף שאלון אישי לפי הפירוט הבא</w:t>
      </w:r>
      <w:r>
        <w:rPr>
          <w:rFonts w:ascii="David" w:eastAsia="David" w:hAnsi="David" w:cs="David"/>
          <w:sz w:val="24"/>
          <w:szCs w:val="24"/>
          <w:rtl/>
        </w:rPr>
        <w:t>:.</w:t>
      </w:r>
    </w:p>
    <w:p w14:paraId="3B3BCD95" w14:textId="77777777" w:rsidR="005B7BF6" w:rsidRDefault="00F10791">
      <w:pPr>
        <w:numPr>
          <w:ilvl w:val="0"/>
          <w:numId w:val="6"/>
        </w:numPr>
        <w:bidi/>
        <w:spacing w:before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i/>
          <w:sz w:val="24"/>
          <w:szCs w:val="24"/>
          <w:rtl/>
          <w:lang w:bidi="he-IL"/>
        </w:rPr>
        <w:t>משימת הגדרה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הסטודנטים התבקשו בשני השאלונים לנסח הגדרה פורמלית לאלכסון במצולע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</w:rPr>
        <w:br/>
      </w:r>
    </w:p>
    <w:p w14:paraId="004A96CA" w14:textId="77777777" w:rsidR="005B7BF6" w:rsidRDefault="00F10791">
      <w:pPr>
        <w:numPr>
          <w:ilvl w:val="0"/>
          <w:numId w:val="6"/>
        </w:numPr>
        <w:bidi/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i/>
          <w:sz w:val="24"/>
          <w:szCs w:val="24"/>
          <w:rtl/>
          <w:lang w:bidi="he-IL"/>
        </w:rPr>
        <w:t>משימת זיהוי</w:t>
      </w:r>
      <w:r>
        <w:rPr>
          <w:rFonts w:ascii="David" w:eastAsia="David" w:hAnsi="David" w:cs="David"/>
          <w:sz w:val="24"/>
          <w:szCs w:val="24"/>
        </w:rPr>
        <w:t xml:space="preserve">: </w:t>
      </w:r>
    </w:p>
    <w:p w14:paraId="488765B3" w14:textId="64B58F43" w:rsidR="005B7BF6" w:rsidRDefault="00F10791" w:rsidP="000F7D40">
      <w:pPr>
        <w:numPr>
          <w:ilvl w:val="1"/>
          <w:numId w:val="6"/>
        </w:numPr>
        <w:bidi/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במבחן מקדים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הוצגו </w:t>
      </w:r>
      <w:r>
        <w:rPr>
          <w:rFonts w:ascii="David" w:eastAsia="David" w:hAnsi="David" w:cs="David"/>
          <w:sz w:val="24"/>
          <w:szCs w:val="24"/>
          <w:rtl/>
        </w:rPr>
        <w:t xml:space="preserve">5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מצולעים ובהם קטעים מסוגים שונים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פנימיים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חיצוניים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חוצים צלע</w:t>
      </w:r>
      <w:r>
        <w:rPr>
          <w:rFonts w:ascii="David" w:eastAsia="David" w:hAnsi="David" w:cs="David"/>
          <w:sz w:val="24"/>
          <w:szCs w:val="24"/>
          <w:rtl/>
        </w:rPr>
        <w:t xml:space="preserve">). </w:t>
      </w:r>
      <w:r w:rsidR="000F7D40">
        <w:rPr>
          <w:rFonts w:ascii="David" w:eastAsia="David" w:hAnsi="David" w:cs="David" w:hint="cs"/>
          <w:sz w:val="24"/>
          <w:szCs w:val="24"/>
          <w:rtl/>
          <w:lang w:bidi="he-IL"/>
        </w:rPr>
        <w:t>המשתתפים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 סימנו אילו קטעים הם אלכסונים ונימקו</w:t>
      </w:r>
      <w:r>
        <w:rPr>
          <w:rFonts w:ascii="David" w:eastAsia="David" w:hAnsi="David" w:cs="David"/>
          <w:sz w:val="24"/>
          <w:szCs w:val="24"/>
          <w:rtl/>
        </w:rPr>
        <w:t>.  (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נספח מס</w:t>
      </w:r>
      <w:r>
        <w:rPr>
          <w:rFonts w:ascii="David" w:eastAsia="David" w:hAnsi="David" w:cs="David"/>
          <w:sz w:val="24"/>
          <w:szCs w:val="24"/>
          <w:rtl/>
        </w:rPr>
        <w:t>.1)</w:t>
      </w:r>
    </w:p>
    <w:p w14:paraId="0D556537" w14:textId="77777777" w:rsidR="005B7BF6" w:rsidRDefault="00F10791">
      <w:pPr>
        <w:numPr>
          <w:ilvl w:val="1"/>
          <w:numId w:val="6"/>
        </w:numPr>
        <w:bidi/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במבחן מסכם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המשתתפים התבקשו לצייר כל האלכסונים היוצאים מאחד הקודקודים במצולע נתון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מספח מס</w:t>
      </w:r>
      <w:r>
        <w:rPr>
          <w:rFonts w:ascii="David" w:eastAsia="David" w:hAnsi="David" w:cs="David"/>
          <w:sz w:val="24"/>
          <w:szCs w:val="24"/>
          <w:rtl/>
        </w:rPr>
        <w:t>.2)</w:t>
      </w:r>
    </w:p>
    <w:p w14:paraId="2018A109" w14:textId="77777777" w:rsidR="005B7BF6" w:rsidRDefault="00F10791">
      <w:pPr>
        <w:numPr>
          <w:ilvl w:val="0"/>
          <w:numId w:val="6"/>
        </w:numPr>
        <w:bidi/>
        <w:spacing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b/>
          <w:rtl/>
          <w:lang w:bidi="he-IL"/>
        </w:rPr>
        <w:t>משימת ניתוח</w:t>
      </w:r>
      <w:r>
        <w:rPr>
          <w:rFonts w:ascii="David" w:eastAsia="David" w:hAnsi="David" w:cs="David"/>
          <w:rtl/>
        </w:rPr>
        <w:t xml:space="preserve">: </w:t>
      </w:r>
      <w:r>
        <w:rPr>
          <w:rFonts w:ascii="David" w:eastAsia="David" w:hAnsi="David" w:cs="David"/>
          <w:rtl/>
          <w:lang w:bidi="he-IL"/>
        </w:rPr>
        <w:t>במבחן מסכם</w:t>
      </w:r>
      <w:r>
        <w:rPr>
          <w:rFonts w:ascii="David" w:eastAsia="David" w:hAnsi="David" w:cs="David"/>
          <w:rtl/>
        </w:rPr>
        <w:t xml:space="preserve">, </w:t>
      </w:r>
      <w:r>
        <w:rPr>
          <w:rFonts w:ascii="David" w:eastAsia="David" w:hAnsi="David" w:cs="David"/>
          <w:rtl/>
          <w:lang w:bidi="he-IL"/>
        </w:rPr>
        <w:t xml:space="preserve">נוספה משימת ניתוח לפתרונות שני תלמידים למשימת שרטוט אלכסונים מקודקוד נתון </w:t>
      </w:r>
      <w:r>
        <w:rPr>
          <w:rFonts w:ascii="David" w:eastAsia="David" w:hAnsi="David" w:cs="David"/>
          <w:rtl/>
        </w:rPr>
        <w:t xml:space="preserve">. </w:t>
      </w:r>
      <w:r>
        <w:rPr>
          <w:rFonts w:ascii="David" w:eastAsia="David" w:hAnsi="David" w:cs="David"/>
          <w:rtl/>
          <w:lang w:bidi="he-IL"/>
        </w:rPr>
        <w:t xml:space="preserve">המשתתפים נדרשו </w:t>
      </w:r>
      <w:r>
        <w:rPr>
          <w:rFonts w:ascii="David" w:eastAsia="David" w:hAnsi="David" w:cs="David"/>
          <w:rtl/>
        </w:rPr>
        <w:t>(</w:t>
      </w:r>
      <w:r>
        <w:rPr>
          <w:rFonts w:ascii="David" w:eastAsia="David" w:hAnsi="David" w:cs="David"/>
          <w:rtl/>
          <w:lang w:bidi="he-IL"/>
        </w:rPr>
        <w:t>א</w:t>
      </w:r>
      <w:r>
        <w:rPr>
          <w:rFonts w:ascii="David" w:eastAsia="David" w:hAnsi="David" w:cs="David"/>
          <w:rtl/>
        </w:rPr>
        <w:t xml:space="preserve">) </w:t>
      </w:r>
      <w:r>
        <w:rPr>
          <w:rFonts w:ascii="David" w:eastAsia="David" w:hAnsi="David" w:cs="David"/>
          <w:rtl/>
          <w:lang w:bidi="he-IL"/>
        </w:rPr>
        <w:t>להסיק את ההגדרה המשתמעת שאימץ כל תלמיד</w:t>
      </w:r>
      <w:r>
        <w:rPr>
          <w:rFonts w:ascii="David" w:eastAsia="David" w:hAnsi="David" w:cs="David"/>
          <w:rtl/>
        </w:rPr>
        <w:t xml:space="preserve">, </w:t>
      </w:r>
      <w:r>
        <w:rPr>
          <w:rFonts w:ascii="David" w:eastAsia="David" w:hAnsi="David" w:cs="David"/>
          <w:rtl/>
          <w:lang w:bidi="he-IL"/>
        </w:rPr>
        <w:t>ו</w:t>
      </w:r>
      <w:r>
        <w:rPr>
          <w:rFonts w:ascii="David" w:eastAsia="David" w:hAnsi="David" w:cs="David"/>
          <w:rtl/>
        </w:rPr>
        <w:t>-(</w:t>
      </w:r>
      <w:r>
        <w:rPr>
          <w:rFonts w:ascii="David" w:eastAsia="David" w:hAnsi="David" w:cs="David"/>
          <w:rtl/>
          <w:lang w:bidi="he-IL"/>
        </w:rPr>
        <w:t>ב</w:t>
      </w:r>
      <w:r>
        <w:rPr>
          <w:rFonts w:ascii="David" w:eastAsia="David" w:hAnsi="David" w:cs="David"/>
          <w:rtl/>
        </w:rPr>
        <w:t xml:space="preserve">) </w:t>
      </w:r>
      <w:r>
        <w:rPr>
          <w:rFonts w:ascii="David" w:eastAsia="David" w:hAnsi="David" w:cs="David"/>
          <w:rtl/>
          <w:lang w:bidi="he-IL"/>
        </w:rPr>
        <w:t>ליישם כל אחת מן ההגדרות על מצולעים נוספים</w:t>
      </w:r>
      <w:r>
        <w:rPr>
          <w:rFonts w:ascii="David" w:eastAsia="David" w:hAnsi="David" w:cs="David"/>
          <w:rtl/>
        </w:rPr>
        <w:t xml:space="preserve">. </w:t>
      </w:r>
    </w:p>
    <w:p w14:paraId="6BE696A1" w14:textId="77777777" w:rsidR="005B7BF6" w:rsidRPr="006E1877" w:rsidRDefault="00F10791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חלק מן הפריטים נבנו על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פי ספרות מחקרית מקבילה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למשל </w:t>
      </w:r>
      <w:proofErr w:type="spellStart"/>
      <w:r>
        <w:rPr>
          <w:rFonts w:ascii="David" w:eastAsia="David" w:hAnsi="David" w:cs="David"/>
          <w:sz w:val="24"/>
          <w:szCs w:val="24"/>
        </w:rPr>
        <w:t>Tsamir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 et al., 2014; Cohen</w:t>
      </w:r>
      <w:r>
        <w:rPr>
          <w:rFonts w:ascii="David" w:eastAsia="David" w:hAnsi="David" w:cs="David"/>
          <w:sz w:val="24"/>
          <w:szCs w:val="24"/>
          <w:rtl/>
        </w:rPr>
        <w:t xml:space="preserve">, 2020)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וחלק פותחו בידי צוות החוקרים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נוסחי השאלות תורגמו לערבית בסיוע שני מומחים להוראת מתמטיקה ודובר </w:t>
      </w:r>
      <w:r>
        <w:rPr>
          <w:rFonts w:ascii="David" w:eastAsia="David" w:hAnsi="David" w:cs="David"/>
          <w:sz w:val="24"/>
          <w:szCs w:val="24"/>
          <w:rtl/>
          <w:lang w:bidi="he-IL"/>
        </w:rPr>
        <w:lastRenderedPageBreak/>
        <w:t>ערבית שפת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ועברו הליך </w:t>
      </w:r>
      <w:r>
        <w:rPr>
          <w:rFonts w:ascii="David" w:eastAsia="David" w:hAnsi="David" w:cs="David"/>
          <w:sz w:val="24"/>
          <w:szCs w:val="24"/>
          <w:rtl/>
        </w:rPr>
        <w:t>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תרגום לאחור</w:t>
      </w:r>
      <w:r>
        <w:rPr>
          <w:rFonts w:ascii="David" w:eastAsia="David" w:hAnsi="David" w:cs="David"/>
          <w:sz w:val="24"/>
          <w:szCs w:val="24"/>
          <w:rtl/>
        </w:rPr>
        <w:t xml:space="preserve">”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לאנגלית כדי לוודא שקילות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טיוטת השאלון נוסתה בפיילוט </w:t>
      </w:r>
      <w:r w:rsidRPr="006E1877">
        <w:rPr>
          <w:rFonts w:ascii="David" w:eastAsia="David" w:hAnsi="David" w:cs="David"/>
          <w:sz w:val="24"/>
          <w:szCs w:val="24"/>
          <w:rtl/>
          <w:lang w:bidi="he-IL"/>
        </w:rPr>
        <w:t xml:space="preserve">קצר </w:t>
      </w:r>
      <w:r w:rsidRPr="006E1877">
        <w:rPr>
          <w:rFonts w:ascii="David" w:eastAsia="David" w:hAnsi="David" w:cs="David"/>
          <w:sz w:val="24"/>
          <w:szCs w:val="24"/>
          <w:rtl/>
        </w:rPr>
        <w:t>(</w:t>
      </w:r>
      <w:r w:rsidRPr="006E1877">
        <w:rPr>
          <w:rFonts w:ascii="David" w:eastAsia="David" w:hAnsi="David" w:cs="David"/>
          <w:sz w:val="24"/>
          <w:szCs w:val="24"/>
        </w:rPr>
        <w:t>n</w:t>
      </w:r>
      <w:r w:rsidRPr="006E1877">
        <w:rPr>
          <w:rFonts w:ascii="David" w:eastAsia="David" w:hAnsi="David" w:cs="David"/>
          <w:sz w:val="24"/>
          <w:szCs w:val="24"/>
          <w:rtl/>
        </w:rPr>
        <w:t xml:space="preserve"> = 6) </w:t>
      </w:r>
      <w:r w:rsidRPr="006E1877">
        <w:rPr>
          <w:rFonts w:ascii="David" w:eastAsia="David" w:hAnsi="David" w:cs="David"/>
          <w:sz w:val="24"/>
          <w:szCs w:val="24"/>
          <w:rtl/>
          <w:lang w:bidi="he-IL"/>
        </w:rPr>
        <w:t>מחוץ למדגם המחקר</w:t>
      </w:r>
      <w:r w:rsidRPr="006E1877">
        <w:rPr>
          <w:rFonts w:ascii="David" w:eastAsia="David" w:hAnsi="David" w:cs="David"/>
          <w:sz w:val="24"/>
          <w:szCs w:val="24"/>
          <w:rtl/>
        </w:rPr>
        <w:t>.</w:t>
      </w:r>
    </w:p>
    <w:p w14:paraId="082D9FD1" w14:textId="77777777" w:rsidR="005B7BF6" w:rsidRPr="00F10791" w:rsidRDefault="00F10791">
      <w:pPr>
        <w:pStyle w:val="Heading3"/>
        <w:keepNext w:val="0"/>
        <w:keepLines w:val="0"/>
        <w:bidi/>
        <w:spacing w:before="280" w:line="360" w:lineRule="auto"/>
        <w:ind w:right="-20"/>
        <w:jc w:val="both"/>
        <w:rPr>
          <w:rFonts w:ascii="David" w:eastAsia="David" w:hAnsi="David" w:cs="David"/>
          <w:bCs/>
          <w:color w:val="000000"/>
          <w:sz w:val="26"/>
          <w:szCs w:val="26"/>
        </w:rPr>
      </w:pPr>
      <w:bookmarkStart w:id="1" w:name="_8ssp90ehpp91" w:colFirst="0" w:colLast="0"/>
      <w:bookmarkEnd w:id="1"/>
      <w:r w:rsidRPr="006E1877">
        <w:rPr>
          <w:rFonts w:ascii="David" w:eastAsia="David" w:hAnsi="David" w:cs="David"/>
          <w:color w:val="000000"/>
          <w:sz w:val="24"/>
          <w:szCs w:val="24"/>
          <w:rtl/>
          <w:lang w:bidi="he-IL"/>
        </w:rPr>
        <w:t xml:space="preserve">כילי המחקר </w:t>
      </w:r>
      <w:r w:rsidRPr="006E1877">
        <w:rPr>
          <w:rFonts w:ascii="David" w:eastAsia="David" w:hAnsi="David" w:cs="David"/>
          <w:color w:val="000000"/>
          <w:sz w:val="24"/>
          <w:szCs w:val="24"/>
          <w:rtl/>
        </w:rPr>
        <w:t xml:space="preserve">– </w:t>
      </w:r>
      <w:r w:rsidRPr="006E1877">
        <w:rPr>
          <w:rFonts w:ascii="David" w:eastAsia="David" w:hAnsi="David" w:cs="David"/>
          <w:color w:val="000000"/>
          <w:sz w:val="24"/>
          <w:szCs w:val="24"/>
          <w:rtl/>
          <w:lang w:bidi="he-IL"/>
        </w:rPr>
        <w:t>חלק ב</w:t>
      </w:r>
      <w:r w:rsidRPr="006E1877">
        <w:rPr>
          <w:rFonts w:ascii="David" w:eastAsia="David" w:hAnsi="David" w:cs="David"/>
          <w:color w:val="000000"/>
          <w:sz w:val="24"/>
          <w:szCs w:val="24"/>
          <w:rtl/>
        </w:rPr>
        <w:t xml:space="preserve">: </w:t>
      </w:r>
      <w:r w:rsidRPr="006E1877">
        <w:rPr>
          <w:rFonts w:ascii="David" w:eastAsia="David" w:hAnsi="David" w:cs="David"/>
          <w:color w:val="000000"/>
          <w:sz w:val="24"/>
          <w:szCs w:val="24"/>
          <w:rtl/>
          <w:lang w:bidi="he-IL"/>
        </w:rPr>
        <w:t>יחסי־הכלה בין מרובעים</w:t>
      </w:r>
    </w:p>
    <w:p w14:paraId="5958DC2E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  <w:lang w:bidi="he-IL"/>
        </w:rPr>
        <w:t>תצפיות וידאו</w:t>
      </w:r>
      <w:r>
        <w:rPr>
          <w:rFonts w:ascii="David" w:eastAsia="David" w:hAnsi="David" w:cs="David"/>
          <w:b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 שלושה דיונים כיתתיים הוקדשו לאירועים מתמטיים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למשל </w:t>
      </w:r>
      <w:r>
        <w:rPr>
          <w:rFonts w:ascii="David" w:eastAsia="David" w:hAnsi="David" w:cs="David"/>
          <w:sz w:val="24"/>
          <w:szCs w:val="24"/>
          <w:rtl/>
        </w:rPr>
        <w:t>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ריבוע הוא דלתון</w:t>
      </w:r>
      <w:r>
        <w:rPr>
          <w:rFonts w:ascii="David" w:eastAsia="David" w:hAnsi="David" w:cs="David"/>
          <w:sz w:val="24"/>
          <w:szCs w:val="24"/>
          <w:rtl/>
        </w:rPr>
        <w:t xml:space="preserve">”).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כל מפגש צולם ברצף ותומלל במלואו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התמלילים שימשו לאיתור רגעים שבהם הסטודנטים עברו מהסתמכות על דימוי ויזואלי לפרשנות פורמלית של הגדרות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4103C6F3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  <w:lang w:bidi="he-IL"/>
        </w:rPr>
        <w:t>שאלון מקדים</w:t>
      </w:r>
      <w:r>
        <w:rPr>
          <w:rFonts w:ascii="David" w:eastAsia="David" w:hAnsi="David" w:cs="David"/>
          <w:b/>
          <w:sz w:val="24"/>
          <w:szCs w:val="24"/>
          <w:rtl/>
        </w:rPr>
        <w:t>/</w:t>
      </w:r>
      <w:r>
        <w:rPr>
          <w:rFonts w:ascii="David" w:eastAsia="David" w:hAnsi="David" w:cs="David"/>
          <w:b/>
          <w:sz w:val="24"/>
          <w:szCs w:val="24"/>
          <w:rtl/>
          <w:lang w:bidi="he-IL"/>
        </w:rPr>
        <w:t>מסכם</w:t>
      </w:r>
      <w:r>
        <w:rPr>
          <w:rFonts w:ascii="David" w:eastAsia="David" w:hAnsi="David" w:cs="David"/>
          <w:b/>
          <w:sz w:val="24"/>
          <w:szCs w:val="24"/>
          <w:rtl/>
        </w:rPr>
        <w:t>.</w:t>
      </w:r>
    </w:p>
    <w:p w14:paraId="48F423E1" w14:textId="77777777" w:rsidR="005B7BF6" w:rsidRDefault="00F10791">
      <w:pPr>
        <w:numPr>
          <w:ilvl w:val="0"/>
          <w:numId w:val="4"/>
        </w:numPr>
        <w:bidi/>
        <w:spacing w:before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i/>
          <w:sz w:val="24"/>
          <w:szCs w:val="24"/>
          <w:rtl/>
          <w:lang w:bidi="he-IL"/>
        </w:rPr>
        <w:t>מטלה מילולית</w:t>
      </w:r>
      <w:r>
        <w:rPr>
          <w:rFonts w:ascii="David" w:eastAsia="David" w:hAnsi="David" w:cs="David"/>
          <w:sz w:val="24"/>
          <w:szCs w:val="24"/>
          <w:rtl/>
        </w:rPr>
        <w:t xml:space="preserve">: 10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טענות הכלה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לדוגמה </w:t>
      </w:r>
      <w:r>
        <w:rPr>
          <w:rFonts w:ascii="David" w:eastAsia="David" w:hAnsi="David" w:cs="David"/>
          <w:sz w:val="24"/>
          <w:szCs w:val="24"/>
          <w:rtl/>
        </w:rPr>
        <w:t>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האם מקבילית היא טרפז</w:t>
      </w:r>
      <w:r>
        <w:rPr>
          <w:rFonts w:ascii="David" w:eastAsia="David" w:hAnsi="David" w:cs="David"/>
          <w:sz w:val="24"/>
          <w:szCs w:val="24"/>
          <w:rtl/>
        </w:rPr>
        <w:t xml:space="preserve">?”).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הנחקרים סימנו כן</w:t>
      </w:r>
      <w:r>
        <w:rPr>
          <w:rFonts w:ascii="David" w:eastAsia="David" w:hAnsi="David" w:cs="David"/>
          <w:sz w:val="24"/>
          <w:szCs w:val="24"/>
          <w:rtl/>
        </w:rPr>
        <w:t>/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</w:t>
      </w:r>
      <w:r>
        <w:rPr>
          <w:rFonts w:ascii="David" w:eastAsia="David" w:hAnsi="David" w:cs="David"/>
          <w:sz w:val="24"/>
          <w:szCs w:val="24"/>
          <w:rtl/>
        </w:rPr>
        <w:t>/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בטוח וכתבו נימוק חופשי</w:t>
      </w:r>
      <w:r>
        <w:rPr>
          <w:rFonts w:ascii="David" w:eastAsia="David" w:hAnsi="David" w:cs="David"/>
          <w:sz w:val="24"/>
          <w:szCs w:val="24"/>
          <w:rtl/>
        </w:rPr>
        <w:t>. (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נספח </w:t>
      </w:r>
      <w:r>
        <w:rPr>
          <w:rFonts w:ascii="David" w:eastAsia="David" w:hAnsi="David" w:cs="David"/>
          <w:sz w:val="24"/>
          <w:szCs w:val="24"/>
          <w:rtl/>
        </w:rPr>
        <w:t>3)</w:t>
      </w:r>
      <w:r>
        <w:rPr>
          <w:rFonts w:ascii="David" w:eastAsia="David" w:hAnsi="David" w:cs="David"/>
          <w:sz w:val="24"/>
          <w:szCs w:val="24"/>
          <w:rtl/>
        </w:rPr>
        <w:br/>
      </w:r>
    </w:p>
    <w:p w14:paraId="59115324" w14:textId="77777777" w:rsidR="005B7BF6" w:rsidRDefault="00F10791">
      <w:pPr>
        <w:numPr>
          <w:ilvl w:val="0"/>
          <w:numId w:val="4"/>
        </w:numPr>
        <w:bidi/>
        <w:spacing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i/>
          <w:sz w:val="24"/>
          <w:szCs w:val="24"/>
          <w:rtl/>
          <w:lang w:bidi="he-IL"/>
        </w:rPr>
        <w:t xml:space="preserve">מטלה ויזואלית 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עשר צורות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פעם אחת במנח פרוטוטיפי ופעם נוספת בהטיות וסיבובים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עבור כל צורה דיווחו האם היא ריבוע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מלבן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מקבילית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דלתון או מעוין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והסבירו את בחירתם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</w:rPr>
        <w:br/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המטלות נבנו על בסיס הצעות מן הספרות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Haj-Yahya &amp; Hershkowitz</w:t>
      </w:r>
      <w:r>
        <w:rPr>
          <w:rFonts w:ascii="David" w:eastAsia="David" w:hAnsi="David" w:cs="David"/>
          <w:sz w:val="24"/>
          <w:szCs w:val="24"/>
          <w:rtl/>
        </w:rPr>
        <w:t xml:space="preserve">, 2013)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והושלמו בידי החוקרים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התרגום לערבית נעשה באותו נוהל של חלק א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כולל תרגום לאחור ופיילוט קטן לאימות בהירות הפריטים</w:t>
      </w:r>
      <w:r>
        <w:rPr>
          <w:rFonts w:ascii="David" w:eastAsia="David" w:hAnsi="David" w:cs="David"/>
          <w:sz w:val="24"/>
          <w:szCs w:val="24"/>
          <w:rtl/>
        </w:rPr>
        <w:t>. (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נספח</w:t>
      </w:r>
      <w:r>
        <w:rPr>
          <w:rFonts w:ascii="David" w:eastAsia="David" w:hAnsi="David" w:cs="David"/>
          <w:sz w:val="24"/>
          <w:szCs w:val="24"/>
        </w:rPr>
        <w:t xml:space="preserve"> 4)</w:t>
      </w:r>
      <w:r>
        <w:rPr>
          <w:rFonts w:ascii="David" w:eastAsia="David" w:hAnsi="David" w:cs="David"/>
          <w:sz w:val="24"/>
          <w:szCs w:val="24"/>
        </w:rPr>
        <w:br/>
      </w:r>
    </w:p>
    <w:p w14:paraId="08AF7535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 תשובות השאלונים הוצלבו עם האופן שבו הטענות עצמן נדונו במליאה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אם סטודנט </w:t>
      </w:r>
      <w:r>
        <w:rPr>
          <w:rFonts w:ascii="David" w:eastAsia="David" w:hAnsi="David" w:cs="David"/>
          <w:sz w:val="24"/>
          <w:szCs w:val="24"/>
          <w:rtl/>
        </w:rPr>
        <w:t>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תיקן</w:t>
      </w:r>
      <w:r>
        <w:rPr>
          <w:rFonts w:ascii="David" w:eastAsia="David" w:hAnsi="David" w:cs="David"/>
          <w:sz w:val="24"/>
          <w:szCs w:val="24"/>
          <w:rtl/>
        </w:rPr>
        <w:t xml:space="preserve">”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במפגש מאוחר טענה שבה שגה בשאלון הקדם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נבדקה דרך הנימוק כדי לאשש שהשינוי נבע מהבנה מושגית ולא מהנחיה חיצונית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4E301FA9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שילוב התצפיות האיכותניות עם המדדים הכמותיים שבשאלונים בשני החלקים אפשר לקבל תמונה רב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ממדית של התקדמות הסטודנטים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מצד אחד שינוי בהצלחה בזיהוי ובהגדרה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ומן הצד השני שינוי בלשון ההצדקה ובדינמיקה של שיח טיעוני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273B7315" w14:textId="77777777" w:rsidR="005B7BF6" w:rsidRDefault="00F10791">
      <w:pPr>
        <w:bidi/>
        <w:spacing w:before="240" w:line="360" w:lineRule="auto"/>
        <w:ind w:left="-320" w:right="860"/>
        <w:jc w:val="both"/>
        <w:rPr>
          <w:rFonts w:ascii="David" w:eastAsia="David" w:hAnsi="David" w:cs="David"/>
          <w:b/>
          <w:sz w:val="4"/>
          <w:szCs w:val="4"/>
        </w:rPr>
      </w:pPr>
      <w:r>
        <w:rPr>
          <w:rFonts w:ascii="David" w:eastAsia="David" w:hAnsi="David" w:cs="David"/>
          <w:b/>
          <w:sz w:val="4"/>
          <w:szCs w:val="4"/>
        </w:rPr>
        <w:t xml:space="preserve"> </w:t>
      </w:r>
    </w:p>
    <w:p w14:paraId="2EBABA8E" w14:textId="77777777" w:rsidR="005B7BF6" w:rsidRPr="00F10791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bCs/>
          <w:sz w:val="24"/>
          <w:szCs w:val="24"/>
        </w:rPr>
      </w:pPr>
      <w:r w:rsidRPr="00F10791">
        <w:rPr>
          <w:rFonts w:ascii="David" w:eastAsia="David" w:hAnsi="David" w:cs="David"/>
          <w:bCs/>
          <w:sz w:val="24"/>
          <w:szCs w:val="24"/>
          <w:rtl/>
          <w:lang w:bidi="he-IL"/>
        </w:rPr>
        <w:t>הליך המחקר</w:t>
      </w:r>
    </w:p>
    <w:p w14:paraId="4C93AFD4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המחקר בשני חלקיו התנהל בשלושה שלבים דומים לשתי הקבוצות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בשלב הראשון נאסף מידע בסיסי באמצעות שאלון מקדים אינדיבידואלי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שאִפשר למפות את הידע ההתחלתי של המשתתפים במושגים הנדונים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אלכסון ויחסי־הכלה</w:t>
      </w:r>
      <w:r>
        <w:rPr>
          <w:rFonts w:ascii="David" w:eastAsia="David" w:hAnsi="David" w:cs="David"/>
          <w:sz w:val="24"/>
          <w:szCs w:val="24"/>
          <w:rtl/>
        </w:rPr>
        <w:t xml:space="preserve">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בשלב השני התקיים רצף ההוראה</w:t>
      </w:r>
      <w:r>
        <w:rPr>
          <w:rFonts w:ascii="David" w:eastAsia="David" w:hAnsi="David" w:cs="David"/>
          <w:sz w:val="24"/>
          <w:szCs w:val="24"/>
          <w:rtl/>
        </w:rPr>
        <w:t>–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למידה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בכל מפגש נידון אירוע מתמטי רלוונטי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הדיון הכיתתי צולם בווידאו ותומלל במלואו לשם ניתוח טיעונים ודפוסי השתתפות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השלב השלישי כלל העברת שאלון מסכם זהה במבנה לשאלון הקדם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במטרה לבחון שינויים בהבנה ובהצדקה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שלושת השלבים התקיימו במקביל בשני שדות המחקר</w:t>
      </w:r>
      <w:r>
        <w:rPr>
          <w:rFonts w:ascii="David" w:eastAsia="David" w:hAnsi="David" w:cs="David"/>
          <w:sz w:val="24"/>
          <w:szCs w:val="24"/>
          <w:rtl/>
        </w:rPr>
        <w:t>—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קבוצת האלכסון וקבוצת יחסי־הכלה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58CD347A" w14:textId="6AE5D33C" w:rsidR="005B7BF6" w:rsidRPr="00F10791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bCs/>
          <w:sz w:val="24"/>
          <w:szCs w:val="24"/>
        </w:rPr>
      </w:pPr>
      <w:r w:rsidRPr="00F10791">
        <w:rPr>
          <w:rFonts w:ascii="David" w:eastAsia="David" w:hAnsi="David" w:cs="David"/>
          <w:bCs/>
          <w:sz w:val="24"/>
          <w:szCs w:val="24"/>
          <w:rtl/>
          <w:lang w:bidi="he-IL"/>
        </w:rPr>
        <w:t>ניתוח ועיבוד נתונים</w:t>
      </w:r>
    </w:p>
    <w:p w14:paraId="53630BB4" w14:textId="77777777" w:rsidR="005B7BF6" w:rsidRDefault="00F10791">
      <w:pPr>
        <w:bidi/>
        <w:spacing w:before="240" w:after="240" w:line="360" w:lineRule="auto"/>
        <w:ind w:left="500" w:right="820" w:hanging="36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1.</w:t>
      </w:r>
      <w:r>
        <w:rPr>
          <w:rFonts w:ascii="David" w:eastAsia="David" w:hAnsi="David" w:cs="David"/>
          <w:sz w:val="14"/>
          <w:szCs w:val="14"/>
        </w:rPr>
        <w:t xml:space="preserve">   </w:t>
      </w:r>
      <w:r>
        <w:rPr>
          <w:rFonts w:ascii="David" w:eastAsia="David" w:hAnsi="David" w:cs="David"/>
          <w:sz w:val="14"/>
          <w:szCs w:val="14"/>
        </w:rPr>
        <w:tab/>
      </w:r>
      <w:r>
        <w:rPr>
          <w:rFonts w:ascii="David" w:eastAsia="David" w:hAnsi="David" w:cs="David"/>
          <w:sz w:val="24"/>
          <w:szCs w:val="24"/>
          <w:rtl/>
          <w:lang w:bidi="he-IL"/>
        </w:rPr>
        <w:t>תצפיות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התצפיות נותחו בשני שלבים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השלב הראשון יתבסס על מודל הטיעון של טולמין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Toulmin</w:t>
      </w:r>
      <w:r>
        <w:rPr>
          <w:rFonts w:ascii="David" w:eastAsia="David" w:hAnsi="David" w:cs="David"/>
          <w:sz w:val="24"/>
          <w:szCs w:val="24"/>
          <w:rtl/>
        </w:rPr>
        <w:t xml:space="preserve">, 1969, 2003),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ויתחיל בבניית יומן טיעונים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אשר יתבסס על צפייה בכל דיוני המליאה שיתרחשו בכיתה והדגשת הדיונים בכל פעם שהמשתתפים מסיקים בהם מסקנות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lastRenderedPageBreak/>
        <w:t>מסקנות אלה סומנו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נאספו ואורגנו על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פי מרכיבי מודל הטיעון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נתונים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טענה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הצדקה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תימוכין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התנגדות והסתייגות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</w:p>
    <w:p w14:paraId="19C4DB00" w14:textId="77777777" w:rsidR="005B7BF6" w:rsidRDefault="00F10791">
      <w:pPr>
        <w:bidi/>
        <w:spacing w:before="240" w:after="240" w:line="360" w:lineRule="auto"/>
        <w:ind w:left="500" w:right="820" w:hanging="36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2.</w:t>
      </w:r>
      <w:r>
        <w:rPr>
          <w:rFonts w:ascii="David" w:eastAsia="David" w:hAnsi="David" w:cs="David"/>
          <w:sz w:val="14"/>
          <w:szCs w:val="14"/>
        </w:rPr>
        <w:t xml:space="preserve">   </w:t>
      </w:r>
      <w:r>
        <w:rPr>
          <w:rFonts w:ascii="David" w:eastAsia="David" w:hAnsi="David" w:cs="David"/>
          <w:sz w:val="14"/>
          <w:szCs w:val="14"/>
        </w:rPr>
        <w:tab/>
      </w:r>
      <w:r>
        <w:rPr>
          <w:rFonts w:ascii="David" w:eastAsia="David" w:hAnsi="David" w:cs="David"/>
          <w:sz w:val="24"/>
          <w:szCs w:val="24"/>
          <w:rtl/>
          <w:lang w:bidi="he-IL"/>
        </w:rPr>
        <w:t>משימות שאלון המסכם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הניתוח התבסס על ניתוח תוכן תמטי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Braun &amp; Clarke</w:t>
      </w:r>
      <w:r>
        <w:rPr>
          <w:rFonts w:ascii="David" w:eastAsia="David" w:hAnsi="David" w:cs="David"/>
          <w:sz w:val="24"/>
          <w:szCs w:val="24"/>
          <w:rtl/>
        </w:rPr>
        <w:t xml:space="preserve">, 2006)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במחקר א</w:t>
      </w:r>
      <w:proofErr w:type="gramStart"/>
      <w:r>
        <w:rPr>
          <w:rFonts w:ascii="David" w:eastAsia="David" w:hAnsi="David" w:cs="David"/>
          <w:sz w:val="24"/>
          <w:szCs w:val="24"/>
          <w:rtl/>
        </w:rPr>
        <w:t xml:space="preserve">' 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בהתבסס</w:t>
      </w:r>
      <w:proofErr w:type="gramEnd"/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 על הקטגוריות שעלו במחקרם של צמיר ועמיתיה </w:t>
      </w:r>
      <w:r>
        <w:rPr>
          <w:rFonts w:ascii="David" w:eastAsia="David" w:hAnsi="David" w:cs="David"/>
          <w:sz w:val="24"/>
          <w:szCs w:val="24"/>
          <w:rtl/>
        </w:rPr>
        <w:t>(</w:t>
      </w:r>
      <w:proofErr w:type="spellStart"/>
      <w:r>
        <w:rPr>
          <w:rFonts w:ascii="David" w:eastAsia="David" w:hAnsi="David" w:cs="David"/>
          <w:sz w:val="24"/>
          <w:szCs w:val="24"/>
        </w:rPr>
        <w:t>Tsamir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 et al., 2015)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 לגבי הגדרת מושגים גיאומטריים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כל הגדרה תיבחן לפי הממדים הבאים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הכלת התכונות הקריטיות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תכונות מספיקות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הגדרה מינימלית או מורחבת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אילו תכונות קריטיות נוספו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ואילו תכונות לא קריטיות נוספו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לגבי נכונות ההגדרה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נתבסס על ההגדרות המוצגות באתר משרד החינוך שהיוו בסיס לעבודתם של צמיר ועמיתיה </w:t>
      </w:r>
      <w:r>
        <w:rPr>
          <w:rFonts w:ascii="David" w:eastAsia="David" w:hAnsi="David" w:cs="David"/>
          <w:sz w:val="24"/>
          <w:szCs w:val="24"/>
          <w:rtl/>
        </w:rPr>
        <w:t>(</w:t>
      </w:r>
      <w:proofErr w:type="spellStart"/>
      <w:r>
        <w:rPr>
          <w:rFonts w:ascii="David" w:eastAsia="David" w:hAnsi="David" w:cs="David"/>
          <w:sz w:val="24"/>
          <w:szCs w:val="24"/>
        </w:rPr>
        <w:t>Tsamir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 et al</w:t>
      </w:r>
      <w:r>
        <w:rPr>
          <w:rFonts w:ascii="David" w:eastAsia="David" w:hAnsi="David" w:cs="David"/>
          <w:sz w:val="24"/>
          <w:szCs w:val="24"/>
          <w:rtl/>
        </w:rPr>
        <w:t xml:space="preserve">, 2015).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ובמחקר ב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בהתבסס על הקטיגוריות שהוצגו ע</w:t>
      </w:r>
      <w:r>
        <w:rPr>
          <w:rFonts w:ascii="David" w:eastAsia="David" w:hAnsi="David" w:cs="David"/>
          <w:sz w:val="24"/>
          <w:szCs w:val="24"/>
          <w:rtl/>
        </w:rPr>
        <w:t>"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 חאג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יחיא והרשקוביץ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Haj-</w:t>
      </w:r>
      <w:proofErr w:type="spellStart"/>
      <w:r>
        <w:rPr>
          <w:rFonts w:ascii="David" w:eastAsia="David" w:hAnsi="David" w:cs="David"/>
          <w:sz w:val="24"/>
          <w:szCs w:val="24"/>
        </w:rPr>
        <w:t>Yhaya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 &amp; Hershkowitz</w:t>
      </w:r>
      <w:r>
        <w:rPr>
          <w:rFonts w:ascii="David" w:eastAsia="David" w:hAnsi="David" w:cs="David"/>
          <w:sz w:val="24"/>
          <w:szCs w:val="24"/>
          <w:rtl/>
        </w:rPr>
        <w:t xml:space="preserve">, 2013)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ועוד קטגוריות אחרות שצמחו מתוך הניתוח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</w:rPr>
        <w:t xml:space="preserve"> </w:t>
      </w:r>
    </w:p>
    <w:p w14:paraId="301243FA" w14:textId="77777777" w:rsidR="005B7BF6" w:rsidRDefault="00F10791">
      <w:pPr>
        <w:bidi/>
        <w:spacing w:before="240" w:after="240" w:line="360" w:lineRule="auto"/>
        <w:ind w:left="140"/>
        <w:jc w:val="both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בהתבסס על הניתוח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נבנו טבלת שכיחויות של תשובות המשתתפים בכל הקטגוריות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טבלת שכיחויות המתארת את אחוזי ההצלחה של התלמידים בזיהוי צורות של המושגים מתוך כל קטיגוריות ההגדרות שהתקבלו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ולטבלה המציגה שכיחויות זיהוי נכון או לא נכון בהתבסס על מחוון החוקרים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ניתוח הנתונים הנגזרים משלושת כלי המחקר בוצע ע</w:t>
      </w:r>
      <w:r>
        <w:rPr>
          <w:rFonts w:ascii="David" w:eastAsia="David" w:hAnsi="David" w:cs="David"/>
          <w:sz w:val="24"/>
          <w:szCs w:val="24"/>
          <w:rtl/>
        </w:rPr>
        <w:t>"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 כל חוקר בנפרד בתהליך איטרטיבי בהתבסס על השיטות שהוסברו לעיל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בתום הניתוח נערכה השוואה בין ממצאי הניתוחים של החוקרים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במקרה של שוני בין תוצאות הניתוחים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יתקיים דיון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6D82B044" w14:textId="77777777" w:rsidR="00F10791" w:rsidRDefault="00F10791" w:rsidP="00F10791">
      <w:pPr>
        <w:bidi/>
        <w:spacing w:before="240" w:after="240" w:line="360" w:lineRule="auto"/>
        <w:jc w:val="both"/>
        <w:rPr>
          <w:rFonts w:ascii="David" w:eastAsia="David" w:hAnsi="David" w:cs="David"/>
          <w:bCs/>
          <w:sz w:val="24"/>
          <w:szCs w:val="24"/>
          <w:rtl/>
          <w:lang w:bidi="he-IL"/>
        </w:rPr>
      </w:pPr>
    </w:p>
    <w:p w14:paraId="47C69168" w14:textId="051E1119" w:rsidR="005B7BF6" w:rsidRPr="00F10791" w:rsidRDefault="00F10791" w:rsidP="00F10791">
      <w:pPr>
        <w:bidi/>
        <w:spacing w:before="240" w:after="240" w:line="360" w:lineRule="auto"/>
        <w:jc w:val="both"/>
        <w:rPr>
          <w:rFonts w:ascii="David" w:eastAsia="David" w:hAnsi="David" w:cs="David"/>
          <w:bCs/>
          <w:sz w:val="24"/>
          <w:szCs w:val="24"/>
        </w:rPr>
      </w:pPr>
      <w:r w:rsidRPr="00F10791">
        <w:rPr>
          <w:rFonts w:ascii="David" w:eastAsia="David" w:hAnsi="David" w:cs="David"/>
          <w:bCs/>
          <w:sz w:val="24"/>
          <w:szCs w:val="24"/>
          <w:rtl/>
          <w:lang w:bidi="he-IL"/>
        </w:rPr>
        <w:t>תוכנית ההתערבות</w:t>
      </w:r>
      <w:r w:rsidRPr="00F10791">
        <w:rPr>
          <w:rFonts w:ascii="David" w:eastAsia="David" w:hAnsi="David" w:cs="David"/>
          <w:bCs/>
          <w:sz w:val="24"/>
          <w:szCs w:val="24"/>
          <w:rtl/>
        </w:rPr>
        <w:t xml:space="preserve">- </w:t>
      </w:r>
      <w:r w:rsidRPr="00F10791">
        <w:rPr>
          <w:rFonts w:ascii="David" w:eastAsia="David" w:hAnsi="David" w:cs="David"/>
          <w:bCs/>
          <w:sz w:val="24"/>
          <w:szCs w:val="24"/>
          <w:rtl/>
          <w:lang w:bidi="he-IL"/>
        </w:rPr>
        <w:t>אירועים מתמטיים</w:t>
      </w:r>
    </w:p>
    <w:p w14:paraId="27C5167A" w14:textId="1CB27423" w:rsidR="005B7BF6" w:rsidRDefault="00F10791" w:rsidP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  <w:lang w:bidi="he-IL"/>
        </w:rPr>
        <w:t>תוכנית</w:t>
      </w:r>
      <w:r>
        <w:rPr>
          <w:rFonts w:ascii="David" w:eastAsia="David" w:hAnsi="David" w:cs="David" w:hint="cs"/>
          <w:b/>
          <w:sz w:val="24"/>
          <w:szCs w:val="24"/>
          <w:rtl/>
          <w:lang w:bidi="he-IL"/>
        </w:rPr>
        <w:t xml:space="preserve"> </w:t>
      </w:r>
      <w:r>
        <w:rPr>
          <w:rFonts w:ascii="David" w:eastAsia="David" w:hAnsi="David" w:cs="David"/>
          <w:b/>
          <w:sz w:val="24"/>
          <w:szCs w:val="24"/>
          <w:rtl/>
          <w:lang w:bidi="he-IL"/>
        </w:rPr>
        <w:t>ההתערבות</w:t>
      </w:r>
      <w:r>
        <w:rPr>
          <w:rFonts w:ascii="David" w:eastAsia="David" w:hAnsi="David" w:cs="David" w:hint="cs"/>
          <w:b/>
          <w:sz w:val="24"/>
          <w:szCs w:val="24"/>
          <w:rtl/>
          <w:lang w:bidi="he-IL"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במרכזה של שתי קבוצות המחקר עומד עיצוב רצף אירועים מתמטיים המשלב הצגת טענות מנוגדות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ניתוח קונפליקטים מושגיים ושיח טיעוני בכיתה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4EFC1C0A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במחקר א</w:t>
      </w:r>
      <w:r>
        <w:rPr>
          <w:rFonts w:ascii="David" w:eastAsia="David" w:hAnsi="David" w:cs="David"/>
          <w:sz w:val="24"/>
          <w:szCs w:val="24"/>
          <w:rtl/>
        </w:rPr>
        <w:t>’ (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מושג האלכסון</w:t>
      </w:r>
      <w:r>
        <w:rPr>
          <w:rFonts w:ascii="David" w:eastAsia="David" w:hAnsi="David" w:cs="David"/>
          <w:sz w:val="24"/>
          <w:szCs w:val="24"/>
          <w:rtl/>
        </w:rPr>
        <w:t xml:space="preserve">)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חולקו שני אירועים מרכזיים למספר חלקים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בכל חלק הוצג קטע </w:t>
      </w:r>
      <w:r>
        <w:rPr>
          <w:rFonts w:ascii="David" w:eastAsia="David" w:hAnsi="David" w:cs="David"/>
          <w:sz w:val="24"/>
          <w:szCs w:val="24"/>
          <w:rtl/>
        </w:rPr>
        <w:t>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טעון</w:t>
      </w:r>
      <w:r>
        <w:rPr>
          <w:rFonts w:ascii="David" w:eastAsia="David" w:hAnsi="David" w:cs="David"/>
          <w:sz w:val="24"/>
          <w:szCs w:val="24"/>
          <w:rtl/>
        </w:rPr>
        <w:t xml:space="preserve">”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כנקודת זינוק</w:t>
      </w:r>
      <w:r>
        <w:rPr>
          <w:rFonts w:ascii="David" w:eastAsia="David" w:hAnsi="David" w:cs="David"/>
          <w:sz w:val="24"/>
          <w:szCs w:val="24"/>
          <w:rtl/>
        </w:rPr>
        <w:t>—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למשל טענה שהקטע החיצוני במצולע אינו אלכסון</w:t>
      </w:r>
      <w:r>
        <w:rPr>
          <w:rFonts w:ascii="David" w:eastAsia="David" w:hAnsi="David" w:cs="David"/>
          <w:sz w:val="24"/>
          <w:szCs w:val="24"/>
          <w:rtl/>
        </w:rPr>
        <w:t>—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ואתגר את ההגדרה הפורמלית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הסטודנטים הוזמנו להתבונן בתצוגות חזותיות שונות של אלכסונים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פנימיים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חיצוניים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חוצים צלעות</w:t>
      </w:r>
      <w:r>
        <w:rPr>
          <w:rFonts w:ascii="David" w:eastAsia="David" w:hAnsi="David" w:cs="David"/>
          <w:sz w:val="24"/>
          <w:szCs w:val="24"/>
          <w:rtl/>
        </w:rPr>
        <w:t xml:space="preserve">)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ולהתעמת עם ההגדרה </w:t>
      </w:r>
      <w:r>
        <w:rPr>
          <w:rFonts w:ascii="David" w:eastAsia="David" w:hAnsi="David" w:cs="David"/>
          <w:sz w:val="24"/>
          <w:szCs w:val="24"/>
          <w:rtl/>
        </w:rPr>
        <w:t>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קטע המחבר שני קודקודים שאינם סמוכים</w:t>
      </w:r>
      <w:r>
        <w:rPr>
          <w:rFonts w:ascii="David" w:eastAsia="David" w:hAnsi="David" w:cs="David"/>
          <w:sz w:val="24"/>
          <w:szCs w:val="24"/>
          <w:rtl/>
        </w:rPr>
        <w:t xml:space="preserve">”.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בכל מפגש החוקרת הראשית הדריכה את הדיון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שאפה להבליט את תכונות הליבה של האלכסון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עודדה ניסוח טיעונים מבוססי הגדרה וביסוס גיבוי ראייתי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ויצרה הזדמנויות לניתוח והתייחסות לטעות כשהיא עולה בדיון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דוגמא לאירוע באיור </w:t>
      </w:r>
      <w:r>
        <w:rPr>
          <w:rFonts w:ascii="David" w:eastAsia="David" w:hAnsi="David" w:cs="David"/>
          <w:sz w:val="24"/>
          <w:szCs w:val="24"/>
          <w:rtl/>
        </w:rPr>
        <w:t>1</w:t>
      </w:r>
    </w:p>
    <w:p w14:paraId="38CC7DAE" w14:textId="77777777" w:rsidR="005B7BF6" w:rsidRDefault="00F10791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noProof/>
          <w:sz w:val="24"/>
          <w:szCs w:val="24"/>
        </w:rPr>
        <w:lastRenderedPageBreak/>
        <w:drawing>
          <wp:inline distT="114300" distB="114300" distL="114300" distR="114300" wp14:anchorId="74833500" wp14:editId="68952C38">
            <wp:extent cx="5731200" cy="3009900"/>
            <wp:effectExtent l="0" t="0" r="0" b="0"/>
            <wp:docPr id="23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0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FE5215" w14:textId="77777777" w:rsidR="005B7BF6" w:rsidRDefault="00F10791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noProof/>
          <w:sz w:val="14"/>
          <w:szCs w:val="14"/>
        </w:rPr>
        <w:drawing>
          <wp:inline distT="114300" distB="114300" distL="114300" distR="114300" wp14:anchorId="3DCE5DD9" wp14:editId="30F33130">
            <wp:extent cx="5657850" cy="3016370"/>
            <wp:effectExtent l="0" t="0" r="0" b="0"/>
            <wp:docPr id="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016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9FA940" w14:textId="6BED209E" w:rsidR="005B7BF6" w:rsidRDefault="00F10791" w:rsidP="00F10791">
      <w:pPr>
        <w:bidi/>
        <w:spacing w:before="240" w:after="240" w:line="360" w:lineRule="auto"/>
        <w:jc w:val="center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איור </w:t>
      </w:r>
      <w:r>
        <w:rPr>
          <w:rFonts w:ascii="David" w:eastAsia="David" w:hAnsi="David" w:cs="David"/>
          <w:sz w:val="24"/>
          <w:szCs w:val="24"/>
          <w:rtl/>
        </w:rPr>
        <w:t>2</w:t>
      </w:r>
      <w:r>
        <w:rPr>
          <w:rFonts w:ascii="David" w:eastAsia="David" w:hAnsi="David" w:cs="David" w:hint="cs"/>
          <w:sz w:val="24"/>
          <w:szCs w:val="24"/>
          <w:rtl/>
          <w:lang w:bidi="he-IL"/>
        </w:rPr>
        <w:t xml:space="preserve">. 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אירוע מתמטי באלכסון</w:t>
      </w:r>
    </w:p>
    <w:p w14:paraId="122CC9E1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במחקר ב</w:t>
      </w:r>
      <w:r>
        <w:rPr>
          <w:rFonts w:ascii="David" w:eastAsia="David" w:hAnsi="David" w:cs="David"/>
          <w:sz w:val="24"/>
          <w:szCs w:val="24"/>
          <w:rtl/>
        </w:rPr>
        <w:t>’ (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יחסי־הכלה בין מרובעים</w:t>
      </w:r>
      <w:r>
        <w:rPr>
          <w:rFonts w:ascii="David" w:eastAsia="David" w:hAnsi="David" w:cs="David"/>
          <w:sz w:val="24"/>
          <w:szCs w:val="24"/>
          <w:rtl/>
        </w:rPr>
        <w:t xml:space="preserve">)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הועמדו בשלושה מפגשים שלושה </w:t>
      </w:r>
      <w:r>
        <w:rPr>
          <w:rFonts w:ascii="David" w:eastAsia="David" w:hAnsi="David" w:cs="David"/>
          <w:sz w:val="24"/>
          <w:szCs w:val="24"/>
          <w:rtl/>
        </w:rPr>
        <w:t>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אירועים</w:t>
      </w:r>
      <w:r>
        <w:rPr>
          <w:rFonts w:ascii="David" w:eastAsia="David" w:hAnsi="David" w:cs="David"/>
          <w:sz w:val="24"/>
          <w:szCs w:val="24"/>
          <w:rtl/>
        </w:rPr>
        <w:t xml:space="preserve">”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סביב טענות יסוד</w:t>
      </w:r>
      <w:r>
        <w:rPr>
          <w:rFonts w:ascii="David" w:eastAsia="David" w:hAnsi="David" w:cs="David"/>
          <w:sz w:val="24"/>
          <w:szCs w:val="24"/>
          <w:rtl/>
        </w:rPr>
        <w:t>: 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ריבוע הוא מלבן</w:t>
      </w:r>
      <w:r>
        <w:rPr>
          <w:rFonts w:ascii="David" w:eastAsia="David" w:hAnsi="David" w:cs="David"/>
          <w:sz w:val="24"/>
          <w:szCs w:val="24"/>
          <w:rtl/>
        </w:rPr>
        <w:t>”, 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ריבוע הוא דלתון</w:t>
      </w:r>
      <w:r>
        <w:rPr>
          <w:rFonts w:ascii="David" w:eastAsia="David" w:hAnsi="David" w:cs="David"/>
          <w:sz w:val="24"/>
          <w:szCs w:val="24"/>
          <w:rtl/>
        </w:rPr>
        <w:t xml:space="preserve">”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>-“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מלבן הוא מקבילית</w:t>
      </w:r>
      <w:r>
        <w:rPr>
          <w:rFonts w:ascii="David" w:eastAsia="David" w:hAnsi="David" w:cs="David"/>
          <w:sz w:val="24"/>
          <w:szCs w:val="24"/>
          <w:rtl/>
        </w:rPr>
        <w:t xml:space="preserve">”.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בכל מפגש הוצגה טענה פרובוקטיבית שהתבססה על טעות פרוטוטיפית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והסטודנטים נתבקשו לפרק אותה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לזהות את המאפיינים הקריטיים המפרידים בין הצורות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להציג נימוקים פורמליים ולנתח מדוע התבנית הוויזואלית המיידית מטעה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האירועים פותחו בהשראת ממצאים מקבוצות מחקר קודמות </w:t>
      </w:r>
      <w:r>
        <w:rPr>
          <w:rFonts w:ascii="David" w:eastAsia="David" w:hAnsi="David" w:cs="David"/>
          <w:sz w:val="24"/>
          <w:szCs w:val="24"/>
          <w:rtl/>
        </w:rPr>
        <w:t>(</w:t>
      </w:r>
      <w:proofErr w:type="spellStart"/>
      <w:r>
        <w:rPr>
          <w:rFonts w:ascii="David" w:eastAsia="David" w:hAnsi="David" w:cs="David"/>
          <w:sz w:val="24"/>
          <w:szCs w:val="24"/>
        </w:rPr>
        <w:t>Tsamir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 et al., 2008; Okazaki &amp; Fujita, 2007; Zeybek</w:t>
      </w:r>
      <w:r>
        <w:rPr>
          <w:rFonts w:ascii="David" w:eastAsia="David" w:hAnsi="David" w:cs="David"/>
          <w:sz w:val="24"/>
          <w:szCs w:val="24"/>
          <w:rtl/>
        </w:rPr>
        <w:t xml:space="preserve">, 2018)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ונועדו להעמיק את המעבר מהסתמכות על </w:t>
      </w:r>
      <w:r>
        <w:rPr>
          <w:rFonts w:ascii="David" w:eastAsia="David" w:hAnsi="David" w:cs="David"/>
          <w:sz w:val="24"/>
          <w:szCs w:val="24"/>
          <w:rtl/>
        </w:rPr>
        <w:t>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מה שנראה</w:t>
      </w:r>
      <w:r>
        <w:rPr>
          <w:rFonts w:ascii="David" w:eastAsia="David" w:hAnsi="David" w:cs="David"/>
          <w:sz w:val="24"/>
          <w:szCs w:val="24"/>
          <w:rtl/>
        </w:rPr>
        <w:t xml:space="preserve">”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להבנה מושגית מבוססת הגדרה</w:t>
      </w:r>
      <w:r>
        <w:rPr>
          <w:rFonts w:ascii="David" w:eastAsia="David" w:hAnsi="David" w:cs="David"/>
          <w:sz w:val="24"/>
          <w:szCs w:val="24"/>
          <w:rtl/>
        </w:rPr>
        <w:t xml:space="preserve">. 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דוגמא לאירוע מתמטי באיור </w:t>
      </w:r>
      <w:r>
        <w:rPr>
          <w:rFonts w:ascii="David" w:eastAsia="David" w:hAnsi="David" w:cs="David"/>
          <w:sz w:val="24"/>
          <w:szCs w:val="24"/>
          <w:rtl/>
        </w:rPr>
        <w:t>3.</w:t>
      </w:r>
    </w:p>
    <w:p w14:paraId="5B49771B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2C6B33C1" w14:textId="77777777" w:rsidR="005B7BF6" w:rsidRDefault="00F10791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noProof/>
          <w:sz w:val="24"/>
          <w:szCs w:val="24"/>
        </w:rPr>
        <w:lastRenderedPageBreak/>
        <w:drawing>
          <wp:inline distT="114300" distB="114300" distL="114300" distR="114300" wp14:anchorId="7CB2D2BA" wp14:editId="734B3708">
            <wp:extent cx="5731200" cy="3454400"/>
            <wp:effectExtent l="0" t="0" r="0" b="0"/>
            <wp:docPr id="12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45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AD5100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איור </w:t>
      </w:r>
      <w:r>
        <w:rPr>
          <w:rFonts w:ascii="David" w:eastAsia="David" w:hAnsi="David" w:cs="David"/>
          <w:sz w:val="24"/>
          <w:szCs w:val="24"/>
          <w:rtl/>
        </w:rPr>
        <w:t xml:space="preserve">3 .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אירוע מתמטי ביחסי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הכלה</w:t>
      </w:r>
    </w:p>
    <w:p w14:paraId="3F093754" w14:textId="77777777" w:rsidR="005B7BF6" w:rsidRDefault="005B7BF6">
      <w:pPr>
        <w:bidi/>
        <w:spacing w:before="240" w:after="240" w:line="360" w:lineRule="auto"/>
        <w:ind w:left="140"/>
        <w:jc w:val="both"/>
        <w:rPr>
          <w:rFonts w:ascii="David" w:eastAsia="David" w:hAnsi="David" w:cs="David"/>
          <w:sz w:val="24"/>
          <w:szCs w:val="24"/>
        </w:rPr>
      </w:pPr>
    </w:p>
    <w:p w14:paraId="5F9C728C" w14:textId="77777777" w:rsidR="005B7BF6" w:rsidRPr="00F10791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b/>
          <w:bCs/>
          <w:sz w:val="24"/>
          <w:szCs w:val="24"/>
        </w:rPr>
      </w:pPr>
      <w:r w:rsidRPr="00F10791">
        <w:rPr>
          <w:rFonts w:ascii="David" w:eastAsia="David" w:hAnsi="David" w:cs="David"/>
          <w:b/>
          <w:bCs/>
          <w:sz w:val="24"/>
          <w:szCs w:val="24"/>
          <w:rtl/>
          <w:lang w:bidi="he-IL"/>
        </w:rPr>
        <w:t>סוגיות אתיות והבטחת זכויות המשתתפים</w:t>
      </w:r>
    </w:p>
    <w:p w14:paraId="0FE34752" w14:textId="5841C80A" w:rsidR="005B7BF6" w:rsidRDefault="00F10791" w:rsidP="000F7D40">
      <w:pPr>
        <w:bidi/>
        <w:spacing w:before="240" w:after="240" w:line="360" w:lineRule="auto"/>
        <w:ind w:left="14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המחקר הוא מחקר פעולה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שבו החוקר בודק את תהליך ההוראה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למידה במסגרת קורס שהוא מלמד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במטרה להבטיח את זכויות המשתתפים במחקר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הם קבלו מהחוקר הסבר מלא על מטרות המחקר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מהלכו והתועלת תוך הדגשת האפשרות לפרוש מהמחקר בכל עת ללא מתן הסבר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המשתתפים נתנו את הסכמתם בכתב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והובהר להם שאין קשר בין השתתפותם במחקר לבין ציונם בקורס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תיעוד ההשתתפות בתהליך ההוראה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למידה וצילום המהלכים התבצע בהסכמה מפורשת של המשתתפים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בנוסף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התיעוד נערך בלי לחשוף את פני המשתתפים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כל השאלונים והסרטים המצולמים נשמרים בארון נעול שהגישה אליו תינתן רק לחוקרים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ולא מסר כל פרט מזהה הנוגע </w:t>
      </w:r>
      <w:r w:rsidR="000F7D40">
        <w:rPr>
          <w:rFonts w:ascii="David" w:eastAsia="David" w:hAnsi="David" w:cs="David" w:hint="cs"/>
          <w:sz w:val="24"/>
          <w:szCs w:val="24"/>
          <w:rtl/>
          <w:lang w:bidi="he-IL"/>
        </w:rPr>
        <w:t>למשתתפים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 בכל דיווח על ממצאי המחקר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כל מידע אישי לא רלוונטי יוסר מממצאי המחקר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כל תמלולי השיח היה דרך שימוש בשמות בדויים וזהותם של המשתתפים לא נחשפה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המחקר ותוצאותיו שמשו רק לצורכי המחקר בלבד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מובן שללא רשות המחקר במוסד הנבחר למחקר</w:t>
      </w:r>
      <w:r>
        <w:rPr>
          <w:rFonts w:ascii="David" w:eastAsia="David" w:hAnsi="David" w:cs="David"/>
          <w:sz w:val="24"/>
          <w:szCs w:val="24"/>
          <w:rtl/>
        </w:rPr>
        <w:t xml:space="preserve"> –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 התקיים מחקר זה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כמו כן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דוח המחקר לא יכלול פרטים על המשתתפים או על המוסד המשתתף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1D33BBD4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br w:type="page"/>
      </w:r>
    </w:p>
    <w:p w14:paraId="64B97FD7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3B6A546A" w14:textId="77777777" w:rsidR="005B7BF6" w:rsidRPr="00091637" w:rsidRDefault="00F10791">
      <w:pPr>
        <w:bidi/>
        <w:spacing w:before="240" w:after="240" w:line="360" w:lineRule="auto"/>
        <w:ind w:left="140"/>
        <w:jc w:val="center"/>
        <w:rPr>
          <w:rFonts w:ascii="David" w:eastAsia="David" w:hAnsi="David" w:cs="David"/>
          <w:bCs/>
          <w:sz w:val="28"/>
          <w:szCs w:val="28"/>
        </w:rPr>
      </w:pPr>
      <w:r w:rsidRPr="00091637">
        <w:rPr>
          <w:rFonts w:ascii="David" w:eastAsia="David" w:hAnsi="David" w:cs="David"/>
          <w:bCs/>
          <w:sz w:val="28"/>
          <w:szCs w:val="28"/>
          <w:rtl/>
          <w:lang w:bidi="he-IL"/>
        </w:rPr>
        <w:t>ממצאים</w:t>
      </w:r>
      <w:r w:rsidRPr="00091637">
        <w:rPr>
          <w:rFonts w:ascii="David" w:eastAsia="David" w:hAnsi="David" w:cs="David"/>
          <w:bCs/>
          <w:sz w:val="28"/>
          <w:szCs w:val="28"/>
        </w:rPr>
        <w:t xml:space="preserve"> </w:t>
      </w:r>
    </w:p>
    <w:p w14:paraId="79354344" w14:textId="77777777" w:rsidR="005B7BF6" w:rsidRDefault="00F10791">
      <w:pPr>
        <w:bidi/>
        <w:spacing w:before="240" w:after="240" w:line="360" w:lineRule="auto"/>
        <w:ind w:left="14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פרק זה נדווח בהתחלה על ממצאי מחקר א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ואחר כך נציג ממצאי מחקר ב</w:t>
      </w:r>
      <w:r>
        <w:rPr>
          <w:rFonts w:ascii="David" w:eastAsia="David" w:hAnsi="David" w:cs="David"/>
          <w:sz w:val="24"/>
          <w:szCs w:val="24"/>
          <w:rtl/>
        </w:rPr>
        <w:t>'</w:t>
      </w:r>
    </w:p>
    <w:p w14:paraId="0B6282F7" w14:textId="77777777" w:rsidR="005B7BF6" w:rsidRPr="00091637" w:rsidRDefault="00F10791">
      <w:pPr>
        <w:pStyle w:val="Heading1"/>
        <w:keepNext w:val="0"/>
        <w:keepLines w:val="0"/>
        <w:bidi/>
        <w:spacing w:before="480" w:line="360" w:lineRule="auto"/>
        <w:jc w:val="both"/>
        <w:rPr>
          <w:rFonts w:ascii="David" w:eastAsia="David" w:hAnsi="David" w:cs="David"/>
          <w:bCs/>
          <w:sz w:val="24"/>
          <w:szCs w:val="24"/>
        </w:rPr>
      </w:pPr>
      <w:bookmarkStart w:id="2" w:name="_9muti2qmhzf8" w:colFirst="0" w:colLast="0"/>
      <w:bookmarkEnd w:id="2"/>
      <w:r w:rsidRPr="00091637">
        <w:rPr>
          <w:rFonts w:ascii="David" w:eastAsia="David" w:hAnsi="David" w:cs="David"/>
          <w:bCs/>
          <w:sz w:val="24"/>
          <w:szCs w:val="24"/>
          <w:rtl/>
          <w:lang w:bidi="he-IL"/>
        </w:rPr>
        <w:t>ממצאי מחקר א</w:t>
      </w:r>
      <w:r w:rsidRPr="00091637">
        <w:rPr>
          <w:rFonts w:ascii="David" w:eastAsia="David" w:hAnsi="David" w:cs="David"/>
          <w:bCs/>
          <w:sz w:val="24"/>
          <w:szCs w:val="24"/>
          <w:rtl/>
        </w:rPr>
        <w:t xml:space="preserve">' - </w:t>
      </w:r>
      <w:r w:rsidRPr="00091637">
        <w:rPr>
          <w:rFonts w:ascii="David" w:eastAsia="David" w:hAnsi="David" w:cs="David"/>
          <w:bCs/>
          <w:sz w:val="24"/>
          <w:szCs w:val="24"/>
          <w:rtl/>
          <w:lang w:bidi="he-IL"/>
        </w:rPr>
        <w:t>הגדרת האלכסון</w:t>
      </w:r>
    </w:p>
    <w:p w14:paraId="5D46E990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הממצאים הנגזרים מהשאלון המקדים מצביעים שחלק מהמשתתפים אינו יכול לזהות את האלכסון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בנוסף גם מאלה המצליחים לזהות את האלכסון עדיין לא מצליחים לקשר בין ההגדרה הפורמלית לבין דוגמאות לא טיפוסיות של אלכסון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טבלה </w:t>
      </w:r>
      <w:r>
        <w:rPr>
          <w:rFonts w:ascii="David" w:eastAsia="David" w:hAnsi="David" w:cs="David"/>
          <w:sz w:val="24"/>
          <w:szCs w:val="24"/>
          <w:rtl/>
        </w:rPr>
        <w:t xml:space="preserve">2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מתארת  תשובות המשתתפים  ונימוקיהם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047B1D1F" w14:textId="77777777" w:rsidR="005B7BF6" w:rsidRPr="00091637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b/>
          <w:bCs/>
          <w:sz w:val="24"/>
          <w:szCs w:val="24"/>
        </w:rPr>
      </w:pPr>
      <w:r w:rsidRPr="00091637">
        <w:rPr>
          <w:rFonts w:ascii="David" w:eastAsia="David" w:hAnsi="David" w:cs="David"/>
          <w:b/>
          <w:bCs/>
          <w:sz w:val="24"/>
          <w:szCs w:val="24"/>
          <w:rtl/>
          <w:lang w:bidi="he-IL"/>
        </w:rPr>
        <w:t xml:space="preserve">טבלה </w:t>
      </w:r>
      <w:r w:rsidRPr="00091637">
        <w:rPr>
          <w:rFonts w:ascii="David" w:eastAsia="David" w:hAnsi="David" w:cs="David"/>
          <w:b/>
          <w:bCs/>
          <w:sz w:val="24"/>
          <w:szCs w:val="24"/>
          <w:rtl/>
        </w:rPr>
        <w:t>2.</w:t>
      </w:r>
    </w:p>
    <w:p w14:paraId="0218DFA5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 תשובות המשתתפים לזיהוי האלכסונים ונימוקיהם לשינוי בהגדרת האלכסון</w:t>
      </w:r>
    </w:p>
    <w:tbl>
      <w:tblPr>
        <w:tblStyle w:val="a0"/>
        <w:bidiVisual/>
        <w:tblW w:w="9067" w:type="dxa"/>
        <w:tblInd w:w="-172" w:type="dxa"/>
        <w:tblLayout w:type="fixed"/>
        <w:tblLook w:val="0600" w:firstRow="0" w:lastRow="0" w:firstColumn="0" w:lastColumn="0" w:noHBand="1" w:noVBand="1"/>
      </w:tblPr>
      <w:tblGrid>
        <w:gridCol w:w="2827"/>
        <w:gridCol w:w="1417"/>
        <w:gridCol w:w="3119"/>
        <w:gridCol w:w="1704"/>
      </w:tblGrid>
      <w:tr w:rsidR="005B7BF6" w14:paraId="52E36808" w14:textId="77777777" w:rsidTr="006E1877">
        <w:trPr>
          <w:trHeight w:val="1098"/>
        </w:trPr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864F5" w14:textId="77777777" w:rsidR="005B7BF6" w:rsidRDefault="00F10791" w:rsidP="000F7D40">
            <w:pPr>
              <w:bidi/>
              <w:spacing w:before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אירוע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5BE54" w14:textId="77777777" w:rsidR="005B7BF6" w:rsidRDefault="00F10791" w:rsidP="000F7D40">
            <w:pPr>
              <w:bidi/>
              <w:spacing w:before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המשתתפים שהסכימו עם התלמיד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39D9E" w14:textId="77777777" w:rsidR="005B7BF6" w:rsidRDefault="00F10791" w:rsidP="000F7D40">
            <w:pPr>
              <w:bidi/>
              <w:spacing w:before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אחוז המשתתפים שהציעו הרחבת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\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שינוי ההגדרה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28EF6" w14:textId="77777777" w:rsidR="005B7BF6" w:rsidRDefault="00F10791" w:rsidP="000F7D40">
            <w:pPr>
              <w:bidi/>
              <w:spacing w:before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דוגמאות מתשובות המשתתפים לשינוי ההגדרה</w:t>
            </w:r>
          </w:p>
        </w:tc>
      </w:tr>
      <w:tr w:rsidR="005B7BF6" w14:paraId="4AED9D9D" w14:textId="77777777" w:rsidTr="006E1877">
        <w:trPr>
          <w:trHeight w:val="1025"/>
        </w:trPr>
        <w:tc>
          <w:tcPr>
            <w:tcW w:w="282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ACDB3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אירוע א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':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 xml:space="preserve">התלמיד קבל הגדרת האלכסון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"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קטע מחבר בין שני קודקודים שאינם סמוכים במצולע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"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והוא נדרש להחליט אם הקוו האדום הינו אלכסון או לא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  <w:p w14:paraId="14524138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התלמיד בחר שהקוו האדום אינו אלכסון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והסביר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: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כי הוא מחוץ למצולע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  <w:p w14:paraId="329CB81E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rFonts w:ascii="David" w:eastAsia="David" w:hAnsi="David" w:cs="David"/>
                <w:noProof/>
                <w:sz w:val="24"/>
                <w:szCs w:val="24"/>
              </w:rPr>
              <w:drawing>
                <wp:inline distT="114300" distB="114300" distL="114300" distR="114300" wp14:anchorId="278B2BB6" wp14:editId="2118BE0F">
                  <wp:extent cx="809997" cy="890267"/>
                  <wp:effectExtent l="0" t="0" r="0" b="0"/>
                  <wp:docPr id="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997" cy="8902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2845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33%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5C2F2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50%</w:t>
            </w:r>
          </w:p>
          <w:p w14:paraId="32B49CA0" w14:textId="77777777" w:rsidR="005B7BF6" w:rsidRDefault="00F10791">
            <w:pPr>
              <w:bidi/>
              <w:spacing w:before="240" w:after="240"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רובם דרשו הצורך בהשלמת ההגדרה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ולהתייחס למיקום הקטע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. 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הן טוענות כי צריך לרשום בהגדרה שיש שתי אפשרויות למיקומו של האלכסון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: (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א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)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 xml:space="preserve">מוכל במצולע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(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ב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)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או מחוץ למצולע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97061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"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הייתי משנה את ההגדרה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.."</w:t>
            </w:r>
          </w:p>
          <w:p w14:paraId="7789134D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</w:p>
          <w:p w14:paraId="60B6578C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</w:p>
          <w:p w14:paraId="4E498953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"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האלכסון הוא קטע ישר בתוך המצולע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…"</w:t>
            </w:r>
          </w:p>
          <w:p w14:paraId="76260B77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</w:p>
          <w:p w14:paraId="2C92DE06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"</w:t>
            </w:r>
            <w:proofErr w:type="gram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..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האלכסון</w:t>
            </w:r>
            <w:proofErr w:type="gramEnd"/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 xml:space="preserve"> חייב לעבור בתוך המצולע ולא מחוץ לו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…"</w:t>
            </w:r>
          </w:p>
          <w:p w14:paraId="195C6785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</w:p>
          <w:p w14:paraId="08FC1CE8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"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התלמיד התבסס על ההגדרה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אך הקוו שבתמונה הוא מחוץ לצורה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.."</w:t>
            </w:r>
          </w:p>
        </w:tc>
      </w:tr>
      <w:tr w:rsidR="005B7BF6" w14:paraId="16513534" w14:textId="77777777" w:rsidTr="006E1877">
        <w:trPr>
          <w:trHeight w:val="5267"/>
        </w:trPr>
        <w:tc>
          <w:tcPr>
            <w:tcW w:w="282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465C1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lastRenderedPageBreak/>
              <w:t>אירוע ב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':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התלמיד קיבל הגדרת האלכסון כ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-"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קטע מחבר בין שני קודקודים שאינם סמוכים במצולע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"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והוא נדרש להחליט אם הקוו האדום הוא אלכסון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  <w:p w14:paraId="41806F29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התלמיד בחר שהקוו האדום אינו אלכסון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והסביר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: .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 xml:space="preserve">כי  הוא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”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ישר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“.</w:t>
            </w:r>
          </w:p>
          <w:p w14:paraId="77354DC2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noProof/>
                <w:sz w:val="24"/>
                <w:szCs w:val="24"/>
              </w:rPr>
              <w:drawing>
                <wp:inline distT="114300" distB="114300" distL="114300" distR="114300" wp14:anchorId="4D40103A" wp14:editId="30172988">
                  <wp:extent cx="979426" cy="768626"/>
                  <wp:effectExtent l="0" t="0" r="0" b="0"/>
                  <wp:docPr id="19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8" cy="7709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511D2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אין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9995B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26%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מהמשתתפים הציעו להרחיב את ההגדרה ולהוסיף שהקטע צריך להיות ישר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  <w:p w14:paraId="513CF965" w14:textId="77777777" w:rsidR="005B7BF6" w:rsidRDefault="00F10791">
            <w:pPr>
              <w:bidi/>
              <w:spacing w:before="240" w:after="240"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ו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-48%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מהמשתתפים לא התייחסו בכלל שהתלמיד לא מבין שאין קשר בין ההחלטה שלו שהקטע הוא אכן אלכסון או לא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 xml:space="preserve">לבין כיוון הקטע עצמו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(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אנכי או אפקי או כל כיוון אחר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).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משתתפים אלה לא מבדילים  בין תכונה קריטית לבין תכונה שאינה קריטית לאלכסון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88085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"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ההגדרה חסרה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אני אוסיף עוד להגדרה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"</w:t>
            </w:r>
          </w:p>
          <w:p w14:paraId="31A72637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</w:p>
          <w:p w14:paraId="7471D2C9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</w:p>
          <w:p w14:paraId="4DB05BCF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"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הייתי מנסחת מחדש את ההגדרה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.."</w:t>
            </w:r>
          </w:p>
          <w:p w14:paraId="01BEF888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</w:p>
        </w:tc>
      </w:tr>
    </w:tbl>
    <w:p w14:paraId="4472BD6C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00D9A531" w14:textId="77777777" w:rsidR="005B7BF6" w:rsidRPr="00091637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bCs/>
          <w:sz w:val="24"/>
          <w:szCs w:val="24"/>
        </w:rPr>
      </w:pPr>
      <w:r w:rsidRPr="00091637">
        <w:rPr>
          <w:rFonts w:ascii="David" w:eastAsia="David" w:hAnsi="David" w:cs="David"/>
          <w:bCs/>
          <w:sz w:val="24"/>
          <w:szCs w:val="24"/>
          <w:rtl/>
          <w:lang w:bidi="he-IL"/>
        </w:rPr>
        <w:t>הגדרת אלכסון</w:t>
      </w:r>
      <w:r w:rsidRPr="00091637">
        <w:rPr>
          <w:rFonts w:ascii="David" w:eastAsia="David" w:hAnsi="David" w:cs="David"/>
          <w:bCs/>
          <w:sz w:val="24"/>
          <w:szCs w:val="24"/>
          <w:rtl/>
        </w:rPr>
        <w:t xml:space="preserve">: </w:t>
      </w:r>
      <w:r w:rsidRPr="00091637">
        <w:rPr>
          <w:rFonts w:ascii="David" w:eastAsia="David" w:hAnsi="David" w:cs="David"/>
          <w:bCs/>
          <w:sz w:val="24"/>
          <w:szCs w:val="24"/>
          <w:rtl/>
          <w:lang w:bidi="he-IL"/>
        </w:rPr>
        <w:t>לפני ואחרי ניתוח האירועים</w:t>
      </w:r>
    </w:p>
    <w:p w14:paraId="38A2EAD2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בטבלה </w:t>
      </w:r>
      <w:r>
        <w:rPr>
          <w:rFonts w:ascii="David" w:eastAsia="David" w:hAnsi="David" w:cs="David"/>
          <w:sz w:val="24"/>
          <w:szCs w:val="24"/>
          <w:rtl/>
        </w:rPr>
        <w:t xml:space="preserve">3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שלהלן מוצגות הגדרות אלכסוני מצולעים שעלו מתוך שאלוני מקדים ומסכם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יחד עם דוגמאות מייצגות להגדרות שהעניקו המשתתפים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5D173F99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5FEFB68F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0A3B6DF6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24F619F6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104EB090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35D82EA6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301BE9CF" w14:textId="77777777" w:rsidR="005B7BF6" w:rsidRPr="00503505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b/>
          <w:bCs/>
          <w:sz w:val="24"/>
          <w:szCs w:val="24"/>
        </w:rPr>
      </w:pPr>
      <w:r w:rsidRPr="00503505">
        <w:rPr>
          <w:rFonts w:ascii="David" w:eastAsia="David" w:hAnsi="David" w:cs="David"/>
          <w:b/>
          <w:bCs/>
          <w:sz w:val="24"/>
          <w:szCs w:val="24"/>
          <w:rtl/>
          <w:lang w:bidi="he-IL"/>
        </w:rPr>
        <w:lastRenderedPageBreak/>
        <w:t xml:space="preserve">טבלה </w:t>
      </w:r>
      <w:r w:rsidRPr="00503505">
        <w:rPr>
          <w:rFonts w:ascii="David" w:eastAsia="David" w:hAnsi="David" w:cs="David"/>
          <w:b/>
          <w:bCs/>
          <w:sz w:val="24"/>
          <w:szCs w:val="24"/>
          <w:rtl/>
        </w:rPr>
        <w:t xml:space="preserve">3. </w:t>
      </w:r>
    </w:p>
    <w:p w14:paraId="39E57D98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הגדרות נכונות ושגויות של אלכסון במצולע</w:t>
      </w:r>
    </w:p>
    <w:tbl>
      <w:tblPr>
        <w:tblStyle w:val="a1"/>
        <w:bidiVisual/>
        <w:tblW w:w="903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425"/>
        <w:gridCol w:w="1545"/>
        <w:gridCol w:w="3015"/>
        <w:gridCol w:w="1290"/>
        <w:gridCol w:w="1515"/>
        <w:gridCol w:w="240"/>
      </w:tblGrid>
      <w:tr w:rsidR="005B7BF6" w14:paraId="43884AAD" w14:textId="77777777" w:rsidTr="00091637">
        <w:trPr>
          <w:trHeight w:val="545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10106D" w14:textId="77777777" w:rsidR="005B7BF6" w:rsidRDefault="00F10791" w:rsidP="000F7D40">
            <w:pPr>
              <w:bidi/>
              <w:spacing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30820" w14:textId="77777777" w:rsidR="005B7BF6" w:rsidRDefault="00F10791" w:rsidP="000F7D40">
            <w:pPr>
              <w:bidi/>
              <w:spacing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סיווג ההגדרה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BAE5B" w14:textId="77777777" w:rsidR="005B7BF6" w:rsidRDefault="00F10791" w:rsidP="000F7D40">
            <w:pPr>
              <w:bidi/>
              <w:spacing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דוגמה להגדרה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CC720" w14:textId="77777777" w:rsidR="005B7BF6" w:rsidRDefault="00F10791" w:rsidP="000F7D40">
            <w:pPr>
              <w:bidi/>
              <w:spacing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שאלון מקדים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401061" w14:textId="77777777" w:rsidR="005B7BF6" w:rsidRDefault="00F10791" w:rsidP="000F7D40">
            <w:pPr>
              <w:bidi/>
              <w:spacing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שאלון מסכם</w:t>
            </w:r>
          </w:p>
        </w:tc>
        <w:tc>
          <w:tcPr>
            <w:tcW w:w="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15FE3" w14:textId="77777777" w:rsidR="005B7BF6" w:rsidRDefault="00F10791" w:rsidP="000F7D40">
            <w:pPr>
              <w:bidi/>
              <w:spacing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</w:p>
        </w:tc>
      </w:tr>
      <w:tr w:rsidR="005B7BF6" w14:paraId="12A93C08" w14:textId="77777777" w:rsidTr="00091637">
        <w:trPr>
          <w:trHeight w:val="500"/>
        </w:trPr>
        <w:tc>
          <w:tcPr>
            <w:tcW w:w="1425" w:type="dxa"/>
            <w:vMerge w:val="restart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A5A610" w14:textId="77777777" w:rsidR="005B7BF6" w:rsidRDefault="00F10791">
            <w:pPr>
              <w:bidi/>
              <w:spacing w:before="240" w:after="240"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הגדרות נכונות</w:t>
            </w:r>
          </w:p>
        </w:tc>
        <w:tc>
          <w:tcPr>
            <w:tcW w:w="1545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E09E24" w14:textId="77777777" w:rsidR="005B7BF6" w:rsidRDefault="00F10791">
            <w:pPr>
              <w:bidi/>
              <w:spacing w:before="240" w:after="240"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מינימלית</w:t>
            </w:r>
          </w:p>
        </w:tc>
        <w:tc>
          <w:tcPr>
            <w:tcW w:w="3015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1F74E4" w14:textId="77777777" w:rsidR="005B7BF6" w:rsidRDefault="00F10791">
            <w:pPr>
              <w:bidi/>
              <w:spacing w:before="240" w:after="240"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“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קטע המחבר כל שני קדקודים שאינם סמוכים במצולע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.”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40FF0" w14:textId="77777777" w:rsidR="005B7BF6" w:rsidRDefault="00F10791">
            <w:pPr>
              <w:bidi/>
              <w:spacing w:before="240" w:after="240"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–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46479" w14:textId="77777777" w:rsidR="005B7BF6" w:rsidRDefault="00F10791">
            <w:pPr>
              <w:bidi/>
              <w:spacing w:before="240" w:after="240"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13 (57%)</w:t>
            </w:r>
          </w:p>
        </w:tc>
        <w:tc>
          <w:tcPr>
            <w:tcW w:w="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F3A38" w14:textId="77777777" w:rsidR="005B7BF6" w:rsidRDefault="00F10791">
            <w:pPr>
              <w:bidi/>
              <w:spacing w:before="240" w:after="240"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</w:p>
        </w:tc>
      </w:tr>
      <w:tr w:rsidR="005B7BF6" w14:paraId="59357CF8" w14:textId="77777777" w:rsidTr="00091637">
        <w:trPr>
          <w:trHeight w:val="500"/>
        </w:trPr>
        <w:tc>
          <w:tcPr>
            <w:tcW w:w="1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AF8A" w14:textId="77777777" w:rsidR="005B7BF6" w:rsidRDefault="005B7BF6">
            <w:pPr>
              <w:bidi/>
              <w:spacing w:before="240" w:after="240"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4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0AF030" w14:textId="77777777" w:rsidR="005B7BF6" w:rsidRDefault="00F10791">
            <w:pPr>
              <w:bidi/>
              <w:spacing w:before="240" w:after="240"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לא מינימלית</w:t>
            </w:r>
          </w:p>
        </w:tc>
        <w:tc>
          <w:tcPr>
            <w:tcW w:w="30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AD3DF9" w14:textId="77777777" w:rsidR="005B7BF6" w:rsidRDefault="00F10791">
            <w:pPr>
              <w:bidi/>
              <w:spacing w:before="240" w:after="240"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“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קטע המחבר כל שני קדקודים שאינם סמוכים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.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האלכסון עשוי להיות פנימי לחלוטין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חיצוני לחלוטין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או חלקו פנימי וחלקו חיצוני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.”</w:t>
            </w:r>
          </w:p>
        </w:tc>
        <w:tc>
          <w:tcPr>
            <w:tcW w:w="12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2F6B47" w14:textId="77777777" w:rsidR="005B7BF6" w:rsidRDefault="00F10791">
            <w:pPr>
              <w:bidi/>
              <w:spacing w:before="240" w:after="240"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–</w:t>
            </w:r>
          </w:p>
        </w:tc>
        <w:tc>
          <w:tcPr>
            <w:tcW w:w="15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3332E5" w14:textId="77777777" w:rsidR="005B7BF6" w:rsidRDefault="00F10791">
            <w:pPr>
              <w:bidi/>
              <w:spacing w:before="240" w:after="240"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7 (30%)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46C8F" w14:textId="77777777" w:rsidR="005B7BF6" w:rsidRDefault="00F10791">
            <w:pPr>
              <w:bidi/>
              <w:spacing w:before="240" w:after="240"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</w:p>
        </w:tc>
      </w:tr>
      <w:tr w:rsidR="005B7BF6" w14:paraId="421397D3" w14:textId="77777777" w:rsidTr="00091637">
        <w:trPr>
          <w:trHeight w:val="500"/>
        </w:trPr>
        <w:tc>
          <w:tcPr>
            <w:tcW w:w="1425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819D2" w14:textId="77777777" w:rsidR="005B7BF6" w:rsidRDefault="00F10791">
            <w:pPr>
              <w:bidi/>
              <w:spacing w:before="240" w:after="240"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הגדרות שגויות</w:t>
            </w:r>
          </w:p>
        </w:tc>
        <w:tc>
          <w:tcPr>
            <w:tcW w:w="154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D3846C" w14:textId="77777777" w:rsidR="005B7BF6" w:rsidRDefault="00F10791">
            <w:pPr>
              <w:bidi/>
              <w:spacing w:before="240" w:after="240"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חסרה תכונה קריטית</w:t>
            </w:r>
          </w:p>
        </w:tc>
        <w:tc>
          <w:tcPr>
            <w:tcW w:w="30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C1C3E" w14:textId="77777777" w:rsidR="005B7BF6" w:rsidRDefault="00F10791">
            <w:pPr>
              <w:bidi/>
              <w:spacing w:before="240" w:after="240"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• “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קטע בתוך המצולע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.”</w:t>
            </w:r>
          </w:p>
          <w:p w14:paraId="70245DD9" w14:textId="77777777" w:rsidR="005B7BF6" w:rsidRDefault="00F10791">
            <w:pPr>
              <w:bidi/>
              <w:spacing w:before="240" w:after="240"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• “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 xml:space="preserve">קטע המחבר שני קדקודים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(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ללא ציון שאינם סמוכים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).”</w:t>
            </w:r>
          </w:p>
        </w:tc>
        <w:tc>
          <w:tcPr>
            <w:tcW w:w="12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13A2E" w14:textId="77777777" w:rsidR="005B7BF6" w:rsidRDefault="00F10791">
            <w:pPr>
              <w:bidi/>
              <w:spacing w:before="240" w:after="240"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13 (57%)</w:t>
            </w:r>
          </w:p>
        </w:tc>
        <w:tc>
          <w:tcPr>
            <w:tcW w:w="15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91C35E" w14:textId="77777777" w:rsidR="005B7BF6" w:rsidRDefault="00F10791">
            <w:pPr>
              <w:bidi/>
              <w:spacing w:before="240" w:after="240"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2 (9%)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099A8" w14:textId="77777777" w:rsidR="005B7BF6" w:rsidRDefault="00F10791">
            <w:pPr>
              <w:bidi/>
              <w:spacing w:before="240" w:after="240"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</w:p>
        </w:tc>
      </w:tr>
      <w:tr w:rsidR="005B7BF6" w14:paraId="7230D3D2" w14:textId="77777777" w:rsidTr="00091637">
        <w:trPr>
          <w:trHeight w:val="500"/>
        </w:trPr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45E23" w14:textId="77777777" w:rsidR="005B7BF6" w:rsidRDefault="005B7BF6">
            <w:pPr>
              <w:bidi/>
              <w:spacing w:before="240" w:after="240"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8C0815" w14:textId="77777777" w:rsidR="005B7BF6" w:rsidRDefault="00F10791">
            <w:pPr>
              <w:bidi/>
              <w:spacing w:before="240" w:after="240"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 xml:space="preserve"> מבוססות על תכונה לא־קריטית</w:t>
            </w:r>
          </w:p>
        </w:tc>
        <w:tc>
          <w:tcPr>
            <w:tcW w:w="3015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1EDD48" w14:textId="77777777" w:rsidR="005B7BF6" w:rsidRDefault="00F10791">
            <w:pPr>
              <w:bidi/>
              <w:spacing w:before="240" w:after="240"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• “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קו שמחלק את הצורה לשני חלקים שווים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.”</w:t>
            </w:r>
          </w:p>
          <w:p w14:paraId="5C1BC9DA" w14:textId="77777777" w:rsidR="005B7BF6" w:rsidRDefault="00F10791">
            <w:pPr>
              <w:bidi/>
              <w:spacing w:before="240" w:after="240"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• “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קו החוצה את המצולע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.”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BA0F7" w14:textId="77777777" w:rsidR="005B7BF6" w:rsidRDefault="00F10791">
            <w:pPr>
              <w:bidi/>
              <w:spacing w:before="240" w:after="240"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10 (43%)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FAE55F" w14:textId="77777777" w:rsidR="005B7BF6" w:rsidRDefault="00F10791">
            <w:pPr>
              <w:bidi/>
              <w:spacing w:before="240" w:after="240"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1 (4%)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E257C" w14:textId="77777777" w:rsidR="005B7BF6" w:rsidRDefault="00F10791">
            <w:pPr>
              <w:bidi/>
              <w:spacing w:before="240" w:after="240" w:line="360" w:lineRule="auto"/>
              <w:jc w:val="both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</w:p>
        </w:tc>
      </w:tr>
    </w:tbl>
    <w:p w14:paraId="563B0DF5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329354C9" w14:textId="0C8162D4" w:rsidR="005B7BF6" w:rsidRDefault="00F10791" w:rsidP="00091637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ניתן לראות כי בכל תשובות </w:t>
      </w:r>
      <w:r w:rsidR="00091637">
        <w:rPr>
          <w:rFonts w:ascii="David" w:eastAsia="David" w:hAnsi="David" w:cs="David" w:hint="cs"/>
          <w:sz w:val="24"/>
          <w:szCs w:val="24"/>
          <w:rtl/>
          <w:lang w:bidi="he-IL"/>
        </w:rPr>
        <w:t>השאלון המקדים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 ניסחו המשתתפים הגדרות שגויות</w:t>
      </w:r>
      <w:r>
        <w:rPr>
          <w:rFonts w:ascii="David" w:eastAsia="David" w:hAnsi="David" w:cs="David"/>
          <w:sz w:val="24"/>
          <w:szCs w:val="24"/>
          <w:rtl/>
        </w:rPr>
        <w:t xml:space="preserve">: 57%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מהם מסרו הגדרה שאינה מציינת </w:t>
      </w:r>
      <w:r>
        <w:rPr>
          <w:rFonts w:ascii="David" w:eastAsia="David" w:hAnsi="David" w:cs="David"/>
          <w:sz w:val="24"/>
          <w:szCs w:val="24"/>
          <w:rtl/>
        </w:rPr>
        <w:t>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קודקודים שאינם סמוכים</w:t>
      </w:r>
      <w:r>
        <w:rPr>
          <w:rFonts w:ascii="David" w:eastAsia="David" w:hAnsi="David" w:cs="David"/>
          <w:sz w:val="24"/>
          <w:szCs w:val="24"/>
          <w:rtl/>
        </w:rPr>
        <w:t>” (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הגדרה חסרה</w:t>
      </w:r>
      <w:r>
        <w:rPr>
          <w:rFonts w:ascii="David" w:eastAsia="David" w:hAnsi="David" w:cs="David"/>
          <w:sz w:val="24"/>
          <w:szCs w:val="24"/>
          <w:rtl/>
        </w:rPr>
        <w:t xml:space="preserve">),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-43%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מהם הוסיפו תכונות לא־קריטיות כגון </w:t>
      </w:r>
      <w:r>
        <w:rPr>
          <w:rFonts w:ascii="David" w:eastAsia="David" w:hAnsi="David" w:cs="David"/>
          <w:sz w:val="24"/>
          <w:szCs w:val="24"/>
          <w:rtl/>
        </w:rPr>
        <w:t>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פנימי בתוך המצולע</w:t>
      </w:r>
      <w:r>
        <w:rPr>
          <w:rFonts w:ascii="David" w:eastAsia="David" w:hAnsi="David" w:cs="David"/>
          <w:sz w:val="24"/>
          <w:szCs w:val="24"/>
          <w:rtl/>
        </w:rPr>
        <w:t>”, 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חוצה את המצולע</w:t>
      </w:r>
      <w:r>
        <w:rPr>
          <w:rFonts w:ascii="David" w:eastAsia="David" w:hAnsi="David" w:cs="David"/>
          <w:sz w:val="24"/>
          <w:szCs w:val="24"/>
          <w:rtl/>
        </w:rPr>
        <w:t xml:space="preserve">”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או </w:t>
      </w:r>
      <w:r>
        <w:rPr>
          <w:rFonts w:ascii="David" w:eastAsia="David" w:hAnsi="David" w:cs="David"/>
          <w:sz w:val="24"/>
          <w:szCs w:val="24"/>
          <w:rtl/>
        </w:rPr>
        <w:t>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מחלק את הצורה לשני חלקים שווים</w:t>
      </w:r>
      <w:r>
        <w:rPr>
          <w:rFonts w:ascii="David" w:eastAsia="David" w:hAnsi="David" w:cs="David"/>
          <w:sz w:val="24"/>
          <w:szCs w:val="24"/>
          <w:rtl/>
        </w:rPr>
        <w:t xml:space="preserve">”,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מה שמעיד על תמונת־מושג מצומצמת שבה האלכסון נתפס רק בתוך המצולע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59286242" w14:textId="67AB3688" w:rsidR="005B7BF6" w:rsidRDefault="00091637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ממצאי ה</w:t>
      </w:r>
      <w:r>
        <w:rPr>
          <w:rFonts w:ascii="David" w:eastAsia="David" w:hAnsi="David" w:cs="David" w:hint="cs"/>
          <w:sz w:val="24"/>
          <w:szCs w:val="24"/>
          <w:rtl/>
          <w:lang w:bidi="he-IL"/>
        </w:rPr>
        <w:t xml:space="preserve">שאלון המסכם </w:t>
      </w:r>
      <w:r w:rsidR="00F10791">
        <w:rPr>
          <w:rFonts w:ascii="David" w:eastAsia="David" w:hAnsi="David" w:cs="David"/>
          <w:sz w:val="24"/>
          <w:szCs w:val="24"/>
          <w:rtl/>
          <w:lang w:bidi="he-IL"/>
        </w:rPr>
        <w:t>מצביעים על שיפור ניכר</w:t>
      </w:r>
      <w:r w:rsidR="00F10791">
        <w:rPr>
          <w:rFonts w:ascii="David" w:eastAsia="David" w:hAnsi="David" w:cs="David"/>
          <w:sz w:val="24"/>
          <w:szCs w:val="24"/>
          <w:rtl/>
        </w:rPr>
        <w:t xml:space="preserve">: 87% </w:t>
      </w:r>
      <w:r w:rsidR="00F10791">
        <w:rPr>
          <w:rFonts w:ascii="David" w:eastAsia="David" w:hAnsi="David" w:cs="David"/>
          <w:sz w:val="24"/>
          <w:szCs w:val="24"/>
          <w:rtl/>
          <w:lang w:bidi="he-IL"/>
        </w:rPr>
        <w:t xml:space="preserve">ניסחו הגדרה נכונה </w:t>
      </w:r>
      <w:r w:rsidR="00F10791">
        <w:rPr>
          <w:rFonts w:ascii="David" w:eastAsia="David" w:hAnsi="David" w:cs="David"/>
          <w:sz w:val="24"/>
          <w:szCs w:val="24"/>
          <w:rtl/>
        </w:rPr>
        <w:t>(</w:t>
      </w:r>
      <w:r w:rsidR="00F10791">
        <w:rPr>
          <w:rFonts w:ascii="David" w:eastAsia="David" w:hAnsi="David" w:cs="David"/>
          <w:sz w:val="24"/>
          <w:szCs w:val="24"/>
          <w:rtl/>
          <w:lang w:bidi="he-IL"/>
        </w:rPr>
        <w:t>מינימלית או לא־מינימלית</w:t>
      </w:r>
      <w:r w:rsidR="00F10791">
        <w:rPr>
          <w:rFonts w:ascii="David" w:eastAsia="David" w:hAnsi="David" w:cs="David"/>
          <w:sz w:val="24"/>
          <w:szCs w:val="24"/>
          <w:rtl/>
        </w:rPr>
        <w:t xml:space="preserve">), </w:t>
      </w:r>
      <w:r w:rsidR="00F10791">
        <w:rPr>
          <w:rFonts w:ascii="David" w:eastAsia="David" w:hAnsi="David" w:cs="David"/>
          <w:sz w:val="24"/>
          <w:szCs w:val="24"/>
          <w:rtl/>
          <w:lang w:bidi="he-IL"/>
        </w:rPr>
        <w:t xml:space="preserve">מתוכם </w:t>
      </w:r>
      <w:r w:rsidR="00F10791">
        <w:rPr>
          <w:rFonts w:ascii="David" w:eastAsia="David" w:hAnsi="David" w:cs="David"/>
          <w:sz w:val="24"/>
          <w:szCs w:val="24"/>
          <w:rtl/>
        </w:rPr>
        <w:t xml:space="preserve">57% </w:t>
      </w:r>
      <w:r w:rsidR="00F10791">
        <w:rPr>
          <w:rFonts w:ascii="David" w:eastAsia="David" w:hAnsi="David" w:cs="David"/>
          <w:sz w:val="24"/>
          <w:szCs w:val="24"/>
          <w:rtl/>
          <w:lang w:bidi="he-IL"/>
        </w:rPr>
        <w:t xml:space="preserve">כתבו הגדרה מינימלית שכללה את התכונה הקריטית </w:t>
      </w:r>
      <w:r w:rsidR="00F10791">
        <w:rPr>
          <w:rFonts w:ascii="David" w:eastAsia="David" w:hAnsi="David" w:cs="David"/>
          <w:sz w:val="24"/>
          <w:szCs w:val="24"/>
          <w:rtl/>
        </w:rPr>
        <w:t>“</w:t>
      </w:r>
      <w:r w:rsidR="00F10791">
        <w:rPr>
          <w:rFonts w:ascii="David" w:eastAsia="David" w:hAnsi="David" w:cs="David"/>
          <w:sz w:val="24"/>
          <w:szCs w:val="24"/>
          <w:rtl/>
          <w:lang w:bidi="he-IL"/>
        </w:rPr>
        <w:t>קטע המחבר שני קודקודים שאינם סמוכים</w:t>
      </w:r>
      <w:r w:rsidR="00F10791">
        <w:rPr>
          <w:rFonts w:ascii="David" w:eastAsia="David" w:hAnsi="David" w:cs="David"/>
          <w:sz w:val="24"/>
          <w:szCs w:val="24"/>
          <w:rtl/>
        </w:rPr>
        <w:t xml:space="preserve">”, </w:t>
      </w:r>
      <w:r w:rsidR="00F10791"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 w:rsidR="00F10791">
        <w:rPr>
          <w:rFonts w:ascii="David" w:eastAsia="David" w:hAnsi="David" w:cs="David"/>
          <w:sz w:val="24"/>
          <w:szCs w:val="24"/>
          <w:rtl/>
        </w:rPr>
        <w:t xml:space="preserve">-30% </w:t>
      </w:r>
      <w:r w:rsidR="00F10791">
        <w:rPr>
          <w:rFonts w:ascii="David" w:eastAsia="David" w:hAnsi="David" w:cs="David"/>
          <w:sz w:val="24"/>
          <w:szCs w:val="24"/>
          <w:rtl/>
          <w:lang w:bidi="he-IL"/>
        </w:rPr>
        <w:t xml:space="preserve">נוספו הגדרות לא־מינימליות שהרחיבו את תמונת־המושג עם מאפיינים של </w:t>
      </w:r>
      <w:r w:rsidR="00F10791">
        <w:rPr>
          <w:rFonts w:ascii="David" w:eastAsia="David" w:hAnsi="David" w:cs="David"/>
          <w:sz w:val="24"/>
          <w:szCs w:val="24"/>
          <w:rtl/>
        </w:rPr>
        <w:t>“</w:t>
      </w:r>
      <w:r w:rsidR="00F10791">
        <w:rPr>
          <w:rFonts w:ascii="David" w:eastAsia="David" w:hAnsi="David" w:cs="David"/>
          <w:sz w:val="24"/>
          <w:szCs w:val="24"/>
          <w:rtl/>
          <w:lang w:bidi="he-IL"/>
        </w:rPr>
        <w:t>פנימי לחלוטין</w:t>
      </w:r>
      <w:r w:rsidR="00F10791">
        <w:rPr>
          <w:rFonts w:ascii="David" w:eastAsia="David" w:hAnsi="David" w:cs="David"/>
          <w:sz w:val="24"/>
          <w:szCs w:val="24"/>
          <w:rtl/>
        </w:rPr>
        <w:t xml:space="preserve">” </w:t>
      </w:r>
      <w:r w:rsidR="00F10791">
        <w:rPr>
          <w:rFonts w:ascii="David" w:eastAsia="David" w:hAnsi="David" w:cs="David"/>
          <w:sz w:val="24"/>
          <w:szCs w:val="24"/>
          <w:rtl/>
          <w:lang w:bidi="he-IL"/>
        </w:rPr>
        <w:t xml:space="preserve">או </w:t>
      </w:r>
      <w:r w:rsidR="00F10791">
        <w:rPr>
          <w:rFonts w:ascii="David" w:eastAsia="David" w:hAnsi="David" w:cs="David"/>
          <w:sz w:val="24"/>
          <w:szCs w:val="24"/>
          <w:rtl/>
        </w:rPr>
        <w:t>“</w:t>
      </w:r>
      <w:r w:rsidR="00F10791">
        <w:rPr>
          <w:rFonts w:ascii="David" w:eastAsia="David" w:hAnsi="David" w:cs="David"/>
          <w:sz w:val="24"/>
          <w:szCs w:val="24"/>
          <w:rtl/>
          <w:lang w:bidi="he-IL"/>
        </w:rPr>
        <w:t>חלקו פנימי וחלקו חיצוני</w:t>
      </w:r>
      <w:r w:rsidR="00F10791">
        <w:rPr>
          <w:rFonts w:ascii="David" w:eastAsia="David" w:hAnsi="David" w:cs="David"/>
          <w:sz w:val="24"/>
          <w:szCs w:val="24"/>
          <w:rtl/>
        </w:rPr>
        <w:t xml:space="preserve">”, </w:t>
      </w:r>
      <w:r w:rsidR="00F10791">
        <w:rPr>
          <w:rFonts w:ascii="David" w:eastAsia="David" w:hAnsi="David" w:cs="David"/>
          <w:sz w:val="24"/>
          <w:szCs w:val="24"/>
          <w:rtl/>
          <w:lang w:bidi="he-IL"/>
        </w:rPr>
        <w:t>מה שמרמז על שינוי בתמונת־המושג של האלכסון</w:t>
      </w:r>
      <w:r w:rsidR="00F10791">
        <w:rPr>
          <w:rFonts w:ascii="David" w:eastAsia="David" w:hAnsi="David" w:cs="David"/>
          <w:sz w:val="24"/>
          <w:szCs w:val="24"/>
          <w:rtl/>
        </w:rPr>
        <w:t>.</w:t>
      </w:r>
    </w:p>
    <w:p w14:paraId="7D4E6380" w14:textId="77777777" w:rsidR="005B7BF6" w:rsidRPr="00091637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bCs/>
          <w:sz w:val="24"/>
          <w:szCs w:val="24"/>
        </w:rPr>
      </w:pPr>
    </w:p>
    <w:p w14:paraId="434C2A6C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b/>
          <w:sz w:val="24"/>
          <w:szCs w:val="24"/>
        </w:rPr>
      </w:pPr>
      <w:r w:rsidRPr="00091637">
        <w:rPr>
          <w:rFonts w:ascii="David" w:eastAsia="David" w:hAnsi="David" w:cs="David"/>
          <w:bCs/>
          <w:sz w:val="24"/>
          <w:szCs w:val="24"/>
          <w:rtl/>
          <w:lang w:bidi="he-IL"/>
        </w:rPr>
        <w:lastRenderedPageBreak/>
        <w:t>התפתחות ההגדרה של האלכסון  והקשר לדימוי המושג</w:t>
      </w:r>
    </w:p>
    <w:p w14:paraId="5C045410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הדיונים הקולקטיביים וההשתתפות בניתוח אירועים המבוססים על דוגמאות אלכסונים לא־פרוטוטיפיות סייעו להבנת ההגדרה הפורמלית של אלכסון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האירוע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שתוכנן תחילה סביב דוגמאות פרוטוטיפיות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עורר טענות שונות כפי שמוצג בטבלה </w:t>
      </w:r>
      <w:r>
        <w:rPr>
          <w:rFonts w:ascii="David" w:eastAsia="David" w:hAnsi="David" w:cs="David"/>
          <w:sz w:val="24"/>
          <w:szCs w:val="24"/>
          <w:rtl/>
        </w:rPr>
        <w:t xml:space="preserve">2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בנוגע להגדרת האלכסון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הטענות שעלו ממורי העתיד מראות כי אף על פי שההגדרה הפורמלית הוצגה בפניהם לאורך המפגש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 תמיד היו מודעים לפער בין הדימוי האינטואיטיבי של האלכסון לבין ההיבט האנליטי שנובע מההגדרה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עם זאת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במהלך השיח הטיעוני זיהו המורים אילו תכונות קריטיות מרכיבות את ההגדרה ואילו תכונות יש לשלול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העדות לחשיבות תהליך זה היא בטענה האחרונה שעלתה במפגש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שבה הוסכם על הצורך לבדוק את כל התכונות הקריטיות המופיעות בהגדרה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תהליך זה ממחיש את הקשר הדינמי בין תמונת־המושג לבין ההגדרה הפורמלית שלו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2D19DA0E" w14:textId="77777777" w:rsidR="005B7BF6" w:rsidRPr="00091637" w:rsidRDefault="00F10791">
      <w:pPr>
        <w:bidi/>
        <w:spacing w:before="240" w:after="240" w:line="360" w:lineRule="auto"/>
        <w:rPr>
          <w:rFonts w:ascii="David" w:eastAsia="David" w:hAnsi="David" w:cs="David"/>
          <w:bCs/>
          <w:sz w:val="24"/>
          <w:szCs w:val="24"/>
        </w:rPr>
      </w:pPr>
      <w:r w:rsidRPr="00091637">
        <w:rPr>
          <w:rFonts w:ascii="David" w:eastAsia="David" w:hAnsi="David" w:cs="David"/>
          <w:bCs/>
          <w:sz w:val="24"/>
          <w:szCs w:val="24"/>
          <w:rtl/>
          <w:lang w:bidi="he-IL"/>
        </w:rPr>
        <w:t xml:space="preserve">טבלה </w:t>
      </w:r>
      <w:r w:rsidRPr="00091637">
        <w:rPr>
          <w:rFonts w:ascii="David" w:eastAsia="David" w:hAnsi="David" w:cs="David"/>
          <w:bCs/>
          <w:sz w:val="24"/>
          <w:szCs w:val="24"/>
          <w:rtl/>
        </w:rPr>
        <w:t xml:space="preserve">4. </w:t>
      </w:r>
    </w:p>
    <w:p w14:paraId="53CF28AC" w14:textId="77777777" w:rsidR="005B7BF6" w:rsidRDefault="00F10791">
      <w:pPr>
        <w:bidi/>
        <w:spacing w:before="240" w:after="240" w:line="360" w:lineRule="auto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  <w:rtl/>
          <w:lang w:bidi="he-IL"/>
        </w:rPr>
        <w:t>טיעונים שעלו במהלך ניתוח אירועים מתמטיים</w:t>
      </w:r>
    </w:p>
    <w:tbl>
      <w:tblPr>
        <w:tblStyle w:val="a2"/>
        <w:bidiVisual/>
        <w:tblW w:w="81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2"/>
        <w:gridCol w:w="7083"/>
      </w:tblGrid>
      <w:tr w:rsidR="005B7BF6" w14:paraId="7E50C65D" w14:textId="77777777" w:rsidTr="000F7D40">
        <w:trPr>
          <w:trHeight w:val="500"/>
        </w:trPr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8234D" w14:textId="77777777" w:rsidR="005B7BF6" w:rsidRDefault="00F10791" w:rsidP="000F7D40">
            <w:pPr>
              <w:bidi/>
              <w:spacing w:line="36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מספר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F327D" w14:textId="77777777" w:rsidR="005B7BF6" w:rsidRDefault="00F10791" w:rsidP="000F7D40">
            <w:pPr>
              <w:bidi/>
              <w:spacing w:line="36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כותרת הטיעון</w:t>
            </w:r>
          </w:p>
        </w:tc>
      </w:tr>
      <w:tr w:rsidR="005B7BF6" w14:paraId="3E3F9B0F" w14:textId="77777777" w:rsidTr="000F7D40">
        <w:trPr>
          <w:trHeight w:val="500"/>
        </w:trPr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6DFA2" w14:textId="77777777" w:rsidR="005B7BF6" w:rsidRDefault="00F10791">
            <w:pPr>
              <w:bidi/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1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E41CF" w14:textId="77777777" w:rsidR="005B7BF6" w:rsidRDefault="00F10791">
            <w:pPr>
              <w:bidi/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הגדרת האלכסון אינה שלמה</w:t>
            </w:r>
          </w:p>
        </w:tc>
      </w:tr>
      <w:tr w:rsidR="005B7BF6" w14:paraId="1E4095A2" w14:textId="77777777" w:rsidTr="000F7D40">
        <w:trPr>
          <w:trHeight w:val="50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C67D7" w14:textId="77777777" w:rsidR="005B7BF6" w:rsidRDefault="00F10791">
            <w:pPr>
              <w:bidi/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2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87155" w14:textId="77777777" w:rsidR="005B7BF6" w:rsidRDefault="00F10791">
            <w:pPr>
              <w:bidi/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 xml:space="preserve">הגדרת האלכסון היא שלמה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(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 xml:space="preserve">הפרכת טענה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1)</w:t>
            </w:r>
          </w:p>
        </w:tc>
      </w:tr>
      <w:tr w:rsidR="005B7BF6" w14:paraId="11F54814" w14:textId="77777777" w:rsidTr="000F7D40">
        <w:trPr>
          <w:trHeight w:val="50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933D5" w14:textId="77777777" w:rsidR="005B7BF6" w:rsidRDefault="00F10791">
            <w:pPr>
              <w:bidi/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3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2CE7" w14:textId="77777777" w:rsidR="005B7BF6" w:rsidRDefault="00F10791">
            <w:pPr>
              <w:bidi/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קטע המחבר שני קודקודים במצולע הממוקם כולו מחוץ למצולע איננו אלכסון</w:t>
            </w:r>
          </w:p>
        </w:tc>
      </w:tr>
      <w:tr w:rsidR="005B7BF6" w14:paraId="7083682C" w14:textId="77777777" w:rsidTr="000F7D40">
        <w:trPr>
          <w:trHeight w:val="50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AD68D" w14:textId="77777777" w:rsidR="005B7BF6" w:rsidRDefault="00F10791">
            <w:pPr>
              <w:bidi/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4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83F0" w14:textId="77777777" w:rsidR="005B7BF6" w:rsidRDefault="00F10791">
            <w:pPr>
              <w:bidi/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מספר האלכסונים במרובע קעור הוא שניים</w:t>
            </w:r>
          </w:p>
        </w:tc>
      </w:tr>
      <w:tr w:rsidR="005B7BF6" w14:paraId="4A615C38" w14:textId="77777777" w:rsidTr="000F7D40">
        <w:trPr>
          <w:trHeight w:val="50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065F4" w14:textId="77777777" w:rsidR="005B7BF6" w:rsidRDefault="00F10791">
            <w:pPr>
              <w:bidi/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5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43927" w14:textId="77777777" w:rsidR="005B7BF6" w:rsidRDefault="00F10791">
            <w:pPr>
              <w:bidi/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מספר האלכסונים המקשרים קודקודים סמוכים במרובע קעור</w:t>
            </w:r>
          </w:p>
        </w:tc>
      </w:tr>
      <w:tr w:rsidR="005B7BF6" w14:paraId="0646B172" w14:textId="77777777" w:rsidTr="000F7D40">
        <w:trPr>
          <w:trHeight w:val="50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B9C06" w14:textId="77777777" w:rsidR="005B7BF6" w:rsidRDefault="00F10791">
            <w:pPr>
              <w:bidi/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6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D5731" w14:textId="77777777" w:rsidR="005B7BF6" w:rsidRDefault="00F10791">
            <w:pPr>
              <w:bidi/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מיקומי כל האלכסונים בשמונה־צלעי קעור המקשרים קודקודים לקודקודים אחרים במצולע</w:t>
            </w:r>
          </w:p>
        </w:tc>
      </w:tr>
      <w:tr w:rsidR="005B7BF6" w14:paraId="76D7BD7B" w14:textId="77777777" w:rsidTr="000F7D40">
        <w:trPr>
          <w:trHeight w:val="50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21032" w14:textId="77777777" w:rsidR="005B7BF6" w:rsidRDefault="00F10791">
            <w:pPr>
              <w:bidi/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7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43E53" w14:textId="77777777" w:rsidR="005B7BF6" w:rsidRDefault="00F10791">
            <w:pPr>
              <w:bidi/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קטע המחבר קודקוד לנקודה על צלע איננו אלכסון</w:t>
            </w:r>
          </w:p>
        </w:tc>
      </w:tr>
      <w:tr w:rsidR="005B7BF6" w14:paraId="6A9E3959" w14:textId="77777777" w:rsidTr="000F7D40">
        <w:trPr>
          <w:trHeight w:val="50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D14E3" w14:textId="77777777" w:rsidR="005B7BF6" w:rsidRDefault="00F10791">
            <w:pPr>
              <w:bidi/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73663" w14:textId="77777777" w:rsidR="005B7BF6" w:rsidRDefault="00F10791">
            <w:pPr>
              <w:bidi/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קטע המחבר שני קודקודים הכלוא כולו בתוך המצולע הוא אלכסון</w:t>
            </w:r>
          </w:p>
        </w:tc>
      </w:tr>
      <w:tr w:rsidR="005B7BF6" w14:paraId="5C762944" w14:textId="77777777" w:rsidTr="000F7D40">
        <w:trPr>
          <w:trHeight w:val="50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AECD0" w14:textId="77777777" w:rsidR="005B7BF6" w:rsidRDefault="00F10791">
            <w:pPr>
              <w:bidi/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9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BCD77" w14:textId="77777777" w:rsidR="005B7BF6" w:rsidRDefault="00F10791">
            <w:pPr>
              <w:bidi/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קטע החותך צלע אינו אלכסון</w:t>
            </w:r>
          </w:p>
        </w:tc>
      </w:tr>
      <w:tr w:rsidR="005B7BF6" w14:paraId="07651733" w14:textId="77777777" w:rsidTr="000F7D40">
        <w:trPr>
          <w:trHeight w:val="50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A0A24" w14:textId="77777777" w:rsidR="005B7BF6" w:rsidRDefault="00F10791">
            <w:pPr>
              <w:bidi/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10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3EB42" w14:textId="77777777" w:rsidR="005B7BF6" w:rsidRDefault="00F10791">
            <w:pPr>
              <w:bidi/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 xml:space="preserve">קטע החותך צלע הוא אלכסון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(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 xml:space="preserve">הפרכת טענה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9)</w:t>
            </w:r>
          </w:p>
        </w:tc>
      </w:tr>
      <w:tr w:rsidR="005B7BF6" w14:paraId="0E91947A" w14:textId="77777777" w:rsidTr="000F7D40">
        <w:trPr>
          <w:trHeight w:val="50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B94C" w14:textId="77777777" w:rsidR="005B7BF6" w:rsidRDefault="00F10791">
            <w:pPr>
              <w:bidi/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11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C742D" w14:textId="77777777" w:rsidR="005B7BF6" w:rsidRDefault="00F10791">
            <w:pPr>
              <w:bidi/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קטע החלקו בתוך המצולע וחלקו מחוצה לו נקרא אלכסון</w:t>
            </w:r>
          </w:p>
        </w:tc>
      </w:tr>
      <w:tr w:rsidR="005B7BF6" w14:paraId="019D5D14" w14:textId="77777777" w:rsidTr="000F7D40">
        <w:trPr>
          <w:trHeight w:val="500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9D3A8" w14:textId="77777777" w:rsidR="005B7BF6" w:rsidRDefault="00F10791">
            <w:pPr>
              <w:bidi/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98482" w14:textId="77777777" w:rsidR="005B7BF6" w:rsidRDefault="00F10791">
            <w:pPr>
              <w:bidi/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כיוונו של קטע המחבר שני קודקודים סמוכים במצולע אינו תכונה קריטית לאלכסון</w:t>
            </w:r>
          </w:p>
        </w:tc>
      </w:tr>
    </w:tbl>
    <w:p w14:paraId="0D087753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נבחרה אפיזודה אחת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השורות הנבחרות מהאפיזודה מוצגות באפיזודה </w:t>
      </w:r>
      <w:r>
        <w:rPr>
          <w:rFonts w:ascii="David" w:eastAsia="David" w:hAnsi="David" w:cs="David"/>
          <w:sz w:val="24"/>
          <w:szCs w:val="24"/>
          <w:rtl/>
        </w:rPr>
        <w:t xml:space="preserve">1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להלן</w:t>
      </w:r>
      <w:r>
        <w:rPr>
          <w:rFonts w:ascii="David" w:eastAsia="David" w:hAnsi="David" w:cs="David"/>
          <w:sz w:val="24"/>
          <w:szCs w:val="24"/>
          <w:rtl/>
        </w:rPr>
        <w:t>:</w:t>
      </w:r>
    </w:p>
    <w:p w14:paraId="18D66154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אפיזודה </w:t>
      </w:r>
      <w:r>
        <w:rPr>
          <w:rFonts w:ascii="David" w:eastAsia="David" w:hAnsi="David" w:cs="David"/>
          <w:sz w:val="24"/>
          <w:szCs w:val="24"/>
          <w:rtl/>
        </w:rPr>
        <w:t xml:space="preserve">1: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מספר האלכסונים במרובע קעור</w:t>
      </w:r>
    </w:p>
    <w:p w14:paraId="73609F01" w14:textId="5F5658F7" w:rsidR="005B7BF6" w:rsidRDefault="00F10791">
      <w:pPr>
        <w:numPr>
          <w:ilvl w:val="0"/>
          <w:numId w:val="2"/>
        </w:numPr>
        <w:bidi/>
        <w:spacing w:before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מרצה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כמה אלכסונים יש במצולע שמולכם</w:t>
      </w:r>
      <w:r>
        <w:rPr>
          <w:rFonts w:ascii="David" w:eastAsia="David" w:hAnsi="David" w:cs="David"/>
          <w:sz w:val="24"/>
          <w:szCs w:val="24"/>
          <w:rtl/>
        </w:rPr>
        <w:t>?</w:t>
      </w:r>
      <w:r w:rsidR="003E4E68">
        <w:rPr>
          <w:rFonts w:ascii="David" w:eastAsia="David" w:hAnsi="David" w:cs="David"/>
          <w:sz w:val="24"/>
          <w:szCs w:val="24"/>
        </w:rPr>
        <w:t xml:space="preserve"> </w:t>
      </w:r>
      <w:r w:rsidR="003E4E68">
        <w:rPr>
          <w:rFonts w:ascii="David" w:eastAsia="David" w:hAnsi="David" w:cs="David"/>
          <w:noProof/>
          <w:sz w:val="24"/>
          <w:szCs w:val="24"/>
        </w:rPr>
        <w:drawing>
          <wp:inline distT="114300" distB="114300" distL="114300" distR="114300" wp14:anchorId="0E9FD6EC" wp14:editId="5B5ACB64">
            <wp:extent cx="609600" cy="512445"/>
            <wp:effectExtent l="0" t="0" r="0" b="1905"/>
            <wp:docPr id="831472051" name="image3.png" descr="A triangle with red lin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472051" name="image3.png" descr="A triangle with red line&#10;&#10;AI-generated content may be incorrect.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064" cy="512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C0D67F" w14:textId="13B27FF4" w:rsidR="005B7BF6" w:rsidRDefault="00F10791">
      <w:pPr>
        <w:numPr>
          <w:ilvl w:val="0"/>
          <w:numId w:val="2"/>
        </w:numPr>
        <w:bidi/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סינה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יש עוד אלכסון באמצע </w:t>
      </w:r>
      <w:r>
        <w:rPr>
          <w:rFonts w:ascii="David" w:eastAsia="David" w:hAnsi="David" w:cs="David"/>
          <w:sz w:val="24"/>
          <w:szCs w:val="24"/>
          <w:rtl/>
        </w:rPr>
        <w:t xml:space="preserve">—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מקודקוד </w:t>
      </w:r>
      <w:r>
        <w:rPr>
          <w:rFonts w:ascii="David" w:eastAsia="David" w:hAnsi="David" w:cs="David"/>
          <w:sz w:val="24"/>
          <w:szCs w:val="24"/>
          <w:rtl/>
        </w:rPr>
        <w:t xml:space="preserve">1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אל קודקוד </w:t>
      </w:r>
      <w:r>
        <w:rPr>
          <w:rFonts w:ascii="David" w:eastAsia="David" w:hAnsi="David" w:cs="David"/>
          <w:sz w:val="24"/>
          <w:szCs w:val="24"/>
          <w:rtl/>
        </w:rPr>
        <w:t>4.</w:t>
      </w:r>
      <w:r w:rsidR="003E4E68">
        <w:rPr>
          <w:rFonts w:ascii="David" w:eastAsia="David" w:hAnsi="David" w:cs="David"/>
          <w:sz w:val="24"/>
          <w:szCs w:val="24"/>
        </w:rPr>
        <w:t xml:space="preserve"> </w:t>
      </w:r>
      <w:r w:rsidR="003E4E68" w:rsidRPr="005841E5">
        <w:rPr>
          <w:noProof/>
        </w:rPr>
        <w:drawing>
          <wp:inline distT="114300" distB="114300" distL="114300" distR="114300" wp14:anchorId="41E37CB2" wp14:editId="51307C58">
            <wp:extent cx="495300" cy="431800"/>
            <wp:effectExtent l="0" t="0" r="0" b="6350"/>
            <wp:docPr id="374458480" name="image7.png" descr="A triangle with a yellow 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 descr="A triangle with a yellow line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F1A25F" w14:textId="77777777" w:rsidR="005B7BF6" w:rsidRDefault="00F10791">
      <w:pPr>
        <w:numPr>
          <w:ilvl w:val="0"/>
          <w:numId w:val="2"/>
        </w:numPr>
        <w:bidi/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מרצה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אז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כמה אלכסונים יש במצולע</w:t>
      </w:r>
      <w:r>
        <w:rPr>
          <w:rFonts w:ascii="David" w:eastAsia="David" w:hAnsi="David" w:cs="David"/>
          <w:sz w:val="24"/>
          <w:szCs w:val="24"/>
          <w:rtl/>
        </w:rPr>
        <w:t>?</w:t>
      </w:r>
    </w:p>
    <w:p w14:paraId="0CEF075B" w14:textId="77777777" w:rsidR="005B7BF6" w:rsidRDefault="00F10791">
      <w:pPr>
        <w:numPr>
          <w:ilvl w:val="0"/>
          <w:numId w:val="2"/>
        </w:numPr>
        <w:bidi/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ריווא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יש רק אלכסון אחד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48F9F6D0" w14:textId="77777777" w:rsidR="005B7BF6" w:rsidRDefault="00F10791">
      <w:pPr>
        <w:numPr>
          <w:ilvl w:val="0"/>
          <w:numId w:val="2"/>
        </w:numPr>
        <w:bidi/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מרצה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מדוע</w:t>
      </w:r>
      <w:r>
        <w:rPr>
          <w:rFonts w:ascii="David" w:eastAsia="David" w:hAnsi="David" w:cs="David"/>
          <w:sz w:val="24"/>
          <w:szCs w:val="24"/>
          <w:rtl/>
        </w:rPr>
        <w:t>?</w:t>
      </w:r>
    </w:p>
    <w:p w14:paraId="387E71B7" w14:textId="77777777" w:rsidR="005B7BF6" w:rsidRDefault="00F10791">
      <w:pPr>
        <w:numPr>
          <w:ilvl w:val="0"/>
          <w:numId w:val="2"/>
        </w:numPr>
        <w:bidi/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ריווא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לפי ההגדרה</w:t>
      </w:r>
      <w:r>
        <w:rPr>
          <w:rFonts w:ascii="David" w:eastAsia="David" w:hAnsi="David" w:cs="David"/>
          <w:sz w:val="24"/>
          <w:szCs w:val="24"/>
          <w:rtl/>
        </w:rPr>
        <w:t>?</w:t>
      </w:r>
    </w:p>
    <w:p w14:paraId="65DD3F63" w14:textId="77777777" w:rsidR="005B7BF6" w:rsidRDefault="00F10791">
      <w:pPr>
        <w:numPr>
          <w:ilvl w:val="0"/>
          <w:numId w:val="2"/>
        </w:numPr>
        <w:bidi/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מרצה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מה הסקת מההגדרה</w:t>
      </w:r>
      <w:r>
        <w:rPr>
          <w:rFonts w:ascii="David" w:eastAsia="David" w:hAnsi="David" w:cs="David"/>
          <w:sz w:val="24"/>
          <w:szCs w:val="24"/>
          <w:rtl/>
        </w:rPr>
        <w:t>?</w:t>
      </w:r>
    </w:p>
    <w:p w14:paraId="73D5A4DC" w14:textId="77777777" w:rsidR="005B7BF6" w:rsidRDefault="00F10791">
      <w:pPr>
        <w:numPr>
          <w:ilvl w:val="0"/>
          <w:numId w:val="2"/>
        </w:numPr>
        <w:bidi/>
        <w:spacing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ריווא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האלכסון היחיד הוא זה שמחבר את קודקוד </w:t>
      </w:r>
      <w:r>
        <w:rPr>
          <w:rFonts w:ascii="David" w:eastAsia="David" w:hAnsi="David" w:cs="David"/>
          <w:sz w:val="24"/>
          <w:szCs w:val="24"/>
          <w:rtl/>
        </w:rPr>
        <w:t xml:space="preserve">1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עם קודקוד </w:t>
      </w:r>
      <w:r>
        <w:rPr>
          <w:rFonts w:ascii="David" w:eastAsia="David" w:hAnsi="David" w:cs="David"/>
          <w:sz w:val="24"/>
          <w:szCs w:val="24"/>
          <w:rtl/>
        </w:rPr>
        <w:t>4.</w:t>
      </w:r>
    </w:p>
    <w:p w14:paraId="66227B57" w14:textId="77777777" w:rsidR="005B7BF6" w:rsidRDefault="00F10791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                     24. 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מרצה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מהם זוגות הקודקודים הסמוכים במצולע</w:t>
      </w:r>
      <w:r>
        <w:rPr>
          <w:rFonts w:ascii="David" w:eastAsia="David" w:hAnsi="David" w:cs="David"/>
          <w:sz w:val="24"/>
          <w:szCs w:val="24"/>
          <w:rtl/>
        </w:rPr>
        <w:t>?</w:t>
      </w:r>
      <w:r>
        <w:rPr>
          <w:rFonts w:ascii="David" w:eastAsia="David" w:hAnsi="David" w:cs="David"/>
          <w:sz w:val="24"/>
          <w:szCs w:val="24"/>
          <w:rtl/>
        </w:rPr>
        <w:br/>
        <w:t xml:space="preserve">                     25. 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ריווא</w:t>
      </w:r>
      <w:r>
        <w:rPr>
          <w:rFonts w:ascii="David" w:eastAsia="David" w:hAnsi="David" w:cs="David"/>
          <w:sz w:val="24"/>
          <w:szCs w:val="24"/>
          <w:rtl/>
        </w:rPr>
        <w:t xml:space="preserve">: 2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-4… 4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>-3.</w:t>
      </w:r>
      <w:r>
        <w:rPr>
          <w:rFonts w:ascii="David" w:eastAsia="David" w:hAnsi="David" w:cs="David"/>
          <w:sz w:val="24"/>
          <w:szCs w:val="24"/>
          <w:rtl/>
        </w:rPr>
        <w:br/>
        <w:t xml:space="preserve">                     26.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מרצה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האם אלה כל זוגות הקודקודים הסמוכים</w:t>
      </w:r>
      <w:r>
        <w:rPr>
          <w:rFonts w:ascii="David" w:eastAsia="David" w:hAnsi="David" w:cs="David"/>
          <w:sz w:val="24"/>
          <w:szCs w:val="24"/>
          <w:rtl/>
        </w:rPr>
        <w:t>?</w:t>
      </w:r>
      <w:r>
        <w:rPr>
          <w:rFonts w:ascii="David" w:eastAsia="David" w:hAnsi="David" w:cs="David"/>
          <w:sz w:val="24"/>
          <w:szCs w:val="24"/>
          <w:rtl/>
        </w:rPr>
        <w:br/>
        <w:t xml:space="preserve">                     27.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כל המשתתפים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</w:rPr>
        <w:br/>
        <w:t xml:space="preserve">                     28.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מרצה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ריווא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בבקשה</w:t>
      </w:r>
      <w:r>
        <w:rPr>
          <w:rFonts w:ascii="David" w:eastAsia="David" w:hAnsi="David" w:cs="David"/>
          <w:sz w:val="24"/>
          <w:szCs w:val="24"/>
          <w:rtl/>
        </w:rPr>
        <w:t>…</w:t>
      </w:r>
      <w:r>
        <w:rPr>
          <w:rFonts w:ascii="David" w:eastAsia="David" w:hAnsi="David" w:cs="David"/>
          <w:sz w:val="24"/>
          <w:szCs w:val="24"/>
          <w:rtl/>
        </w:rPr>
        <w:br/>
        <w:t xml:space="preserve">                     29.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ריווא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אההה</w:t>
      </w:r>
      <w:r>
        <w:rPr>
          <w:rFonts w:ascii="David" w:eastAsia="David" w:hAnsi="David" w:cs="David"/>
          <w:sz w:val="24"/>
          <w:szCs w:val="24"/>
          <w:rtl/>
        </w:rPr>
        <w:t xml:space="preserve">… 2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-4, 4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-3, 2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-1, 1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>-3.</w:t>
      </w:r>
      <w:r>
        <w:rPr>
          <w:rFonts w:ascii="David" w:eastAsia="David" w:hAnsi="David" w:cs="David"/>
          <w:sz w:val="24"/>
          <w:szCs w:val="24"/>
          <w:rtl/>
        </w:rPr>
        <w:br/>
        <w:t xml:space="preserve">                     30.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מרצה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מה את מסיקה לגבי קודקודים </w:t>
      </w:r>
      <w:r>
        <w:rPr>
          <w:rFonts w:ascii="David" w:eastAsia="David" w:hAnsi="David" w:cs="David"/>
          <w:sz w:val="24"/>
          <w:szCs w:val="24"/>
          <w:rtl/>
        </w:rPr>
        <w:t xml:space="preserve">1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-4?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האם הם סמוכים</w:t>
      </w:r>
      <w:r>
        <w:rPr>
          <w:rFonts w:ascii="David" w:eastAsia="David" w:hAnsi="David" w:cs="David"/>
          <w:sz w:val="24"/>
          <w:szCs w:val="24"/>
          <w:rtl/>
        </w:rPr>
        <w:t>?</w:t>
      </w:r>
      <w:r>
        <w:rPr>
          <w:rFonts w:ascii="David" w:eastAsia="David" w:hAnsi="David" w:cs="David"/>
          <w:sz w:val="24"/>
          <w:szCs w:val="24"/>
          <w:rtl/>
        </w:rPr>
        <w:br/>
        <w:t xml:space="preserve">                     31.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ריווא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הם אינם סמוכים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53E29657" w14:textId="77777777" w:rsidR="005B7BF6" w:rsidRDefault="00F10791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                     32.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ריווא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אינם סמוכים </w:t>
      </w:r>
      <w:r>
        <w:rPr>
          <w:rFonts w:ascii="David" w:eastAsia="David" w:hAnsi="David" w:cs="David"/>
          <w:sz w:val="24"/>
          <w:szCs w:val="24"/>
          <w:rtl/>
        </w:rPr>
        <w:t xml:space="preserve">—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אפשר לחבר ביניהם אלכסון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5C3334B2" w14:textId="52FA8F1C" w:rsidR="005B7BF6" w:rsidRDefault="00F10791">
      <w:pPr>
        <w:bidi/>
        <w:spacing w:before="240" w:after="240" w:line="360" w:lineRule="auto"/>
        <w:ind w:left="72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       3</w:t>
      </w:r>
      <w:r w:rsidR="003E4E68">
        <w:rPr>
          <w:rFonts w:ascii="David" w:eastAsia="David" w:hAnsi="David" w:cs="David"/>
          <w:sz w:val="24"/>
          <w:szCs w:val="24"/>
        </w:rPr>
        <w:t>3</w:t>
      </w:r>
      <w:r>
        <w:rPr>
          <w:rFonts w:ascii="David" w:eastAsia="David" w:hAnsi="David" w:cs="David"/>
          <w:sz w:val="24"/>
          <w:szCs w:val="24"/>
          <w:rtl/>
        </w:rPr>
        <w:t xml:space="preserve">. 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מרצה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האם את משוכנעת שהקטע האדום הוא אלכסון</w:t>
      </w:r>
      <w:r>
        <w:rPr>
          <w:rFonts w:ascii="David" w:eastAsia="David" w:hAnsi="David" w:cs="David"/>
          <w:sz w:val="24"/>
          <w:szCs w:val="24"/>
          <w:rtl/>
        </w:rPr>
        <w:t>?</w:t>
      </w:r>
    </w:p>
    <w:p w14:paraId="3379725F" w14:textId="2440DDE9" w:rsidR="005B7BF6" w:rsidRDefault="00F10791">
      <w:pPr>
        <w:bidi/>
        <w:spacing w:before="240" w:after="240" w:line="360" w:lineRule="auto"/>
        <w:ind w:left="720"/>
        <w:rPr>
          <w:rFonts w:ascii="David" w:eastAsia="David" w:hAnsi="David" w:cs="David"/>
          <w:b/>
          <w:color w:val="000000"/>
          <w:sz w:val="18"/>
          <w:szCs w:val="18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        </w:t>
      </w:r>
      <w:r w:rsidR="003E4E68">
        <w:rPr>
          <w:rFonts w:ascii="David" w:eastAsia="David" w:hAnsi="David" w:cs="David"/>
          <w:sz w:val="24"/>
          <w:szCs w:val="24"/>
        </w:rPr>
        <w:t>34</w:t>
      </w:r>
      <w:r>
        <w:rPr>
          <w:rFonts w:ascii="David" w:eastAsia="David" w:hAnsi="David" w:cs="David"/>
          <w:sz w:val="24"/>
          <w:szCs w:val="24"/>
          <w:rtl/>
        </w:rPr>
        <w:t xml:space="preserve">. 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ריווא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עכשיו כן</w:t>
      </w:r>
      <w:r>
        <w:rPr>
          <w:rFonts w:ascii="David" w:eastAsia="David" w:hAnsi="David" w:cs="David"/>
          <w:sz w:val="24"/>
          <w:szCs w:val="24"/>
          <w:rtl/>
        </w:rPr>
        <w:t xml:space="preserve">…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כמו שסיג</w:t>
      </w:r>
      <w:r>
        <w:rPr>
          <w:rFonts w:ascii="David" w:eastAsia="David" w:hAnsi="David" w:cs="David"/>
          <w:sz w:val="24"/>
          <w:szCs w:val="24"/>
          <w:rtl/>
        </w:rPr>
        <w:t>’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 אמרה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יש גם אלכסונים חיצוניים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</w:rPr>
        <w:br/>
      </w:r>
    </w:p>
    <w:p w14:paraId="55257AF4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הדיון החל בשאלה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כמה אלכסונים יש במצולע שמולכם</w:t>
      </w:r>
      <w:r>
        <w:rPr>
          <w:rFonts w:ascii="David" w:eastAsia="David" w:hAnsi="David" w:cs="David"/>
          <w:sz w:val="24"/>
          <w:szCs w:val="24"/>
          <w:rtl/>
        </w:rPr>
        <w:t xml:space="preserve">? [1].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הטענה הועלתה על ידי ריווא </w:t>
      </w:r>
      <w:r>
        <w:rPr>
          <w:rFonts w:ascii="David" w:eastAsia="David" w:hAnsi="David" w:cs="David"/>
          <w:sz w:val="24"/>
          <w:szCs w:val="24"/>
          <w:rtl/>
        </w:rPr>
        <w:t xml:space="preserve">[4].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במונחים של מודל טולמין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ניתן לפרק את טענת ריווא כך</w:t>
      </w:r>
      <w:r>
        <w:rPr>
          <w:rFonts w:ascii="David" w:eastAsia="David" w:hAnsi="David" w:cs="David"/>
          <w:sz w:val="24"/>
          <w:szCs w:val="24"/>
          <w:rtl/>
        </w:rPr>
        <w:t>:</w:t>
      </w:r>
    </w:p>
    <w:p w14:paraId="19EAD7AE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טיעון </w:t>
      </w:r>
      <w:r>
        <w:rPr>
          <w:rFonts w:ascii="David" w:eastAsia="David" w:hAnsi="David" w:cs="David"/>
          <w:sz w:val="24"/>
          <w:szCs w:val="24"/>
          <w:rtl/>
        </w:rPr>
        <w:t xml:space="preserve">4: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מספר האלכסונים במרובע קעור הוא שניים </w:t>
      </w:r>
      <w:r>
        <w:rPr>
          <w:rFonts w:ascii="David" w:eastAsia="David" w:hAnsi="David" w:cs="David"/>
          <w:sz w:val="24"/>
          <w:szCs w:val="24"/>
          <w:rtl/>
        </w:rPr>
        <w:t>[2–8]</w:t>
      </w:r>
    </w:p>
    <w:p w14:paraId="6160FD69" w14:textId="77777777" w:rsidR="005B7BF6" w:rsidRDefault="00F10791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טענה </w:t>
      </w:r>
      <w:r>
        <w:rPr>
          <w:rFonts w:ascii="David" w:eastAsia="David" w:hAnsi="David" w:cs="David"/>
          <w:sz w:val="24"/>
          <w:szCs w:val="24"/>
          <w:rtl/>
        </w:rPr>
        <w:t xml:space="preserve">1: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יש רק אלכסון אחד </w:t>
      </w:r>
      <w:r>
        <w:rPr>
          <w:rFonts w:ascii="David" w:eastAsia="David" w:hAnsi="David" w:cs="David"/>
          <w:sz w:val="24"/>
          <w:szCs w:val="24"/>
          <w:rtl/>
        </w:rPr>
        <w:t>[4]</w:t>
      </w:r>
    </w:p>
    <w:p w14:paraId="60E67EC2" w14:textId="77777777" w:rsidR="005B7BF6" w:rsidRDefault="00F10791">
      <w:pPr>
        <w:bidi/>
        <w:spacing w:before="240" w:after="240" w:line="360" w:lineRule="auto"/>
        <w:ind w:left="72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noProof/>
          <w:sz w:val="24"/>
          <w:szCs w:val="24"/>
        </w:rPr>
        <w:lastRenderedPageBreak/>
        <w:drawing>
          <wp:inline distT="114300" distB="114300" distL="114300" distR="114300" wp14:anchorId="09339BF5" wp14:editId="537983C5">
            <wp:extent cx="723900" cy="733425"/>
            <wp:effectExtent l="0" t="0" r="0" b="9525"/>
            <wp:docPr id="24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David" w:eastAsia="David" w:hAnsi="David" w:cs="David"/>
          <w:sz w:val="24"/>
          <w:szCs w:val="24"/>
          <w:rtl/>
        </w:rPr>
        <w:br/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נתון </w:t>
      </w:r>
      <w:r>
        <w:rPr>
          <w:rFonts w:ascii="David" w:eastAsia="David" w:hAnsi="David" w:cs="David"/>
          <w:sz w:val="24"/>
          <w:szCs w:val="24"/>
          <w:rtl/>
        </w:rPr>
        <w:t>1: 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יש עוד אלכסון באמצע </w:t>
      </w:r>
      <w:r>
        <w:rPr>
          <w:rFonts w:ascii="David" w:eastAsia="David" w:hAnsi="David" w:cs="David"/>
          <w:sz w:val="24"/>
          <w:szCs w:val="24"/>
          <w:rtl/>
        </w:rPr>
        <w:t xml:space="preserve">—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מקודקוד </w:t>
      </w:r>
      <w:r>
        <w:rPr>
          <w:rFonts w:ascii="David" w:eastAsia="David" w:hAnsi="David" w:cs="David"/>
          <w:sz w:val="24"/>
          <w:szCs w:val="24"/>
          <w:rtl/>
        </w:rPr>
        <w:t xml:space="preserve">1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אל קודקוד </w:t>
      </w:r>
      <w:r>
        <w:rPr>
          <w:rFonts w:ascii="David" w:eastAsia="David" w:hAnsi="David" w:cs="David"/>
          <w:sz w:val="24"/>
          <w:szCs w:val="24"/>
          <w:rtl/>
        </w:rPr>
        <w:t>4.” [2]</w:t>
      </w:r>
    </w:p>
    <w:p w14:paraId="0599BB9C" w14:textId="77777777" w:rsidR="005B7BF6" w:rsidRDefault="00F10791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הצדקה </w:t>
      </w:r>
      <w:r>
        <w:rPr>
          <w:rFonts w:ascii="David" w:eastAsia="David" w:hAnsi="David" w:cs="David"/>
          <w:sz w:val="24"/>
          <w:szCs w:val="24"/>
          <w:rtl/>
        </w:rPr>
        <w:t xml:space="preserve">1: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לפי ההגדרה </w:t>
      </w:r>
      <w:r>
        <w:rPr>
          <w:rFonts w:ascii="David" w:eastAsia="David" w:hAnsi="David" w:cs="David"/>
          <w:sz w:val="24"/>
          <w:szCs w:val="24"/>
          <w:rtl/>
        </w:rPr>
        <w:t>[6]</w:t>
      </w:r>
      <w:r>
        <w:rPr>
          <w:rFonts w:ascii="David" w:eastAsia="David" w:hAnsi="David" w:cs="David"/>
          <w:sz w:val="24"/>
          <w:szCs w:val="24"/>
          <w:rtl/>
        </w:rPr>
        <w:br/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הצדקה </w:t>
      </w:r>
      <w:r>
        <w:rPr>
          <w:rFonts w:ascii="David" w:eastAsia="David" w:hAnsi="David" w:cs="David"/>
          <w:sz w:val="24"/>
          <w:szCs w:val="24"/>
          <w:rtl/>
        </w:rPr>
        <w:t>2: 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האלכסון היחיד הוא זה שמחבר את קודקוד </w:t>
      </w:r>
      <w:r>
        <w:rPr>
          <w:rFonts w:ascii="David" w:eastAsia="David" w:hAnsi="David" w:cs="David"/>
          <w:sz w:val="24"/>
          <w:szCs w:val="24"/>
          <w:rtl/>
        </w:rPr>
        <w:t xml:space="preserve">1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עם קודקוד </w:t>
      </w:r>
      <w:r>
        <w:rPr>
          <w:rFonts w:ascii="David" w:eastAsia="David" w:hAnsi="David" w:cs="David"/>
          <w:sz w:val="24"/>
          <w:szCs w:val="24"/>
          <w:rtl/>
        </w:rPr>
        <w:t>4.” [8]</w:t>
      </w:r>
      <w:r>
        <w:rPr>
          <w:rFonts w:ascii="David" w:eastAsia="David" w:hAnsi="David" w:cs="David"/>
          <w:sz w:val="24"/>
          <w:szCs w:val="24"/>
          <w:rtl/>
        </w:rPr>
        <w:br/>
      </w:r>
      <w:r>
        <w:rPr>
          <w:rFonts w:ascii="David" w:eastAsia="David" w:hAnsi="David" w:cs="David"/>
          <w:sz w:val="24"/>
          <w:szCs w:val="24"/>
          <w:rtl/>
          <w:lang w:bidi="he-IL"/>
        </w:rPr>
        <w:t>בהמשך הועלתה על־ידי ריווא טענה נוספת בנוגע לזוגות הקודקודים הסמוכים</w:t>
      </w:r>
      <w:r>
        <w:rPr>
          <w:rFonts w:ascii="David" w:eastAsia="David" w:hAnsi="David" w:cs="David"/>
          <w:sz w:val="24"/>
          <w:szCs w:val="24"/>
          <w:rtl/>
        </w:rPr>
        <w:t>:</w:t>
      </w:r>
    </w:p>
    <w:p w14:paraId="75BF0F0F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טיעון </w:t>
      </w:r>
      <w:r>
        <w:rPr>
          <w:rFonts w:ascii="David" w:eastAsia="David" w:hAnsi="David" w:cs="David"/>
          <w:sz w:val="24"/>
          <w:szCs w:val="24"/>
          <w:rtl/>
        </w:rPr>
        <w:t xml:space="preserve">5: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מספר האלכסונים המקשרים קודקודים סמוכים במרובע קעור </w:t>
      </w:r>
      <w:r>
        <w:rPr>
          <w:rFonts w:ascii="David" w:eastAsia="David" w:hAnsi="David" w:cs="David"/>
          <w:sz w:val="24"/>
          <w:szCs w:val="24"/>
          <w:rtl/>
        </w:rPr>
        <w:t>[1–33]</w:t>
      </w:r>
    </w:p>
    <w:p w14:paraId="3DB1A5EA" w14:textId="77777777" w:rsidR="005B7BF6" w:rsidRDefault="00F10791">
      <w:pPr>
        <w:bidi/>
        <w:spacing w:before="240" w:after="240" w:line="360" w:lineRule="auto"/>
        <w:ind w:left="72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טענה </w:t>
      </w:r>
      <w:r>
        <w:rPr>
          <w:rFonts w:ascii="David" w:eastAsia="David" w:hAnsi="David" w:cs="David"/>
          <w:sz w:val="24"/>
          <w:szCs w:val="24"/>
          <w:rtl/>
        </w:rPr>
        <w:t xml:space="preserve">1: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הקודקודים </w:t>
      </w:r>
      <w:r>
        <w:rPr>
          <w:rFonts w:ascii="David" w:eastAsia="David" w:hAnsi="David" w:cs="David"/>
          <w:sz w:val="24"/>
          <w:szCs w:val="24"/>
          <w:rtl/>
        </w:rPr>
        <w:t xml:space="preserve">2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-4,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-4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-3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הם סמוכים </w:t>
      </w:r>
      <w:r>
        <w:rPr>
          <w:rFonts w:ascii="David" w:eastAsia="David" w:hAnsi="David" w:cs="David"/>
          <w:sz w:val="24"/>
          <w:szCs w:val="24"/>
          <w:rtl/>
        </w:rPr>
        <w:t>[25]</w:t>
      </w:r>
    </w:p>
    <w:p w14:paraId="6336D866" w14:textId="77777777" w:rsidR="005B7BF6" w:rsidRDefault="00F10791">
      <w:pPr>
        <w:bidi/>
        <w:spacing w:before="240" w:after="240" w:line="360" w:lineRule="auto"/>
        <w:ind w:left="72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noProof/>
          <w:sz w:val="24"/>
          <w:szCs w:val="24"/>
        </w:rPr>
        <w:drawing>
          <wp:inline distT="114300" distB="114300" distL="114300" distR="114300" wp14:anchorId="483B86F2" wp14:editId="2EB4BC52">
            <wp:extent cx="725813" cy="674878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813" cy="6748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David" w:eastAsia="David" w:hAnsi="David" w:cs="David"/>
          <w:sz w:val="24"/>
          <w:szCs w:val="24"/>
        </w:rPr>
        <w:br/>
      </w:r>
      <w:r>
        <w:rPr>
          <w:rFonts w:ascii="David" w:eastAsia="David" w:hAnsi="David" w:cs="David"/>
          <w:b/>
          <w:sz w:val="24"/>
          <w:szCs w:val="24"/>
          <w:rtl/>
          <w:lang w:bidi="he-IL"/>
        </w:rPr>
        <w:t>נ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תון </w:t>
      </w:r>
      <w:r>
        <w:rPr>
          <w:rFonts w:ascii="David" w:eastAsia="David" w:hAnsi="David" w:cs="David"/>
          <w:sz w:val="24"/>
          <w:szCs w:val="24"/>
          <w:rtl/>
        </w:rPr>
        <w:t>1: 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כמה אלכסונים יש במצולע שמולכם</w:t>
      </w:r>
      <w:r>
        <w:rPr>
          <w:rFonts w:ascii="David" w:eastAsia="David" w:hAnsi="David" w:cs="David"/>
          <w:sz w:val="24"/>
          <w:szCs w:val="24"/>
          <w:rtl/>
        </w:rPr>
        <w:t>?” [1]</w:t>
      </w:r>
      <w:r>
        <w:rPr>
          <w:rFonts w:ascii="David" w:eastAsia="David" w:hAnsi="David" w:cs="David"/>
          <w:sz w:val="24"/>
          <w:szCs w:val="24"/>
          <w:rtl/>
        </w:rPr>
        <w:br/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הצדקה </w:t>
      </w:r>
      <w:r>
        <w:rPr>
          <w:rFonts w:ascii="David" w:eastAsia="David" w:hAnsi="David" w:cs="David"/>
          <w:sz w:val="24"/>
          <w:szCs w:val="24"/>
          <w:rtl/>
        </w:rPr>
        <w:t xml:space="preserve">1: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הקודקודים </w:t>
      </w:r>
      <w:r>
        <w:rPr>
          <w:rFonts w:ascii="David" w:eastAsia="David" w:hAnsi="David" w:cs="David"/>
          <w:sz w:val="24"/>
          <w:szCs w:val="24"/>
          <w:rtl/>
        </w:rPr>
        <w:t xml:space="preserve">2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-1,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-1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-3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הם סמוכים </w:t>
      </w:r>
      <w:r>
        <w:rPr>
          <w:rFonts w:ascii="David" w:eastAsia="David" w:hAnsi="David" w:cs="David"/>
          <w:sz w:val="24"/>
          <w:szCs w:val="24"/>
          <w:rtl/>
        </w:rPr>
        <w:t>[29]</w:t>
      </w:r>
      <w:r>
        <w:rPr>
          <w:rFonts w:ascii="David" w:eastAsia="David" w:hAnsi="David" w:cs="David"/>
          <w:sz w:val="24"/>
          <w:szCs w:val="24"/>
          <w:rtl/>
        </w:rPr>
        <w:br/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הצדקה </w:t>
      </w:r>
      <w:r>
        <w:rPr>
          <w:rFonts w:ascii="David" w:eastAsia="David" w:hAnsi="David" w:cs="David"/>
          <w:sz w:val="24"/>
          <w:szCs w:val="24"/>
          <w:rtl/>
        </w:rPr>
        <w:t xml:space="preserve">2: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הקודקודים </w:t>
      </w:r>
      <w:r>
        <w:rPr>
          <w:rFonts w:ascii="David" w:eastAsia="David" w:hAnsi="David" w:cs="David"/>
          <w:sz w:val="24"/>
          <w:szCs w:val="24"/>
          <w:rtl/>
        </w:rPr>
        <w:t xml:space="preserve">1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-4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אינם סמוכים </w:t>
      </w:r>
      <w:r>
        <w:rPr>
          <w:rFonts w:ascii="David" w:eastAsia="David" w:hAnsi="David" w:cs="David"/>
          <w:sz w:val="24"/>
          <w:szCs w:val="24"/>
          <w:rtl/>
        </w:rPr>
        <w:t>[31]</w:t>
      </w:r>
      <w:r>
        <w:rPr>
          <w:rFonts w:ascii="David" w:eastAsia="David" w:hAnsi="David" w:cs="David"/>
          <w:sz w:val="24"/>
          <w:szCs w:val="24"/>
          <w:rtl/>
        </w:rPr>
        <w:br/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הצדקה </w:t>
      </w:r>
      <w:r>
        <w:rPr>
          <w:rFonts w:ascii="David" w:eastAsia="David" w:hAnsi="David" w:cs="David"/>
          <w:sz w:val="24"/>
          <w:szCs w:val="24"/>
          <w:rtl/>
        </w:rPr>
        <w:t xml:space="preserve">3: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הקודקודים </w:t>
      </w:r>
      <w:r>
        <w:rPr>
          <w:rFonts w:ascii="David" w:eastAsia="David" w:hAnsi="David" w:cs="David"/>
          <w:sz w:val="24"/>
          <w:szCs w:val="24"/>
          <w:rtl/>
        </w:rPr>
        <w:t xml:space="preserve">3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-2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אינם סמוכים </w:t>
      </w:r>
      <w:r>
        <w:rPr>
          <w:rFonts w:ascii="David" w:eastAsia="David" w:hAnsi="David" w:cs="David"/>
          <w:sz w:val="24"/>
          <w:szCs w:val="24"/>
          <w:rtl/>
        </w:rPr>
        <w:t xml:space="preserve">—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ניתן לחבר ביניהם אלכסון </w:t>
      </w:r>
      <w:r>
        <w:rPr>
          <w:rFonts w:ascii="David" w:eastAsia="David" w:hAnsi="David" w:cs="David"/>
          <w:sz w:val="24"/>
          <w:szCs w:val="24"/>
          <w:rtl/>
        </w:rPr>
        <w:t>[33]</w:t>
      </w:r>
      <w:r>
        <w:rPr>
          <w:rFonts w:ascii="David" w:eastAsia="David" w:hAnsi="David" w:cs="David"/>
          <w:sz w:val="24"/>
          <w:szCs w:val="24"/>
          <w:rtl/>
        </w:rPr>
        <w:br/>
      </w:r>
    </w:p>
    <w:p w14:paraId="4A18AB74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הממצאים מראים טיעונים משתי רמות שונות</w:t>
      </w:r>
      <w:r>
        <w:rPr>
          <w:rFonts w:ascii="David" w:eastAsia="David" w:hAnsi="David" w:cs="David"/>
          <w:sz w:val="24"/>
          <w:szCs w:val="24"/>
          <w:rtl/>
        </w:rPr>
        <w:t>: (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</w:t>
      </w:r>
      <w:r>
        <w:rPr>
          <w:rFonts w:ascii="David" w:eastAsia="David" w:hAnsi="David" w:cs="David"/>
          <w:sz w:val="24"/>
          <w:szCs w:val="24"/>
          <w:rtl/>
        </w:rPr>
        <w:t xml:space="preserve">)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בסיסית </w:t>
      </w:r>
      <w:r>
        <w:rPr>
          <w:rFonts w:ascii="David" w:eastAsia="David" w:hAnsi="David" w:cs="David"/>
          <w:sz w:val="24"/>
          <w:szCs w:val="24"/>
          <w:rtl/>
        </w:rPr>
        <w:t xml:space="preserve">–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הטיעון הכיל </w:t>
      </w:r>
      <w:r>
        <w:rPr>
          <w:rFonts w:ascii="David" w:eastAsia="David" w:hAnsi="David" w:cs="David"/>
          <w:sz w:val="24"/>
          <w:szCs w:val="24"/>
          <w:rtl/>
        </w:rPr>
        <w:t>"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נתונים</w:t>
      </w:r>
      <w:r>
        <w:rPr>
          <w:rFonts w:ascii="David" w:eastAsia="David" w:hAnsi="David" w:cs="David"/>
          <w:sz w:val="24"/>
          <w:szCs w:val="24"/>
          <w:rtl/>
        </w:rPr>
        <w:t xml:space="preserve">"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>"</w:t>
      </w:r>
      <w:r>
        <w:rPr>
          <w:rFonts w:ascii="David" w:eastAsia="David" w:hAnsi="David" w:cs="David"/>
          <w:sz w:val="24"/>
          <w:szCs w:val="24"/>
          <w:rtl/>
          <w:lang w:bidi="he-IL"/>
        </w:rPr>
        <w:t>טענה</w:t>
      </w:r>
      <w:r>
        <w:rPr>
          <w:rFonts w:ascii="David" w:eastAsia="David" w:hAnsi="David" w:cs="David"/>
          <w:sz w:val="24"/>
          <w:szCs w:val="24"/>
          <w:rtl/>
        </w:rPr>
        <w:t xml:space="preserve">",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</w:t>
      </w:r>
      <w:r>
        <w:rPr>
          <w:rFonts w:ascii="David" w:eastAsia="David" w:hAnsi="David" w:cs="David"/>
          <w:sz w:val="24"/>
          <w:szCs w:val="24"/>
          <w:rtl/>
        </w:rPr>
        <w:t>/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גם </w:t>
      </w:r>
      <w:r>
        <w:rPr>
          <w:rFonts w:ascii="David" w:eastAsia="David" w:hAnsi="David" w:cs="David"/>
          <w:sz w:val="24"/>
          <w:szCs w:val="24"/>
          <w:rtl/>
        </w:rPr>
        <w:t>"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הצדקה</w:t>
      </w:r>
      <w:r>
        <w:rPr>
          <w:rFonts w:ascii="David" w:eastAsia="David" w:hAnsi="David" w:cs="David"/>
          <w:sz w:val="24"/>
          <w:szCs w:val="24"/>
          <w:rtl/>
        </w:rPr>
        <w:t xml:space="preserve">"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אחת</w:t>
      </w:r>
      <w:r>
        <w:rPr>
          <w:rFonts w:ascii="David" w:eastAsia="David" w:hAnsi="David" w:cs="David"/>
          <w:sz w:val="24"/>
          <w:szCs w:val="24"/>
          <w:rtl/>
        </w:rPr>
        <w:t xml:space="preserve">; (2)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מורחבת </w:t>
      </w:r>
      <w:r>
        <w:rPr>
          <w:rFonts w:ascii="David" w:eastAsia="David" w:hAnsi="David" w:cs="David"/>
          <w:sz w:val="24"/>
          <w:szCs w:val="24"/>
          <w:rtl/>
        </w:rPr>
        <w:t xml:space="preserve">–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הטיעון כולל את הרמה הבסיסית ו</w:t>
      </w:r>
      <w:r>
        <w:rPr>
          <w:rFonts w:ascii="David" w:eastAsia="David" w:hAnsi="David" w:cs="David"/>
          <w:sz w:val="24"/>
          <w:szCs w:val="24"/>
          <w:rtl/>
        </w:rPr>
        <w:t>"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התנגדות</w:t>
      </w:r>
      <w:r>
        <w:rPr>
          <w:rFonts w:ascii="David" w:eastAsia="David" w:hAnsi="David" w:cs="David"/>
          <w:sz w:val="24"/>
          <w:szCs w:val="24"/>
          <w:rtl/>
        </w:rPr>
        <w:t xml:space="preserve">"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אחת לפחות ו</w:t>
      </w:r>
      <w:r>
        <w:rPr>
          <w:rFonts w:ascii="David" w:eastAsia="David" w:hAnsi="David" w:cs="David"/>
          <w:sz w:val="24"/>
          <w:szCs w:val="24"/>
          <w:rtl/>
        </w:rPr>
        <w:t>/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או </w:t>
      </w:r>
      <w:r>
        <w:rPr>
          <w:rFonts w:ascii="David" w:eastAsia="David" w:hAnsi="David" w:cs="David"/>
          <w:sz w:val="24"/>
          <w:szCs w:val="24"/>
          <w:rtl/>
        </w:rPr>
        <w:t>"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הסתייגות</w:t>
      </w:r>
      <w:r>
        <w:rPr>
          <w:rFonts w:ascii="David" w:eastAsia="David" w:hAnsi="David" w:cs="David"/>
          <w:sz w:val="24"/>
          <w:szCs w:val="24"/>
          <w:rtl/>
        </w:rPr>
        <w:t xml:space="preserve">"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אחת לפחות ו</w:t>
      </w:r>
      <w:r>
        <w:rPr>
          <w:rFonts w:ascii="David" w:eastAsia="David" w:hAnsi="David" w:cs="David"/>
          <w:sz w:val="24"/>
          <w:szCs w:val="24"/>
          <w:rtl/>
        </w:rPr>
        <w:t>/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או מספר </w:t>
      </w:r>
      <w:r>
        <w:rPr>
          <w:rFonts w:ascii="David" w:eastAsia="David" w:hAnsi="David" w:cs="David"/>
          <w:sz w:val="24"/>
          <w:szCs w:val="24"/>
          <w:rtl/>
        </w:rPr>
        <w:t>"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הצדקות</w:t>
      </w:r>
      <w:r>
        <w:rPr>
          <w:rFonts w:ascii="David" w:eastAsia="David" w:hAnsi="David" w:cs="David"/>
          <w:sz w:val="24"/>
          <w:szCs w:val="24"/>
          <w:rtl/>
        </w:rPr>
        <w:t xml:space="preserve">".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איור </w:t>
      </w:r>
      <w:r>
        <w:rPr>
          <w:rFonts w:ascii="David" w:eastAsia="David" w:hAnsi="David" w:cs="David"/>
          <w:sz w:val="24"/>
          <w:szCs w:val="24"/>
          <w:rtl/>
        </w:rPr>
        <w:t xml:space="preserve">4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מדגים את התמודדות המשתתפים בטיעון הרביעי בטבלה </w:t>
      </w:r>
      <w:r>
        <w:rPr>
          <w:rFonts w:ascii="David" w:eastAsia="David" w:hAnsi="David" w:cs="David"/>
          <w:sz w:val="24"/>
          <w:szCs w:val="24"/>
          <w:rtl/>
        </w:rPr>
        <w:t xml:space="preserve">4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המתייחס למספר האלכסונים במרובע קעור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2F765849" w14:textId="77777777" w:rsidR="005B7BF6" w:rsidRDefault="00F10791">
      <w:pPr>
        <w:bidi/>
        <w:spacing w:before="240" w:after="240" w:line="360" w:lineRule="auto"/>
        <w:jc w:val="center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noProof/>
          <w:sz w:val="24"/>
          <w:szCs w:val="24"/>
        </w:rPr>
        <w:drawing>
          <wp:inline distT="114300" distB="114300" distL="114300" distR="114300" wp14:anchorId="66A9576D" wp14:editId="098BCEF0">
            <wp:extent cx="5189953" cy="2965688"/>
            <wp:effectExtent l="0" t="0" r="0" b="0"/>
            <wp:docPr id="22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9953" cy="2965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25A582" w14:textId="4CEA944A" w:rsidR="005B7BF6" w:rsidRDefault="00F10791">
      <w:pPr>
        <w:bidi/>
        <w:spacing w:before="240" w:after="240" w:line="360" w:lineRule="auto"/>
        <w:jc w:val="center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lastRenderedPageBreak/>
        <w:t xml:space="preserve">איור </w:t>
      </w:r>
      <w:r w:rsidR="00091637">
        <w:rPr>
          <w:rFonts w:ascii="David" w:eastAsia="David" w:hAnsi="David" w:cs="David"/>
          <w:sz w:val="24"/>
          <w:szCs w:val="24"/>
          <w:rtl/>
        </w:rPr>
        <w:t>4</w:t>
      </w:r>
      <w:r w:rsidR="00091637">
        <w:rPr>
          <w:rFonts w:ascii="David" w:eastAsia="David" w:hAnsi="David" w:cs="David" w:hint="cs"/>
          <w:sz w:val="24"/>
          <w:szCs w:val="24"/>
          <w:rtl/>
          <w:lang w:bidi="he-IL"/>
        </w:rPr>
        <w:t>.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תהליך התמודדות בטיעון לגבי אלכסונים במורבע קעור</w:t>
      </w:r>
    </w:p>
    <w:p w14:paraId="414B66E2" w14:textId="77777777" w:rsidR="005B7BF6" w:rsidRDefault="00F10791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מתוצאות טיעון </w:t>
      </w:r>
      <w:r>
        <w:rPr>
          <w:rFonts w:ascii="David" w:eastAsia="David" w:hAnsi="David" w:cs="David"/>
          <w:sz w:val="24"/>
          <w:szCs w:val="24"/>
          <w:rtl/>
        </w:rPr>
        <w:t xml:space="preserve">4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עולה שריווא לא זיהתה תחילה את האלכסון החיצוני כאלכסון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למרות קריאת ההגדרה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ומשכה אותו מתוך מערך הדוגמאות הנכונות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תוך כדי הדיון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בטיעון </w:t>
      </w:r>
      <w:r>
        <w:rPr>
          <w:rFonts w:ascii="David" w:eastAsia="David" w:hAnsi="David" w:cs="David"/>
          <w:sz w:val="24"/>
          <w:szCs w:val="24"/>
          <w:rtl/>
        </w:rPr>
        <w:t xml:space="preserve">5,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התברר כי הייתה לה תמותה בהבנת </w:t>
      </w:r>
      <w:r>
        <w:rPr>
          <w:rFonts w:ascii="David" w:eastAsia="David" w:hAnsi="David" w:cs="David"/>
          <w:sz w:val="24"/>
          <w:szCs w:val="24"/>
          <w:rtl/>
        </w:rPr>
        <w:t>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קודקודים סמוכים</w:t>
      </w:r>
      <w:r>
        <w:rPr>
          <w:rFonts w:ascii="David" w:eastAsia="David" w:hAnsi="David" w:cs="David"/>
          <w:sz w:val="24"/>
          <w:szCs w:val="24"/>
          <w:rtl/>
        </w:rPr>
        <w:t xml:space="preserve">”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ולכן המשיכה להכחיש את קיומו של האלכסון החיצוני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לאחר שהובהרו לה המושגים </w:t>
      </w:r>
      <w:r>
        <w:rPr>
          <w:rFonts w:ascii="David" w:eastAsia="David" w:hAnsi="David" w:cs="David"/>
          <w:sz w:val="24"/>
          <w:szCs w:val="24"/>
          <w:rtl/>
        </w:rPr>
        <w:t>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קודקודים סמוכים</w:t>
      </w:r>
      <w:r>
        <w:rPr>
          <w:rFonts w:ascii="David" w:eastAsia="David" w:hAnsi="David" w:cs="David"/>
          <w:sz w:val="24"/>
          <w:szCs w:val="24"/>
          <w:rtl/>
        </w:rPr>
        <w:t xml:space="preserve">”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>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קודקודים שאינם סמוכים</w:t>
      </w:r>
      <w:r>
        <w:rPr>
          <w:rFonts w:ascii="David" w:eastAsia="David" w:hAnsi="David" w:cs="David"/>
          <w:sz w:val="24"/>
          <w:szCs w:val="24"/>
          <w:rtl/>
        </w:rPr>
        <w:t xml:space="preserve">”,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הצליחה להכיר בכִּתּוּב הנכון של האלכסון החיצוני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בהמשך מספר משתתפים נוספים הסכימו איתה </w:t>
      </w:r>
      <w:r>
        <w:rPr>
          <w:rFonts w:ascii="David" w:eastAsia="David" w:hAnsi="David" w:cs="David"/>
          <w:sz w:val="24"/>
          <w:szCs w:val="24"/>
          <w:rtl/>
        </w:rPr>
        <w:t xml:space="preserve">[33],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מה שמעיד על הסכמה נורמטיבית שהתבססה בשלב זה והשיקה הבנה משותפת לגבי העובדה</w:t>
      </w:r>
      <w:r>
        <w:rPr>
          <w:rFonts w:ascii="David" w:eastAsia="David" w:hAnsi="David" w:cs="David"/>
          <w:sz w:val="24"/>
          <w:szCs w:val="24"/>
          <w:rtl/>
        </w:rPr>
        <w:t>: 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אם הקודקודים אינם סמוכים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ניתן לחבר ביניהם אלכסון</w:t>
      </w:r>
      <w:r>
        <w:rPr>
          <w:rFonts w:ascii="David" w:eastAsia="David" w:hAnsi="David" w:cs="David"/>
          <w:sz w:val="24"/>
          <w:szCs w:val="24"/>
          <w:rtl/>
        </w:rPr>
        <w:t>.”</w:t>
      </w:r>
    </w:p>
    <w:p w14:paraId="04B6D335" w14:textId="77777777" w:rsidR="005B7BF6" w:rsidRPr="00091637" w:rsidRDefault="00F10791">
      <w:pPr>
        <w:pStyle w:val="Heading1"/>
        <w:keepNext w:val="0"/>
        <w:keepLines w:val="0"/>
        <w:bidi/>
        <w:spacing w:before="480" w:line="360" w:lineRule="auto"/>
        <w:jc w:val="both"/>
        <w:rPr>
          <w:rFonts w:ascii="David" w:eastAsia="David" w:hAnsi="David" w:cs="David"/>
          <w:bCs/>
          <w:sz w:val="18"/>
          <w:szCs w:val="18"/>
        </w:rPr>
      </w:pPr>
      <w:bookmarkStart w:id="3" w:name="_ybdsnpiiquqd" w:colFirst="0" w:colLast="0"/>
      <w:bookmarkEnd w:id="3"/>
      <w:r w:rsidRPr="00091637">
        <w:rPr>
          <w:rFonts w:ascii="David" w:eastAsia="David" w:hAnsi="David" w:cs="David"/>
          <w:bCs/>
          <w:sz w:val="24"/>
          <w:szCs w:val="24"/>
          <w:rtl/>
          <w:lang w:bidi="he-IL"/>
        </w:rPr>
        <w:t>ממצאי מחקר ב</w:t>
      </w:r>
      <w:r w:rsidRPr="00091637">
        <w:rPr>
          <w:rFonts w:ascii="David" w:eastAsia="David" w:hAnsi="David" w:cs="David"/>
          <w:bCs/>
          <w:sz w:val="24"/>
          <w:szCs w:val="24"/>
          <w:rtl/>
        </w:rPr>
        <w:t>'</w:t>
      </w:r>
    </w:p>
    <w:p w14:paraId="74D14954" w14:textId="77777777" w:rsidR="005B7BF6" w:rsidRDefault="00F10791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הממצאים מצביעים על שינויים משמעותיים בהבנת המשתתפים ובזיהוי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הכלה בין צורות</w:t>
      </w:r>
      <w:r>
        <w:rPr>
          <w:rFonts w:ascii="David" w:eastAsia="David" w:hAnsi="David" w:cs="David"/>
          <w:sz w:val="24"/>
          <w:szCs w:val="24"/>
          <w:rtl/>
        </w:rPr>
        <w:t>—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בייחוד ריבועים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מעויינים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מלבנים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מקביליות ודלתונים</w:t>
      </w:r>
      <w:r>
        <w:rPr>
          <w:rFonts w:ascii="David" w:eastAsia="David" w:hAnsi="David" w:cs="David"/>
          <w:sz w:val="24"/>
          <w:szCs w:val="24"/>
          <w:rtl/>
        </w:rPr>
        <w:t>—</w:t>
      </w:r>
      <w:r>
        <w:rPr>
          <w:rFonts w:ascii="David" w:eastAsia="David" w:hAnsi="David" w:cs="David"/>
          <w:sz w:val="24"/>
          <w:szCs w:val="24"/>
          <w:rtl/>
          <w:lang w:bidi="he-IL"/>
        </w:rPr>
        <w:t>גם במשימות מילוליות וגם במשימות ויזואליות שבוצעו לפני ההתערבות ואחריה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נרשם שיפור בולט ביכולתם להכיר ולנמק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הכלה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מעבר מהבנה צרה ופרוטוטיפית לתפיסה רחבה ומכלילה יותר של צורות גאומטריות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להלן פירוט השינויים והתקדמות המשתתפים בהבנת ההיררכיה של הצורות ובאופן ההסבר שלהם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1BF71ABF" w14:textId="77777777" w:rsidR="005B7BF6" w:rsidRDefault="00F10791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בממצאים להלן נביא דוגמאות מהמשימה המילולית ודוגמאות מהמשימה הוויזואלית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הממצאים במשימה המילולית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ראו </w:t>
      </w:r>
      <w:r>
        <w:rPr>
          <w:rFonts w:ascii="David" w:eastAsia="David" w:hAnsi="David" w:cs="David"/>
          <w:b/>
          <w:sz w:val="24"/>
          <w:szCs w:val="24"/>
          <w:rtl/>
          <w:lang w:bidi="he-IL"/>
        </w:rPr>
        <w:t xml:space="preserve">טבלה </w:t>
      </w:r>
      <w:r>
        <w:rPr>
          <w:rFonts w:ascii="David" w:eastAsia="David" w:hAnsi="David" w:cs="David"/>
          <w:b/>
          <w:sz w:val="24"/>
          <w:szCs w:val="24"/>
          <w:rtl/>
        </w:rPr>
        <w:t>5</w:t>
      </w:r>
      <w:r>
        <w:rPr>
          <w:rFonts w:ascii="David" w:eastAsia="David" w:hAnsi="David" w:cs="David"/>
          <w:sz w:val="24"/>
          <w:szCs w:val="24"/>
          <w:rtl/>
        </w:rPr>
        <w:t xml:space="preserve">)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מראים מעבר בולט מזיהוי שגוי לזיהוי נכון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בתחילה התבססו שיפוטי המשתתפים על תכונות לא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קריטיות הייחודיות לדוגמאות פרוטוטיפיות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לאחר ההתערבות נימוקיהם נשענו על הגדרות פורמליות של הקבוצה המכילה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הסבר מפורש איך קבוצה אחת כלולה באחרת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 הבנה שהתכונות של צורה אחת מוכלות במלואן בתכונות צורה אחרת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71C9D558" w14:textId="77777777" w:rsidR="005B7BF6" w:rsidRPr="00091637" w:rsidRDefault="00F10791">
      <w:pPr>
        <w:pStyle w:val="Heading3"/>
        <w:keepNext w:val="0"/>
        <w:keepLines w:val="0"/>
        <w:bidi/>
        <w:spacing w:before="280" w:line="360" w:lineRule="auto"/>
        <w:rPr>
          <w:rFonts w:ascii="David" w:eastAsia="David" w:hAnsi="David" w:cs="David"/>
          <w:bCs/>
          <w:color w:val="000000"/>
          <w:sz w:val="24"/>
          <w:szCs w:val="24"/>
        </w:rPr>
      </w:pPr>
      <w:bookmarkStart w:id="4" w:name="_8fpsfevvfe6f" w:colFirst="0" w:colLast="0"/>
      <w:bookmarkEnd w:id="4"/>
      <w:r w:rsidRPr="00091637">
        <w:rPr>
          <w:rFonts w:ascii="David" w:eastAsia="David" w:hAnsi="David" w:cs="David"/>
          <w:bCs/>
          <w:color w:val="000000"/>
          <w:sz w:val="24"/>
          <w:szCs w:val="24"/>
          <w:rtl/>
          <w:lang w:bidi="he-IL"/>
        </w:rPr>
        <w:t xml:space="preserve">טבלה </w:t>
      </w:r>
      <w:r w:rsidRPr="00091637">
        <w:rPr>
          <w:rFonts w:ascii="David" w:eastAsia="David" w:hAnsi="David" w:cs="David"/>
          <w:bCs/>
          <w:color w:val="000000"/>
          <w:sz w:val="24"/>
          <w:szCs w:val="24"/>
          <w:rtl/>
        </w:rPr>
        <w:t>5.</w:t>
      </w:r>
    </w:p>
    <w:p w14:paraId="670A8781" w14:textId="77777777" w:rsidR="005B7BF6" w:rsidRPr="00091637" w:rsidRDefault="00F10791">
      <w:pPr>
        <w:pStyle w:val="Heading3"/>
        <w:keepNext w:val="0"/>
        <w:keepLines w:val="0"/>
        <w:bidi/>
        <w:spacing w:before="280" w:line="360" w:lineRule="auto"/>
        <w:rPr>
          <w:rFonts w:ascii="David" w:eastAsia="David" w:hAnsi="David" w:cs="David"/>
          <w:color w:val="000000"/>
          <w:sz w:val="24"/>
          <w:szCs w:val="24"/>
        </w:rPr>
      </w:pPr>
      <w:bookmarkStart w:id="5" w:name="_ck67uwaynq78" w:colFirst="0" w:colLast="0"/>
      <w:bookmarkEnd w:id="5"/>
      <w:r w:rsidRPr="00091637">
        <w:rPr>
          <w:rFonts w:ascii="David" w:eastAsia="David" w:hAnsi="David" w:cs="David"/>
          <w:b/>
          <w:color w:val="000000"/>
          <w:sz w:val="24"/>
          <w:szCs w:val="24"/>
        </w:rPr>
        <w:t xml:space="preserve"> </w:t>
      </w:r>
      <w:r w:rsidRPr="00091637">
        <w:rPr>
          <w:rFonts w:ascii="David" w:eastAsia="David" w:hAnsi="David" w:cs="David"/>
          <w:color w:val="000000"/>
          <w:sz w:val="24"/>
          <w:szCs w:val="24"/>
          <w:rtl/>
          <w:lang w:bidi="he-IL"/>
        </w:rPr>
        <w:t xml:space="preserve"> דוגמאות לזיהוי יחסי־הכלה </w:t>
      </w:r>
      <w:r w:rsidRPr="00091637">
        <w:rPr>
          <w:rFonts w:ascii="David" w:eastAsia="David" w:hAnsi="David" w:cs="David"/>
          <w:color w:val="000000"/>
          <w:sz w:val="24"/>
          <w:szCs w:val="24"/>
          <w:rtl/>
        </w:rPr>
        <w:t xml:space="preserve">– </w:t>
      </w:r>
      <w:r w:rsidRPr="00091637">
        <w:rPr>
          <w:rFonts w:ascii="David" w:eastAsia="David" w:hAnsi="David" w:cs="David"/>
          <w:color w:val="000000"/>
          <w:sz w:val="24"/>
          <w:szCs w:val="24"/>
          <w:rtl/>
          <w:lang w:bidi="he-IL"/>
        </w:rPr>
        <w:t>המשימה המילולית</w:t>
      </w:r>
    </w:p>
    <w:tbl>
      <w:tblPr>
        <w:tblStyle w:val="a3"/>
        <w:bidiVisual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2"/>
        <w:gridCol w:w="3537"/>
        <w:gridCol w:w="3926"/>
      </w:tblGrid>
      <w:tr w:rsidR="005B7BF6" w14:paraId="5902A76E" w14:textId="77777777" w:rsidTr="00091637">
        <w:trPr>
          <w:trHeight w:val="500"/>
        </w:trPr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D477E" w14:textId="77777777" w:rsidR="005B7BF6" w:rsidRDefault="00F10791">
            <w:pPr>
              <w:bidi/>
              <w:spacing w:before="240" w:after="240" w:line="36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טענה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6845" w14:textId="77777777" w:rsidR="005B7BF6" w:rsidRDefault="00F10791">
            <w:pPr>
              <w:bidi/>
              <w:spacing w:before="240" w:after="240" w:line="36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מקדים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– </w:t>
            </w:r>
          </w:p>
          <w:p w14:paraId="0528DB16" w14:textId="77777777" w:rsidR="005B7BF6" w:rsidRDefault="00F10791">
            <w:pPr>
              <w:bidi/>
              <w:spacing w:before="240" w:after="240" w:line="36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מספר מקבלים ונימוק לדוגמה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A16E" w14:textId="77777777" w:rsidR="005B7BF6" w:rsidRDefault="00F10791">
            <w:pPr>
              <w:bidi/>
              <w:spacing w:before="240" w:after="240" w:line="36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מסכם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– </w:t>
            </w:r>
          </w:p>
          <w:p w14:paraId="6E62A28B" w14:textId="77777777" w:rsidR="005B7BF6" w:rsidRDefault="00F10791">
            <w:pPr>
              <w:bidi/>
              <w:spacing w:before="240" w:after="240" w:line="36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מספר מקבלים ונימוק לדוגמה</w:t>
            </w:r>
          </w:p>
        </w:tc>
      </w:tr>
      <w:tr w:rsidR="005B7BF6" w14:paraId="5FF63E8E" w14:textId="77777777" w:rsidTr="00091637">
        <w:trPr>
          <w:trHeight w:val="770"/>
        </w:trPr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E0765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הריבוע הוא מלבן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E7EC4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 xml:space="preserve">4 </w:t>
            </w:r>
          </w:p>
          <w:p w14:paraId="29E1ED36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נימוק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: “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במלבן זוג צלעות אחד ארוך מהשני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.”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5F972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17</w:t>
            </w:r>
          </w:p>
          <w:p w14:paraId="0C4F7989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נימוק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: “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תכונות המלבן כלולות בתכונות הריבוע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.”</w:t>
            </w:r>
          </w:p>
        </w:tc>
      </w:tr>
      <w:tr w:rsidR="005B7BF6" w14:paraId="198DB5CB" w14:textId="77777777" w:rsidTr="00091637">
        <w:trPr>
          <w:trHeight w:val="770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AB9DC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המלבן הוא מקבילית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8F274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 xml:space="preserve">11 </w:t>
            </w:r>
          </w:p>
          <w:p w14:paraId="398A3B8F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lastRenderedPageBreak/>
              <w:t>נימוק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: “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למלבן זוויות ישרות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במקבילית לא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.”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BBAB0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lastRenderedPageBreak/>
              <w:t>17</w:t>
            </w:r>
          </w:p>
          <w:p w14:paraId="4DD5AE54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lastRenderedPageBreak/>
              <w:t>נימוק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: “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למלבן כל תכונות המקבילית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.”</w:t>
            </w:r>
          </w:p>
        </w:tc>
      </w:tr>
      <w:tr w:rsidR="005B7BF6" w14:paraId="41182727" w14:textId="77777777" w:rsidTr="00091637">
        <w:trPr>
          <w:trHeight w:val="770"/>
        </w:trPr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3E816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lastRenderedPageBreak/>
              <w:t>הריבוע הוא דלתון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B8ECD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 xml:space="preserve">2 </w:t>
            </w:r>
          </w:p>
          <w:p w14:paraId="08521D3A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נימוק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: “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בצידי דלתון לא כל הצלעות שוות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.”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E9E0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 xml:space="preserve">14 </w:t>
            </w:r>
          </w:p>
          <w:p w14:paraId="69140BDE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נימוק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: “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הריבוע הוא דלתון בעל ארבע צלעות שוות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.”</w:t>
            </w:r>
          </w:p>
        </w:tc>
      </w:tr>
    </w:tbl>
    <w:p w14:paraId="56A2E566" w14:textId="77777777" w:rsidR="005B7BF6" w:rsidRDefault="00F10791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חל גם שיפור ניכר בזיהוי דוגמאות לא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פרוטוטיפיות במשימה וויזואלית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כגון ריבועים כמלבנים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מקביליות או דלתונים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וכן בזיהוי מלבנים כמקביליות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ראה טבלה </w:t>
      </w:r>
      <w:r>
        <w:rPr>
          <w:rFonts w:ascii="David" w:eastAsia="David" w:hAnsi="David" w:cs="David"/>
          <w:sz w:val="24"/>
          <w:szCs w:val="24"/>
          <w:rtl/>
        </w:rPr>
        <w:t>6).</w:t>
      </w:r>
    </w:p>
    <w:p w14:paraId="424758EA" w14:textId="77777777" w:rsidR="005B7BF6" w:rsidRPr="00091637" w:rsidRDefault="00F10791">
      <w:pPr>
        <w:pStyle w:val="Heading3"/>
        <w:keepNext w:val="0"/>
        <w:keepLines w:val="0"/>
        <w:bidi/>
        <w:spacing w:before="280" w:line="360" w:lineRule="auto"/>
        <w:rPr>
          <w:rFonts w:ascii="David" w:eastAsia="David" w:hAnsi="David" w:cs="David"/>
          <w:bCs/>
          <w:color w:val="000000"/>
          <w:sz w:val="24"/>
          <w:szCs w:val="24"/>
        </w:rPr>
      </w:pPr>
      <w:bookmarkStart w:id="6" w:name="_opqgy76x3y56" w:colFirst="0" w:colLast="0"/>
      <w:bookmarkEnd w:id="6"/>
      <w:r w:rsidRPr="00091637">
        <w:rPr>
          <w:rFonts w:ascii="David" w:eastAsia="David" w:hAnsi="David" w:cs="David"/>
          <w:bCs/>
          <w:color w:val="000000"/>
          <w:sz w:val="24"/>
          <w:szCs w:val="24"/>
          <w:rtl/>
          <w:lang w:bidi="he-IL"/>
        </w:rPr>
        <w:t xml:space="preserve">טבלה </w:t>
      </w:r>
      <w:r w:rsidRPr="00091637">
        <w:rPr>
          <w:rFonts w:ascii="David" w:eastAsia="David" w:hAnsi="David" w:cs="David"/>
          <w:bCs/>
          <w:color w:val="000000"/>
          <w:sz w:val="24"/>
          <w:szCs w:val="24"/>
          <w:rtl/>
        </w:rPr>
        <w:t>6.</w:t>
      </w:r>
    </w:p>
    <w:p w14:paraId="462AE133" w14:textId="77777777" w:rsidR="005B7BF6" w:rsidRPr="00091637" w:rsidRDefault="00F10791">
      <w:pPr>
        <w:pStyle w:val="Heading3"/>
        <w:keepNext w:val="0"/>
        <w:keepLines w:val="0"/>
        <w:bidi/>
        <w:spacing w:before="280" w:line="360" w:lineRule="auto"/>
        <w:rPr>
          <w:rFonts w:ascii="David" w:eastAsia="David" w:hAnsi="David" w:cs="David"/>
          <w:color w:val="000000"/>
          <w:sz w:val="24"/>
          <w:szCs w:val="24"/>
        </w:rPr>
      </w:pPr>
      <w:bookmarkStart w:id="7" w:name="_gmhiyxokxsm8" w:colFirst="0" w:colLast="0"/>
      <w:bookmarkEnd w:id="7"/>
      <w:r w:rsidRPr="00091637">
        <w:rPr>
          <w:rFonts w:ascii="David" w:eastAsia="David" w:hAnsi="David" w:cs="David"/>
          <w:color w:val="000000"/>
          <w:sz w:val="24"/>
          <w:szCs w:val="24"/>
          <w:rtl/>
          <w:lang w:bidi="he-IL"/>
        </w:rPr>
        <w:t xml:space="preserve"> זיהוי יחסי־הכלה </w:t>
      </w:r>
      <w:r w:rsidRPr="00091637">
        <w:rPr>
          <w:rFonts w:ascii="David" w:eastAsia="David" w:hAnsi="David" w:cs="David"/>
          <w:color w:val="000000"/>
          <w:sz w:val="24"/>
          <w:szCs w:val="24"/>
          <w:rtl/>
        </w:rPr>
        <w:t xml:space="preserve">– </w:t>
      </w:r>
      <w:r w:rsidRPr="00091637">
        <w:rPr>
          <w:rFonts w:ascii="David" w:eastAsia="David" w:hAnsi="David" w:cs="David"/>
          <w:color w:val="000000"/>
          <w:sz w:val="24"/>
          <w:szCs w:val="24"/>
          <w:rtl/>
          <w:lang w:bidi="he-IL"/>
        </w:rPr>
        <w:t>המשימה הוויזואלית</w:t>
      </w:r>
    </w:p>
    <w:tbl>
      <w:tblPr>
        <w:tblStyle w:val="a4"/>
        <w:bidiVisual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945"/>
        <w:gridCol w:w="1575"/>
        <w:gridCol w:w="1485"/>
        <w:gridCol w:w="1860"/>
        <w:gridCol w:w="1575"/>
      </w:tblGrid>
      <w:tr w:rsidR="005B7BF6" w14:paraId="183DBB45" w14:textId="77777777" w:rsidTr="00091637">
        <w:trPr>
          <w:trHeight w:val="500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E3359" w14:textId="77777777" w:rsidR="005B7BF6" w:rsidRDefault="00F10791">
            <w:pPr>
              <w:bidi/>
              <w:spacing w:before="240" w:after="240" w:line="36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 xml:space="preserve">צורה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(</w:t>
            </w: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קוד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4C4A9" w14:textId="77777777" w:rsidR="005B7BF6" w:rsidRDefault="00F10791">
            <w:pPr>
              <w:bidi/>
              <w:spacing w:before="240" w:after="240" w:line="36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שאלון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94D75" w14:textId="77777777" w:rsidR="005B7BF6" w:rsidRDefault="00F10791">
            <w:pPr>
              <w:bidi/>
              <w:spacing w:before="240" w:after="240" w:line="36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זוהה כריבוע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D2E9D" w14:textId="77777777" w:rsidR="005B7BF6" w:rsidRDefault="00F10791">
            <w:pPr>
              <w:bidi/>
              <w:spacing w:before="240" w:after="240" w:line="36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זוהה כמלבן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1FDD9" w14:textId="77777777" w:rsidR="005B7BF6" w:rsidRDefault="00F10791">
            <w:pPr>
              <w:bidi/>
              <w:spacing w:before="240" w:after="240" w:line="36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זוהה כמקבילית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44C3F" w14:textId="77777777" w:rsidR="005B7BF6" w:rsidRDefault="00F10791">
            <w:pPr>
              <w:bidi/>
              <w:spacing w:before="240" w:after="240" w:line="360" w:lineRule="auto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זוהה כדלתון</w:t>
            </w:r>
          </w:p>
        </w:tc>
      </w:tr>
      <w:tr w:rsidR="005B7BF6" w14:paraId="27EDA76B" w14:textId="77777777" w:rsidTr="00091637">
        <w:trPr>
          <w:trHeight w:val="500"/>
        </w:trPr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60A41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א</w:t>
            </w:r>
            <w:r>
              <w:rPr>
                <w:rFonts w:ascii="David" w:eastAsia="David" w:hAnsi="David" w:cs="David"/>
                <w:noProof/>
                <w:sz w:val="24"/>
                <w:szCs w:val="24"/>
              </w:rPr>
              <w:drawing>
                <wp:inline distT="114300" distB="114300" distL="114300" distR="114300" wp14:anchorId="538E7499" wp14:editId="1B1C0041">
                  <wp:extent cx="609600" cy="533400"/>
                  <wp:effectExtent l="0" t="0" r="0" b="0"/>
                  <wp:docPr id="1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41E55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מקדים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C57A2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A9088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79CF7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D9303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0</w:t>
            </w:r>
          </w:p>
        </w:tc>
      </w:tr>
      <w:tr w:rsidR="005B7BF6" w14:paraId="18BC93C6" w14:textId="77777777">
        <w:trPr>
          <w:trHeight w:val="500"/>
        </w:trPr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C78BA" w14:textId="77777777" w:rsidR="005B7BF6" w:rsidRDefault="005B7BF6">
            <w:pPr>
              <w:bidi/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07501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מסכם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55D64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7761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AAF7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18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7A0B2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19</w:t>
            </w:r>
          </w:p>
        </w:tc>
      </w:tr>
      <w:tr w:rsidR="005B7BF6" w14:paraId="34FCC637" w14:textId="77777777">
        <w:trPr>
          <w:trHeight w:val="500"/>
        </w:trPr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DD4DF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ב</w:t>
            </w:r>
            <w:r>
              <w:rPr>
                <w:rFonts w:ascii="David" w:eastAsia="David" w:hAnsi="David" w:cs="David"/>
                <w:noProof/>
                <w:sz w:val="24"/>
                <w:szCs w:val="24"/>
              </w:rPr>
              <w:drawing>
                <wp:inline distT="114300" distB="114300" distL="114300" distR="114300" wp14:anchorId="1C427BF5" wp14:editId="3D9A1E47">
                  <wp:extent cx="581341" cy="420354"/>
                  <wp:effectExtent l="0" t="0" r="0" b="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341" cy="4203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C1C7F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מקדים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DF16E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3D2C3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97FD3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9743A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1</w:t>
            </w:r>
          </w:p>
        </w:tc>
      </w:tr>
      <w:tr w:rsidR="005B7BF6" w14:paraId="56C9FD58" w14:textId="77777777">
        <w:trPr>
          <w:trHeight w:val="500"/>
        </w:trPr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CEA3F" w14:textId="77777777" w:rsidR="005B7BF6" w:rsidRDefault="005B7BF6">
            <w:pPr>
              <w:bidi/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4A8F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מסכם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FF0FE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D1E16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80C5C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EDB25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18</w:t>
            </w:r>
          </w:p>
        </w:tc>
      </w:tr>
      <w:tr w:rsidR="005B7BF6" w14:paraId="714C2B01" w14:textId="77777777">
        <w:trPr>
          <w:trHeight w:val="500"/>
        </w:trPr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9102F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ג</w:t>
            </w:r>
            <w:r>
              <w:rPr>
                <w:rFonts w:ascii="David" w:eastAsia="David" w:hAnsi="David" w:cs="David"/>
                <w:noProof/>
                <w:sz w:val="24"/>
                <w:szCs w:val="24"/>
              </w:rPr>
              <w:drawing>
                <wp:inline distT="114300" distB="114300" distL="114300" distR="114300" wp14:anchorId="5C884D14" wp14:editId="7401D673">
                  <wp:extent cx="609600" cy="508000"/>
                  <wp:effectExtent l="0" t="0" r="0" b="0"/>
                  <wp:docPr id="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0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8E2D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מקדים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1298B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38121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D9B58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D35F8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0</w:t>
            </w:r>
          </w:p>
        </w:tc>
      </w:tr>
      <w:tr w:rsidR="005B7BF6" w14:paraId="79C7DEB0" w14:textId="77777777">
        <w:trPr>
          <w:trHeight w:val="500"/>
        </w:trPr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AC33F" w14:textId="77777777" w:rsidR="005B7BF6" w:rsidRDefault="005B7BF6">
            <w:pPr>
              <w:bidi/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1015C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מסכם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DE61D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1A925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DCA3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19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3E25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0</w:t>
            </w:r>
          </w:p>
        </w:tc>
      </w:tr>
      <w:tr w:rsidR="005B7BF6" w14:paraId="0374BD0C" w14:textId="77777777" w:rsidTr="00091637">
        <w:trPr>
          <w:trHeight w:val="500"/>
        </w:trPr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7108F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ד</w:t>
            </w:r>
            <w:r>
              <w:rPr>
                <w:rFonts w:ascii="David" w:eastAsia="David" w:hAnsi="David" w:cs="David"/>
                <w:noProof/>
                <w:sz w:val="24"/>
                <w:szCs w:val="24"/>
              </w:rPr>
              <w:drawing>
                <wp:inline distT="114300" distB="114300" distL="114300" distR="114300" wp14:anchorId="058CDFFC" wp14:editId="087970BC">
                  <wp:extent cx="781050" cy="279400"/>
                  <wp:effectExtent l="0" t="0" r="0" b="0"/>
                  <wp:docPr id="1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279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2F2ED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מקדים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E31B0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4DA45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65EC9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1710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0</w:t>
            </w:r>
          </w:p>
        </w:tc>
      </w:tr>
      <w:tr w:rsidR="005B7BF6" w14:paraId="7AA4DCD0" w14:textId="77777777" w:rsidTr="00091637">
        <w:trPr>
          <w:trHeight w:val="500"/>
        </w:trPr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52EFB" w14:textId="77777777" w:rsidR="005B7BF6" w:rsidRDefault="005B7BF6">
            <w:pPr>
              <w:bidi/>
              <w:spacing w:line="36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820D0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  <w:lang w:bidi="he-IL"/>
              </w:rPr>
              <w:t>מסכם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F85EF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1E869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DCA0E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D409E" w14:textId="77777777" w:rsidR="005B7BF6" w:rsidRDefault="00F10791">
            <w:pPr>
              <w:bidi/>
              <w:spacing w:before="240" w:after="240" w:line="36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0</w:t>
            </w:r>
          </w:p>
        </w:tc>
      </w:tr>
    </w:tbl>
    <w:p w14:paraId="21B81B97" w14:textId="77777777" w:rsidR="005B7BF6" w:rsidRDefault="00F10791">
      <w:pPr>
        <w:pStyle w:val="Heading3"/>
        <w:keepNext w:val="0"/>
        <w:keepLines w:val="0"/>
        <w:bidi/>
        <w:spacing w:before="240" w:after="240" w:line="360" w:lineRule="auto"/>
        <w:rPr>
          <w:rFonts w:ascii="David" w:eastAsia="David" w:hAnsi="David" w:cs="David"/>
          <w:color w:val="000000"/>
          <w:sz w:val="24"/>
          <w:szCs w:val="24"/>
        </w:rPr>
      </w:pPr>
      <w:bookmarkStart w:id="8" w:name="_11kustdyvi8n" w:colFirst="0" w:colLast="0"/>
      <w:bookmarkEnd w:id="8"/>
      <w:r>
        <w:rPr>
          <w:rFonts w:ascii="David" w:eastAsia="David" w:hAnsi="David" w:cs="David"/>
          <w:color w:val="000000"/>
          <w:sz w:val="24"/>
          <w:szCs w:val="24"/>
          <w:rtl/>
          <w:lang w:bidi="he-IL"/>
        </w:rPr>
        <w:t>הניתוח של הנתונים המוצגים לעיל מראים כי זיהוי יחסי</w:t>
      </w:r>
      <w:r>
        <w:rPr>
          <w:rFonts w:ascii="David" w:eastAsia="David" w:hAnsi="David" w:cs="David"/>
          <w:color w:val="000000"/>
          <w:sz w:val="24"/>
          <w:szCs w:val="24"/>
          <w:rtl/>
        </w:rPr>
        <w:t>-</w:t>
      </w:r>
      <w:r>
        <w:rPr>
          <w:rFonts w:ascii="David" w:eastAsia="David" w:hAnsi="David" w:cs="David"/>
          <w:color w:val="000000"/>
          <w:sz w:val="24"/>
          <w:szCs w:val="24"/>
          <w:rtl/>
          <w:lang w:bidi="he-IL"/>
        </w:rPr>
        <w:t>הכלה בין מרובעים השתפר במבחן מסכם</w:t>
      </w: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color w:val="000000"/>
          <w:sz w:val="24"/>
          <w:szCs w:val="24"/>
          <w:rtl/>
          <w:lang w:bidi="he-IL"/>
        </w:rPr>
        <w:t>אך השיפור לא רק עבור יחסים שנדונו במהלך המפגשים</w:t>
      </w: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color w:val="000000"/>
          <w:sz w:val="24"/>
          <w:szCs w:val="24"/>
          <w:rtl/>
          <w:lang w:bidi="he-IL"/>
        </w:rPr>
        <w:t>אלא גם עבור כאלה שלא נדונו כלל</w:t>
      </w: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color w:val="000000"/>
          <w:sz w:val="24"/>
          <w:szCs w:val="24"/>
          <w:rtl/>
          <w:lang w:bidi="he-IL"/>
        </w:rPr>
        <w:t xml:space="preserve">ראה טבלה </w:t>
      </w:r>
      <w:r>
        <w:rPr>
          <w:rFonts w:ascii="David" w:eastAsia="David" w:hAnsi="David" w:cs="David"/>
          <w:color w:val="000000"/>
          <w:sz w:val="24"/>
          <w:szCs w:val="24"/>
          <w:rtl/>
        </w:rPr>
        <w:t xml:space="preserve">7. </w:t>
      </w:r>
      <w:r>
        <w:rPr>
          <w:rFonts w:ascii="David" w:eastAsia="David" w:hAnsi="David" w:cs="David"/>
          <w:color w:val="000000"/>
          <w:sz w:val="24"/>
          <w:szCs w:val="24"/>
          <w:rtl/>
          <w:lang w:bidi="he-IL"/>
        </w:rPr>
        <w:t>להלן</w:t>
      </w:r>
      <w:r>
        <w:rPr>
          <w:rFonts w:ascii="David" w:eastAsia="David" w:hAnsi="David" w:cs="David"/>
          <w:color w:val="000000"/>
          <w:sz w:val="24"/>
          <w:szCs w:val="24"/>
          <w:rtl/>
        </w:rPr>
        <w:t>:</w:t>
      </w:r>
    </w:p>
    <w:p w14:paraId="1352417F" w14:textId="77777777" w:rsidR="00091637" w:rsidRPr="00091637" w:rsidRDefault="00F10791">
      <w:pPr>
        <w:bidi/>
        <w:rPr>
          <w:rFonts w:ascii="David" w:eastAsia="David" w:hAnsi="David" w:cs="David"/>
          <w:b/>
          <w:bCs/>
          <w:sz w:val="24"/>
          <w:szCs w:val="24"/>
          <w:rtl/>
          <w:lang w:bidi="he-IL"/>
        </w:rPr>
      </w:pPr>
      <w:r w:rsidRPr="00091637">
        <w:rPr>
          <w:rFonts w:ascii="David" w:eastAsia="David" w:hAnsi="David" w:cs="David"/>
          <w:b/>
          <w:bCs/>
          <w:sz w:val="24"/>
          <w:szCs w:val="24"/>
          <w:rtl/>
          <w:lang w:bidi="he-IL"/>
        </w:rPr>
        <w:t xml:space="preserve">טבלה </w:t>
      </w:r>
      <w:r w:rsidR="00091637" w:rsidRPr="00091637">
        <w:rPr>
          <w:rFonts w:ascii="David" w:eastAsia="David" w:hAnsi="David" w:cs="David"/>
          <w:b/>
          <w:bCs/>
          <w:sz w:val="24"/>
          <w:szCs w:val="24"/>
          <w:rtl/>
        </w:rPr>
        <w:t>7</w:t>
      </w:r>
      <w:r w:rsidR="00091637" w:rsidRPr="00091637">
        <w:rPr>
          <w:rFonts w:ascii="David" w:eastAsia="David" w:hAnsi="David" w:cs="David" w:hint="cs"/>
          <w:b/>
          <w:bCs/>
          <w:sz w:val="24"/>
          <w:szCs w:val="24"/>
          <w:rtl/>
          <w:lang w:bidi="he-IL"/>
        </w:rPr>
        <w:t>.</w:t>
      </w:r>
    </w:p>
    <w:p w14:paraId="2F07256E" w14:textId="6F11A776" w:rsidR="005B7BF6" w:rsidRDefault="00F10791" w:rsidP="00091637">
      <w:pPr>
        <w:bidi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ממצאים מסכמים מהמשימה המילולית</w:t>
      </w:r>
    </w:p>
    <w:p w14:paraId="4033C1EE" w14:textId="77777777" w:rsidR="005B7BF6" w:rsidRDefault="005B7BF6">
      <w:pPr>
        <w:rPr>
          <w:rFonts w:ascii="David" w:eastAsia="David" w:hAnsi="David" w:cs="David"/>
        </w:rPr>
      </w:pPr>
    </w:p>
    <w:tbl>
      <w:tblPr>
        <w:tblStyle w:val="a5"/>
        <w:tblW w:w="888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830"/>
        <w:gridCol w:w="1125"/>
        <w:gridCol w:w="1935"/>
        <w:gridCol w:w="1095"/>
        <w:gridCol w:w="855"/>
        <w:gridCol w:w="840"/>
        <w:gridCol w:w="1200"/>
      </w:tblGrid>
      <w:tr w:rsidR="005B7BF6" w14:paraId="450DD738" w14:textId="77777777" w:rsidTr="00091637">
        <w:trPr>
          <w:trHeight w:val="300"/>
        </w:trPr>
        <w:tc>
          <w:tcPr>
            <w:tcW w:w="2955" w:type="dxa"/>
            <w:gridSpan w:val="2"/>
            <w:tcBorders>
              <w:top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3A08E" w14:textId="77777777" w:rsidR="005B7BF6" w:rsidRDefault="00F10791">
            <w:pPr>
              <w:bidi/>
              <w:spacing w:before="240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נימוק נכון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5319F0" w14:textId="77777777" w:rsidR="005B7BF6" w:rsidRDefault="00F10791">
            <w:pPr>
              <w:bidi/>
              <w:spacing w:before="240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נימוק שגוי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16E86D" w14:textId="77777777" w:rsidR="005B7BF6" w:rsidRDefault="00F10791">
            <w:pPr>
              <w:bidi/>
              <w:spacing w:before="240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DF6814" w14:textId="77777777" w:rsidR="005B7BF6" w:rsidRDefault="00F10791">
            <w:pPr>
              <w:bidi/>
              <w:spacing w:before="240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A88FE0" w14:textId="77777777" w:rsidR="005B7BF6" w:rsidRDefault="00F10791">
            <w:pPr>
              <w:bidi/>
              <w:spacing w:before="240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A43839" w14:textId="77777777" w:rsidR="005B7BF6" w:rsidRDefault="00F10791">
            <w:pPr>
              <w:bidi/>
              <w:spacing w:before="240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 xml:space="preserve"> </w:t>
            </w:r>
          </w:p>
        </w:tc>
      </w:tr>
      <w:tr w:rsidR="005B7BF6" w14:paraId="57EC58B3" w14:textId="77777777" w:rsidTr="00091637">
        <w:trPr>
          <w:trHeight w:val="1350"/>
        </w:trPr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066A7E" w14:textId="77777777" w:rsidR="005B7BF6" w:rsidRDefault="00F10791">
            <w:pPr>
              <w:bidi/>
              <w:spacing w:before="240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 xml:space="preserve">תכונות קריטיות משותפות </w:t>
            </w:r>
            <w:r>
              <w:rPr>
                <w:rFonts w:ascii="David" w:eastAsia="David" w:hAnsi="David" w:cs="David"/>
                <w:rtl/>
              </w:rPr>
              <w:t xml:space="preserve">/ </w:t>
            </w:r>
            <w:r>
              <w:rPr>
                <w:rFonts w:ascii="David" w:eastAsia="David" w:hAnsi="David" w:cs="David"/>
                <w:rtl/>
                <w:lang w:bidi="he-IL"/>
              </w:rPr>
              <w:t>יחסי הכלה בין תכונות קריטיות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3033DE" w14:textId="77777777" w:rsidR="005B7BF6" w:rsidRDefault="00F10791">
            <w:pPr>
              <w:bidi/>
              <w:spacing w:before="240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הגדרה פורמלית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42D284" w14:textId="77777777" w:rsidR="005B7BF6" w:rsidRDefault="00F10791">
            <w:pPr>
              <w:bidi/>
              <w:spacing w:before="240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 xml:space="preserve">שימוש בתכונות לא קריטיות </w:t>
            </w:r>
            <w:r>
              <w:rPr>
                <w:rFonts w:ascii="David" w:eastAsia="David" w:hAnsi="David" w:cs="David"/>
                <w:rtl/>
              </w:rPr>
              <w:t xml:space="preserve">/ </w:t>
            </w:r>
            <w:r>
              <w:rPr>
                <w:rFonts w:ascii="David" w:eastAsia="David" w:hAnsi="David" w:cs="David"/>
                <w:rtl/>
                <w:lang w:bidi="he-IL"/>
              </w:rPr>
              <w:t>התייחסות לדוגמאות אב טיפוסיות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93105C" w14:textId="77777777" w:rsidR="005B7BF6" w:rsidRDefault="00F10791">
            <w:pPr>
              <w:bidi/>
              <w:spacing w:before="240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 xml:space="preserve">דחיית טענה </w:t>
            </w:r>
            <w:r>
              <w:rPr>
                <w:rFonts w:ascii="David" w:eastAsia="David" w:hAnsi="David" w:cs="David"/>
                <w:rtl/>
              </w:rPr>
              <w:t xml:space="preserve">/ </w:t>
            </w:r>
            <w:r>
              <w:rPr>
                <w:rFonts w:ascii="David" w:eastAsia="David" w:hAnsi="David" w:cs="David"/>
                <w:rtl/>
                <w:lang w:bidi="he-IL"/>
              </w:rPr>
              <w:t>ללא תגובה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E75D62" w14:textId="77777777" w:rsidR="005B7BF6" w:rsidRDefault="00F10791">
            <w:pPr>
              <w:bidi/>
              <w:spacing w:before="240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קבלת טענה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F648C6" w14:textId="77777777" w:rsidR="005B7BF6" w:rsidRDefault="00F10791">
            <w:pPr>
              <w:bidi/>
              <w:spacing w:before="240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שאלון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52BB68" w14:textId="77777777" w:rsidR="005B7BF6" w:rsidRDefault="00F10791">
            <w:pPr>
              <w:bidi/>
              <w:spacing w:before="240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הטענה</w:t>
            </w:r>
          </w:p>
        </w:tc>
      </w:tr>
      <w:tr w:rsidR="005B7BF6" w14:paraId="4E96FCB0" w14:textId="77777777" w:rsidTr="00091637">
        <w:trPr>
          <w:trHeight w:val="480"/>
        </w:trPr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3B5A7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2C8D5B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7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78CB0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D115C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FAC99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D2993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מקדים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0BB87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המעוין הוא מקבילית</w:t>
            </w:r>
          </w:p>
        </w:tc>
      </w:tr>
      <w:tr w:rsidR="005B7BF6" w14:paraId="5B06B8F7" w14:textId="77777777" w:rsidTr="00091637">
        <w:trPr>
          <w:trHeight w:val="480"/>
        </w:trPr>
        <w:tc>
          <w:tcPr>
            <w:tcW w:w="183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68D331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9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7ABDD0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9</w:t>
            </w:r>
          </w:p>
        </w:tc>
        <w:tc>
          <w:tcPr>
            <w:tcW w:w="193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D0CB8C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0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DA4C9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0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76E36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20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5BFA7E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מסכם</w:t>
            </w:r>
          </w:p>
        </w:tc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56453" w14:textId="77777777" w:rsidR="005B7BF6" w:rsidRDefault="005B7BF6">
            <w:pPr>
              <w:rPr>
                <w:rFonts w:ascii="David" w:eastAsia="David" w:hAnsi="David" w:cs="David"/>
              </w:rPr>
            </w:pPr>
          </w:p>
        </w:tc>
      </w:tr>
      <w:tr w:rsidR="005B7BF6" w14:paraId="5CC21D67" w14:textId="77777777" w:rsidTr="00091637">
        <w:trPr>
          <w:trHeight w:val="435"/>
        </w:trPr>
        <w:tc>
          <w:tcPr>
            <w:tcW w:w="183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F2CAC7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2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59EF1D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0</w:t>
            </w:r>
          </w:p>
        </w:tc>
        <w:tc>
          <w:tcPr>
            <w:tcW w:w="193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6F591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9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7780D5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17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965E52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3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AD3BD7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מקדים</w:t>
            </w:r>
          </w:p>
        </w:tc>
        <w:tc>
          <w:tcPr>
            <w:tcW w:w="1200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D8EF4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המעוין הוא דלתון</w:t>
            </w:r>
          </w:p>
        </w:tc>
      </w:tr>
      <w:tr w:rsidR="005B7BF6" w14:paraId="4D8EE65A" w14:textId="77777777" w:rsidTr="00091637">
        <w:trPr>
          <w:trHeight w:val="435"/>
        </w:trPr>
        <w:tc>
          <w:tcPr>
            <w:tcW w:w="183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ECE70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14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2663E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4</w:t>
            </w:r>
          </w:p>
        </w:tc>
        <w:tc>
          <w:tcPr>
            <w:tcW w:w="193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94445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1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4CECB3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1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215C80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19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E693AA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מסכם</w:t>
            </w:r>
          </w:p>
        </w:tc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B894A" w14:textId="77777777" w:rsidR="005B7BF6" w:rsidRDefault="005B7BF6">
            <w:pPr>
              <w:rPr>
                <w:rFonts w:ascii="David" w:eastAsia="David" w:hAnsi="David" w:cs="David"/>
              </w:rPr>
            </w:pPr>
          </w:p>
        </w:tc>
      </w:tr>
      <w:tr w:rsidR="005B7BF6" w14:paraId="06BF3E61" w14:textId="77777777" w:rsidTr="00091637">
        <w:trPr>
          <w:trHeight w:val="480"/>
        </w:trPr>
        <w:tc>
          <w:tcPr>
            <w:tcW w:w="183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27D7F1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3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4432B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E1A3F6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14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BD7F5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13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787F56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7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B9DBF7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מקדים</w:t>
            </w:r>
          </w:p>
        </w:tc>
        <w:tc>
          <w:tcPr>
            <w:tcW w:w="1200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383E6B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הריבוע הוא מקבילית</w:t>
            </w:r>
          </w:p>
        </w:tc>
      </w:tr>
      <w:tr w:rsidR="005B7BF6" w14:paraId="5904031C" w14:textId="77777777" w:rsidTr="00091637">
        <w:trPr>
          <w:trHeight w:val="480"/>
        </w:trPr>
        <w:tc>
          <w:tcPr>
            <w:tcW w:w="183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C8C8DB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10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E6D8C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9</w:t>
            </w:r>
          </w:p>
        </w:tc>
        <w:tc>
          <w:tcPr>
            <w:tcW w:w="193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4D7498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1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7EB1CE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1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77E35C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19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5A0AC1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מסכם</w:t>
            </w:r>
          </w:p>
        </w:tc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B48C8" w14:textId="77777777" w:rsidR="005B7BF6" w:rsidRDefault="005B7BF6">
            <w:pPr>
              <w:rPr>
                <w:rFonts w:ascii="David" w:eastAsia="David" w:hAnsi="David" w:cs="David"/>
              </w:rPr>
            </w:pPr>
          </w:p>
        </w:tc>
      </w:tr>
      <w:tr w:rsidR="005B7BF6" w14:paraId="2DC8B10C" w14:textId="77777777" w:rsidTr="00091637">
        <w:trPr>
          <w:trHeight w:val="435"/>
        </w:trPr>
        <w:tc>
          <w:tcPr>
            <w:tcW w:w="183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F83CF1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3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68F05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E95F67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7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FDA8D1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13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22ED2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7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0B0069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מקדים</w:t>
            </w:r>
          </w:p>
        </w:tc>
        <w:tc>
          <w:tcPr>
            <w:tcW w:w="1200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B98FB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הריבוע הוא מעוין</w:t>
            </w:r>
          </w:p>
        </w:tc>
      </w:tr>
      <w:tr w:rsidR="005B7BF6" w14:paraId="31D023BE" w14:textId="77777777" w:rsidTr="00091637">
        <w:trPr>
          <w:trHeight w:val="435"/>
        </w:trPr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3CE75D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13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491A2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6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3CC31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0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D538F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8B7409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</w:rPr>
              <w:t>19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F4400" w14:textId="77777777" w:rsidR="005B7BF6" w:rsidRDefault="00F10791">
            <w:pPr>
              <w:bidi/>
              <w:spacing w:before="240" w:after="160" w:line="256" w:lineRule="auto"/>
              <w:rPr>
                <w:rFonts w:ascii="David" w:eastAsia="David" w:hAnsi="David" w:cs="David"/>
              </w:rPr>
            </w:pPr>
            <w:r>
              <w:rPr>
                <w:rFonts w:ascii="David" w:eastAsia="David" w:hAnsi="David" w:cs="David"/>
                <w:rtl/>
                <w:lang w:bidi="he-IL"/>
              </w:rPr>
              <w:t>מסכם</w:t>
            </w: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09FD2" w14:textId="77777777" w:rsidR="005B7BF6" w:rsidRDefault="005B7BF6">
            <w:pPr>
              <w:rPr>
                <w:rFonts w:ascii="David" w:eastAsia="David" w:hAnsi="David" w:cs="David"/>
              </w:rPr>
            </w:pPr>
          </w:p>
        </w:tc>
      </w:tr>
    </w:tbl>
    <w:p w14:paraId="18F7EB98" w14:textId="77777777" w:rsidR="005B7BF6" w:rsidRDefault="005B7BF6">
      <w:pPr>
        <w:bidi/>
        <w:rPr>
          <w:rFonts w:ascii="David" w:eastAsia="David" w:hAnsi="David" w:cs="David"/>
        </w:rPr>
      </w:pPr>
    </w:p>
    <w:p w14:paraId="7A15E934" w14:textId="77777777" w:rsidR="005B7BF6" w:rsidRDefault="00F10791">
      <w:pPr>
        <w:bidi/>
        <w:spacing w:before="240" w:after="240" w:line="360" w:lineRule="auto"/>
        <w:rPr>
          <w:rFonts w:ascii="David" w:eastAsia="David" w:hAnsi="David" w:cs="David"/>
          <w:b/>
          <w:color w:val="000000"/>
          <w:sz w:val="28"/>
          <w:szCs w:val="28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מהנתונים המוצגים בטבלה </w:t>
      </w:r>
      <w:r>
        <w:rPr>
          <w:rFonts w:ascii="David" w:eastAsia="David" w:hAnsi="David" w:cs="David"/>
          <w:sz w:val="24"/>
          <w:szCs w:val="24"/>
          <w:rtl/>
        </w:rPr>
        <w:t xml:space="preserve">7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מגלים שיפור משמעותי בזיהוי המוצלח של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הכלה בין מרובעים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גם כאשר יחסים אלה לא נדונו במהלך שלושת המפגשים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שיפור זה מקבל חיזוק נוסף מתוצאות השאלון המסכם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שבהן נצפתה ירידה במספר המשתתפים שהתבססו בזיהויים על תכונות לא קריטיות או על ייחוס לדוגמאות פרוטוטיפיות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בנוסף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בשאלון מסכם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יותר משתתפים הסתמכו על הגדרות פורמליות או על תכונות קריטיות </w:t>
      </w:r>
      <w:r>
        <w:rPr>
          <w:rFonts w:ascii="David" w:eastAsia="David" w:hAnsi="David" w:cs="David"/>
          <w:sz w:val="24"/>
          <w:szCs w:val="24"/>
          <w:rtl/>
        </w:rPr>
        <w:t xml:space="preserve">–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בין אם תכונות משותפות ובין אם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הכלה בין הצורות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מגמות אלו מצביעות על שיפור בהבנת המשתתפים את הקשרים בין צורות שונות במשימות וויזואליות מגוונות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35A05891" w14:textId="77777777" w:rsidR="005B7BF6" w:rsidRPr="00091637" w:rsidRDefault="00F10791">
      <w:pPr>
        <w:pStyle w:val="Heading3"/>
        <w:keepNext w:val="0"/>
        <w:keepLines w:val="0"/>
        <w:bidi/>
        <w:spacing w:before="280" w:line="360" w:lineRule="auto"/>
        <w:rPr>
          <w:rFonts w:ascii="David" w:eastAsia="David" w:hAnsi="David" w:cs="David"/>
          <w:bCs/>
          <w:color w:val="000000"/>
          <w:sz w:val="24"/>
          <w:szCs w:val="24"/>
        </w:rPr>
      </w:pPr>
      <w:bookmarkStart w:id="9" w:name="_kzo4kwupkhp3" w:colFirst="0" w:colLast="0"/>
      <w:bookmarkEnd w:id="9"/>
      <w:r w:rsidRPr="00091637">
        <w:rPr>
          <w:rFonts w:ascii="David" w:eastAsia="David" w:hAnsi="David" w:cs="David"/>
          <w:bCs/>
          <w:color w:val="000000"/>
          <w:sz w:val="24"/>
          <w:szCs w:val="24"/>
          <w:rtl/>
          <w:lang w:bidi="he-IL"/>
        </w:rPr>
        <w:lastRenderedPageBreak/>
        <w:t>זיהוי יחסי־הכלה באמצעות ניתוח אירועים מתמטיים</w:t>
      </w:r>
    </w:p>
    <w:p w14:paraId="63728312" w14:textId="77777777" w:rsidR="005B7BF6" w:rsidRDefault="00F10791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הדיון באירועים מתמטיים תרם להתפתחות ההבנה והנמקת היחסים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להלן </w:t>
      </w:r>
      <w:r>
        <w:rPr>
          <w:rFonts w:ascii="David" w:eastAsia="David" w:hAnsi="David" w:cs="David"/>
          <w:b/>
          <w:sz w:val="24"/>
          <w:szCs w:val="24"/>
          <w:rtl/>
          <w:lang w:bidi="he-IL"/>
        </w:rPr>
        <w:t xml:space="preserve">אפיזודה </w:t>
      </w:r>
      <w:r>
        <w:rPr>
          <w:rFonts w:ascii="David" w:eastAsia="David" w:hAnsi="David" w:cs="David"/>
          <w:b/>
          <w:sz w:val="24"/>
          <w:szCs w:val="24"/>
          <w:rtl/>
        </w:rPr>
        <w:t>2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בחרנו קטע אחד לצורך הדגמה</w:t>
      </w:r>
      <w:r>
        <w:rPr>
          <w:rFonts w:ascii="David" w:eastAsia="David" w:hAnsi="David" w:cs="David"/>
          <w:sz w:val="24"/>
          <w:szCs w:val="24"/>
          <w:rtl/>
        </w:rPr>
        <w:t xml:space="preserve">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המתארת את התפתחות הדיון על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הכלה בין ריבוע ודלתון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תוך דגש על מאפיין משותף האלכסון הראשי מאונך לאלכסון המשני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3B1B45EC" w14:textId="77777777" w:rsidR="005B7BF6" w:rsidRDefault="00F10791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אפיזודה  </w:t>
      </w:r>
      <w:r>
        <w:rPr>
          <w:rFonts w:ascii="David" w:eastAsia="David" w:hAnsi="David" w:cs="David"/>
          <w:sz w:val="24"/>
          <w:szCs w:val="24"/>
          <w:rtl/>
        </w:rPr>
        <w:t xml:space="preserve">2: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האלכסונים מאונכים זה לזה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התכונות המשותפות בין דלתון לריבוע</w:t>
      </w:r>
      <w:r>
        <w:rPr>
          <w:rFonts w:ascii="David" w:eastAsia="David" w:hAnsi="David" w:cs="David"/>
          <w:sz w:val="24"/>
          <w:szCs w:val="24"/>
          <w:rtl/>
        </w:rPr>
        <w:t>)</w:t>
      </w:r>
    </w:p>
    <w:p w14:paraId="2056364B" w14:textId="77777777" w:rsidR="005B7BF6" w:rsidRDefault="00F10791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1      </w:t>
      </w:r>
      <w:r>
        <w:rPr>
          <w:rFonts w:ascii="David" w:eastAsia="David" w:hAnsi="David" w:cs="David"/>
          <w:sz w:val="24"/>
          <w:szCs w:val="24"/>
          <w:rtl/>
        </w:rPr>
        <w:tab/>
      </w:r>
      <w:r>
        <w:rPr>
          <w:rFonts w:ascii="David" w:eastAsia="David" w:hAnsi="David" w:cs="David"/>
          <w:sz w:val="24"/>
          <w:szCs w:val="24"/>
          <w:rtl/>
          <w:lang w:bidi="he-IL"/>
        </w:rPr>
        <w:t>רימה</w:t>
      </w:r>
      <w:r>
        <w:rPr>
          <w:rFonts w:ascii="David" w:eastAsia="David" w:hAnsi="David" w:cs="David"/>
          <w:sz w:val="24"/>
          <w:szCs w:val="24"/>
          <w:rtl/>
        </w:rPr>
        <w:t>:</w:t>
      </w:r>
      <w:r>
        <w:rPr>
          <w:rFonts w:ascii="David" w:eastAsia="David" w:hAnsi="David" w:cs="David"/>
          <w:sz w:val="24"/>
          <w:szCs w:val="24"/>
          <w:rtl/>
        </w:rPr>
        <w:tab/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אני בטוחה שצורה </w:t>
      </w:r>
      <w:r>
        <w:rPr>
          <w:rFonts w:ascii="David" w:eastAsia="David" w:hAnsi="David" w:cs="David"/>
          <w:sz w:val="24"/>
          <w:szCs w:val="24"/>
        </w:rPr>
        <w:t xml:space="preserve">a (  </w:t>
      </w:r>
      <w:r>
        <w:rPr>
          <w:rFonts w:ascii="David" w:eastAsia="David" w:hAnsi="David" w:cs="David"/>
          <w:noProof/>
          <w:sz w:val="24"/>
          <w:szCs w:val="24"/>
        </w:rPr>
        <w:drawing>
          <wp:inline distT="114300" distB="114300" distL="114300" distR="114300" wp14:anchorId="35E699E4" wp14:editId="6AAA7F24">
            <wp:extent cx="371475" cy="504825"/>
            <wp:effectExtent l="0" t="0" r="0" b="0"/>
            <wp:docPr id="21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David" w:eastAsia="David" w:hAnsi="David" w:cs="David"/>
          <w:sz w:val="24"/>
          <w:szCs w:val="24"/>
          <w:rtl/>
        </w:rPr>
        <w:t xml:space="preserve"> )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היא דלתון וגם </w:t>
      </w:r>
      <w:proofErr w:type="gramStart"/>
      <w:r>
        <w:rPr>
          <w:rFonts w:ascii="David" w:eastAsia="David" w:hAnsi="David" w:cs="David"/>
          <w:sz w:val="24"/>
          <w:szCs w:val="24"/>
        </w:rPr>
        <w:t>b  (</w:t>
      </w:r>
      <w:proofErr w:type="gramEnd"/>
      <w:r>
        <w:rPr>
          <w:rFonts w:ascii="David" w:eastAsia="David" w:hAnsi="David" w:cs="David"/>
          <w:sz w:val="24"/>
          <w:szCs w:val="24"/>
        </w:rPr>
        <w:t xml:space="preserve">   </w:t>
      </w:r>
      <w:r>
        <w:rPr>
          <w:rFonts w:ascii="David" w:eastAsia="David" w:hAnsi="David" w:cs="David"/>
          <w:noProof/>
          <w:sz w:val="24"/>
          <w:szCs w:val="24"/>
        </w:rPr>
        <w:drawing>
          <wp:inline distT="114300" distB="114300" distL="114300" distR="114300" wp14:anchorId="29DC7493" wp14:editId="097105D8">
            <wp:extent cx="390525" cy="552450"/>
            <wp:effectExtent l="0" t="0" r="0" b="0"/>
            <wp:docPr id="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David" w:eastAsia="David" w:hAnsi="David" w:cs="David"/>
          <w:sz w:val="24"/>
          <w:szCs w:val="24"/>
          <w:rtl/>
        </w:rPr>
        <w:t xml:space="preserve">  </w:t>
      </w:r>
      <w:proofErr w:type="gramStart"/>
      <w:r>
        <w:rPr>
          <w:rFonts w:ascii="David" w:eastAsia="David" w:hAnsi="David" w:cs="David"/>
          <w:sz w:val="24"/>
          <w:szCs w:val="24"/>
          <w:rtl/>
        </w:rPr>
        <w:t xml:space="preserve">  )</w:t>
      </w:r>
      <w:proofErr w:type="gramEnd"/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דלתון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אבל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אני מתלבטת לגבי הריבוע</w:t>
      </w:r>
      <w:r>
        <w:rPr>
          <w:rFonts w:ascii="David" w:eastAsia="David" w:hAnsi="David" w:cs="David"/>
          <w:sz w:val="24"/>
          <w:szCs w:val="24"/>
          <w:rtl/>
        </w:rPr>
        <w:t>. (</w:t>
      </w:r>
      <w:r>
        <w:rPr>
          <w:rFonts w:ascii="David" w:eastAsia="David" w:hAnsi="David" w:cs="David"/>
          <w:noProof/>
          <w:sz w:val="24"/>
          <w:szCs w:val="24"/>
        </w:rPr>
        <w:drawing>
          <wp:inline distT="114300" distB="114300" distL="114300" distR="114300" wp14:anchorId="4FF9EC29" wp14:editId="41E5BFAE">
            <wp:extent cx="304800" cy="485775"/>
            <wp:effectExtent l="0" t="0" r="0" b="0"/>
            <wp:docPr id="2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David" w:eastAsia="David" w:hAnsi="David" w:cs="David"/>
          <w:sz w:val="24"/>
          <w:szCs w:val="24"/>
          <w:rtl/>
        </w:rPr>
        <w:t xml:space="preserve">)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כי המראה שלו שונה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266DA0A2" w14:textId="4E2A5341" w:rsidR="005B7BF6" w:rsidRDefault="00F10791" w:rsidP="00091637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2      </w:t>
      </w:r>
      <w:r>
        <w:rPr>
          <w:rFonts w:ascii="David" w:eastAsia="David" w:hAnsi="David" w:cs="David"/>
          <w:sz w:val="24"/>
          <w:szCs w:val="24"/>
          <w:rtl/>
        </w:rPr>
        <w:tab/>
      </w:r>
      <w:r>
        <w:rPr>
          <w:rFonts w:ascii="David" w:eastAsia="David" w:hAnsi="David" w:cs="David"/>
          <w:sz w:val="24"/>
          <w:szCs w:val="24"/>
          <w:rtl/>
          <w:lang w:bidi="he-IL"/>
        </w:rPr>
        <w:t>מרצה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מה דעתכם שנבחן אילו תכונות של הדלתון קיימות בצורות אלו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ונבדוק אם הן גם קיימות בריבוע</w:t>
      </w:r>
      <w:r>
        <w:rPr>
          <w:rFonts w:ascii="David" w:eastAsia="David" w:hAnsi="David" w:cs="David"/>
          <w:sz w:val="24"/>
          <w:szCs w:val="24"/>
          <w:rtl/>
        </w:rPr>
        <w:t xml:space="preserve">?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במיוחד מבחינת האלכסונים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מה דעתכם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מי רוצה  להציג בלוח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לנסות לבחון את האלכסונים</w:t>
      </w:r>
      <w:r>
        <w:rPr>
          <w:rFonts w:ascii="David" w:eastAsia="David" w:hAnsi="David" w:cs="David"/>
          <w:sz w:val="24"/>
          <w:szCs w:val="24"/>
          <w:rtl/>
        </w:rPr>
        <w:t>?</w:t>
      </w:r>
    </w:p>
    <w:p w14:paraId="56B821F8" w14:textId="77777777" w:rsidR="005B7BF6" w:rsidRDefault="00F10791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3      </w:t>
      </w:r>
      <w:r>
        <w:rPr>
          <w:rFonts w:ascii="David" w:eastAsia="David" w:hAnsi="David" w:cs="David"/>
          <w:sz w:val="24"/>
          <w:szCs w:val="24"/>
          <w:rtl/>
        </w:rPr>
        <w:tab/>
      </w:r>
      <w:proofErr w:type="gramStart"/>
      <w:r>
        <w:rPr>
          <w:rFonts w:ascii="David" w:eastAsia="David" w:hAnsi="David" w:cs="David"/>
          <w:sz w:val="24"/>
          <w:szCs w:val="24"/>
          <w:rtl/>
          <w:lang w:bidi="he-IL"/>
        </w:rPr>
        <w:t>סיהאם</w:t>
      </w:r>
      <w:r>
        <w:rPr>
          <w:rFonts w:ascii="David" w:eastAsia="David" w:hAnsi="David" w:cs="David"/>
          <w:sz w:val="24"/>
          <w:szCs w:val="24"/>
          <w:rtl/>
        </w:rPr>
        <w:t xml:space="preserve">: 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אני</w:t>
      </w:r>
      <w:proofErr w:type="gramEnd"/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 רוצה לצייר על הלוח ולרשום קו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ישר בין כל הקודקודים הנגדיים שאלה הם האלכסונים</w:t>
      </w:r>
      <w:r>
        <w:rPr>
          <w:rFonts w:ascii="David" w:eastAsia="David" w:hAnsi="David" w:cs="David"/>
          <w:sz w:val="24"/>
          <w:szCs w:val="24"/>
          <w:rtl/>
        </w:rPr>
        <w:t xml:space="preserve">...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אני אעשה את זה כך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 משנה אפילו אם זה מחוץ לצורה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אני רוצה להציג לכן את זה </w:t>
      </w:r>
      <w:r>
        <w:rPr>
          <w:rFonts w:ascii="David" w:eastAsia="David" w:hAnsi="David" w:cs="David"/>
          <w:sz w:val="24"/>
          <w:szCs w:val="24"/>
          <w:rtl/>
        </w:rPr>
        <w:t>[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פונה סיהאם ללוח ומציירת את האלכסונים</w:t>
      </w:r>
      <w:r>
        <w:rPr>
          <w:rFonts w:ascii="David" w:eastAsia="David" w:hAnsi="David" w:cs="David"/>
          <w:sz w:val="24"/>
          <w:szCs w:val="24"/>
          <w:rtl/>
        </w:rPr>
        <w:t>].</w:t>
      </w:r>
      <w:r>
        <w:rPr>
          <w:rFonts w:ascii="David" w:eastAsia="David" w:hAnsi="David" w:cs="David"/>
          <w:noProof/>
          <w:sz w:val="24"/>
          <w:szCs w:val="24"/>
        </w:rPr>
        <w:drawing>
          <wp:inline distT="114300" distB="114300" distL="114300" distR="114300" wp14:anchorId="25F7476F" wp14:editId="1A7C4345">
            <wp:extent cx="931017" cy="365245"/>
            <wp:effectExtent l="0" t="0" r="0" b="0"/>
            <wp:docPr id="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1017" cy="365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FC0CFE" w14:textId="63F0DEA5" w:rsidR="005B7BF6" w:rsidRDefault="00F10791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4      </w:t>
      </w:r>
      <w:r>
        <w:rPr>
          <w:rFonts w:ascii="David" w:eastAsia="David" w:hAnsi="David" w:cs="David"/>
          <w:sz w:val="24"/>
          <w:szCs w:val="24"/>
          <w:rtl/>
        </w:rPr>
        <w:tab/>
      </w:r>
      <w:r>
        <w:rPr>
          <w:rFonts w:ascii="David" w:eastAsia="David" w:hAnsi="David" w:cs="David"/>
          <w:sz w:val="24"/>
          <w:szCs w:val="24"/>
          <w:rtl/>
          <w:lang w:bidi="he-IL"/>
        </w:rPr>
        <w:t>מרצה</w:t>
      </w:r>
      <w:r w:rsidR="00091637"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תודה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סיהאם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מה התוצאה שקיבלת מהאלכסונים שציירת</w:t>
      </w:r>
      <w:r>
        <w:rPr>
          <w:rFonts w:ascii="David" w:eastAsia="David" w:hAnsi="David" w:cs="David"/>
          <w:sz w:val="24"/>
          <w:szCs w:val="24"/>
          <w:rtl/>
        </w:rPr>
        <w:t>?</w:t>
      </w:r>
    </w:p>
    <w:p w14:paraId="108B6DAE" w14:textId="656E4CBD" w:rsidR="005B7BF6" w:rsidRDefault="00F10791" w:rsidP="00091637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5      </w:t>
      </w:r>
      <w:r>
        <w:rPr>
          <w:rFonts w:ascii="David" w:eastAsia="David" w:hAnsi="David" w:cs="David"/>
          <w:sz w:val="24"/>
          <w:szCs w:val="24"/>
          <w:rtl/>
        </w:rPr>
        <w:tab/>
      </w:r>
      <w:r>
        <w:rPr>
          <w:rFonts w:ascii="David" w:eastAsia="David" w:hAnsi="David" w:cs="David"/>
          <w:sz w:val="24"/>
          <w:szCs w:val="24"/>
          <w:rtl/>
          <w:lang w:bidi="he-IL"/>
        </w:rPr>
        <w:t>סיהאם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המממ</w:t>
      </w:r>
      <w:r>
        <w:rPr>
          <w:rFonts w:ascii="David" w:eastAsia="David" w:hAnsi="David" w:cs="David"/>
          <w:sz w:val="24"/>
          <w:szCs w:val="24"/>
          <w:rtl/>
        </w:rPr>
        <w:t>....</w:t>
      </w:r>
    </w:p>
    <w:p w14:paraId="4FFB53FF" w14:textId="2A9A580E" w:rsidR="005B7BF6" w:rsidRDefault="00F10791" w:rsidP="00091637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6      </w:t>
      </w:r>
      <w:r>
        <w:rPr>
          <w:rFonts w:ascii="David" w:eastAsia="David" w:hAnsi="David" w:cs="David"/>
          <w:sz w:val="24"/>
          <w:szCs w:val="24"/>
          <w:rtl/>
        </w:rPr>
        <w:tab/>
      </w:r>
      <w:r>
        <w:rPr>
          <w:rFonts w:ascii="David" w:eastAsia="David" w:hAnsi="David" w:cs="David"/>
          <w:sz w:val="24"/>
          <w:szCs w:val="24"/>
          <w:rtl/>
          <w:lang w:bidi="he-IL"/>
        </w:rPr>
        <w:t>מאס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האלכסונים מאונכים זה לזה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77D248C8" w14:textId="57C95F1D" w:rsidR="005B7BF6" w:rsidRDefault="00F10791" w:rsidP="00091637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7      </w:t>
      </w:r>
      <w:r>
        <w:rPr>
          <w:rFonts w:ascii="David" w:eastAsia="David" w:hAnsi="David" w:cs="David"/>
          <w:sz w:val="24"/>
          <w:szCs w:val="24"/>
          <w:rtl/>
        </w:rPr>
        <w:tab/>
      </w:r>
      <w:r>
        <w:rPr>
          <w:rFonts w:ascii="David" w:eastAsia="David" w:hAnsi="David" w:cs="David"/>
          <w:sz w:val="24"/>
          <w:szCs w:val="24"/>
          <w:rtl/>
          <w:lang w:bidi="he-IL"/>
        </w:rPr>
        <w:t>מרצה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יפה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האלכסונים מאונכים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בואו נבדוק את התכונה הזו על הדף שיש לכן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כל אחד יצייר את האלכסונים בשלושת הצורות ויבדוק אם נוצרו זוויות ישרות</w:t>
      </w:r>
      <w:r>
        <w:rPr>
          <w:rFonts w:ascii="David" w:eastAsia="David" w:hAnsi="David" w:cs="David"/>
          <w:sz w:val="24"/>
          <w:szCs w:val="24"/>
          <w:rtl/>
        </w:rPr>
        <w:t>?</w:t>
      </w:r>
    </w:p>
    <w:p w14:paraId="593F171E" w14:textId="0E22DAFC" w:rsidR="005B7BF6" w:rsidRDefault="00F10791" w:rsidP="00091637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8      </w:t>
      </w:r>
      <w:r>
        <w:rPr>
          <w:rFonts w:ascii="David" w:eastAsia="David" w:hAnsi="David" w:cs="David"/>
          <w:sz w:val="24"/>
          <w:szCs w:val="24"/>
          <w:rtl/>
        </w:rPr>
        <w:tab/>
      </w:r>
      <w:proofErr w:type="gramStart"/>
      <w:r>
        <w:rPr>
          <w:rFonts w:ascii="David" w:eastAsia="David" w:hAnsi="David" w:cs="David"/>
          <w:sz w:val="24"/>
          <w:szCs w:val="24"/>
          <w:rtl/>
          <w:lang w:bidi="he-IL"/>
        </w:rPr>
        <w:t>הסטודנטים</w:t>
      </w:r>
      <w:r>
        <w:rPr>
          <w:rFonts w:ascii="David" w:eastAsia="David" w:hAnsi="David" w:cs="David"/>
          <w:sz w:val="24"/>
          <w:szCs w:val="24"/>
          <w:rtl/>
        </w:rPr>
        <w:t xml:space="preserve">:  </w:t>
      </w:r>
      <w:r w:rsidR="00091637">
        <w:rPr>
          <w:rFonts w:ascii="David" w:eastAsia="David" w:hAnsi="David" w:cs="David" w:hint="cs"/>
          <w:sz w:val="24"/>
          <w:szCs w:val="24"/>
          <w:rtl/>
          <w:lang w:bidi="he-IL"/>
        </w:rPr>
        <w:t>מ</w:t>
      </w:r>
      <w:r>
        <w:rPr>
          <w:rFonts w:ascii="David" w:eastAsia="David" w:hAnsi="David" w:cs="David"/>
          <w:sz w:val="24"/>
          <w:szCs w:val="24"/>
          <w:rtl/>
          <w:lang w:bidi="he-IL"/>
        </w:rPr>
        <w:t>ציירים</w:t>
      </w:r>
      <w:proofErr w:type="gramEnd"/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 את האלכסונים ובודקים</w:t>
      </w:r>
      <w:r>
        <w:rPr>
          <w:rFonts w:ascii="David" w:eastAsia="David" w:hAnsi="David" w:cs="David"/>
          <w:sz w:val="24"/>
          <w:szCs w:val="24"/>
          <w:rtl/>
        </w:rPr>
        <w:t xml:space="preserve">]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כן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כולם מאונכים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6466BA7B" w14:textId="313187F7" w:rsidR="005B7BF6" w:rsidRDefault="00F10791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9      </w:t>
      </w:r>
      <w:r>
        <w:rPr>
          <w:rFonts w:ascii="David" w:eastAsia="David" w:hAnsi="David" w:cs="David"/>
          <w:sz w:val="24"/>
          <w:szCs w:val="24"/>
          <w:rtl/>
        </w:rPr>
        <w:tab/>
      </w:r>
      <w:proofErr w:type="gramStart"/>
      <w:r>
        <w:rPr>
          <w:rFonts w:ascii="David" w:eastAsia="David" w:hAnsi="David" w:cs="David"/>
          <w:sz w:val="24"/>
          <w:szCs w:val="24"/>
          <w:rtl/>
          <w:lang w:bidi="he-IL"/>
        </w:rPr>
        <w:t>מרצה</w:t>
      </w:r>
      <w:r w:rsidR="000F7D40"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אם</w:t>
      </w:r>
      <w:proofErr w:type="gramEnd"/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 כן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מהי התכונה הראשונה של הדלתון שגיליתם</w:t>
      </w:r>
      <w:r>
        <w:rPr>
          <w:rFonts w:ascii="David" w:eastAsia="David" w:hAnsi="David" w:cs="David"/>
          <w:sz w:val="24"/>
          <w:szCs w:val="24"/>
          <w:rtl/>
        </w:rPr>
        <w:t>?</w:t>
      </w:r>
    </w:p>
    <w:p w14:paraId="540CDFB1" w14:textId="101AEB0A" w:rsidR="005B7BF6" w:rsidRDefault="00F10791" w:rsidP="00091637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10    </w:t>
      </w:r>
      <w:r>
        <w:rPr>
          <w:rFonts w:ascii="David" w:eastAsia="David" w:hAnsi="David" w:cs="David"/>
          <w:sz w:val="24"/>
          <w:szCs w:val="24"/>
          <w:rtl/>
        </w:rPr>
        <w:tab/>
      </w:r>
      <w:r>
        <w:rPr>
          <w:rFonts w:ascii="David" w:eastAsia="David" w:hAnsi="David" w:cs="David"/>
          <w:sz w:val="24"/>
          <w:szCs w:val="24"/>
          <w:rtl/>
          <w:lang w:bidi="he-IL"/>
        </w:rPr>
        <w:t>הסטודנטים</w:t>
      </w:r>
      <w:r w:rsidR="00091637">
        <w:rPr>
          <w:rFonts w:ascii="David" w:eastAsia="David" w:hAnsi="David" w:cs="David" w:hint="cs"/>
          <w:sz w:val="24"/>
          <w:szCs w:val="24"/>
          <w:rtl/>
          <w:lang w:bidi="he-IL"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האלכסונים מאונכים בשלושתם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0CEE6F6E" w14:textId="226794D0" w:rsidR="005B7BF6" w:rsidRDefault="00F10791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11    </w:t>
      </w:r>
      <w:r>
        <w:rPr>
          <w:rFonts w:ascii="David" w:eastAsia="David" w:hAnsi="David" w:cs="David"/>
          <w:sz w:val="24"/>
          <w:szCs w:val="24"/>
          <w:rtl/>
        </w:rPr>
        <w:tab/>
      </w:r>
      <w:r>
        <w:rPr>
          <w:rFonts w:ascii="David" w:eastAsia="David" w:hAnsi="David" w:cs="David"/>
          <w:sz w:val="24"/>
          <w:szCs w:val="24"/>
          <w:rtl/>
          <w:lang w:bidi="he-IL"/>
        </w:rPr>
        <w:t>מרצה</w:t>
      </w:r>
      <w:r w:rsidR="000F7D40">
        <w:rPr>
          <w:rFonts w:ascii="David" w:eastAsia="David" w:hAnsi="David" w:cs="David"/>
          <w:sz w:val="24"/>
          <w:szCs w:val="24"/>
          <w:rtl/>
        </w:rPr>
        <w:t>: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מה זה אומר שהאלכסונים </w:t>
      </w:r>
      <w:proofErr w:type="gramStart"/>
      <w:r>
        <w:rPr>
          <w:rFonts w:ascii="David" w:eastAsia="David" w:hAnsi="David" w:cs="David"/>
          <w:sz w:val="24"/>
          <w:szCs w:val="24"/>
          <w:rtl/>
          <w:lang w:bidi="he-IL"/>
        </w:rPr>
        <w:t>מאונכים</w:t>
      </w:r>
      <w:r>
        <w:rPr>
          <w:rFonts w:ascii="David" w:eastAsia="David" w:hAnsi="David" w:cs="David"/>
          <w:sz w:val="24"/>
          <w:szCs w:val="24"/>
          <w:rtl/>
        </w:rPr>
        <w:t>?.</w:t>
      </w:r>
      <w:proofErr w:type="gramEnd"/>
    </w:p>
    <w:p w14:paraId="3235988B" w14:textId="762C9442" w:rsidR="005B7BF6" w:rsidRDefault="00F10791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12    </w:t>
      </w:r>
      <w:r>
        <w:rPr>
          <w:rFonts w:ascii="David" w:eastAsia="David" w:hAnsi="David" w:cs="David"/>
          <w:sz w:val="24"/>
          <w:szCs w:val="24"/>
          <w:rtl/>
        </w:rPr>
        <w:tab/>
      </w:r>
      <w:r>
        <w:rPr>
          <w:rFonts w:ascii="David" w:eastAsia="David" w:hAnsi="David" w:cs="David"/>
          <w:sz w:val="24"/>
          <w:szCs w:val="24"/>
          <w:rtl/>
          <w:lang w:bidi="he-IL"/>
        </w:rPr>
        <w:t>רימה</w:t>
      </w:r>
      <w:r>
        <w:rPr>
          <w:rFonts w:ascii="David" w:eastAsia="David" w:hAnsi="David" w:cs="David"/>
          <w:sz w:val="24"/>
          <w:szCs w:val="24"/>
          <w:rtl/>
        </w:rPr>
        <w:t>:</w:t>
      </w:r>
      <w:r>
        <w:rPr>
          <w:rFonts w:ascii="David" w:eastAsia="David" w:hAnsi="David" w:cs="David"/>
          <w:sz w:val="24"/>
          <w:szCs w:val="24"/>
          <w:rtl/>
        </w:rPr>
        <w:tab/>
      </w:r>
      <w:r w:rsidR="00091637">
        <w:rPr>
          <w:rFonts w:ascii="David" w:eastAsia="David" w:hAnsi="David" w:cs="David"/>
          <w:sz w:val="24"/>
          <w:szCs w:val="24"/>
          <w:rtl/>
          <w:lang w:bidi="he-IL"/>
        </w:rPr>
        <w:t>הם יוצרים זווית של</w:t>
      </w:r>
      <w:r w:rsidR="00091637">
        <w:rPr>
          <w:rFonts w:ascii="David" w:eastAsia="David" w:hAnsi="David" w:cs="David" w:hint="cs"/>
          <w:sz w:val="24"/>
          <w:szCs w:val="24"/>
          <w:rtl/>
          <w:lang w:bidi="he-IL"/>
        </w:rPr>
        <w:t>..</w:t>
      </w:r>
    </w:p>
    <w:p w14:paraId="6302A5F7" w14:textId="77777777" w:rsidR="00091637" w:rsidRDefault="00F10791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 xml:space="preserve">13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מרצה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נכון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הם יוצרים זווית של </w:t>
      </w:r>
      <w:r>
        <w:rPr>
          <w:rFonts w:ascii="David" w:eastAsia="David" w:hAnsi="David" w:cs="David"/>
          <w:sz w:val="24"/>
          <w:szCs w:val="24"/>
          <w:rtl/>
        </w:rPr>
        <w:t xml:space="preserve">90°.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מה עוד אתם רואים לגבי האלכסונים</w:t>
      </w:r>
      <w:r>
        <w:rPr>
          <w:rFonts w:ascii="David" w:eastAsia="David" w:hAnsi="David" w:cs="David"/>
          <w:sz w:val="24"/>
          <w:szCs w:val="24"/>
          <w:rtl/>
        </w:rPr>
        <w:t>?</w:t>
      </w:r>
      <w:r>
        <w:rPr>
          <w:rFonts w:ascii="David" w:eastAsia="David" w:hAnsi="David" w:cs="David"/>
          <w:sz w:val="24"/>
          <w:szCs w:val="24"/>
          <w:rtl/>
        </w:rPr>
        <w:br/>
        <w:t xml:space="preserve"> 14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דליה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האלכסונים חוצים זה את זה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</w:rPr>
        <w:br/>
      </w:r>
      <w:r>
        <w:rPr>
          <w:rFonts w:ascii="David" w:eastAsia="David" w:hAnsi="David" w:cs="David"/>
          <w:sz w:val="24"/>
          <w:szCs w:val="24"/>
          <w:rtl/>
        </w:rPr>
        <w:lastRenderedPageBreak/>
        <w:t xml:space="preserve"> 16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דליה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כלומר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אלכסון אחד חוצה את האחר לשני קטעים שווים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</w:rPr>
        <w:br/>
        <w:t xml:space="preserve"> 18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המשתתפים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האלכסון הארוך חוצה את הקצר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noProof/>
          <w:sz w:val="24"/>
          <w:szCs w:val="24"/>
        </w:rPr>
        <w:drawing>
          <wp:inline distT="114300" distB="114300" distL="114300" distR="114300" wp14:anchorId="2C2D6EA8" wp14:editId="65FAEC89">
            <wp:extent cx="673693" cy="317922"/>
            <wp:effectExtent l="0" t="0" r="0" b="0"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693" cy="3179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29CE35" w14:textId="7BA423E9" w:rsidR="005B7BF6" w:rsidRDefault="00F10791" w:rsidP="00091637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 19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סיהאם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אבל יש לי שאלה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הדלתון שבאמצע אינו כמו האחרים</w:t>
      </w:r>
      <w:r>
        <w:rPr>
          <w:rFonts w:ascii="David" w:eastAsia="David" w:hAnsi="David" w:cs="David"/>
          <w:sz w:val="24"/>
          <w:szCs w:val="24"/>
          <w:rtl/>
        </w:rPr>
        <w:t xml:space="preserve">;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בכולם אני רואה בבירור את אורכי האלכסונים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אבל בדלתון הזה האלכסון הארוך </w:t>
      </w:r>
      <w:r>
        <w:rPr>
          <w:rFonts w:ascii="David" w:eastAsia="David" w:hAnsi="David" w:cs="David"/>
          <w:b/>
          <w:sz w:val="24"/>
          <w:szCs w:val="24"/>
          <w:rtl/>
          <w:lang w:bidi="he-IL"/>
        </w:rPr>
        <w:t>אינו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 נחצה לשני חלקים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  <w:lang w:bidi="he-IL"/>
        </w:rPr>
        <w:t>גם אם החלקים אינם שווים</w:t>
      </w:r>
      <w:r>
        <w:rPr>
          <w:rFonts w:ascii="David" w:eastAsia="David" w:hAnsi="David" w:cs="David"/>
          <w:sz w:val="24"/>
          <w:szCs w:val="24"/>
          <w:rtl/>
        </w:rPr>
        <w:t>).</w:t>
      </w:r>
      <w:r>
        <w:rPr>
          <w:rFonts w:ascii="David" w:eastAsia="David" w:hAnsi="David" w:cs="David"/>
          <w:sz w:val="24"/>
          <w:szCs w:val="24"/>
          <w:rtl/>
        </w:rPr>
        <w:br/>
        <w:t xml:space="preserve"> 20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דליה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זה לא משנה</w:t>
      </w:r>
      <w:r>
        <w:rPr>
          <w:rFonts w:ascii="David" w:eastAsia="David" w:hAnsi="David" w:cs="David"/>
          <w:sz w:val="24"/>
          <w:szCs w:val="24"/>
          <w:rtl/>
        </w:rPr>
        <w:t xml:space="preserve">;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בעצם זו התכונה המשותפת לכולם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</w:rPr>
        <w:br/>
        <w:t xml:space="preserve"> 22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רימה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כיוון ששני האלכסונים שווים באורך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יוצא שגם לאחר שהם נחתכים במאונך כל הקטעים שווים </w:t>
      </w:r>
      <w:r>
        <w:rPr>
          <w:rFonts w:ascii="David" w:eastAsia="David" w:hAnsi="David" w:cs="David"/>
          <w:sz w:val="24"/>
          <w:szCs w:val="24"/>
          <w:rtl/>
        </w:rPr>
        <w:t xml:space="preserve">—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כלומר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כל אחד חוצה את האחר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</w:rPr>
        <w:br/>
        <w:t xml:space="preserve"> 24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סיהאם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בצורות האחרות האלכסונים באורכים שונים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ולאחר שנחתכים במאונך מתקבלים קטעים באורכים שונים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</w:rPr>
        <w:br/>
        <w:t xml:space="preserve"> 28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סמה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כי מלכתחילה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לריבוע כל הצלעות שוות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57D8AC8E" w14:textId="77777777" w:rsidR="005B7BF6" w:rsidRDefault="00F10791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במהלך הדיון עלו שני טיעונים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טיעון </w:t>
      </w:r>
      <w:r>
        <w:rPr>
          <w:rFonts w:ascii="David" w:eastAsia="David" w:hAnsi="David" w:cs="David"/>
          <w:sz w:val="24"/>
          <w:szCs w:val="24"/>
          <w:rtl/>
        </w:rPr>
        <w:t xml:space="preserve">2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וטיעון </w:t>
      </w:r>
      <w:r>
        <w:rPr>
          <w:rFonts w:ascii="David" w:eastAsia="David" w:hAnsi="David" w:cs="David"/>
          <w:sz w:val="24"/>
          <w:szCs w:val="24"/>
          <w:rtl/>
        </w:rPr>
        <w:t xml:space="preserve">3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ראו איורים </w:t>
      </w:r>
      <w:r>
        <w:rPr>
          <w:rFonts w:ascii="David" w:eastAsia="David" w:hAnsi="David" w:cs="David"/>
          <w:sz w:val="24"/>
          <w:szCs w:val="24"/>
          <w:rtl/>
        </w:rPr>
        <w:t xml:space="preserve">6–5).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באירוע שעסק ביחס ההכלה בין ריבוע לדלתון הוצגה טענה על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ידי מאס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ראו איור </w:t>
      </w:r>
      <w:r>
        <w:rPr>
          <w:rFonts w:ascii="David" w:eastAsia="David" w:hAnsi="David" w:cs="David"/>
          <w:sz w:val="24"/>
          <w:szCs w:val="24"/>
          <w:rtl/>
        </w:rPr>
        <w:t>2).</w:t>
      </w:r>
    </w:p>
    <w:p w14:paraId="2E60B39B" w14:textId="77777777" w:rsidR="005B7BF6" w:rsidRDefault="00F10791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מהאפיזודה לעיל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בחרו החוקרים להציג טיעון אחד אשר מראה את השינוי המוצג באיור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4ED709FD" w14:textId="77777777" w:rsidR="005B7BF6" w:rsidRDefault="005B7BF6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</w:p>
    <w:p w14:paraId="2AA71018" w14:textId="77777777" w:rsidR="005B7BF6" w:rsidRDefault="00F10791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noProof/>
          <w:sz w:val="24"/>
          <w:szCs w:val="24"/>
        </w:rPr>
        <w:drawing>
          <wp:inline distT="114300" distB="114300" distL="114300" distR="114300" wp14:anchorId="665124E0" wp14:editId="52008ECC">
            <wp:extent cx="5705475" cy="2667000"/>
            <wp:effectExtent l="0" t="0" r="0" b="0"/>
            <wp:docPr id="15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266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2132BF" w14:textId="053254F9" w:rsidR="005B7BF6" w:rsidRDefault="00F10791" w:rsidP="00091637">
      <w:pPr>
        <w:bidi/>
        <w:spacing w:before="240" w:after="240" w:line="360" w:lineRule="auto"/>
        <w:jc w:val="center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איור </w:t>
      </w:r>
      <w:r w:rsidR="00091637">
        <w:rPr>
          <w:rFonts w:ascii="David" w:eastAsia="David" w:hAnsi="David" w:cs="David"/>
          <w:sz w:val="24"/>
          <w:szCs w:val="24"/>
          <w:rtl/>
        </w:rPr>
        <w:t>5</w:t>
      </w:r>
      <w:r w:rsidR="00091637">
        <w:rPr>
          <w:rFonts w:ascii="David" w:eastAsia="David" w:hAnsi="David" w:cs="David" w:hint="cs"/>
          <w:sz w:val="24"/>
          <w:szCs w:val="24"/>
          <w:rtl/>
          <w:lang w:bidi="he-IL"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טיעון </w:t>
      </w:r>
      <w:r>
        <w:rPr>
          <w:rFonts w:ascii="David" w:eastAsia="David" w:hAnsi="David" w:cs="David"/>
          <w:sz w:val="24"/>
          <w:szCs w:val="24"/>
          <w:rtl/>
        </w:rPr>
        <w:t>2,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שני אלכסונים מאונכים אחד לשני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תכונה משותפת לריבוע ודלתון</w:t>
      </w:r>
      <w:r>
        <w:rPr>
          <w:rFonts w:ascii="David" w:eastAsia="David" w:hAnsi="David" w:cs="David"/>
          <w:sz w:val="24"/>
          <w:szCs w:val="24"/>
          <w:rtl/>
        </w:rPr>
        <w:t>)</w:t>
      </w:r>
    </w:p>
    <w:p w14:paraId="22A4B4E9" w14:textId="4BA34880" w:rsidR="005B7BF6" w:rsidRDefault="00F10791" w:rsidP="00091637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הטיעון לעיל מתייחס תכונה גיאומטרית משותפת בין ריבוע לדלתון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הטיעון כלל  טענה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Claim</w:t>
      </w:r>
      <w:r>
        <w:rPr>
          <w:rFonts w:ascii="David" w:eastAsia="David" w:hAnsi="David" w:cs="David"/>
          <w:sz w:val="24"/>
          <w:szCs w:val="24"/>
          <w:rtl/>
        </w:rPr>
        <w:t xml:space="preserve">) 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שנאמרה על ידי מאס </w:t>
      </w:r>
      <w:r>
        <w:rPr>
          <w:rFonts w:ascii="David" w:eastAsia="David" w:hAnsi="David" w:cs="David"/>
          <w:sz w:val="24"/>
          <w:szCs w:val="24"/>
          <w:rtl/>
        </w:rPr>
        <w:t>[6] "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האלכסונים מאונכים זה לזה</w:t>
      </w:r>
      <w:r>
        <w:rPr>
          <w:rFonts w:ascii="David" w:eastAsia="David" w:hAnsi="David" w:cs="David"/>
          <w:sz w:val="24"/>
          <w:szCs w:val="24"/>
          <w:rtl/>
        </w:rPr>
        <w:t xml:space="preserve">",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ומבוססת על נתונים ויזואליים שסופקו על ידי סיהאם </w:t>
      </w:r>
      <w:r>
        <w:rPr>
          <w:rFonts w:ascii="David" w:eastAsia="David" w:hAnsi="David" w:cs="David"/>
          <w:sz w:val="24"/>
          <w:szCs w:val="24"/>
          <w:rtl/>
        </w:rPr>
        <w:t xml:space="preserve">[3],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אשר ציירה על הלוח את האלכסונים של הצורות השונות והראתה את זוויות המפגש ביניהם כמאונכות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הנתונים הללו מדגימים באופן חזותי את הטענה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ההצדקה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Warrant</w:t>
      </w:r>
      <w:r>
        <w:rPr>
          <w:rFonts w:ascii="David" w:eastAsia="David" w:hAnsi="David" w:cs="David"/>
          <w:sz w:val="24"/>
          <w:szCs w:val="24"/>
          <w:rtl/>
        </w:rPr>
        <w:t xml:space="preserve">) 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לטענה ניתנת גם על ידי אותה סטודנטית סיהאם </w:t>
      </w:r>
      <w:r>
        <w:rPr>
          <w:rFonts w:ascii="David" w:eastAsia="David" w:hAnsi="David" w:cs="David"/>
          <w:sz w:val="24"/>
          <w:szCs w:val="24"/>
          <w:rtl/>
        </w:rPr>
        <w:t xml:space="preserve">[3]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באמצעות ההסבר המילולי שסיפקה</w:t>
      </w:r>
      <w:r>
        <w:rPr>
          <w:rFonts w:ascii="David" w:eastAsia="David" w:hAnsi="David" w:cs="David"/>
          <w:sz w:val="24"/>
          <w:szCs w:val="24"/>
          <w:rtl/>
        </w:rPr>
        <w:t>: "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אני רוצה לצייר על הלוח ולרשום קו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ישר בין כל הקדקודים הנגדיים שאלה הם האלכסונים</w:t>
      </w:r>
      <w:r>
        <w:rPr>
          <w:rFonts w:ascii="David" w:eastAsia="David" w:hAnsi="David" w:cs="David"/>
          <w:sz w:val="24"/>
          <w:szCs w:val="24"/>
          <w:rtl/>
        </w:rPr>
        <w:t xml:space="preserve">...".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הסבר זה מחבר בין הנתונים שהוצגו לבין הטענה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בכך שהוא מתאר את הפעולה הגיאומטרית הנדרשת לבדיקת מאונכות האלכסונים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בכך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הטיעון משתמש בשילוב של נתונים ויזואליים והסברים מילוליים כדי לבסס את התכונה המתמטית הנידונה </w:t>
      </w:r>
      <w:r>
        <w:rPr>
          <w:rFonts w:ascii="David" w:eastAsia="David" w:hAnsi="David" w:cs="David"/>
          <w:sz w:val="24"/>
          <w:szCs w:val="24"/>
          <w:rtl/>
          <w:lang w:bidi="he-IL"/>
        </w:rPr>
        <w:lastRenderedPageBreak/>
        <w:t>ולהוכיח את נכונותה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במילים אחרות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 w:rsidR="00091637">
        <w:rPr>
          <w:rFonts w:ascii="David" w:eastAsia="David" w:hAnsi="David" w:cs="David"/>
          <w:sz w:val="24"/>
          <w:szCs w:val="24"/>
          <w:rtl/>
          <w:lang w:bidi="he-IL"/>
        </w:rPr>
        <w:t xml:space="preserve">ניתן לסכם כי </w:t>
      </w:r>
      <w:r w:rsidR="00091637">
        <w:rPr>
          <w:rFonts w:ascii="David" w:eastAsia="David" w:hAnsi="David" w:cs="David" w:hint="cs"/>
          <w:sz w:val="24"/>
          <w:szCs w:val="24"/>
          <w:rtl/>
          <w:lang w:bidi="he-IL"/>
        </w:rPr>
        <w:t xml:space="preserve">איור 5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מתאר תהליך שבו המשתתפים מזהים את התכונה הקריטית של אנכיות האלכסונים במעוינים פרוטוטיפים ולא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פרוטוטיפים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דרך הצגת הנתונים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בחינתם והסקת המסקנה כי אנכיות היא תכונה משותפת לריבוע ולדלתון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הם מסיקים כי מדובר בתכונה חשובה המשותפת לשתי הצורות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23BD1B39" w14:textId="77777777" w:rsidR="005B7BF6" w:rsidRDefault="005B7BF6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</w:p>
    <w:p w14:paraId="28CA259C" w14:textId="77777777" w:rsidR="005B7BF6" w:rsidRDefault="00F10791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noProof/>
          <w:sz w:val="24"/>
          <w:szCs w:val="24"/>
        </w:rPr>
        <w:drawing>
          <wp:inline distT="114300" distB="114300" distL="114300" distR="114300" wp14:anchorId="7A7317C0" wp14:editId="2C631351">
            <wp:extent cx="5731200" cy="2679700"/>
            <wp:effectExtent l="0" t="0" r="0" b="0"/>
            <wp:docPr id="25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7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11AB95" w14:textId="752909B9" w:rsidR="005B7BF6" w:rsidRDefault="00F10791">
      <w:pPr>
        <w:bidi/>
        <w:spacing w:before="240" w:after="240" w:line="360" w:lineRule="auto"/>
        <w:jc w:val="center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איור </w:t>
      </w:r>
      <w:r w:rsidR="00091637">
        <w:rPr>
          <w:rFonts w:ascii="David" w:eastAsia="David" w:hAnsi="David" w:cs="David" w:hint="cs"/>
          <w:sz w:val="24"/>
          <w:szCs w:val="24"/>
          <w:rtl/>
          <w:lang w:bidi="he-IL"/>
        </w:rPr>
        <w:t xml:space="preserve">6. 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טיעון </w:t>
      </w:r>
      <w:r>
        <w:rPr>
          <w:rFonts w:ascii="David" w:eastAsia="David" w:hAnsi="David" w:cs="David"/>
          <w:sz w:val="24"/>
          <w:szCs w:val="24"/>
          <w:rtl/>
        </w:rPr>
        <w:t xml:space="preserve">3,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אחד האלכסונים חוצה את השני</w:t>
      </w:r>
    </w:p>
    <w:p w14:paraId="36F07222" w14:textId="759CC6F9" w:rsidR="005B7BF6" w:rsidRDefault="00F10791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איור</w:t>
      </w:r>
      <w:r w:rsidR="00091637">
        <w:rPr>
          <w:rFonts w:ascii="David" w:eastAsia="David" w:hAnsi="David" w:cs="David" w:hint="cs"/>
          <w:sz w:val="24"/>
          <w:szCs w:val="24"/>
          <w:rtl/>
          <w:lang w:bidi="he-IL"/>
        </w:rPr>
        <w:t xml:space="preserve"> 6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ממחיש כיצד המשתתפים מגיעים למסקנה שבְּריבוע ובדלתון אלכסון אחד חוצה את רעהו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הצגת הנתונים והנימוקים המתאימים מובילה אותם להבנה שמדובר בתכונה משותפת וחשובה לשתי הצורות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הדלתון והריבוע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מכאן הם מסיקים שלריבוע יש את תכונות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הדלתון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בשורות </w:t>
      </w:r>
      <w:r>
        <w:rPr>
          <w:rFonts w:ascii="David" w:eastAsia="David" w:hAnsi="David" w:cs="David"/>
          <w:sz w:val="24"/>
          <w:szCs w:val="24"/>
          <w:rtl/>
        </w:rPr>
        <w:t xml:space="preserve">19–23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ניכר שמשתתפים דנו בשאלה מה הופך את הריבוע למקרה פרטי של דלתון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וכך התקדמו בהבנת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ההכלה בין דלתונים לריבועים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למרות שהריבוע איננו דוגמה פרוטוטיפית של דלתון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התכונה המשותפת </w:t>
      </w:r>
      <w:r>
        <w:rPr>
          <w:rFonts w:ascii="David" w:eastAsia="David" w:hAnsi="David" w:cs="David"/>
          <w:sz w:val="24"/>
          <w:szCs w:val="24"/>
          <w:rtl/>
        </w:rPr>
        <w:t xml:space="preserve">—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אלכסון אחד חוצה את האחר </w:t>
      </w:r>
      <w:r>
        <w:rPr>
          <w:rFonts w:ascii="David" w:eastAsia="David" w:hAnsi="David" w:cs="David"/>
          <w:sz w:val="24"/>
          <w:szCs w:val="24"/>
          <w:rtl/>
        </w:rPr>
        <w:t xml:space="preserve">—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ממשיכה להתקיים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415757B2" w14:textId="77777777" w:rsidR="005B7BF6" w:rsidRDefault="005B7BF6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</w:p>
    <w:p w14:paraId="4ECC1D3B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b/>
          <w:sz w:val="24"/>
          <w:szCs w:val="24"/>
        </w:rPr>
      </w:pPr>
      <w:r>
        <w:br w:type="page"/>
      </w:r>
    </w:p>
    <w:p w14:paraId="2A3C5377" w14:textId="77777777" w:rsidR="00091637" w:rsidRDefault="00F10791" w:rsidP="00091637">
      <w:pPr>
        <w:bidi/>
        <w:spacing w:before="240" w:after="240" w:line="360" w:lineRule="auto"/>
        <w:jc w:val="center"/>
        <w:rPr>
          <w:rFonts w:ascii="David" w:eastAsia="David" w:hAnsi="David" w:cs="David"/>
          <w:bCs/>
          <w:sz w:val="28"/>
          <w:szCs w:val="28"/>
          <w:rtl/>
          <w:lang w:bidi="he-IL"/>
        </w:rPr>
      </w:pPr>
      <w:r w:rsidRPr="00091637">
        <w:rPr>
          <w:rFonts w:ascii="David" w:eastAsia="David" w:hAnsi="David" w:cs="David"/>
          <w:bCs/>
          <w:sz w:val="28"/>
          <w:szCs w:val="28"/>
          <w:rtl/>
          <w:lang w:bidi="he-IL"/>
        </w:rPr>
        <w:lastRenderedPageBreak/>
        <w:t>דיון</w:t>
      </w:r>
    </w:p>
    <w:p w14:paraId="078A4AE9" w14:textId="675ABF37" w:rsidR="005B7BF6" w:rsidRDefault="00F10791" w:rsidP="00091637">
      <w:pPr>
        <w:bidi/>
        <w:spacing w:before="240" w:after="240" w:line="360" w:lineRule="auto"/>
        <w:jc w:val="center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b/>
          <w:sz w:val="24"/>
          <w:szCs w:val="24"/>
        </w:rPr>
        <w:br/>
      </w:r>
      <w:r>
        <w:rPr>
          <w:rFonts w:ascii="David" w:eastAsia="David" w:hAnsi="David" w:cs="David"/>
          <w:sz w:val="24"/>
          <w:szCs w:val="24"/>
          <w:rtl/>
          <w:lang w:bidi="he-IL"/>
        </w:rPr>
        <w:t>מטרת מחקר א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הייתה לבדוק כיצד סטודנטים</w:t>
      </w:r>
      <w:r w:rsidR="00091637">
        <w:rPr>
          <w:rFonts w:ascii="David" w:eastAsia="David" w:hAnsi="David" w:cs="David" w:hint="cs"/>
          <w:sz w:val="24"/>
          <w:szCs w:val="24"/>
          <w:rtl/>
          <w:lang w:bidi="he-IL"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המתכשרים להוראה בכיתות א</w:t>
      </w:r>
      <w:r>
        <w:rPr>
          <w:rFonts w:ascii="David" w:eastAsia="David" w:hAnsi="David" w:cs="David"/>
          <w:sz w:val="24"/>
          <w:szCs w:val="24"/>
          <w:rtl/>
        </w:rPr>
        <w:t>'-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בעתיד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מגדירים את מושג האלכסון במצולעים ומהו דימוי המושג שלהם לגבי האלכסון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לאחר דיון באירועים מתמטיים הקשורים במושג האלכסון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רצינו לבדוק האם הסטודנטים המתכשרים להוראה מדייקים את הגדרתם למושג האלכסון והאם דימוי המושג שלהם מתפתח כך שיכלול גם דוגמאות לא פרוטוטיפיות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5F688464" w14:textId="1F6689A8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ממצאי שאלון הקדם הראו שהמשתתפים הצליחו לזהות רק דוגמאות פרוטוטיפיות של אלכסונים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והתקשו לזהות דוגמאות לא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פרוטוטיפיות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קושי זה נבע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בין היתר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מהשתת תכונה לא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קריטית המאפיינת את הדוגמאות הפרוטוטיפיות</w:t>
      </w:r>
      <w:r>
        <w:rPr>
          <w:rFonts w:ascii="David" w:eastAsia="David" w:hAnsi="David" w:cs="David"/>
          <w:sz w:val="24"/>
          <w:szCs w:val="24"/>
          <w:rtl/>
        </w:rPr>
        <w:t>— 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האלכסון חייב להיות משורטט כולו בתוך המצולע</w:t>
      </w:r>
      <w:r>
        <w:rPr>
          <w:rFonts w:ascii="David" w:eastAsia="David" w:hAnsi="David" w:cs="David"/>
          <w:sz w:val="24"/>
          <w:szCs w:val="24"/>
          <w:rtl/>
        </w:rPr>
        <w:t xml:space="preserve">” —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ממצא התואם מחקרים קודמים על קטעי גובה ומשיק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Gutiérrez &amp; Jaime, 1999; Haj-Yahya</w:t>
      </w:r>
      <w:r>
        <w:rPr>
          <w:rFonts w:ascii="David" w:eastAsia="David" w:hAnsi="David" w:cs="David"/>
          <w:sz w:val="24"/>
          <w:szCs w:val="24"/>
          <w:rtl/>
        </w:rPr>
        <w:t xml:space="preserve">, 2020).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בנוסף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רוב המשתתפים נתנו הגדרות שגויות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הם הזכירו תכונות לא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קריטיות המאפיינות את הדוגמאות הפרוטוטיפיות </w:t>
      </w:r>
      <w:r>
        <w:rPr>
          <w:rFonts w:ascii="David" w:eastAsia="David" w:hAnsi="David" w:cs="David"/>
          <w:sz w:val="24"/>
          <w:szCs w:val="24"/>
          <w:rtl/>
        </w:rPr>
        <w:t>(“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מחלק את הצורה</w:t>
      </w:r>
      <w:r>
        <w:rPr>
          <w:rFonts w:ascii="David" w:eastAsia="David" w:hAnsi="David" w:cs="David"/>
          <w:sz w:val="24"/>
          <w:szCs w:val="24"/>
          <w:rtl/>
        </w:rPr>
        <w:t>”, 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חוצה את המצולע</w:t>
      </w:r>
      <w:r>
        <w:rPr>
          <w:rFonts w:ascii="David" w:eastAsia="David" w:hAnsi="David" w:cs="David"/>
          <w:sz w:val="24"/>
          <w:szCs w:val="24"/>
          <w:rtl/>
        </w:rPr>
        <w:t xml:space="preserve">”)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או השמיטו תכונות חיוניות כגון </w:t>
      </w:r>
      <w:r>
        <w:rPr>
          <w:rFonts w:ascii="David" w:eastAsia="David" w:hAnsi="David" w:cs="David"/>
          <w:sz w:val="24"/>
          <w:szCs w:val="24"/>
          <w:rtl/>
        </w:rPr>
        <w:t>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קודקודים שאינם סמוכים</w:t>
      </w:r>
      <w:r>
        <w:rPr>
          <w:rFonts w:ascii="David" w:eastAsia="David" w:hAnsi="David" w:cs="David"/>
          <w:sz w:val="24"/>
          <w:szCs w:val="24"/>
          <w:rtl/>
        </w:rPr>
        <w:t xml:space="preserve">”.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נראה כי הסתמכו על דימוי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המושג האישית המוגבל במקום על ההגדרה הפורמלית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 xml:space="preserve">Berenger, 2018; </w:t>
      </w:r>
      <w:proofErr w:type="spellStart"/>
      <w:r>
        <w:rPr>
          <w:rFonts w:ascii="David" w:eastAsia="David" w:hAnsi="David" w:cs="David"/>
          <w:sz w:val="24"/>
          <w:szCs w:val="24"/>
        </w:rPr>
        <w:t>Tsamir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 et al</w:t>
      </w:r>
      <w:r>
        <w:rPr>
          <w:rFonts w:ascii="David" w:eastAsia="David" w:hAnsi="David" w:cs="David"/>
          <w:sz w:val="24"/>
          <w:szCs w:val="24"/>
          <w:rtl/>
        </w:rPr>
        <w:t xml:space="preserve">., 2014).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לאחר ההתערבות חל שיפור ניכר</w:t>
      </w:r>
      <w:r>
        <w:rPr>
          <w:rFonts w:ascii="David" w:eastAsia="David" w:hAnsi="David" w:cs="David"/>
          <w:sz w:val="24"/>
          <w:szCs w:val="24"/>
          <w:rtl/>
        </w:rPr>
        <w:t xml:space="preserve">: 87 %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ניסחו הגדרה נכונה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מהם </w:t>
      </w:r>
      <w:r>
        <w:rPr>
          <w:rFonts w:ascii="David" w:eastAsia="David" w:hAnsi="David" w:cs="David"/>
          <w:sz w:val="24"/>
          <w:szCs w:val="24"/>
          <w:rtl/>
        </w:rPr>
        <w:t xml:space="preserve">57 %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במינימום תנאים הכרחיים </w:t>
      </w:r>
      <w:r>
        <w:rPr>
          <w:rFonts w:ascii="David" w:eastAsia="David" w:hAnsi="David" w:cs="David"/>
          <w:sz w:val="24"/>
          <w:szCs w:val="24"/>
          <w:rtl/>
        </w:rPr>
        <w:t>(“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קטע המחבר שני קודקודים שאינם סמוכים</w:t>
      </w:r>
      <w:r>
        <w:rPr>
          <w:rFonts w:ascii="David" w:eastAsia="David" w:hAnsi="David" w:cs="David"/>
          <w:sz w:val="24"/>
          <w:szCs w:val="24"/>
          <w:rtl/>
        </w:rPr>
        <w:t xml:space="preserve">”)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-30 %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הוסיפו הרחבות לא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מינימליות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למשל </w:t>
      </w:r>
      <w:r>
        <w:rPr>
          <w:rFonts w:ascii="David" w:eastAsia="David" w:hAnsi="David" w:cs="David"/>
          <w:sz w:val="24"/>
          <w:szCs w:val="24"/>
          <w:rtl/>
        </w:rPr>
        <w:t>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אלכסון עשוי להיות חיצוני חלקית</w:t>
      </w:r>
      <w:r>
        <w:rPr>
          <w:rFonts w:ascii="David" w:eastAsia="David" w:hAnsi="David" w:cs="David"/>
          <w:sz w:val="24"/>
          <w:szCs w:val="24"/>
          <w:rtl/>
        </w:rPr>
        <w:t xml:space="preserve">”),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המעידות על הרחבת דימוי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המושג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כשמציבים בפני הלומד דוגמאות לא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פרוטוטיפיות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הדימוי האישי מתקרב להגדרה הרשמית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Tall &amp; Vinner</w:t>
      </w:r>
      <w:r>
        <w:rPr>
          <w:rFonts w:ascii="David" w:eastAsia="David" w:hAnsi="David" w:cs="David"/>
          <w:sz w:val="24"/>
          <w:szCs w:val="24"/>
          <w:rtl/>
        </w:rPr>
        <w:t xml:space="preserve">, 1981). </w:t>
      </w:r>
    </w:p>
    <w:p w14:paraId="47ABCF90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במהלך הדיון באירועים המתמטיים הקשורים במושג אלכסון בכיתה ניכר מעבר מרמה </w:t>
      </w:r>
      <w:r>
        <w:rPr>
          <w:rFonts w:ascii="David" w:eastAsia="David" w:hAnsi="David" w:cs="David"/>
          <w:sz w:val="24"/>
          <w:szCs w:val="24"/>
          <w:rtl/>
        </w:rPr>
        <w:t xml:space="preserve">2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לרמה </w:t>
      </w:r>
      <w:r>
        <w:rPr>
          <w:rFonts w:ascii="David" w:eastAsia="David" w:hAnsi="David" w:cs="David"/>
          <w:sz w:val="24"/>
          <w:szCs w:val="24"/>
          <w:rtl/>
        </w:rPr>
        <w:t>3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 במודל ואן־היילה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המשתתפים קישרו בין תכונות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זיהו מבנה לוגי ופעלו על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פי יחסים הכרחיים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ומספיקים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מה שהעמיק את הבנתם את מושג האלכסון</w:t>
      </w:r>
      <w:r>
        <w:rPr>
          <w:rFonts w:ascii="David" w:eastAsia="David" w:hAnsi="David" w:cs="David"/>
          <w:sz w:val="24"/>
          <w:szCs w:val="24"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 שיעור שימוש בתכונות לא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קריטיות בהגדרות של סטודנטים קטן מכ</w:t>
      </w:r>
      <w:r>
        <w:rPr>
          <w:rFonts w:ascii="David" w:eastAsia="David" w:hAnsi="David" w:cs="David"/>
          <w:sz w:val="24"/>
          <w:szCs w:val="24"/>
          <w:rtl/>
        </w:rPr>
        <w:t xml:space="preserve">-40 %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במבחן לפני ההתערבות לכ</w:t>
      </w:r>
      <w:r>
        <w:rPr>
          <w:rFonts w:ascii="David" w:eastAsia="David" w:hAnsi="David" w:cs="David"/>
          <w:sz w:val="24"/>
          <w:szCs w:val="24"/>
          <w:rtl/>
        </w:rPr>
        <w:t xml:space="preserve">-10 %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במבחן אחרי ההתערבות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נתון התואם מחקרים המדגישים את יחסי הגומלין בין תמונת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מושג להגדרה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Fujita &amp; Jones</w:t>
      </w:r>
      <w:r>
        <w:rPr>
          <w:rFonts w:ascii="David" w:eastAsia="David" w:hAnsi="David" w:cs="David"/>
          <w:sz w:val="24"/>
          <w:szCs w:val="24"/>
          <w:rtl/>
        </w:rPr>
        <w:t xml:space="preserve">, 2007).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ממצא ייחודי הוא ריבוי ההגדרות הלא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מינימליות במבחן אחרי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המשתתפים השתמשו  בתכונות שמופיעות רק בדוגמאות לא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פרוטוטיפיות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כמו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האלכסון יכול להיות חיצוני</w:t>
      </w:r>
      <w:r>
        <w:rPr>
          <w:rFonts w:ascii="David" w:eastAsia="David" w:hAnsi="David" w:cs="David"/>
          <w:sz w:val="24"/>
          <w:szCs w:val="24"/>
          <w:rtl/>
        </w:rPr>
        <w:t xml:space="preserve">),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גם כדי למנוע שגיאות עתידיות של תלמידיהם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בכך </w:t>
      </w:r>
      <w:r>
        <w:rPr>
          <w:rFonts w:ascii="David" w:eastAsia="David" w:hAnsi="David" w:cs="David"/>
          <w:sz w:val="24"/>
          <w:szCs w:val="24"/>
          <w:rtl/>
        </w:rPr>
        <w:t>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הרשימה הארוכה</w:t>
      </w:r>
      <w:r>
        <w:rPr>
          <w:rFonts w:ascii="David" w:eastAsia="David" w:hAnsi="David" w:cs="David"/>
          <w:sz w:val="24"/>
          <w:szCs w:val="24"/>
          <w:rtl/>
        </w:rPr>
        <w:t xml:space="preserve">” –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שלעתים נחשבת חסרון בהגדרות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 xml:space="preserve">Leikin &amp; </w:t>
      </w:r>
      <w:proofErr w:type="spellStart"/>
      <w:r>
        <w:rPr>
          <w:rFonts w:ascii="David" w:eastAsia="David" w:hAnsi="David" w:cs="David"/>
          <w:sz w:val="24"/>
          <w:szCs w:val="24"/>
        </w:rPr>
        <w:t>Winicky</w:t>
      </w:r>
      <w:proofErr w:type="spellEnd"/>
      <w:r>
        <w:rPr>
          <w:rFonts w:ascii="David" w:eastAsia="David" w:hAnsi="David" w:cs="David"/>
          <w:sz w:val="24"/>
          <w:szCs w:val="24"/>
        </w:rPr>
        <w:t>-Landman</w:t>
      </w:r>
      <w:r>
        <w:rPr>
          <w:rFonts w:ascii="David" w:eastAsia="David" w:hAnsi="David" w:cs="David"/>
          <w:sz w:val="24"/>
          <w:szCs w:val="24"/>
          <w:rtl/>
        </w:rPr>
        <w:t xml:space="preserve">, 2001) –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הפכה לכלי להרחבת תמונת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המושג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הניתוח האיכותני באמצעות מודל טולמין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Toulmin</w:t>
      </w:r>
      <w:r>
        <w:rPr>
          <w:rFonts w:ascii="David" w:eastAsia="David" w:hAnsi="David" w:cs="David"/>
          <w:sz w:val="24"/>
          <w:szCs w:val="24"/>
          <w:rtl/>
        </w:rPr>
        <w:t xml:space="preserve">, 2003)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חשף טיעונים לקויים </w:t>
      </w:r>
      <w:r>
        <w:rPr>
          <w:rFonts w:ascii="David" w:eastAsia="David" w:hAnsi="David" w:cs="David"/>
          <w:sz w:val="24"/>
          <w:szCs w:val="24"/>
          <w:rtl/>
        </w:rPr>
        <w:t xml:space="preserve">–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טענות חסרות ו</w:t>
      </w:r>
      <w:r>
        <w:rPr>
          <w:rFonts w:ascii="David" w:eastAsia="David" w:hAnsi="David" w:cs="David"/>
          <w:sz w:val="24"/>
          <w:szCs w:val="24"/>
          <w:rtl/>
        </w:rPr>
        <w:t>-/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 הסברים בלתי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מספיקים </w:t>
      </w:r>
      <w:r>
        <w:rPr>
          <w:rFonts w:ascii="David" w:eastAsia="David" w:hAnsi="David" w:cs="David"/>
          <w:sz w:val="24"/>
          <w:szCs w:val="24"/>
          <w:rtl/>
        </w:rPr>
        <w:t xml:space="preserve">–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והדגיש כיצד משתתפים אחרים הפריכו אותן באמצעות תכונות קריטיות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מנגנון זה של טיעון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נגד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rebuttal</w:t>
      </w:r>
      <w:r>
        <w:rPr>
          <w:rFonts w:ascii="David" w:eastAsia="David" w:hAnsi="David" w:cs="David"/>
          <w:sz w:val="24"/>
          <w:szCs w:val="24"/>
          <w:rtl/>
        </w:rPr>
        <w:t xml:space="preserve">)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יצר ידע קבוצתי ושיפר את דיוק ההגדרות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25469BFC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לסיכום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התוצאות של מחקר א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מראות כי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עיסוק באירועים מתמטיים סביב מושג האלכסון התגלה כמועיל במיוחד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הוא העמיק הבנה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יישר קו בין תמונת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המושג להגדרה והעניק לפרחי ההוראה תובנות פדגוגיות לגבי הגדרת המושג אלכסון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מומלץ לחקור אירועים דומים במושגים גאומטריים נוספים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ולחשוף מורים בפועל וסטודנטים לממצאים כדי לצמצם קשיֵ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גאומטריה בהכשרה ובכיתות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20DACFC4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מטרת מחקר ב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הייתה לבחון כיצד דיון של הסטודנטים המתכשרים להוראה בכיתות א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-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</w:t>
      </w:r>
      <w:r>
        <w:rPr>
          <w:rFonts w:ascii="David" w:eastAsia="David" w:hAnsi="David" w:cs="David"/>
          <w:sz w:val="24"/>
          <w:szCs w:val="24"/>
          <w:rtl/>
        </w:rPr>
        <w:t xml:space="preserve">'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בניתוח אירועים מתמטיים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לצורך פיתוח הבנתם ונימוקיהם הקשורים ביחסי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הכלה בין מרובעים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משפיע על הבנתם את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ההכלה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0561550B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lastRenderedPageBreak/>
        <w:t>לפני ההתערבות במבחן המקדים רוב המשתתפים התקשו לזהות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הכלה בין מרובעים שונים הן במשימות הוויזואליות והן במילוליות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כאשר נתבקשו לנמק את תשובותיהם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רובם הסתמכו על תכונות לא קריטיות המאפיינות את הדוגמאות הפרוטוטיפיות  או התבססו על הפרוטוטיפ עצמו כנקודת התייחסות במקום להסתמך על הגדרות הצורות והתכונות הקריטיות הקשורות במושג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</w:p>
    <w:p w14:paraId="02083B60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הממצאים מלמדים כי הדיון באירועים אלה חשף את הסתמכותם של המשתתפים על תכונות לא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קריטיות המאפיינות את הדוגמאות הפרוטוטיפיות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שימוש בתכונות אלו היה רב באירוע הראשון ופחת יותר כאשר התקדמו לאירוע השני והשלישי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הדרישה להסביר ולתמוך בטענות הובילה אותם להיעזר בהגדרות פורמליות או בתכונות קריטיות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וכך לראות שצורות שונות חולקות תכונות ומשתייכות לקטגוריות רחבות יותר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לדוגמה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כפי שהוצג באפיזודה </w:t>
      </w:r>
      <w:r>
        <w:rPr>
          <w:rFonts w:ascii="David" w:eastAsia="David" w:hAnsi="David" w:cs="David"/>
          <w:sz w:val="24"/>
          <w:szCs w:val="24"/>
          <w:rtl/>
        </w:rPr>
        <w:t xml:space="preserve">1,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הדיון התקדם מחוסר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וודאות וויזוואלי ראשוני להשוואה שיטתית בין תכונות דלתון לריבוע</w:t>
      </w:r>
      <w:r>
        <w:rPr>
          <w:rFonts w:ascii="David" w:eastAsia="David" w:hAnsi="David" w:cs="David"/>
          <w:sz w:val="24"/>
          <w:szCs w:val="24"/>
          <w:rtl/>
        </w:rPr>
        <w:t xml:space="preserve">;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המשתתפים זיהו תכונות קריטיות משותפות והסיקו בסופו של דבר כי לריבוע יש את תכונות הדלתון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תוצאות אלו מתיישבות עם מחקרים קודמים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למשל </w:t>
      </w:r>
      <w:proofErr w:type="spellStart"/>
      <w:r>
        <w:rPr>
          <w:rFonts w:ascii="David" w:eastAsia="David" w:hAnsi="David" w:cs="David"/>
          <w:sz w:val="24"/>
          <w:szCs w:val="24"/>
        </w:rPr>
        <w:t>Stockero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 et al</w:t>
      </w:r>
      <w:r>
        <w:rPr>
          <w:rFonts w:ascii="David" w:eastAsia="David" w:hAnsi="David" w:cs="David"/>
          <w:sz w:val="24"/>
          <w:szCs w:val="24"/>
          <w:rtl/>
        </w:rPr>
        <w:t xml:space="preserve">., 2020)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המדגישים את יעילות הניתוח של אירועים מתמטיים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יישום מודל טולמין הדגיש בבהירות כיצד השתנה קו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הנימוק המובנה</w:t>
      </w:r>
      <w:r>
        <w:rPr>
          <w:rFonts w:ascii="David" w:eastAsia="David" w:hAnsi="David" w:cs="David"/>
          <w:sz w:val="24"/>
          <w:szCs w:val="24"/>
          <w:rtl/>
        </w:rPr>
        <w:t>—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הצגת וורנטים וגיבויים</w:t>
      </w:r>
      <w:r>
        <w:rPr>
          <w:rFonts w:ascii="David" w:eastAsia="David" w:hAnsi="David" w:cs="David"/>
          <w:sz w:val="24"/>
          <w:szCs w:val="24"/>
          <w:rtl/>
        </w:rPr>
        <w:t>—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במעבר מאי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הבנה ראשונית להבנה מדויקת ומעודנת יותר של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ההכלה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10DA8415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בשאלון אחרי יותר הסטודנטים זיהו  נכון את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ההכלה וסיפקו הסברים המבוססים על הגדרות גאומטריות של המושגים או על תכונות קריטיות שלהם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המגמה של שיפור בזיהוי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ההכלה התגלה לא רק עבור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ההכלה שדנו בהם באירועים המתמטיים אלא גם לגבי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ההכלה שלא נדונו בשלושת האירועים המתמטיים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ראה טבלה  </w:t>
      </w:r>
      <w:r>
        <w:rPr>
          <w:rFonts w:ascii="David" w:eastAsia="David" w:hAnsi="David" w:cs="David"/>
          <w:sz w:val="24"/>
          <w:szCs w:val="24"/>
          <w:rtl/>
        </w:rPr>
        <w:t xml:space="preserve">7).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ההתערבות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אם כן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תרמה להבנתם את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ההכלה ולהרחבת דימוי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 xml:space="preserve">המושג שלהם מעבר לדוגמאות פרוטוטיפיות </w:t>
      </w:r>
      <w:r>
        <w:rPr>
          <w:rFonts w:ascii="David" w:eastAsia="David" w:hAnsi="David" w:cs="David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</w:rPr>
        <w:t>Haj-Yahya et al</w:t>
      </w:r>
      <w:r>
        <w:rPr>
          <w:rFonts w:ascii="David" w:eastAsia="David" w:hAnsi="David" w:cs="David"/>
          <w:sz w:val="24"/>
          <w:szCs w:val="24"/>
          <w:rtl/>
        </w:rPr>
        <w:t xml:space="preserve">., 2024).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עם זאת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האירועים התמקדו בשלושה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הכלה בלבד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ולא כל המשתתפים לקחו חלק פעיל בדיונים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אף על פי כן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הממצאים מצביעים על שיפור ניכר בהבנת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ההכלה אצל מרבית המשתתפים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ניתוח אירועים מתמטיים היה פוטנציאלי לשיפור הבנת יחסי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ההכלה לא רק בקרב המשתתפים הפעילים בדיון ובנוגע ליחסים שנדונו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אלא אף השפיע באופן חיובי על הבנתם של משתתפים שלא לקחו חלק פעיל בדיון באירוע המתמטי עצמו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2A09C192" w14:textId="77777777" w:rsidR="005B7BF6" w:rsidRDefault="005B7BF6">
      <w:pPr>
        <w:bidi/>
        <w:spacing w:before="240" w:after="240" w:line="360" w:lineRule="auto"/>
        <w:ind w:left="140"/>
        <w:jc w:val="both"/>
        <w:rPr>
          <w:rFonts w:ascii="David" w:eastAsia="David" w:hAnsi="David" w:cs="David"/>
          <w:sz w:val="24"/>
          <w:szCs w:val="24"/>
        </w:rPr>
      </w:pPr>
    </w:p>
    <w:p w14:paraId="5353C166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4F2F4B35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64651255" w14:textId="77777777" w:rsidR="005B7BF6" w:rsidRDefault="00F10791">
      <w:pPr>
        <w:bidi/>
        <w:spacing w:before="240" w:after="240" w:line="360" w:lineRule="auto"/>
        <w:rPr>
          <w:rFonts w:ascii="David" w:eastAsia="David" w:hAnsi="David" w:cs="David"/>
          <w:sz w:val="24"/>
          <w:szCs w:val="24"/>
        </w:rPr>
      </w:pPr>
      <w:r>
        <w:br w:type="page"/>
      </w:r>
    </w:p>
    <w:p w14:paraId="147D3E2B" w14:textId="4A246AF1" w:rsidR="005B7BF6" w:rsidRPr="000F7D40" w:rsidRDefault="000F7D40">
      <w:pPr>
        <w:bidi/>
        <w:spacing w:before="240" w:after="240" w:line="360" w:lineRule="auto"/>
        <w:rPr>
          <w:rFonts w:ascii="David" w:eastAsia="David" w:hAnsi="David" w:cs="David"/>
          <w:bCs/>
          <w:sz w:val="28"/>
          <w:szCs w:val="28"/>
        </w:rPr>
      </w:pPr>
      <w:r w:rsidRPr="000F7D40">
        <w:rPr>
          <w:rFonts w:ascii="David" w:eastAsia="David" w:hAnsi="David" w:cs="David"/>
          <w:bCs/>
          <w:sz w:val="14"/>
          <w:szCs w:val="14"/>
        </w:rPr>
        <w:lastRenderedPageBreak/>
        <w:t xml:space="preserve"> </w:t>
      </w:r>
      <w:r w:rsidR="00F10791" w:rsidRPr="000F7D40">
        <w:rPr>
          <w:rFonts w:ascii="David" w:eastAsia="David" w:hAnsi="David" w:cs="David"/>
          <w:bCs/>
          <w:sz w:val="14"/>
          <w:szCs w:val="14"/>
        </w:rPr>
        <w:t xml:space="preserve">   </w:t>
      </w:r>
      <w:r w:rsidR="00F10791" w:rsidRPr="000F7D40">
        <w:rPr>
          <w:rFonts w:ascii="David" w:eastAsia="David" w:hAnsi="David" w:cs="David"/>
          <w:bCs/>
          <w:sz w:val="28"/>
          <w:szCs w:val="28"/>
          <w:rtl/>
          <w:lang w:bidi="he-IL"/>
        </w:rPr>
        <w:t>רשימת מקורות</w:t>
      </w:r>
    </w:p>
    <w:p w14:paraId="23C6B1B1" w14:textId="77777777" w:rsidR="005B7BF6" w:rsidRDefault="00F10791">
      <w:pPr>
        <w:bidi/>
        <w:spacing w:before="240" w:after="240" w:line="360" w:lineRule="auto"/>
        <w:rPr>
          <w:rFonts w:ascii="David" w:eastAsia="David" w:hAnsi="David" w:cs="David"/>
          <w:color w:val="333333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rFonts w:ascii="David" w:eastAsia="David" w:hAnsi="David" w:cs="David"/>
          <w:color w:val="333333"/>
          <w:sz w:val="24"/>
          <w:szCs w:val="24"/>
          <w:rtl/>
          <w:lang w:bidi="he-IL"/>
        </w:rPr>
        <w:t>לוי</w:t>
      </w:r>
      <w:r>
        <w:rPr>
          <w:rFonts w:ascii="David" w:eastAsia="David" w:hAnsi="David" w:cs="David"/>
          <w:color w:val="333333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color w:val="333333"/>
          <w:sz w:val="24"/>
          <w:szCs w:val="24"/>
          <w:rtl/>
          <w:lang w:bidi="he-IL"/>
        </w:rPr>
        <w:t>ד</w:t>
      </w:r>
      <w:r>
        <w:rPr>
          <w:rFonts w:ascii="David" w:eastAsia="David" w:hAnsi="David" w:cs="David"/>
          <w:color w:val="333333"/>
          <w:sz w:val="24"/>
          <w:szCs w:val="24"/>
          <w:rtl/>
        </w:rPr>
        <w:t xml:space="preserve">' (2006). </w:t>
      </w:r>
      <w:r>
        <w:rPr>
          <w:rFonts w:ascii="David" w:eastAsia="David" w:hAnsi="David" w:cs="David"/>
          <w:i/>
          <w:color w:val="333333"/>
          <w:sz w:val="24"/>
          <w:szCs w:val="24"/>
          <w:rtl/>
          <w:lang w:bidi="he-IL"/>
        </w:rPr>
        <w:t>מחקר פעולה</w:t>
      </w:r>
      <w:r>
        <w:rPr>
          <w:rFonts w:ascii="David" w:eastAsia="David" w:hAnsi="David" w:cs="David"/>
          <w:i/>
          <w:color w:val="333333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i/>
          <w:color w:val="333333"/>
          <w:sz w:val="24"/>
          <w:szCs w:val="24"/>
          <w:rtl/>
          <w:lang w:bidi="he-IL"/>
        </w:rPr>
        <w:t>הלכה ומעשה</w:t>
      </w:r>
      <w:r>
        <w:rPr>
          <w:rFonts w:ascii="David" w:eastAsia="David" w:hAnsi="David" w:cs="David"/>
          <w:i/>
          <w:color w:val="333333"/>
          <w:sz w:val="24"/>
          <w:szCs w:val="24"/>
          <w:rtl/>
        </w:rPr>
        <w:t>.</w:t>
      </w:r>
      <w:r>
        <w:rPr>
          <w:rFonts w:ascii="David" w:eastAsia="David" w:hAnsi="David" w:cs="David"/>
          <w:color w:val="333333"/>
          <w:sz w:val="24"/>
          <w:szCs w:val="24"/>
          <w:rtl/>
          <w:lang w:bidi="he-IL"/>
        </w:rPr>
        <w:t xml:space="preserve"> מכון מופ</w:t>
      </w:r>
      <w:r>
        <w:rPr>
          <w:rFonts w:ascii="David" w:eastAsia="David" w:hAnsi="David" w:cs="David"/>
          <w:color w:val="333333"/>
          <w:sz w:val="24"/>
          <w:szCs w:val="24"/>
          <w:rtl/>
        </w:rPr>
        <w:t>"</w:t>
      </w:r>
      <w:r>
        <w:rPr>
          <w:rFonts w:ascii="David" w:eastAsia="David" w:hAnsi="David" w:cs="David"/>
          <w:color w:val="333333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color w:val="333333"/>
          <w:sz w:val="24"/>
          <w:szCs w:val="24"/>
          <w:rtl/>
        </w:rPr>
        <w:t>.</w:t>
      </w:r>
    </w:p>
    <w:p w14:paraId="189BA460" w14:textId="77777777" w:rsidR="005B7BF6" w:rsidRDefault="00F10791" w:rsidP="000F7D40">
      <w:pPr>
        <w:bidi/>
        <w:spacing w:after="240" w:line="360" w:lineRule="auto"/>
        <w:ind w:right="72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מרקוביץ</w:t>
      </w:r>
      <w:r>
        <w:rPr>
          <w:rFonts w:ascii="David" w:eastAsia="David" w:hAnsi="David" w:cs="David"/>
          <w:sz w:val="24"/>
          <w:szCs w:val="24"/>
          <w:rtl/>
        </w:rPr>
        <w:t xml:space="preserve">',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צ</w:t>
      </w:r>
      <w:r>
        <w:rPr>
          <w:rFonts w:ascii="David" w:eastAsia="David" w:hAnsi="David" w:cs="David"/>
          <w:sz w:val="24"/>
          <w:szCs w:val="24"/>
          <w:rtl/>
        </w:rPr>
        <w:t xml:space="preserve">' (2003). </w:t>
      </w:r>
      <w:r>
        <w:rPr>
          <w:rFonts w:ascii="David" w:eastAsia="David" w:hAnsi="David" w:cs="David"/>
          <w:i/>
          <w:sz w:val="24"/>
          <w:szCs w:val="24"/>
          <w:rtl/>
          <w:lang w:bidi="he-IL"/>
        </w:rPr>
        <w:t>ניתוח אירועים מתמטיים בכיתה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מכון מופ</w:t>
      </w:r>
      <w:r>
        <w:rPr>
          <w:rFonts w:ascii="David" w:eastAsia="David" w:hAnsi="David" w:cs="David"/>
          <w:sz w:val="24"/>
          <w:szCs w:val="24"/>
          <w:rtl/>
        </w:rPr>
        <w:t>"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25FDBEE2" w14:textId="77777777" w:rsidR="005B7BF6" w:rsidRDefault="00F10791">
      <w:pPr>
        <w:bidi/>
        <w:spacing w:before="240" w:after="240" w:line="360" w:lineRule="auto"/>
        <w:rPr>
          <w:rFonts w:ascii="David" w:eastAsia="David" w:hAnsi="David" w:cs="David"/>
          <w:color w:val="333333"/>
          <w:sz w:val="24"/>
          <w:szCs w:val="24"/>
        </w:rPr>
      </w:pPr>
      <w:r>
        <w:rPr>
          <w:rFonts w:ascii="David" w:eastAsia="David" w:hAnsi="David" w:cs="David"/>
          <w:color w:val="333333"/>
          <w:sz w:val="24"/>
          <w:szCs w:val="24"/>
          <w:rtl/>
          <w:lang w:bidi="he-IL"/>
        </w:rPr>
        <w:t>כהן</w:t>
      </w:r>
      <w:r>
        <w:rPr>
          <w:rFonts w:ascii="David" w:eastAsia="David" w:hAnsi="David" w:cs="David"/>
          <w:color w:val="333333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color w:val="333333"/>
          <w:sz w:val="24"/>
          <w:szCs w:val="24"/>
          <w:rtl/>
          <w:lang w:bidi="he-IL"/>
        </w:rPr>
        <w:t>נ</w:t>
      </w:r>
      <w:r>
        <w:rPr>
          <w:rFonts w:ascii="David" w:eastAsia="David" w:hAnsi="David" w:cs="David"/>
          <w:color w:val="333333"/>
          <w:sz w:val="24"/>
          <w:szCs w:val="24"/>
          <w:rtl/>
        </w:rPr>
        <w:t xml:space="preserve">' (2020). </w:t>
      </w:r>
      <w:r>
        <w:rPr>
          <w:rFonts w:ascii="David" w:eastAsia="David" w:hAnsi="David" w:cs="David"/>
          <w:color w:val="333333"/>
          <w:sz w:val="24"/>
          <w:szCs w:val="24"/>
          <w:rtl/>
          <w:lang w:bidi="he-IL"/>
        </w:rPr>
        <w:t>לראות</w:t>
      </w:r>
      <w:r>
        <w:rPr>
          <w:rFonts w:ascii="David" w:eastAsia="David" w:hAnsi="David" w:cs="David"/>
          <w:color w:val="333333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color w:val="333333"/>
          <w:sz w:val="24"/>
          <w:szCs w:val="24"/>
          <w:rtl/>
          <w:lang w:bidi="he-IL"/>
        </w:rPr>
        <w:t>לנתח ומה שביניהם</w:t>
      </w:r>
      <w:r>
        <w:rPr>
          <w:rFonts w:ascii="David" w:eastAsia="David" w:hAnsi="David" w:cs="David"/>
          <w:color w:val="333333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i/>
          <w:color w:val="333333"/>
          <w:sz w:val="24"/>
          <w:szCs w:val="24"/>
          <w:rtl/>
          <w:lang w:bidi="he-IL"/>
        </w:rPr>
        <w:t xml:space="preserve">מספר חזק </w:t>
      </w:r>
      <w:r>
        <w:rPr>
          <w:rFonts w:ascii="David" w:eastAsia="David" w:hAnsi="David" w:cs="David"/>
          <w:i/>
          <w:color w:val="333333"/>
          <w:sz w:val="24"/>
          <w:szCs w:val="24"/>
          <w:rtl/>
        </w:rPr>
        <w:t>2000</w:t>
      </w:r>
      <w:r>
        <w:rPr>
          <w:rFonts w:ascii="David" w:eastAsia="David" w:hAnsi="David" w:cs="David"/>
          <w:color w:val="333333"/>
          <w:sz w:val="24"/>
          <w:szCs w:val="24"/>
        </w:rPr>
        <w:t>, (31), 28 -45.</w:t>
      </w:r>
    </w:p>
    <w:p w14:paraId="1290ACEF" w14:textId="77777777" w:rsidR="005B7BF6" w:rsidRDefault="00F10791">
      <w:pPr>
        <w:spacing w:after="120" w:line="360" w:lineRule="auto"/>
        <w:ind w:left="700" w:hanging="28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Boonen, T., Van Damme, J., &amp; </w:t>
      </w:r>
      <w:proofErr w:type="spellStart"/>
      <w:r>
        <w:rPr>
          <w:rFonts w:ascii="David" w:eastAsia="David" w:hAnsi="David" w:cs="David"/>
          <w:sz w:val="24"/>
          <w:szCs w:val="24"/>
        </w:rPr>
        <w:t>Onghena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, P. (2014). Teacher effects on student achievement in first grade: which aspects matter </w:t>
      </w:r>
      <w:proofErr w:type="gramStart"/>
      <w:r>
        <w:rPr>
          <w:rFonts w:ascii="David" w:eastAsia="David" w:hAnsi="David" w:cs="David"/>
          <w:sz w:val="24"/>
          <w:szCs w:val="24"/>
        </w:rPr>
        <w:t>most?.</w:t>
      </w:r>
      <w:proofErr w:type="gramEnd"/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rFonts w:ascii="David" w:eastAsia="David" w:hAnsi="David" w:cs="David"/>
          <w:i/>
          <w:sz w:val="24"/>
          <w:szCs w:val="24"/>
        </w:rPr>
        <w:t>School Effectiveness and School Improvement, 25</w:t>
      </w:r>
      <w:r>
        <w:rPr>
          <w:rFonts w:ascii="David" w:eastAsia="David" w:hAnsi="David" w:cs="David"/>
          <w:sz w:val="24"/>
          <w:szCs w:val="24"/>
        </w:rPr>
        <w:t>(1), 126-152.</w:t>
      </w:r>
      <w:hyperlink r:id="rId26">
        <w:r>
          <w:rPr>
            <w:rFonts w:ascii="David" w:eastAsia="David" w:hAnsi="David" w:cs="David"/>
            <w:color w:val="1155CC"/>
            <w:sz w:val="24"/>
            <w:szCs w:val="24"/>
          </w:rPr>
          <w:t xml:space="preserve"> </w:t>
        </w:r>
      </w:hyperlink>
      <w:hyperlink r:id="rId27">
        <w:r>
          <w:rPr>
            <w:rFonts w:ascii="David" w:eastAsia="David" w:hAnsi="David" w:cs="David"/>
            <w:color w:val="1155CC"/>
            <w:sz w:val="24"/>
            <w:szCs w:val="24"/>
            <w:u w:val="single"/>
          </w:rPr>
          <w:t>https://doi.org/10.1080/09243453.2013.778297</w:t>
        </w:r>
      </w:hyperlink>
      <w:r>
        <w:rPr>
          <w:rFonts w:ascii="David" w:eastAsia="David" w:hAnsi="David" w:cs="David"/>
          <w:sz w:val="24"/>
          <w:szCs w:val="24"/>
        </w:rPr>
        <w:t>.</w:t>
      </w:r>
    </w:p>
    <w:p w14:paraId="53471594" w14:textId="77777777" w:rsidR="005B7BF6" w:rsidRDefault="00F10791">
      <w:pPr>
        <w:spacing w:after="120" w:line="360" w:lineRule="auto"/>
        <w:ind w:left="700" w:hanging="28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Braun, V., &amp; Clarke, V. (2006). Using thematic analysis in psychology. </w:t>
      </w:r>
      <w:r>
        <w:rPr>
          <w:rFonts w:ascii="David" w:eastAsia="David" w:hAnsi="David" w:cs="David"/>
          <w:i/>
          <w:sz w:val="24"/>
          <w:szCs w:val="24"/>
        </w:rPr>
        <w:t>Qualitative Research in Psychology, 3</w:t>
      </w:r>
      <w:r>
        <w:rPr>
          <w:rFonts w:ascii="David" w:eastAsia="David" w:hAnsi="David" w:cs="David"/>
          <w:sz w:val="24"/>
          <w:szCs w:val="24"/>
        </w:rPr>
        <w:t>(2), 77–101.</w:t>
      </w:r>
    </w:p>
    <w:p w14:paraId="6913B6EA" w14:textId="77777777" w:rsidR="005B7BF6" w:rsidRDefault="00F10791">
      <w:pPr>
        <w:spacing w:after="120" w:line="360" w:lineRule="auto"/>
        <w:ind w:left="700" w:hanging="28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Campbell, P. F., Nishio, M., Smith, T. M., Clark, L. M., Conant, D. L., Rust, A. </w:t>
      </w:r>
      <w:proofErr w:type="gramStart"/>
      <w:r>
        <w:rPr>
          <w:rFonts w:ascii="David" w:eastAsia="David" w:hAnsi="David" w:cs="David"/>
          <w:sz w:val="24"/>
          <w:szCs w:val="24"/>
        </w:rPr>
        <w:t>H.,...</w:t>
      </w:r>
      <w:proofErr w:type="gramEnd"/>
      <w:r>
        <w:rPr>
          <w:rFonts w:ascii="David" w:eastAsia="David" w:hAnsi="David" w:cs="David"/>
          <w:sz w:val="24"/>
          <w:szCs w:val="24"/>
        </w:rPr>
        <w:t xml:space="preserve"> &amp; Choi, Y. (2014). The relationship between teachers' mathematical content and pedagogical knowledge, teachers' perceptions, and student achievement. </w:t>
      </w:r>
      <w:r>
        <w:rPr>
          <w:rFonts w:ascii="David" w:eastAsia="David" w:hAnsi="David" w:cs="David"/>
          <w:i/>
          <w:sz w:val="24"/>
          <w:szCs w:val="24"/>
        </w:rPr>
        <w:t>Journal for Research in Mathematics Education, 45</w:t>
      </w:r>
      <w:r>
        <w:rPr>
          <w:rFonts w:ascii="David" w:eastAsia="David" w:hAnsi="David" w:cs="David"/>
          <w:sz w:val="24"/>
          <w:szCs w:val="24"/>
        </w:rPr>
        <w:t>(4), 419-459.</w:t>
      </w:r>
    </w:p>
    <w:p w14:paraId="345D1B48" w14:textId="77777777" w:rsidR="005B7BF6" w:rsidRDefault="00F10791">
      <w:pPr>
        <w:spacing w:after="120" w:line="360" w:lineRule="auto"/>
        <w:ind w:left="700" w:hanging="28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Cobb, P., Stephan, M., McClain, </w:t>
      </w:r>
      <w:proofErr w:type="gramStart"/>
      <w:r>
        <w:rPr>
          <w:rFonts w:ascii="David" w:eastAsia="David" w:hAnsi="David" w:cs="David"/>
          <w:sz w:val="24"/>
          <w:szCs w:val="24"/>
        </w:rPr>
        <w:t>K. ,</w:t>
      </w:r>
      <w:proofErr w:type="gramEnd"/>
      <w:r>
        <w:rPr>
          <w:rFonts w:ascii="David" w:eastAsia="David" w:hAnsi="David" w:cs="David"/>
          <w:sz w:val="24"/>
          <w:szCs w:val="24"/>
        </w:rPr>
        <w:t xml:space="preserve"> &amp; </w:t>
      </w:r>
      <w:proofErr w:type="spellStart"/>
      <w:r>
        <w:rPr>
          <w:rFonts w:ascii="David" w:eastAsia="David" w:hAnsi="David" w:cs="David"/>
          <w:sz w:val="24"/>
          <w:szCs w:val="24"/>
        </w:rPr>
        <w:t>Gravemeijer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, K. (2001). Participating in classroom mathematical practices. </w:t>
      </w:r>
      <w:r>
        <w:rPr>
          <w:rFonts w:ascii="David" w:eastAsia="David" w:hAnsi="David" w:cs="David"/>
          <w:i/>
          <w:sz w:val="24"/>
          <w:szCs w:val="24"/>
        </w:rPr>
        <w:t>The Journal of the Learning Sciences, 10</w:t>
      </w:r>
      <w:r>
        <w:rPr>
          <w:rFonts w:ascii="David" w:eastAsia="David" w:hAnsi="David" w:cs="David"/>
          <w:sz w:val="24"/>
          <w:szCs w:val="24"/>
        </w:rPr>
        <w:t>, 113-163.</w:t>
      </w:r>
    </w:p>
    <w:p w14:paraId="72EC5EB0" w14:textId="77777777" w:rsidR="005B7BF6" w:rsidRDefault="00F10791">
      <w:pPr>
        <w:spacing w:after="120" w:line="360" w:lineRule="auto"/>
        <w:ind w:left="700" w:hanging="280"/>
        <w:jc w:val="both"/>
        <w:rPr>
          <w:rFonts w:ascii="David" w:eastAsia="David" w:hAnsi="David" w:cs="David"/>
          <w:color w:val="222222"/>
          <w:sz w:val="24"/>
          <w:szCs w:val="24"/>
        </w:rPr>
      </w:pPr>
      <w:r>
        <w:rPr>
          <w:rFonts w:ascii="David" w:eastAsia="David" w:hAnsi="David" w:cs="David"/>
          <w:color w:val="222222"/>
          <w:sz w:val="24"/>
          <w:szCs w:val="24"/>
        </w:rPr>
        <w:t xml:space="preserve">Flynn, A. E., &amp; Klein, J. D. (2001). The influence of discussion groups in a case-based learning environment. </w:t>
      </w:r>
      <w:r>
        <w:rPr>
          <w:rFonts w:ascii="David" w:eastAsia="David" w:hAnsi="David" w:cs="David"/>
          <w:i/>
          <w:color w:val="222222"/>
          <w:sz w:val="24"/>
          <w:szCs w:val="24"/>
        </w:rPr>
        <w:t>Educational Technology Research and Development</w:t>
      </w:r>
      <w:r>
        <w:rPr>
          <w:rFonts w:ascii="David" w:eastAsia="David" w:hAnsi="David" w:cs="David"/>
          <w:color w:val="222222"/>
          <w:sz w:val="24"/>
          <w:szCs w:val="24"/>
        </w:rPr>
        <w:t xml:space="preserve">, </w:t>
      </w:r>
      <w:r>
        <w:rPr>
          <w:rFonts w:ascii="David" w:eastAsia="David" w:hAnsi="David" w:cs="David"/>
          <w:i/>
          <w:color w:val="222222"/>
          <w:sz w:val="24"/>
          <w:szCs w:val="24"/>
        </w:rPr>
        <w:t>49</w:t>
      </w:r>
      <w:r>
        <w:rPr>
          <w:rFonts w:ascii="David" w:eastAsia="David" w:hAnsi="David" w:cs="David"/>
          <w:color w:val="222222"/>
          <w:sz w:val="24"/>
          <w:szCs w:val="24"/>
        </w:rPr>
        <w:t>(3), 71-86.</w:t>
      </w:r>
      <w:r>
        <w:rPr>
          <w:rFonts w:ascii="David" w:eastAsia="David" w:hAnsi="David" w:cs="David"/>
          <w:color w:val="222222"/>
          <w:sz w:val="24"/>
          <w:szCs w:val="24"/>
          <w:rtl/>
        </w:rPr>
        <w:t>‏</w:t>
      </w:r>
    </w:p>
    <w:p w14:paraId="70F9755A" w14:textId="77777777" w:rsidR="005B7BF6" w:rsidRDefault="00F10791">
      <w:pPr>
        <w:spacing w:after="120" w:line="360" w:lineRule="auto"/>
        <w:ind w:left="840" w:hanging="42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Fujita, T. and Jones, K. (2006), Primary trainee teachers’ understanding of basic geometrical figures in Scotland. In, Novotná, J., </w:t>
      </w:r>
      <w:proofErr w:type="spellStart"/>
      <w:r>
        <w:rPr>
          <w:rFonts w:ascii="David" w:eastAsia="David" w:hAnsi="David" w:cs="David"/>
          <w:sz w:val="24"/>
          <w:szCs w:val="24"/>
        </w:rPr>
        <w:t>Moraová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, H., Krátká, M. and Stehlíková, N. (Eds.), </w:t>
      </w:r>
      <w:r>
        <w:rPr>
          <w:rFonts w:ascii="David" w:eastAsia="David" w:hAnsi="David" w:cs="David"/>
          <w:i/>
          <w:sz w:val="24"/>
          <w:szCs w:val="24"/>
        </w:rPr>
        <w:t>Proceedings 30th Conference of the International Group for the Psychology of Mathematics Education</w:t>
      </w:r>
      <w:r>
        <w:rPr>
          <w:rFonts w:ascii="David" w:eastAsia="David" w:hAnsi="David" w:cs="David"/>
          <w:sz w:val="24"/>
          <w:szCs w:val="24"/>
        </w:rPr>
        <w:t xml:space="preserve"> (PME30). (Vol. 3. pp. 129-136).</w:t>
      </w:r>
    </w:p>
    <w:p w14:paraId="2D1801CC" w14:textId="77777777" w:rsidR="005B7BF6" w:rsidRDefault="00F10791">
      <w:pPr>
        <w:spacing w:after="120" w:line="360" w:lineRule="auto"/>
        <w:ind w:left="840" w:hanging="420"/>
        <w:jc w:val="both"/>
        <w:rPr>
          <w:rFonts w:ascii="David" w:eastAsia="David" w:hAnsi="David" w:cs="David"/>
          <w:color w:val="222222"/>
          <w:sz w:val="24"/>
          <w:szCs w:val="24"/>
        </w:rPr>
      </w:pPr>
      <w:r>
        <w:rPr>
          <w:rFonts w:ascii="David" w:eastAsia="David" w:hAnsi="David" w:cs="David"/>
          <w:color w:val="222222"/>
          <w:sz w:val="24"/>
          <w:szCs w:val="24"/>
        </w:rPr>
        <w:t xml:space="preserve">Haj-Yahya, A. (2021). Students' conceptions of the definitions of congruent and similar triangles. </w:t>
      </w:r>
      <w:r>
        <w:rPr>
          <w:rFonts w:ascii="David" w:eastAsia="David" w:hAnsi="David" w:cs="David"/>
          <w:i/>
          <w:color w:val="222222"/>
          <w:sz w:val="24"/>
          <w:szCs w:val="24"/>
        </w:rPr>
        <w:t>International Journal of Mathematical Education in Science and Technology</w:t>
      </w:r>
      <w:r>
        <w:rPr>
          <w:rFonts w:ascii="David" w:eastAsia="David" w:hAnsi="David" w:cs="David"/>
          <w:color w:val="222222"/>
          <w:sz w:val="24"/>
          <w:szCs w:val="24"/>
        </w:rPr>
        <w:t>, 1-25.</w:t>
      </w:r>
      <w:r>
        <w:rPr>
          <w:rFonts w:ascii="David" w:eastAsia="David" w:hAnsi="David" w:cs="David"/>
          <w:color w:val="222222"/>
          <w:sz w:val="24"/>
          <w:szCs w:val="24"/>
          <w:rtl/>
        </w:rPr>
        <w:t>‏</w:t>
      </w:r>
    </w:p>
    <w:p w14:paraId="0D09AB94" w14:textId="77777777" w:rsidR="005B7BF6" w:rsidRDefault="00F10791">
      <w:pPr>
        <w:spacing w:after="120" w:line="360" w:lineRule="auto"/>
        <w:ind w:left="700" w:hanging="280"/>
        <w:jc w:val="both"/>
        <w:rPr>
          <w:rFonts w:ascii="David" w:eastAsia="David" w:hAnsi="David" w:cs="David"/>
          <w:color w:val="222222"/>
          <w:sz w:val="24"/>
          <w:szCs w:val="24"/>
        </w:rPr>
      </w:pPr>
      <w:r>
        <w:rPr>
          <w:rFonts w:ascii="David" w:eastAsia="David" w:hAnsi="David" w:cs="David"/>
          <w:color w:val="222222"/>
          <w:sz w:val="24"/>
          <w:szCs w:val="24"/>
        </w:rPr>
        <w:t xml:space="preserve">Haj-Yahya, A., Daher, W., &amp; Swidan, O. (2019). In-service teachers' conceptions of parallelogram definitions. In </w:t>
      </w:r>
      <w:r>
        <w:rPr>
          <w:rFonts w:ascii="David" w:eastAsia="David" w:hAnsi="David" w:cs="David"/>
          <w:i/>
          <w:color w:val="222222"/>
          <w:sz w:val="24"/>
          <w:szCs w:val="24"/>
        </w:rPr>
        <w:t>Eleventh Congress of the European Society for Research in Mathematics Education</w:t>
      </w:r>
      <w:r>
        <w:rPr>
          <w:rFonts w:ascii="David" w:eastAsia="David" w:hAnsi="David" w:cs="David"/>
          <w:color w:val="222222"/>
          <w:sz w:val="24"/>
          <w:szCs w:val="24"/>
        </w:rPr>
        <w:t xml:space="preserve"> (No. 12). Freudenthal Group; Freudenthal Institute; ERME.</w:t>
      </w:r>
      <w:r>
        <w:rPr>
          <w:rFonts w:ascii="David" w:eastAsia="David" w:hAnsi="David" w:cs="David"/>
          <w:color w:val="222222"/>
          <w:sz w:val="24"/>
          <w:szCs w:val="24"/>
          <w:rtl/>
        </w:rPr>
        <w:t>‏</w:t>
      </w:r>
    </w:p>
    <w:p w14:paraId="470816A5" w14:textId="77777777" w:rsidR="005B7BF6" w:rsidRDefault="00F10791">
      <w:pPr>
        <w:spacing w:after="120" w:line="360" w:lineRule="auto"/>
        <w:ind w:left="560" w:hanging="280"/>
        <w:jc w:val="both"/>
        <w:rPr>
          <w:rFonts w:ascii="David" w:eastAsia="David" w:hAnsi="David" w:cs="David"/>
          <w:color w:val="222222"/>
          <w:sz w:val="24"/>
          <w:szCs w:val="24"/>
        </w:rPr>
      </w:pPr>
      <w:r>
        <w:rPr>
          <w:rFonts w:ascii="David" w:eastAsia="David" w:hAnsi="David" w:cs="David"/>
          <w:color w:val="333333"/>
          <w:sz w:val="24"/>
          <w:szCs w:val="24"/>
          <w:shd w:val="clear" w:color="auto" w:fill="EAEAEA"/>
        </w:rPr>
        <w:t xml:space="preserve">Haj-Yahya, A., &amp; Haj-Yahya, H. A. (2024). Exploring the linguistic factors influencing concept identification. </w:t>
      </w:r>
      <w:r>
        <w:rPr>
          <w:rFonts w:ascii="David" w:eastAsia="David" w:hAnsi="David" w:cs="David"/>
          <w:i/>
          <w:color w:val="333333"/>
          <w:sz w:val="24"/>
          <w:szCs w:val="24"/>
          <w:shd w:val="clear" w:color="auto" w:fill="EAEAEA"/>
        </w:rPr>
        <w:t>Mathematical Thinking and Learning</w:t>
      </w:r>
      <w:r>
        <w:rPr>
          <w:rFonts w:ascii="David" w:eastAsia="David" w:hAnsi="David" w:cs="David"/>
          <w:color w:val="333333"/>
          <w:sz w:val="24"/>
          <w:szCs w:val="24"/>
          <w:shd w:val="clear" w:color="auto" w:fill="EAEAEA"/>
        </w:rPr>
        <w:t>, 1–26. https://doi.org/10.1080/10986065.2024.2380249</w:t>
      </w:r>
    </w:p>
    <w:p w14:paraId="1C599588" w14:textId="77777777" w:rsidR="005B7BF6" w:rsidRDefault="00F10791">
      <w:pPr>
        <w:spacing w:after="120" w:line="360" w:lineRule="auto"/>
        <w:ind w:left="560" w:hanging="280"/>
        <w:jc w:val="both"/>
        <w:rPr>
          <w:rFonts w:ascii="David" w:eastAsia="David" w:hAnsi="David" w:cs="David"/>
          <w:color w:val="222222"/>
          <w:sz w:val="24"/>
          <w:szCs w:val="24"/>
        </w:rPr>
      </w:pPr>
      <w:r>
        <w:rPr>
          <w:rFonts w:ascii="David" w:eastAsia="David" w:hAnsi="David" w:cs="David"/>
          <w:color w:val="222222"/>
          <w:sz w:val="24"/>
          <w:szCs w:val="24"/>
        </w:rPr>
        <w:t xml:space="preserve">Haj-Yahya, A., &amp; Hershkowitz, R. (2013). When visual and verbal representations meet the case of geometrical figures. In A. M. Lindmeier &amp; A. Heinze (Eds.), </w:t>
      </w:r>
      <w:r>
        <w:rPr>
          <w:rFonts w:ascii="David" w:eastAsia="David" w:hAnsi="David" w:cs="David"/>
          <w:i/>
          <w:color w:val="222222"/>
          <w:sz w:val="24"/>
          <w:szCs w:val="24"/>
        </w:rPr>
        <w:t>Proceedings of the 37</w:t>
      </w:r>
      <w:r>
        <w:rPr>
          <w:rFonts w:ascii="David" w:eastAsia="David" w:hAnsi="David" w:cs="David"/>
          <w:i/>
          <w:color w:val="222222"/>
          <w:sz w:val="40"/>
          <w:szCs w:val="40"/>
          <w:vertAlign w:val="superscript"/>
        </w:rPr>
        <w:t>th</w:t>
      </w:r>
      <w:r>
        <w:rPr>
          <w:rFonts w:ascii="David" w:eastAsia="David" w:hAnsi="David" w:cs="David"/>
          <w:i/>
          <w:color w:val="222222"/>
          <w:sz w:val="24"/>
          <w:szCs w:val="24"/>
        </w:rPr>
        <w:t xml:space="preserve"> Conference of the International Group for the Psychology of Mathematics Education</w:t>
      </w:r>
      <w:r>
        <w:rPr>
          <w:rFonts w:ascii="David" w:eastAsia="David" w:hAnsi="David" w:cs="David"/>
          <w:color w:val="222222"/>
          <w:sz w:val="24"/>
          <w:szCs w:val="24"/>
        </w:rPr>
        <w:t xml:space="preserve">, </w:t>
      </w:r>
      <w:r>
        <w:rPr>
          <w:rFonts w:ascii="David" w:eastAsia="David" w:hAnsi="David" w:cs="David"/>
          <w:i/>
          <w:color w:val="222222"/>
          <w:sz w:val="24"/>
          <w:szCs w:val="24"/>
        </w:rPr>
        <w:t>Vol. 2</w:t>
      </w:r>
      <w:r>
        <w:rPr>
          <w:rFonts w:ascii="David" w:eastAsia="David" w:hAnsi="David" w:cs="David"/>
          <w:color w:val="222222"/>
          <w:sz w:val="24"/>
          <w:szCs w:val="24"/>
        </w:rPr>
        <w:t xml:space="preserve"> (pp. 409-416). PME.</w:t>
      </w:r>
    </w:p>
    <w:p w14:paraId="33CA30DD" w14:textId="77777777" w:rsidR="005B7BF6" w:rsidRDefault="00F10791">
      <w:pPr>
        <w:spacing w:before="240" w:after="240" w:line="360" w:lineRule="auto"/>
        <w:ind w:left="840" w:hanging="420"/>
        <w:jc w:val="both"/>
        <w:rPr>
          <w:rFonts w:ascii="David" w:eastAsia="David" w:hAnsi="David" w:cs="David"/>
          <w:color w:val="222222"/>
          <w:sz w:val="24"/>
          <w:szCs w:val="24"/>
        </w:rPr>
      </w:pPr>
      <w:r>
        <w:rPr>
          <w:rFonts w:ascii="David" w:eastAsia="David" w:hAnsi="David" w:cs="David"/>
          <w:color w:val="222222"/>
          <w:sz w:val="24"/>
          <w:szCs w:val="24"/>
        </w:rPr>
        <w:lastRenderedPageBreak/>
        <w:t xml:space="preserve">Haj-Yahya, A., Hershkowitz, R., &amp; Dreyfus, T. (2022). Investigating students' geometrical proofs through the lens of </w:t>
      </w:r>
      <w:proofErr w:type="gramStart"/>
      <w:r>
        <w:rPr>
          <w:rFonts w:ascii="David" w:eastAsia="David" w:hAnsi="David" w:cs="David"/>
          <w:color w:val="222222"/>
          <w:sz w:val="24"/>
          <w:szCs w:val="24"/>
        </w:rPr>
        <w:t>students</w:t>
      </w:r>
      <w:proofErr w:type="gramEnd"/>
      <w:r>
        <w:rPr>
          <w:rFonts w:ascii="David" w:eastAsia="David" w:hAnsi="David" w:cs="David"/>
          <w:color w:val="222222"/>
          <w:sz w:val="24"/>
          <w:szCs w:val="24"/>
        </w:rPr>
        <w:t xml:space="preserve"> definitions. </w:t>
      </w:r>
      <w:r>
        <w:rPr>
          <w:rFonts w:ascii="David" w:eastAsia="David" w:hAnsi="David" w:cs="David"/>
          <w:i/>
          <w:color w:val="222222"/>
          <w:sz w:val="24"/>
          <w:szCs w:val="24"/>
        </w:rPr>
        <w:t>Mathematics Education Research Journal (MERJ)</w:t>
      </w:r>
      <w:r>
        <w:rPr>
          <w:rFonts w:ascii="David" w:eastAsia="David" w:hAnsi="David" w:cs="David"/>
          <w:color w:val="222222"/>
          <w:sz w:val="24"/>
          <w:szCs w:val="24"/>
        </w:rPr>
        <w:t>. 1-27.</w:t>
      </w:r>
    </w:p>
    <w:p w14:paraId="6EC15970" w14:textId="77777777" w:rsidR="005B7BF6" w:rsidRDefault="00F10791">
      <w:pPr>
        <w:spacing w:before="240" w:after="240" w:line="360" w:lineRule="auto"/>
        <w:ind w:left="840" w:hanging="42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color w:val="222222"/>
          <w:sz w:val="24"/>
          <w:szCs w:val="24"/>
        </w:rPr>
        <w:t xml:space="preserve"> </w:t>
      </w:r>
      <w:r>
        <w:rPr>
          <w:rFonts w:ascii="David" w:eastAsia="David" w:hAnsi="David" w:cs="David"/>
          <w:sz w:val="24"/>
          <w:szCs w:val="24"/>
        </w:rPr>
        <w:t xml:space="preserve">Herbst, P., Boileau, N., Clark, L., Milewski, A., Chieu, V. M., Gürsel, U., &amp; Chazan, D. (2017). Directing focus and enabling inquiry with representations of practice: Written cases, storyboards, and teacher education. In Galindo, E., &amp; Newton, J., (Eds.). </w:t>
      </w:r>
      <w:r>
        <w:rPr>
          <w:rFonts w:ascii="David" w:eastAsia="David" w:hAnsi="David" w:cs="David"/>
          <w:i/>
          <w:sz w:val="24"/>
          <w:szCs w:val="24"/>
        </w:rPr>
        <w:t>Proceedings of the 39th annual meeting of the international group for the psychology of mathematics education</w:t>
      </w:r>
      <w:r>
        <w:rPr>
          <w:rFonts w:ascii="David" w:eastAsia="David" w:hAnsi="David" w:cs="David"/>
          <w:sz w:val="24"/>
          <w:szCs w:val="24"/>
        </w:rPr>
        <w:t>. (</w:t>
      </w:r>
      <w:proofErr w:type="gramStart"/>
      <w:r>
        <w:rPr>
          <w:rFonts w:ascii="David" w:eastAsia="David" w:hAnsi="David" w:cs="David"/>
          <w:sz w:val="24"/>
          <w:szCs w:val="24"/>
        </w:rPr>
        <w:t>pp</w:t>
      </w:r>
      <w:proofErr w:type="gramEnd"/>
      <w:r>
        <w:rPr>
          <w:rFonts w:ascii="David" w:eastAsia="David" w:hAnsi="David" w:cs="David"/>
          <w:sz w:val="24"/>
          <w:szCs w:val="24"/>
        </w:rPr>
        <w:t>. 789-796). Indianapolis, IN: Hoosier Association of Mathematics Teacher Educators.</w:t>
      </w:r>
    </w:p>
    <w:p w14:paraId="0A90FEA6" w14:textId="77777777" w:rsidR="005B7BF6" w:rsidRDefault="00F10791">
      <w:pPr>
        <w:spacing w:after="120" w:line="360" w:lineRule="auto"/>
        <w:ind w:left="840" w:hanging="42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Hershkowitz, R. (1989). Visualization in geometry - two sides of the coin. </w:t>
      </w:r>
      <w:r>
        <w:rPr>
          <w:rFonts w:ascii="David" w:eastAsia="David" w:hAnsi="David" w:cs="David"/>
          <w:i/>
          <w:sz w:val="24"/>
          <w:szCs w:val="24"/>
        </w:rPr>
        <w:t>Focus on Learning Problems in Mathematics</w:t>
      </w:r>
      <w:r>
        <w:rPr>
          <w:rFonts w:ascii="David" w:eastAsia="David" w:hAnsi="David" w:cs="David"/>
          <w:sz w:val="24"/>
          <w:szCs w:val="24"/>
        </w:rPr>
        <w:t xml:space="preserve">, </w:t>
      </w:r>
      <w:r>
        <w:rPr>
          <w:rFonts w:ascii="David" w:eastAsia="David" w:hAnsi="David" w:cs="David"/>
          <w:i/>
          <w:sz w:val="24"/>
          <w:szCs w:val="24"/>
        </w:rPr>
        <w:t>11</w:t>
      </w:r>
      <w:r>
        <w:rPr>
          <w:rFonts w:ascii="David" w:eastAsia="David" w:hAnsi="David" w:cs="David"/>
          <w:sz w:val="24"/>
          <w:szCs w:val="24"/>
        </w:rPr>
        <w:t>(1), 61–76.</w:t>
      </w:r>
    </w:p>
    <w:p w14:paraId="7785DB93" w14:textId="77777777" w:rsidR="005B7BF6" w:rsidRDefault="00F10791">
      <w:pPr>
        <w:spacing w:after="120" w:line="360" w:lineRule="auto"/>
        <w:ind w:left="840" w:hanging="42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Hershkowitz, R. (1990). Psychological aspects of learning geometry. In P. Nesher &amp; J. Kilpatrick (Eds.), </w:t>
      </w:r>
      <w:r>
        <w:rPr>
          <w:rFonts w:ascii="David" w:eastAsia="David" w:hAnsi="David" w:cs="David"/>
          <w:i/>
          <w:sz w:val="24"/>
          <w:szCs w:val="24"/>
        </w:rPr>
        <w:t>Mathematics and cognition</w:t>
      </w:r>
      <w:r>
        <w:rPr>
          <w:rFonts w:ascii="David" w:eastAsia="David" w:hAnsi="David" w:cs="David"/>
          <w:sz w:val="24"/>
          <w:szCs w:val="24"/>
        </w:rPr>
        <w:t xml:space="preserve"> (pp. 70–95)</w:t>
      </w:r>
      <w:r>
        <w:rPr>
          <w:rFonts w:ascii="David" w:eastAsia="David" w:hAnsi="David" w:cs="David"/>
          <w:i/>
          <w:sz w:val="24"/>
          <w:szCs w:val="24"/>
        </w:rPr>
        <w:t xml:space="preserve">. </w:t>
      </w:r>
      <w:r>
        <w:rPr>
          <w:rFonts w:ascii="David" w:eastAsia="David" w:hAnsi="David" w:cs="David"/>
          <w:sz w:val="24"/>
          <w:szCs w:val="24"/>
        </w:rPr>
        <w:t>Cambridge University Press.</w:t>
      </w:r>
    </w:p>
    <w:p w14:paraId="65459C39" w14:textId="77777777" w:rsidR="005B7BF6" w:rsidRDefault="00F10791">
      <w:pPr>
        <w:spacing w:after="120" w:line="360" w:lineRule="auto"/>
        <w:ind w:left="700" w:hanging="28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Hershkowitz, R., </w:t>
      </w:r>
      <w:proofErr w:type="spellStart"/>
      <w:r>
        <w:rPr>
          <w:rFonts w:ascii="David" w:eastAsia="David" w:hAnsi="David" w:cs="David"/>
          <w:sz w:val="24"/>
          <w:szCs w:val="24"/>
        </w:rPr>
        <w:t>Tabach</w:t>
      </w:r>
      <w:proofErr w:type="spellEnd"/>
      <w:r>
        <w:rPr>
          <w:rFonts w:ascii="David" w:eastAsia="David" w:hAnsi="David" w:cs="David"/>
          <w:sz w:val="24"/>
          <w:szCs w:val="24"/>
        </w:rPr>
        <w:t>, M., &amp; Dreyfus, T. (2017). Creative reasoning and shifts of knowledge in the mathematics classroom</w:t>
      </w:r>
      <w:r>
        <w:rPr>
          <w:rFonts w:ascii="David" w:eastAsia="David" w:hAnsi="David" w:cs="David"/>
          <w:i/>
          <w:sz w:val="24"/>
          <w:szCs w:val="24"/>
        </w:rPr>
        <w:t>. ZDM: The International Journal on Mathematics Education,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rFonts w:ascii="David" w:eastAsia="David" w:hAnsi="David" w:cs="David"/>
          <w:i/>
          <w:sz w:val="24"/>
          <w:szCs w:val="24"/>
        </w:rPr>
        <w:t>49(1),</w:t>
      </w:r>
      <w:r>
        <w:rPr>
          <w:rFonts w:ascii="David" w:eastAsia="David" w:hAnsi="David" w:cs="David"/>
          <w:sz w:val="24"/>
          <w:szCs w:val="24"/>
        </w:rPr>
        <w:t xml:space="preserve"> 25–36.</w:t>
      </w:r>
    </w:p>
    <w:p w14:paraId="3A87206E" w14:textId="77777777" w:rsidR="005B7BF6" w:rsidRDefault="00F10791">
      <w:pPr>
        <w:spacing w:after="120" w:line="360" w:lineRule="auto"/>
        <w:ind w:left="700" w:hanging="28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Hill, C. H., Rowan, B; Ball, D. L. (2005). Effects of Teachers' Mathematical Knowledge for Teaching on Student Achievement. </w:t>
      </w:r>
      <w:r>
        <w:rPr>
          <w:rFonts w:ascii="David" w:eastAsia="David" w:hAnsi="David" w:cs="David"/>
          <w:i/>
          <w:sz w:val="24"/>
          <w:szCs w:val="24"/>
        </w:rPr>
        <w:t>American Educational Research Journal Summer</w:t>
      </w:r>
      <w:r>
        <w:rPr>
          <w:rFonts w:ascii="David" w:eastAsia="David" w:hAnsi="David" w:cs="David"/>
          <w:sz w:val="24"/>
          <w:szCs w:val="24"/>
        </w:rPr>
        <w:t xml:space="preserve">, </w:t>
      </w:r>
      <w:r>
        <w:rPr>
          <w:rFonts w:ascii="David" w:eastAsia="David" w:hAnsi="David" w:cs="David"/>
          <w:i/>
          <w:sz w:val="24"/>
          <w:szCs w:val="24"/>
        </w:rPr>
        <w:t>42</w:t>
      </w:r>
      <w:r>
        <w:rPr>
          <w:rFonts w:ascii="David" w:eastAsia="David" w:hAnsi="David" w:cs="David"/>
          <w:sz w:val="24"/>
          <w:szCs w:val="24"/>
        </w:rPr>
        <w:t>(2), 371-406.</w:t>
      </w:r>
    </w:p>
    <w:p w14:paraId="6CF4011D" w14:textId="77777777" w:rsidR="005B7BF6" w:rsidRDefault="00F10791">
      <w:pPr>
        <w:spacing w:after="120" w:line="360" w:lineRule="auto"/>
        <w:ind w:left="700" w:hanging="28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Jones, K., Mooney, C., &amp; Harries, T. (2002). Trainee primary teachers’ knowledge of geometry for teaching. </w:t>
      </w:r>
      <w:r>
        <w:rPr>
          <w:rFonts w:ascii="David" w:eastAsia="David" w:hAnsi="David" w:cs="David"/>
          <w:i/>
          <w:sz w:val="24"/>
          <w:szCs w:val="24"/>
        </w:rPr>
        <w:t>Proceedings of the British Society for Research into Learning Mathematics</w:t>
      </w:r>
      <w:r>
        <w:rPr>
          <w:rFonts w:ascii="David" w:eastAsia="David" w:hAnsi="David" w:cs="David"/>
          <w:sz w:val="24"/>
          <w:szCs w:val="24"/>
        </w:rPr>
        <w:t xml:space="preserve">, </w:t>
      </w:r>
      <w:r>
        <w:rPr>
          <w:rFonts w:ascii="David" w:eastAsia="David" w:hAnsi="David" w:cs="David"/>
          <w:i/>
          <w:sz w:val="24"/>
          <w:szCs w:val="24"/>
        </w:rPr>
        <w:t>22</w:t>
      </w:r>
      <w:r>
        <w:rPr>
          <w:rFonts w:ascii="David" w:eastAsia="David" w:hAnsi="David" w:cs="David"/>
          <w:sz w:val="24"/>
          <w:szCs w:val="24"/>
        </w:rPr>
        <w:t>(2), 95-100.</w:t>
      </w:r>
    </w:p>
    <w:p w14:paraId="67DB979D" w14:textId="77777777" w:rsidR="005B7BF6" w:rsidRDefault="00F10791">
      <w:pPr>
        <w:spacing w:after="120" w:line="360" w:lineRule="auto"/>
        <w:ind w:left="700" w:hanging="28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Koçak, M., </w:t>
      </w:r>
      <w:proofErr w:type="spellStart"/>
      <w:r>
        <w:rPr>
          <w:rFonts w:ascii="David" w:eastAsia="David" w:hAnsi="David" w:cs="David"/>
          <w:sz w:val="24"/>
          <w:szCs w:val="24"/>
        </w:rPr>
        <w:t>Gökkurt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, B., &amp; Soylu, Y. (2017). An </w:t>
      </w:r>
      <w:proofErr w:type="gramStart"/>
      <w:r>
        <w:rPr>
          <w:rFonts w:ascii="David" w:eastAsia="David" w:hAnsi="David" w:cs="David"/>
          <w:sz w:val="24"/>
          <w:szCs w:val="24"/>
        </w:rPr>
        <w:t>Investigation</w:t>
      </w:r>
      <w:proofErr w:type="gramEnd"/>
      <w:r>
        <w:rPr>
          <w:rFonts w:ascii="David" w:eastAsia="David" w:hAnsi="David" w:cs="David"/>
          <w:sz w:val="24"/>
          <w:szCs w:val="24"/>
        </w:rPr>
        <w:t xml:space="preserve"> the Pedagogical Content Knowledge of Pre-Service Elementary Mathematics </w:t>
      </w:r>
      <w:proofErr w:type="gramStart"/>
      <w:r>
        <w:rPr>
          <w:rFonts w:ascii="David" w:eastAsia="David" w:hAnsi="David" w:cs="David"/>
          <w:sz w:val="24"/>
          <w:szCs w:val="24"/>
        </w:rPr>
        <w:t>Teachers’</w:t>
      </w:r>
      <w:proofErr w:type="gramEnd"/>
      <w:r>
        <w:rPr>
          <w:rFonts w:ascii="David" w:eastAsia="David" w:hAnsi="David" w:cs="David"/>
          <w:sz w:val="24"/>
          <w:szCs w:val="24"/>
        </w:rPr>
        <w:t xml:space="preserve"> about the Concept of Cylinder. </w:t>
      </w:r>
      <w:proofErr w:type="spellStart"/>
      <w:r>
        <w:rPr>
          <w:rFonts w:ascii="David" w:eastAsia="David" w:hAnsi="David" w:cs="David"/>
          <w:sz w:val="24"/>
          <w:szCs w:val="24"/>
        </w:rPr>
        <w:t>Cukurova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 University </w:t>
      </w:r>
      <w:r>
        <w:rPr>
          <w:rFonts w:ascii="David" w:eastAsia="David" w:hAnsi="David" w:cs="David"/>
          <w:i/>
          <w:sz w:val="24"/>
          <w:szCs w:val="24"/>
        </w:rPr>
        <w:t>Faculty of Education Journal, 46</w:t>
      </w:r>
      <w:r>
        <w:rPr>
          <w:rFonts w:ascii="David" w:eastAsia="David" w:hAnsi="David" w:cs="David"/>
          <w:sz w:val="24"/>
          <w:szCs w:val="24"/>
        </w:rPr>
        <w:t>(2), 711-765.</w:t>
      </w:r>
    </w:p>
    <w:p w14:paraId="6E545965" w14:textId="77777777" w:rsidR="005B7BF6" w:rsidRDefault="00F10791">
      <w:pPr>
        <w:spacing w:after="120" w:line="360" w:lineRule="auto"/>
        <w:ind w:left="700" w:hanging="28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Mammarella, I. C., </w:t>
      </w:r>
      <w:proofErr w:type="spellStart"/>
      <w:r>
        <w:rPr>
          <w:rFonts w:ascii="David" w:eastAsia="David" w:hAnsi="David" w:cs="David"/>
          <w:sz w:val="24"/>
          <w:szCs w:val="24"/>
        </w:rPr>
        <w:t>Caviola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, S., </w:t>
      </w:r>
      <w:proofErr w:type="spellStart"/>
      <w:r>
        <w:rPr>
          <w:rFonts w:ascii="David" w:eastAsia="David" w:hAnsi="David" w:cs="David"/>
          <w:sz w:val="24"/>
          <w:szCs w:val="24"/>
        </w:rPr>
        <w:t>Giofrè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, D., &amp; Borella, E. (2017). Separating math from anxiety: The role of inhibitory mechanisms. </w:t>
      </w:r>
      <w:r>
        <w:rPr>
          <w:rFonts w:ascii="David" w:eastAsia="David" w:hAnsi="David" w:cs="David"/>
          <w:i/>
          <w:sz w:val="24"/>
          <w:szCs w:val="24"/>
        </w:rPr>
        <w:t xml:space="preserve">Applied Neuropsychology: Child. </w:t>
      </w:r>
      <w:r>
        <w:rPr>
          <w:i/>
          <w:color w:val="222222"/>
          <w:sz w:val="20"/>
          <w:szCs w:val="20"/>
          <w:highlight w:val="white"/>
        </w:rPr>
        <w:t>7</w:t>
      </w:r>
      <w:r>
        <w:rPr>
          <w:color w:val="222222"/>
          <w:sz w:val="20"/>
          <w:szCs w:val="20"/>
          <w:highlight w:val="white"/>
        </w:rPr>
        <w:t xml:space="preserve">(4), 342-353 </w:t>
      </w:r>
      <w:r>
        <w:rPr>
          <w:rFonts w:ascii="David" w:eastAsia="David" w:hAnsi="David" w:cs="David"/>
          <w:sz w:val="24"/>
          <w:szCs w:val="24"/>
        </w:rPr>
        <w:t>doi:10.1080/21622965.2017.1341836.</w:t>
      </w:r>
    </w:p>
    <w:p w14:paraId="34F65F18" w14:textId="77777777" w:rsidR="005B7BF6" w:rsidRDefault="00F10791">
      <w:pPr>
        <w:spacing w:after="120" w:line="360" w:lineRule="auto"/>
        <w:ind w:left="840" w:hanging="420"/>
        <w:jc w:val="both"/>
        <w:rPr>
          <w:rFonts w:ascii="David" w:eastAsia="David" w:hAnsi="David" w:cs="David"/>
          <w:sz w:val="24"/>
          <w:szCs w:val="24"/>
        </w:rPr>
      </w:pPr>
      <w:proofErr w:type="spellStart"/>
      <w:r>
        <w:rPr>
          <w:rFonts w:ascii="David" w:eastAsia="David" w:hAnsi="David" w:cs="David"/>
          <w:sz w:val="24"/>
          <w:szCs w:val="24"/>
        </w:rPr>
        <w:t>Marchis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, I. (2012). Preservice primary school teachers' elementary geometry knowledge. </w:t>
      </w:r>
      <w:r>
        <w:rPr>
          <w:rFonts w:ascii="David" w:eastAsia="David" w:hAnsi="David" w:cs="David"/>
          <w:i/>
          <w:sz w:val="24"/>
          <w:szCs w:val="24"/>
        </w:rPr>
        <w:t xml:space="preserve">Acta </w:t>
      </w:r>
      <w:proofErr w:type="spellStart"/>
      <w:r>
        <w:rPr>
          <w:rFonts w:ascii="David" w:eastAsia="David" w:hAnsi="David" w:cs="David"/>
          <w:i/>
          <w:sz w:val="24"/>
          <w:szCs w:val="24"/>
        </w:rPr>
        <w:t>Didactica</w:t>
      </w:r>
      <w:proofErr w:type="spellEnd"/>
      <w:r>
        <w:rPr>
          <w:rFonts w:ascii="David" w:eastAsia="David" w:hAnsi="David" w:cs="David"/>
          <w:i/>
          <w:sz w:val="24"/>
          <w:szCs w:val="24"/>
        </w:rPr>
        <w:t xml:space="preserve"> </w:t>
      </w:r>
      <w:proofErr w:type="spellStart"/>
      <w:r>
        <w:rPr>
          <w:rFonts w:ascii="David" w:eastAsia="David" w:hAnsi="David" w:cs="David"/>
          <w:i/>
          <w:sz w:val="24"/>
          <w:szCs w:val="24"/>
        </w:rPr>
        <w:t>Napocensia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, </w:t>
      </w:r>
      <w:r>
        <w:rPr>
          <w:rFonts w:ascii="David" w:eastAsia="David" w:hAnsi="David" w:cs="David"/>
          <w:i/>
          <w:sz w:val="24"/>
          <w:szCs w:val="24"/>
        </w:rPr>
        <w:t>5</w:t>
      </w:r>
      <w:r>
        <w:rPr>
          <w:rFonts w:ascii="David" w:eastAsia="David" w:hAnsi="David" w:cs="David"/>
          <w:sz w:val="24"/>
          <w:szCs w:val="24"/>
        </w:rPr>
        <w:t>(2), 33-40.</w:t>
      </w:r>
      <w:r>
        <w:rPr>
          <w:rFonts w:ascii="David" w:eastAsia="David" w:hAnsi="David" w:cs="David"/>
          <w:sz w:val="24"/>
          <w:szCs w:val="24"/>
          <w:rtl/>
        </w:rPr>
        <w:t>‏</w:t>
      </w:r>
    </w:p>
    <w:p w14:paraId="6AAAE8AB" w14:textId="77777777" w:rsidR="005B7BF6" w:rsidRDefault="00F10791">
      <w:pPr>
        <w:spacing w:after="120" w:line="360" w:lineRule="auto"/>
        <w:ind w:left="840" w:hanging="42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Markovits, Z., &amp; Even, R. (1999). The decimal point situation: A close look at the use of mathematics-classroom-situations in teacher education. </w:t>
      </w:r>
      <w:r>
        <w:rPr>
          <w:rFonts w:ascii="David" w:eastAsia="David" w:hAnsi="David" w:cs="David"/>
          <w:i/>
          <w:sz w:val="24"/>
          <w:szCs w:val="24"/>
        </w:rPr>
        <w:t>Teaching and Teacher Education, 15</w:t>
      </w:r>
      <w:r>
        <w:rPr>
          <w:rFonts w:ascii="David" w:eastAsia="David" w:hAnsi="David" w:cs="David"/>
          <w:sz w:val="24"/>
          <w:szCs w:val="24"/>
        </w:rPr>
        <w:t>(6), 653–665.</w:t>
      </w:r>
      <w:r>
        <w:rPr>
          <w:rFonts w:ascii="David" w:eastAsia="David" w:hAnsi="David" w:cs="David"/>
          <w:sz w:val="24"/>
          <w:szCs w:val="24"/>
          <w:rtl/>
        </w:rPr>
        <w:t>‏</w:t>
      </w:r>
      <w:r>
        <w:rPr>
          <w:rFonts w:ascii="David" w:eastAsia="David" w:hAnsi="David" w:cs="David"/>
          <w:sz w:val="24"/>
          <w:szCs w:val="24"/>
        </w:rPr>
        <w:t xml:space="preserve"> </w:t>
      </w:r>
      <w:hyperlink r:id="rId28">
        <w:r>
          <w:rPr>
            <w:rFonts w:ascii="David" w:eastAsia="David" w:hAnsi="David" w:cs="David"/>
            <w:color w:val="1155CC"/>
            <w:sz w:val="24"/>
            <w:szCs w:val="24"/>
            <w:u w:val="single"/>
          </w:rPr>
          <w:t>https://doi.org/10.1016/S0742-051X(99)00020-7</w:t>
        </w:r>
      </w:hyperlink>
    </w:p>
    <w:p w14:paraId="39ACD6DE" w14:textId="77777777" w:rsidR="005B7BF6" w:rsidRDefault="00F10791">
      <w:pPr>
        <w:spacing w:after="120" w:line="360" w:lineRule="auto"/>
        <w:ind w:left="840" w:hanging="42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Markovits, Z., &amp; Smith, M. S. (2008). Cases as tools in mathematics teacher education. In D. Tirosh &amp; T. Wood (Eds.), </w:t>
      </w:r>
      <w:r>
        <w:rPr>
          <w:rFonts w:ascii="David" w:eastAsia="David" w:hAnsi="David" w:cs="David"/>
          <w:i/>
          <w:sz w:val="24"/>
          <w:szCs w:val="24"/>
        </w:rPr>
        <w:t xml:space="preserve">The International Handbook of Mathematics Teacher </w:t>
      </w:r>
      <w:r>
        <w:rPr>
          <w:rFonts w:ascii="David" w:eastAsia="David" w:hAnsi="David" w:cs="David"/>
          <w:i/>
          <w:sz w:val="24"/>
          <w:szCs w:val="24"/>
        </w:rPr>
        <w:lastRenderedPageBreak/>
        <w:t>Education: Tools and Processes in Mathematics Education.</w:t>
      </w:r>
      <w:r>
        <w:rPr>
          <w:rFonts w:ascii="David" w:eastAsia="David" w:hAnsi="David" w:cs="David"/>
          <w:sz w:val="24"/>
          <w:szCs w:val="24"/>
        </w:rPr>
        <w:t xml:space="preserve"> Vol. 2, (pp. 39–64). Sense Publishers.</w:t>
      </w:r>
    </w:p>
    <w:p w14:paraId="36BBC7F5" w14:textId="77777777" w:rsidR="005B7BF6" w:rsidRDefault="00F10791">
      <w:pPr>
        <w:spacing w:after="120" w:line="360" w:lineRule="auto"/>
        <w:ind w:left="840" w:hanging="42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National Council of Teachers of Mathematics (NCTM). Principles and Standards for School Mathematics. Reston, VA.: NCTM, 2000.</w:t>
      </w:r>
    </w:p>
    <w:p w14:paraId="5CF2DC84" w14:textId="77777777" w:rsidR="005B7BF6" w:rsidRDefault="00F10791">
      <w:pPr>
        <w:spacing w:after="120" w:line="360" w:lineRule="auto"/>
        <w:ind w:left="840" w:hanging="42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Okazaki, M. (2013). Identifying situations for fifth graders to construct definitions as conditions for determining geometric figures. In A. M. Lindmeier &amp; A. Heinze (Eds.), </w:t>
      </w:r>
      <w:r>
        <w:rPr>
          <w:rFonts w:ascii="David" w:eastAsia="David" w:hAnsi="David" w:cs="David"/>
          <w:i/>
          <w:sz w:val="24"/>
          <w:szCs w:val="24"/>
        </w:rPr>
        <w:t>Proceedings of the 37th conference of the international group for the psychology of mathematics education,</w:t>
      </w:r>
      <w:r>
        <w:rPr>
          <w:rFonts w:ascii="David" w:eastAsia="David" w:hAnsi="David" w:cs="David"/>
          <w:sz w:val="24"/>
          <w:szCs w:val="24"/>
        </w:rPr>
        <w:t xml:space="preserve"> Vol. 3, (pp. 409–416). PME.</w:t>
      </w:r>
    </w:p>
    <w:p w14:paraId="6C029DF9" w14:textId="77777777" w:rsidR="005B7BF6" w:rsidRDefault="00F10791">
      <w:pPr>
        <w:spacing w:after="120" w:line="360" w:lineRule="auto"/>
        <w:ind w:left="560" w:hanging="28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Okazaki, M., &amp; Fujita, T. (2007). Prototype phenomena and common cognitive paths in the understanding of the inclusion relations between quadrilaterals in Japan and Scotland. In J. H. Woo, H. C. Lew, K. S. Park &amp; D. Y. Seo (Eds.), </w:t>
      </w:r>
      <w:r>
        <w:rPr>
          <w:rFonts w:ascii="David" w:eastAsia="David" w:hAnsi="David" w:cs="David"/>
          <w:i/>
          <w:sz w:val="24"/>
          <w:szCs w:val="24"/>
        </w:rPr>
        <w:t xml:space="preserve">Proceedings of </w:t>
      </w:r>
      <w:proofErr w:type="gramStart"/>
      <w:r>
        <w:rPr>
          <w:rFonts w:ascii="David" w:eastAsia="David" w:hAnsi="David" w:cs="David"/>
          <w:i/>
          <w:sz w:val="24"/>
          <w:szCs w:val="24"/>
        </w:rPr>
        <w:t>the  Conference</w:t>
      </w:r>
      <w:proofErr w:type="gramEnd"/>
      <w:r>
        <w:rPr>
          <w:rFonts w:ascii="David" w:eastAsia="David" w:hAnsi="David" w:cs="David"/>
          <w:i/>
          <w:sz w:val="24"/>
          <w:szCs w:val="24"/>
        </w:rPr>
        <w:t xml:space="preserve"> of the International Group for the Psychology of Mathematics Education,</w:t>
      </w:r>
      <w:r>
        <w:rPr>
          <w:rFonts w:ascii="David" w:eastAsia="David" w:hAnsi="David" w:cs="David"/>
          <w:sz w:val="24"/>
          <w:szCs w:val="24"/>
        </w:rPr>
        <w:t xml:space="preserve"> Vol. 4, </w:t>
      </w:r>
      <w:proofErr w:type="gramStart"/>
      <w:r>
        <w:rPr>
          <w:rFonts w:ascii="David" w:eastAsia="David" w:hAnsi="David" w:cs="David"/>
          <w:sz w:val="24"/>
          <w:szCs w:val="24"/>
        </w:rPr>
        <w:t>( pp.</w:t>
      </w:r>
      <w:proofErr w:type="gramEnd"/>
      <w:r>
        <w:rPr>
          <w:rFonts w:ascii="David" w:eastAsia="David" w:hAnsi="David" w:cs="David"/>
          <w:sz w:val="24"/>
          <w:szCs w:val="24"/>
        </w:rPr>
        <w:t xml:space="preserve"> 8-41). PME.</w:t>
      </w:r>
    </w:p>
    <w:p w14:paraId="3B735A7C" w14:textId="77777777" w:rsidR="005B7BF6" w:rsidRDefault="00F10791">
      <w:pPr>
        <w:spacing w:after="120" w:line="360" w:lineRule="auto"/>
        <w:ind w:left="700" w:hanging="280"/>
        <w:jc w:val="both"/>
        <w:rPr>
          <w:rFonts w:ascii="David" w:eastAsia="David" w:hAnsi="David" w:cs="David"/>
          <w:sz w:val="24"/>
          <w:szCs w:val="24"/>
        </w:rPr>
      </w:pPr>
      <w:proofErr w:type="spellStart"/>
      <w:r>
        <w:rPr>
          <w:rFonts w:ascii="David" w:eastAsia="David" w:hAnsi="David" w:cs="David"/>
          <w:sz w:val="24"/>
          <w:szCs w:val="24"/>
        </w:rPr>
        <w:t>Pavlovičová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, G., </w:t>
      </w:r>
      <w:proofErr w:type="spellStart"/>
      <w:r>
        <w:rPr>
          <w:rFonts w:ascii="David" w:eastAsia="David" w:hAnsi="David" w:cs="David"/>
          <w:sz w:val="24"/>
          <w:szCs w:val="24"/>
        </w:rPr>
        <w:t>Bočková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, V., &amp; </w:t>
      </w:r>
      <w:proofErr w:type="spellStart"/>
      <w:r>
        <w:rPr>
          <w:rFonts w:ascii="David" w:eastAsia="David" w:hAnsi="David" w:cs="David"/>
          <w:sz w:val="24"/>
          <w:szCs w:val="24"/>
        </w:rPr>
        <w:t>Laššová</w:t>
      </w:r>
      <w:proofErr w:type="spellEnd"/>
      <w:r>
        <w:rPr>
          <w:rFonts w:ascii="David" w:eastAsia="David" w:hAnsi="David" w:cs="David"/>
          <w:sz w:val="24"/>
          <w:szCs w:val="24"/>
        </w:rPr>
        <w:t>, K. (2022). Spatial Ability and Geometric Thinking of the Students of Teacher Training for Primary Education.</w:t>
      </w:r>
      <w:r>
        <w:rPr>
          <w:color w:val="222222"/>
          <w:sz w:val="20"/>
          <w:szCs w:val="20"/>
          <w:highlight w:val="white"/>
        </w:rPr>
        <w:t xml:space="preserve"> </w:t>
      </w:r>
      <w:r>
        <w:rPr>
          <w:i/>
          <w:color w:val="222222"/>
          <w:sz w:val="20"/>
          <w:szCs w:val="20"/>
          <w:highlight w:val="white"/>
        </w:rPr>
        <w:t>TEM Journal</w:t>
      </w:r>
      <w:r>
        <w:rPr>
          <w:color w:val="222222"/>
          <w:sz w:val="20"/>
          <w:szCs w:val="20"/>
          <w:highlight w:val="white"/>
        </w:rPr>
        <w:t xml:space="preserve">, </w:t>
      </w:r>
      <w:r>
        <w:rPr>
          <w:i/>
          <w:color w:val="222222"/>
          <w:sz w:val="20"/>
          <w:szCs w:val="20"/>
          <w:highlight w:val="white"/>
        </w:rPr>
        <w:t>11</w:t>
      </w:r>
      <w:r>
        <w:rPr>
          <w:color w:val="222222"/>
          <w:sz w:val="20"/>
          <w:szCs w:val="20"/>
          <w:highlight w:val="white"/>
        </w:rPr>
        <w:t>(1), 388.</w:t>
      </w:r>
    </w:p>
    <w:p w14:paraId="536318CB" w14:textId="77777777" w:rsidR="005B7BF6" w:rsidRDefault="00F10791">
      <w:pPr>
        <w:spacing w:after="120" w:line="360" w:lineRule="auto"/>
        <w:ind w:left="700" w:hanging="28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Peterson, P. L., Fennema, E., Carpenter, T., &amp; Loef, </w:t>
      </w:r>
      <w:proofErr w:type="gramStart"/>
      <w:r>
        <w:rPr>
          <w:rFonts w:ascii="David" w:eastAsia="David" w:hAnsi="David" w:cs="David"/>
          <w:sz w:val="24"/>
          <w:szCs w:val="24"/>
        </w:rPr>
        <w:t>M.(</w:t>
      </w:r>
      <w:proofErr w:type="gramEnd"/>
      <w:r>
        <w:rPr>
          <w:rFonts w:ascii="David" w:eastAsia="David" w:hAnsi="David" w:cs="David"/>
          <w:sz w:val="24"/>
          <w:szCs w:val="24"/>
        </w:rPr>
        <w:t xml:space="preserve">1989). Teachers’ pedagogical content beliefs in mathematics. </w:t>
      </w:r>
      <w:r>
        <w:rPr>
          <w:rFonts w:ascii="David" w:eastAsia="David" w:hAnsi="David" w:cs="David"/>
          <w:i/>
          <w:sz w:val="24"/>
          <w:szCs w:val="24"/>
        </w:rPr>
        <w:t xml:space="preserve">Cognition and Instruction, 6, </w:t>
      </w:r>
      <w:r>
        <w:rPr>
          <w:rFonts w:ascii="David" w:eastAsia="David" w:hAnsi="David" w:cs="David"/>
          <w:sz w:val="24"/>
          <w:szCs w:val="24"/>
        </w:rPr>
        <w:t>1-40.</w:t>
      </w:r>
    </w:p>
    <w:p w14:paraId="1BBB041B" w14:textId="77777777" w:rsidR="005B7BF6" w:rsidRDefault="00F10791">
      <w:pPr>
        <w:spacing w:before="240" w:after="240" w:line="360" w:lineRule="auto"/>
        <w:ind w:left="840" w:hanging="42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Pickreign, J. (2007). Rectangles and rhombi: how well do pre-service teachers know them? </w:t>
      </w:r>
      <w:r>
        <w:rPr>
          <w:rFonts w:ascii="David" w:eastAsia="David" w:hAnsi="David" w:cs="David"/>
          <w:i/>
          <w:sz w:val="24"/>
          <w:szCs w:val="24"/>
        </w:rPr>
        <w:t>Issues in the Undergraduate Mathematics Preparation of School Teachers</w:t>
      </w:r>
      <w:r>
        <w:rPr>
          <w:rFonts w:ascii="David" w:eastAsia="David" w:hAnsi="David" w:cs="David"/>
          <w:sz w:val="24"/>
          <w:szCs w:val="24"/>
        </w:rPr>
        <w:t xml:space="preserve">, </w:t>
      </w:r>
      <w:r>
        <w:rPr>
          <w:rFonts w:ascii="David" w:eastAsia="David" w:hAnsi="David" w:cs="David"/>
          <w:i/>
          <w:sz w:val="24"/>
          <w:szCs w:val="24"/>
        </w:rPr>
        <w:t>1,</w:t>
      </w:r>
      <w:r>
        <w:rPr>
          <w:rFonts w:ascii="David" w:eastAsia="David" w:hAnsi="David" w:cs="David"/>
          <w:sz w:val="24"/>
          <w:szCs w:val="24"/>
        </w:rPr>
        <w:t xml:space="preserve"> 1-7.</w:t>
      </w:r>
    </w:p>
    <w:p w14:paraId="709949E9" w14:textId="77777777" w:rsidR="005B7BF6" w:rsidRDefault="00F10791">
      <w:pPr>
        <w:spacing w:after="120" w:line="360" w:lineRule="auto"/>
        <w:ind w:left="700" w:hanging="28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Rasmussen, C., &amp; Stephan, M. (2008). A methodology for documenting collective activity. In A. E. Kelly, R. A. Lesh, &amp; J. Y. Baek (Eds.), </w:t>
      </w:r>
      <w:r>
        <w:rPr>
          <w:rFonts w:ascii="David" w:eastAsia="David" w:hAnsi="David" w:cs="David"/>
          <w:i/>
          <w:sz w:val="24"/>
          <w:szCs w:val="24"/>
        </w:rPr>
        <w:t xml:space="preserve">Handbook of innovative design research in science, technology, engineering, mathematics </w:t>
      </w:r>
      <w:r>
        <w:rPr>
          <w:rFonts w:ascii="David" w:eastAsia="David" w:hAnsi="David" w:cs="David"/>
          <w:sz w:val="24"/>
          <w:szCs w:val="24"/>
        </w:rPr>
        <w:t>(STEM) education,195-215. Taylor and Francis.</w:t>
      </w:r>
    </w:p>
    <w:p w14:paraId="43B56223" w14:textId="77777777" w:rsidR="005B7BF6" w:rsidRDefault="00F10791">
      <w:pPr>
        <w:spacing w:after="120" w:line="360" w:lineRule="auto"/>
        <w:ind w:left="700" w:hanging="280"/>
        <w:jc w:val="both"/>
        <w:rPr>
          <w:rFonts w:ascii="David" w:eastAsia="David" w:hAnsi="David" w:cs="David"/>
          <w:i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Rasmussen, C., Wawro, M., &amp; </w:t>
      </w:r>
      <w:proofErr w:type="spellStart"/>
      <w:r>
        <w:rPr>
          <w:rFonts w:ascii="David" w:eastAsia="David" w:hAnsi="David" w:cs="David"/>
          <w:sz w:val="24"/>
          <w:szCs w:val="24"/>
        </w:rPr>
        <w:t>Zandieh</w:t>
      </w:r>
      <w:proofErr w:type="spellEnd"/>
      <w:r>
        <w:rPr>
          <w:rFonts w:ascii="David" w:eastAsia="David" w:hAnsi="David" w:cs="David"/>
          <w:sz w:val="24"/>
          <w:szCs w:val="24"/>
        </w:rPr>
        <w:t>, M. (2015). Examining individual and collective level mathematical progress.</w:t>
      </w:r>
      <w:r>
        <w:rPr>
          <w:rFonts w:ascii="David" w:eastAsia="David" w:hAnsi="David" w:cs="David"/>
          <w:i/>
          <w:sz w:val="24"/>
          <w:szCs w:val="24"/>
        </w:rPr>
        <w:t xml:space="preserve"> Educational Studies in Mathematics, 88</w:t>
      </w:r>
      <w:r>
        <w:rPr>
          <w:rFonts w:ascii="David" w:eastAsia="David" w:hAnsi="David" w:cs="David"/>
          <w:sz w:val="24"/>
          <w:szCs w:val="24"/>
        </w:rPr>
        <w:t>(2), 259-281.</w:t>
      </w:r>
      <w:r>
        <w:rPr>
          <w:rFonts w:ascii="David" w:eastAsia="David" w:hAnsi="David" w:cs="David"/>
          <w:i/>
          <w:iCs/>
          <w:sz w:val="24"/>
          <w:szCs w:val="24"/>
          <w:rtl/>
        </w:rPr>
        <w:t>‏</w:t>
      </w:r>
    </w:p>
    <w:p w14:paraId="2082A12C" w14:textId="77777777" w:rsidR="005B7BF6" w:rsidRDefault="00F10791">
      <w:pPr>
        <w:spacing w:before="240" w:after="240" w:line="360" w:lineRule="auto"/>
        <w:ind w:left="840" w:hanging="42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Shahbari, J. A. (2017). Mathematical and pedagogical knowledge amongst first- and second-grade in-service and pre-service mathematics teachers. </w:t>
      </w:r>
      <w:r>
        <w:rPr>
          <w:rFonts w:ascii="David" w:eastAsia="David" w:hAnsi="David" w:cs="David"/>
          <w:i/>
          <w:sz w:val="24"/>
          <w:szCs w:val="24"/>
        </w:rPr>
        <w:t>International Journal for Mathematics Teaching and Learning</w:t>
      </w:r>
      <w:r>
        <w:rPr>
          <w:rFonts w:ascii="David" w:eastAsia="David" w:hAnsi="David" w:cs="David"/>
          <w:sz w:val="24"/>
          <w:szCs w:val="24"/>
        </w:rPr>
        <w:t xml:space="preserve">, </w:t>
      </w:r>
      <w:r>
        <w:rPr>
          <w:rFonts w:ascii="David" w:eastAsia="David" w:hAnsi="David" w:cs="David"/>
          <w:i/>
          <w:sz w:val="24"/>
          <w:szCs w:val="24"/>
        </w:rPr>
        <w:t>18</w:t>
      </w:r>
      <w:r>
        <w:rPr>
          <w:rFonts w:ascii="David" w:eastAsia="David" w:hAnsi="David" w:cs="David"/>
          <w:sz w:val="24"/>
          <w:szCs w:val="24"/>
        </w:rPr>
        <w:t>(1), 41-65.</w:t>
      </w:r>
    </w:p>
    <w:p w14:paraId="4E6DE143" w14:textId="77777777" w:rsidR="005B7BF6" w:rsidRDefault="00F10791">
      <w:pPr>
        <w:spacing w:before="240" w:after="240" w:line="360" w:lineRule="auto"/>
        <w:ind w:left="840" w:hanging="42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Sharyn, L. &amp; Colleen, V. (2011). First year pre-service teachers' mathematical content knowledge: methods of solution for a ratio question. </w:t>
      </w:r>
      <w:r>
        <w:rPr>
          <w:rFonts w:ascii="David" w:eastAsia="David" w:hAnsi="David" w:cs="David"/>
          <w:i/>
          <w:sz w:val="24"/>
          <w:szCs w:val="24"/>
        </w:rPr>
        <w:t>Mathematics Teacher Education and Development, 13</w:t>
      </w:r>
      <w:r>
        <w:rPr>
          <w:rFonts w:ascii="David" w:eastAsia="David" w:hAnsi="David" w:cs="David"/>
          <w:sz w:val="24"/>
          <w:szCs w:val="24"/>
        </w:rPr>
        <w:t>(2), 22-43.</w:t>
      </w:r>
    </w:p>
    <w:p w14:paraId="68679DBB" w14:textId="77777777" w:rsidR="005B7BF6" w:rsidRDefault="00F10791">
      <w:pPr>
        <w:spacing w:after="120" w:line="360" w:lineRule="auto"/>
        <w:ind w:left="840" w:hanging="42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lastRenderedPageBreak/>
        <w:t xml:space="preserve">Shrestha, R. (2022). </w:t>
      </w:r>
      <w:proofErr w:type="spellStart"/>
      <w:r>
        <w:rPr>
          <w:rFonts w:ascii="David" w:eastAsia="David" w:hAnsi="David" w:cs="David"/>
          <w:sz w:val="24"/>
          <w:szCs w:val="24"/>
        </w:rPr>
        <w:t>Teachersʼ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 Content Knowledge and Pedagogical Content Knowledge for Teaching: As Preconditions to Develop </w:t>
      </w:r>
      <w:proofErr w:type="spellStart"/>
      <w:r>
        <w:rPr>
          <w:rFonts w:ascii="David" w:eastAsia="David" w:hAnsi="David" w:cs="David"/>
          <w:sz w:val="24"/>
          <w:szCs w:val="24"/>
        </w:rPr>
        <w:t>Studentsʼ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 Mathematical Thinking at Grade 1-3 in Nepal. </w:t>
      </w:r>
      <w:r>
        <w:rPr>
          <w:rFonts w:ascii="David" w:eastAsia="David" w:hAnsi="David" w:cs="David"/>
          <w:i/>
          <w:sz w:val="24"/>
          <w:szCs w:val="24"/>
        </w:rPr>
        <w:t>NUE Journal of International Educational Cooperation, 15</w:t>
      </w:r>
      <w:r>
        <w:rPr>
          <w:rFonts w:ascii="David" w:eastAsia="David" w:hAnsi="David" w:cs="David"/>
          <w:sz w:val="24"/>
          <w:szCs w:val="24"/>
        </w:rPr>
        <w:t>, 123-132.</w:t>
      </w:r>
    </w:p>
    <w:p w14:paraId="6A1AF954" w14:textId="77777777" w:rsidR="005B7BF6" w:rsidRDefault="00F10791">
      <w:pPr>
        <w:spacing w:before="240" w:after="240" w:line="360" w:lineRule="auto"/>
        <w:ind w:left="840" w:hanging="42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Shulman, L. (1992). Towards a pedagogy of cases. In J. Shulman (ed.), </w:t>
      </w:r>
      <w:r>
        <w:rPr>
          <w:rFonts w:ascii="David" w:eastAsia="David" w:hAnsi="David" w:cs="David"/>
          <w:i/>
          <w:sz w:val="24"/>
          <w:szCs w:val="24"/>
        </w:rPr>
        <w:t>Case Methods and Teacher Education</w:t>
      </w:r>
      <w:r>
        <w:rPr>
          <w:rFonts w:ascii="David" w:eastAsia="David" w:hAnsi="David" w:cs="David"/>
          <w:sz w:val="24"/>
          <w:szCs w:val="24"/>
        </w:rPr>
        <w:t xml:space="preserve"> (pp. 1-30). Teachers College Press.</w:t>
      </w:r>
    </w:p>
    <w:p w14:paraId="27DC0906" w14:textId="77777777" w:rsidR="005B7BF6" w:rsidRDefault="00F10791">
      <w:pPr>
        <w:spacing w:before="240" w:after="240" w:line="360" w:lineRule="auto"/>
        <w:ind w:left="840" w:hanging="42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Stephan, M., &amp; Rasmussen, C. (2002). </w:t>
      </w:r>
      <w:proofErr w:type="gramStart"/>
      <w:r>
        <w:rPr>
          <w:rFonts w:ascii="David" w:eastAsia="David" w:hAnsi="David" w:cs="David"/>
          <w:sz w:val="24"/>
          <w:szCs w:val="24"/>
        </w:rPr>
        <w:t>Classroom mathematical</w:t>
      </w:r>
      <w:proofErr w:type="gramEnd"/>
      <w:r>
        <w:rPr>
          <w:rFonts w:ascii="David" w:eastAsia="David" w:hAnsi="David" w:cs="David"/>
          <w:sz w:val="24"/>
          <w:szCs w:val="24"/>
        </w:rPr>
        <w:t xml:space="preserve"> practices in differential equations. </w:t>
      </w:r>
      <w:r>
        <w:rPr>
          <w:rFonts w:ascii="David" w:eastAsia="David" w:hAnsi="David" w:cs="David"/>
          <w:i/>
          <w:sz w:val="24"/>
          <w:szCs w:val="24"/>
        </w:rPr>
        <w:t>The Journal of Mathematical Behavior, 21</w:t>
      </w:r>
      <w:r>
        <w:rPr>
          <w:rFonts w:ascii="David" w:eastAsia="David" w:hAnsi="David" w:cs="David"/>
          <w:sz w:val="24"/>
          <w:szCs w:val="24"/>
        </w:rPr>
        <w:t>(4), 459-490.</w:t>
      </w:r>
    </w:p>
    <w:p w14:paraId="3F52E82C" w14:textId="77777777" w:rsidR="005B7BF6" w:rsidRDefault="00F10791">
      <w:pPr>
        <w:spacing w:after="120" w:line="360" w:lineRule="auto"/>
        <w:ind w:left="700" w:hanging="280"/>
        <w:jc w:val="both"/>
        <w:rPr>
          <w:rFonts w:ascii="David" w:eastAsia="David" w:hAnsi="David" w:cs="David"/>
          <w:sz w:val="24"/>
          <w:szCs w:val="24"/>
        </w:rPr>
      </w:pPr>
      <w:proofErr w:type="spellStart"/>
      <w:r>
        <w:rPr>
          <w:rFonts w:ascii="David" w:eastAsia="David" w:hAnsi="David" w:cs="David"/>
          <w:sz w:val="24"/>
          <w:szCs w:val="24"/>
        </w:rPr>
        <w:t>Stockero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, S. L., Leatham, K. R., Ochieng, M. A., </w:t>
      </w:r>
      <w:proofErr w:type="spellStart"/>
      <w:r>
        <w:rPr>
          <w:rFonts w:ascii="David" w:eastAsia="David" w:hAnsi="David" w:cs="David"/>
          <w:sz w:val="24"/>
          <w:szCs w:val="24"/>
        </w:rPr>
        <w:t>Zoest</w:t>
      </w:r>
      <w:proofErr w:type="spellEnd"/>
      <w:r>
        <w:rPr>
          <w:rFonts w:ascii="David" w:eastAsia="David" w:hAnsi="David" w:cs="David"/>
          <w:sz w:val="24"/>
          <w:szCs w:val="24"/>
        </w:rPr>
        <w:t>, L. R., &amp; Peterson, B. E. (2019). Teachers’ orientations toward using student mathematical thinking as a resource during whole‑class discussion</w:t>
      </w:r>
      <w:r>
        <w:rPr>
          <w:rFonts w:ascii="David" w:eastAsia="David" w:hAnsi="David" w:cs="David"/>
          <w:i/>
          <w:sz w:val="24"/>
          <w:szCs w:val="24"/>
        </w:rPr>
        <w:t>. Journal of Mathematics Teacher Education</w:t>
      </w:r>
      <w:r>
        <w:rPr>
          <w:rFonts w:ascii="David" w:eastAsia="David" w:hAnsi="David" w:cs="David"/>
          <w:sz w:val="24"/>
          <w:szCs w:val="24"/>
        </w:rPr>
        <w:t>, 1-31.</w:t>
      </w:r>
    </w:p>
    <w:p w14:paraId="6AA1B447" w14:textId="77777777" w:rsidR="005B7BF6" w:rsidRDefault="00F10791">
      <w:pPr>
        <w:spacing w:after="120" w:line="360" w:lineRule="auto"/>
        <w:ind w:left="700" w:hanging="28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Tall, D. O., &amp; Vinner, S. (1981). Concept image and concept definition in mathematics, with special reference to limits and continuity. </w:t>
      </w:r>
      <w:r>
        <w:rPr>
          <w:rFonts w:ascii="David" w:eastAsia="David" w:hAnsi="David" w:cs="David"/>
          <w:i/>
          <w:sz w:val="24"/>
          <w:szCs w:val="24"/>
        </w:rPr>
        <w:t>Educational Studies in Mathematics</w:t>
      </w:r>
      <w:r>
        <w:rPr>
          <w:rFonts w:ascii="David" w:eastAsia="David" w:hAnsi="David" w:cs="David"/>
          <w:sz w:val="24"/>
          <w:szCs w:val="24"/>
        </w:rPr>
        <w:t xml:space="preserve">, </w:t>
      </w:r>
      <w:r>
        <w:rPr>
          <w:rFonts w:ascii="David" w:eastAsia="David" w:hAnsi="David" w:cs="David"/>
          <w:i/>
          <w:sz w:val="24"/>
          <w:szCs w:val="24"/>
        </w:rPr>
        <w:t>12</w:t>
      </w:r>
      <w:r>
        <w:rPr>
          <w:rFonts w:ascii="David" w:eastAsia="David" w:hAnsi="David" w:cs="David"/>
          <w:sz w:val="24"/>
          <w:szCs w:val="24"/>
        </w:rPr>
        <w:t>(2), 151-169.</w:t>
      </w:r>
    </w:p>
    <w:p w14:paraId="588DEEE5" w14:textId="77777777" w:rsidR="005B7BF6" w:rsidRDefault="00F10791">
      <w:pPr>
        <w:spacing w:after="120" w:line="360" w:lineRule="auto"/>
        <w:ind w:left="840" w:hanging="42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Taylor, J. A., Roth, K., Wilson, C. D., Stuhlsatz, M. A.&amp; </w:t>
      </w:r>
      <w:proofErr w:type="spellStart"/>
      <w:r>
        <w:rPr>
          <w:rFonts w:ascii="David" w:eastAsia="David" w:hAnsi="David" w:cs="David"/>
          <w:sz w:val="24"/>
          <w:szCs w:val="24"/>
        </w:rPr>
        <w:t>Tipto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, E. (2017). The Effect of an Analysis-of-Practice, </w:t>
      </w:r>
      <w:proofErr w:type="spellStart"/>
      <w:r>
        <w:rPr>
          <w:rFonts w:ascii="David" w:eastAsia="David" w:hAnsi="David" w:cs="David"/>
          <w:sz w:val="24"/>
          <w:szCs w:val="24"/>
        </w:rPr>
        <w:t>Videocase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-Based, Teacher Professional Development Program on Elementary Students' Science Achievement. </w:t>
      </w:r>
      <w:r>
        <w:rPr>
          <w:rFonts w:ascii="David" w:eastAsia="David" w:hAnsi="David" w:cs="David"/>
          <w:i/>
          <w:sz w:val="24"/>
          <w:szCs w:val="24"/>
        </w:rPr>
        <w:t>Journal of Research on Educational Effectiveness, 10</w:t>
      </w:r>
      <w:r>
        <w:rPr>
          <w:rFonts w:ascii="David" w:eastAsia="David" w:hAnsi="David" w:cs="David"/>
          <w:sz w:val="24"/>
          <w:szCs w:val="24"/>
        </w:rPr>
        <w:t>(2), 241-271.</w:t>
      </w:r>
    </w:p>
    <w:p w14:paraId="58129EA2" w14:textId="77777777" w:rsidR="005B7BF6" w:rsidRDefault="00F10791">
      <w:pPr>
        <w:spacing w:after="120" w:line="360" w:lineRule="auto"/>
        <w:ind w:left="700" w:hanging="28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Tirosh, D., </w:t>
      </w:r>
      <w:proofErr w:type="spellStart"/>
      <w:r>
        <w:rPr>
          <w:rFonts w:ascii="David" w:eastAsia="David" w:hAnsi="David" w:cs="David"/>
          <w:sz w:val="24"/>
          <w:szCs w:val="24"/>
        </w:rPr>
        <w:t>Tsamir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, P., Levenson, E. S., &amp; Barkai, R. (2019). Using theories and research to analyze a case: learning about example </w:t>
      </w:r>
      <w:proofErr w:type="gramStart"/>
      <w:r>
        <w:rPr>
          <w:rFonts w:ascii="David" w:eastAsia="David" w:hAnsi="David" w:cs="David"/>
          <w:sz w:val="24"/>
          <w:szCs w:val="24"/>
        </w:rPr>
        <w:t>use</w:t>
      </w:r>
      <w:proofErr w:type="gramEnd"/>
      <w:r>
        <w:rPr>
          <w:rFonts w:ascii="David" w:eastAsia="David" w:hAnsi="David" w:cs="David"/>
          <w:sz w:val="24"/>
          <w:szCs w:val="24"/>
        </w:rPr>
        <w:t xml:space="preserve">. </w:t>
      </w:r>
      <w:r>
        <w:rPr>
          <w:rFonts w:ascii="David" w:eastAsia="David" w:hAnsi="David" w:cs="David"/>
          <w:i/>
          <w:sz w:val="24"/>
          <w:szCs w:val="24"/>
        </w:rPr>
        <w:t>Journal of Mathematics Teacher Education</w:t>
      </w:r>
      <w:r>
        <w:rPr>
          <w:rFonts w:ascii="David" w:eastAsia="David" w:hAnsi="David" w:cs="David"/>
          <w:sz w:val="24"/>
          <w:szCs w:val="24"/>
        </w:rPr>
        <w:t xml:space="preserve">, </w:t>
      </w:r>
      <w:r>
        <w:rPr>
          <w:rFonts w:ascii="David" w:eastAsia="David" w:hAnsi="David" w:cs="David"/>
          <w:i/>
          <w:sz w:val="24"/>
          <w:szCs w:val="24"/>
        </w:rPr>
        <w:t>22</w:t>
      </w:r>
      <w:r>
        <w:rPr>
          <w:rFonts w:ascii="David" w:eastAsia="David" w:hAnsi="David" w:cs="David"/>
          <w:sz w:val="24"/>
          <w:szCs w:val="24"/>
        </w:rPr>
        <w:t>(2), 205-225.</w:t>
      </w:r>
    </w:p>
    <w:p w14:paraId="5D5C85B7" w14:textId="77777777" w:rsidR="005B7BF6" w:rsidRDefault="00F10791">
      <w:pPr>
        <w:spacing w:after="120" w:line="360" w:lineRule="auto"/>
        <w:ind w:left="840" w:hanging="42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Toulmin, S. E. (1969). </w:t>
      </w:r>
      <w:r>
        <w:rPr>
          <w:rFonts w:ascii="David" w:eastAsia="David" w:hAnsi="David" w:cs="David"/>
          <w:i/>
          <w:sz w:val="24"/>
          <w:szCs w:val="24"/>
        </w:rPr>
        <w:t>The uses of argument</w:t>
      </w:r>
      <w:r>
        <w:rPr>
          <w:rFonts w:ascii="David" w:eastAsia="David" w:hAnsi="David" w:cs="David"/>
          <w:sz w:val="24"/>
          <w:szCs w:val="24"/>
        </w:rPr>
        <w:t>. Cambridge University.</w:t>
      </w:r>
    </w:p>
    <w:p w14:paraId="4182A7A7" w14:textId="77777777" w:rsidR="005B7BF6" w:rsidRDefault="00F10791">
      <w:pPr>
        <w:spacing w:after="120" w:line="360" w:lineRule="auto"/>
        <w:ind w:left="840" w:hanging="42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Toulmin, S. (2003). </w:t>
      </w:r>
      <w:r>
        <w:rPr>
          <w:rFonts w:ascii="David" w:eastAsia="David" w:hAnsi="David" w:cs="David"/>
          <w:i/>
          <w:sz w:val="24"/>
          <w:szCs w:val="24"/>
        </w:rPr>
        <w:t>The Uses of Argument</w:t>
      </w:r>
      <w:r>
        <w:rPr>
          <w:rFonts w:ascii="David" w:eastAsia="David" w:hAnsi="David" w:cs="David"/>
          <w:sz w:val="24"/>
          <w:szCs w:val="24"/>
        </w:rPr>
        <w:t xml:space="preserve"> (2nd ed.). Cambridge University Press. doi:10.1017/CBO9780511840005</w:t>
      </w:r>
    </w:p>
    <w:p w14:paraId="4C669A44" w14:textId="77777777" w:rsidR="005B7BF6" w:rsidRDefault="00F10791">
      <w:pPr>
        <w:spacing w:after="120" w:line="360" w:lineRule="auto"/>
        <w:ind w:left="700" w:hanging="280"/>
        <w:jc w:val="both"/>
        <w:rPr>
          <w:rFonts w:ascii="David" w:eastAsia="David" w:hAnsi="David" w:cs="David"/>
          <w:sz w:val="24"/>
          <w:szCs w:val="24"/>
        </w:rPr>
      </w:pPr>
      <w:proofErr w:type="spellStart"/>
      <w:r>
        <w:rPr>
          <w:rFonts w:ascii="David" w:eastAsia="David" w:hAnsi="David" w:cs="David"/>
          <w:sz w:val="24"/>
          <w:szCs w:val="24"/>
        </w:rPr>
        <w:t>Tsamir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, P., Tirosh, D. &amp; Levenson, E. (2008). Intuitive nonexamples: The case of triangles. </w:t>
      </w:r>
      <w:r>
        <w:rPr>
          <w:rFonts w:ascii="David" w:eastAsia="David" w:hAnsi="David" w:cs="David"/>
          <w:i/>
          <w:sz w:val="24"/>
          <w:szCs w:val="24"/>
        </w:rPr>
        <w:t>Educational Studies in Mathematics</w:t>
      </w:r>
      <w:r>
        <w:rPr>
          <w:rFonts w:ascii="David" w:eastAsia="David" w:hAnsi="David" w:cs="David"/>
          <w:sz w:val="24"/>
          <w:szCs w:val="24"/>
        </w:rPr>
        <w:t xml:space="preserve">, </w:t>
      </w:r>
      <w:r>
        <w:rPr>
          <w:rFonts w:ascii="David" w:eastAsia="David" w:hAnsi="David" w:cs="David"/>
          <w:i/>
          <w:sz w:val="24"/>
          <w:szCs w:val="24"/>
        </w:rPr>
        <w:t>69</w:t>
      </w:r>
      <w:r>
        <w:rPr>
          <w:rFonts w:ascii="David" w:eastAsia="David" w:hAnsi="David" w:cs="David"/>
          <w:sz w:val="24"/>
          <w:szCs w:val="24"/>
        </w:rPr>
        <w:t>, 81-95.</w:t>
      </w:r>
    </w:p>
    <w:p w14:paraId="1739126D" w14:textId="77777777" w:rsidR="005B7BF6" w:rsidRDefault="00F10791">
      <w:pPr>
        <w:spacing w:after="120" w:line="360" w:lineRule="auto"/>
        <w:ind w:left="840" w:hanging="420"/>
        <w:jc w:val="both"/>
        <w:rPr>
          <w:rFonts w:ascii="David" w:eastAsia="David" w:hAnsi="David" w:cs="David"/>
          <w:sz w:val="24"/>
          <w:szCs w:val="24"/>
        </w:rPr>
      </w:pPr>
      <w:proofErr w:type="spellStart"/>
      <w:r>
        <w:rPr>
          <w:rFonts w:ascii="David" w:eastAsia="David" w:hAnsi="David" w:cs="David"/>
          <w:sz w:val="24"/>
          <w:szCs w:val="24"/>
        </w:rPr>
        <w:t>Tsamir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, P., Tirosh, D., Levenson, E., Barkai, R. &amp; </w:t>
      </w:r>
      <w:proofErr w:type="spellStart"/>
      <w:r>
        <w:rPr>
          <w:rFonts w:ascii="David" w:eastAsia="David" w:hAnsi="David" w:cs="David"/>
          <w:sz w:val="24"/>
          <w:szCs w:val="24"/>
        </w:rPr>
        <w:t>Tabach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, M. (2014). </w:t>
      </w:r>
      <w:proofErr w:type="gramStart"/>
      <w:r>
        <w:rPr>
          <w:rFonts w:ascii="David" w:eastAsia="David" w:hAnsi="David" w:cs="David"/>
          <w:sz w:val="24"/>
          <w:szCs w:val="24"/>
        </w:rPr>
        <w:t>Early-years</w:t>
      </w:r>
      <w:proofErr w:type="gramEnd"/>
      <w:r>
        <w:rPr>
          <w:rFonts w:ascii="David" w:eastAsia="David" w:hAnsi="David" w:cs="David"/>
          <w:sz w:val="24"/>
          <w:szCs w:val="24"/>
        </w:rPr>
        <w:t xml:space="preserve"> teachers' concept image and concept definition: triangles, circles and cylinders.</w:t>
      </w:r>
      <w:r>
        <w:rPr>
          <w:rFonts w:ascii="David" w:eastAsia="David" w:hAnsi="David" w:cs="David"/>
          <w:i/>
          <w:sz w:val="24"/>
          <w:szCs w:val="24"/>
        </w:rPr>
        <w:t xml:space="preserve"> ZDM mathematics Education, 47</w:t>
      </w:r>
      <w:r>
        <w:rPr>
          <w:rFonts w:ascii="David" w:eastAsia="David" w:hAnsi="David" w:cs="David"/>
          <w:sz w:val="24"/>
          <w:szCs w:val="24"/>
        </w:rPr>
        <w:t>(3), 1-13.</w:t>
      </w:r>
    </w:p>
    <w:p w14:paraId="425F8BA9" w14:textId="77777777" w:rsidR="000F7D40" w:rsidRPr="000F7D40" w:rsidRDefault="000F7D40">
      <w:pPr>
        <w:spacing w:before="240" w:after="240" w:line="360" w:lineRule="auto"/>
        <w:ind w:left="840" w:hanging="420"/>
        <w:rPr>
          <w:rFonts w:asciiTheme="majorBidi" w:hAnsiTheme="majorBidi" w:cstheme="majorBidi"/>
          <w:sz w:val="24"/>
          <w:szCs w:val="24"/>
          <w:rtl/>
        </w:rPr>
      </w:pPr>
      <w:r w:rsidRPr="000F7D40">
        <w:rPr>
          <w:rFonts w:asciiTheme="majorBidi" w:hAnsiTheme="majorBidi" w:cstheme="majorBidi"/>
          <w:sz w:val="24"/>
          <w:szCs w:val="24"/>
        </w:rPr>
        <w:t xml:space="preserve">Tutak, F. A. (2009). </w:t>
      </w:r>
      <w:r w:rsidRPr="000F7D40">
        <w:rPr>
          <w:rStyle w:val="Emphasis"/>
          <w:rFonts w:asciiTheme="majorBidi" w:hAnsiTheme="majorBidi" w:cstheme="majorBidi"/>
          <w:sz w:val="24"/>
          <w:szCs w:val="24"/>
        </w:rPr>
        <w:t>A study of geometry content knowledge of elementary preservice teachers: The case of quadrilaterals</w:t>
      </w:r>
      <w:r w:rsidRPr="000F7D40">
        <w:rPr>
          <w:rFonts w:asciiTheme="majorBidi" w:hAnsiTheme="majorBidi" w:cstheme="majorBidi"/>
          <w:sz w:val="24"/>
          <w:szCs w:val="24"/>
        </w:rPr>
        <w:t xml:space="preserve"> [Doctoral dissertation, University of Florida]. University of Florida Institutional Repository. </w:t>
      </w:r>
      <w:hyperlink r:id="rId29" w:tgtFrame="_new" w:history="1">
        <w:r w:rsidRPr="000F7D40">
          <w:rPr>
            <w:rStyle w:val="Hyperlink"/>
            <w:rFonts w:asciiTheme="majorBidi" w:hAnsiTheme="majorBidi" w:cstheme="majorBidi"/>
            <w:sz w:val="24"/>
            <w:szCs w:val="24"/>
          </w:rPr>
          <w:t>http://etd.fcla.edu/UF/UFE0041186/tutak_f.pdf</w:t>
        </w:r>
      </w:hyperlink>
    </w:p>
    <w:p w14:paraId="0F0B3D16" w14:textId="5CE7C438" w:rsidR="005B7BF6" w:rsidRDefault="00F10791">
      <w:pPr>
        <w:spacing w:before="240" w:after="240" w:line="360" w:lineRule="auto"/>
        <w:ind w:left="840" w:hanging="42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lastRenderedPageBreak/>
        <w:t xml:space="preserve">Van Hiele, P. M. (1999). Developing geometric thinking through activities that begin with play. </w:t>
      </w:r>
      <w:r>
        <w:rPr>
          <w:rFonts w:ascii="David" w:eastAsia="David" w:hAnsi="David" w:cs="David"/>
          <w:i/>
          <w:sz w:val="24"/>
          <w:szCs w:val="24"/>
        </w:rPr>
        <w:t>Teaching Children Mathematics, 5</w:t>
      </w:r>
      <w:r>
        <w:rPr>
          <w:rFonts w:ascii="David" w:eastAsia="David" w:hAnsi="David" w:cs="David"/>
          <w:sz w:val="24"/>
          <w:szCs w:val="24"/>
        </w:rPr>
        <w:t>, 310–316.</w:t>
      </w:r>
    </w:p>
    <w:p w14:paraId="3D333D86" w14:textId="77777777" w:rsidR="005B7BF6" w:rsidRDefault="00F10791">
      <w:pPr>
        <w:spacing w:before="240" w:after="240" w:line="360" w:lineRule="auto"/>
        <w:ind w:left="840" w:hanging="42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Van Hiele, P. M. (1986). </w:t>
      </w:r>
      <w:r>
        <w:rPr>
          <w:rFonts w:ascii="David" w:eastAsia="David" w:hAnsi="David" w:cs="David"/>
          <w:i/>
          <w:sz w:val="24"/>
          <w:szCs w:val="24"/>
        </w:rPr>
        <w:t xml:space="preserve">Structure and insight: A theory of mathematics education. </w:t>
      </w:r>
      <w:r>
        <w:rPr>
          <w:rFonts w:ascii="David" w:eastAsia="David" w:hAnsi="David" w:cs="David"/>
          <w:sz w:val="24"/>
          <w:szCs w:val="24"/>
        </w:rPr>
        <w:t>Academic Press.</w:t>
      </w:r>
    </w:p>
    <w:p w14:paraId="71CC10EC" w14:textId="77777777" w:rsidR="005B7BF6" w:rsidRDefault="00F10791">
      <w:pPr>
        <w:spacing w:before="240" w:after="240" w:line="360" w:lineRule="auto"/>
        <w:ind w:left="840" w:hanging="42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Van Hiele, P. M. (1959). The child's thought and geometry. In D. </w:t>
      </w:r>
      <w:proofErr w:type="spellStart"/>
      <w:r>
        <w:rPr>
          <w:rFonts w:ascii="David" w:eastAsia="David" w:hAnsi="David" w:cs="David"/>
          <w:sz w:val="24"/>
          <w:szCs w:val="24"/>
        </w:rPr>
        <w:t>Fuys</w:t>
      </w:r>
      <w:proofErr w:type="spellEnd"/>
      <w:r>
        <w:rPr>
          <w:rFonts w:ascii="David" w:eastAsia="David" w:hAnsi="David" w:cs="David"/>
          <w:sz w:val="24"/>
          <w:szCs w:val="24"/>
        </w:rPr>
        <w:t xml:space="preserve">, D. Geddes &amp; R. Tischler (Eds.), </w:t>
      </w:r>
      <w:r>
        <w:rPr>
          <w:rFonts w:ascii="David" w:eastAsia="David" w:hAnsi="David" w:cs="David"/>
          <w:i/>
          <w:sz w:val="24"/>
          <w:szCs w:val="24"/>
        </w:rPr>
        <w:t>English translation of selected writings of Dina van Hiele-Geldof and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rFonts w:ascii="David" w:eastAsia="David" w:hAnsi="David" w:cs="David"/>
          <w:i/>
          <w:sz w:val="24"/>
          <w:szCs w:val="24"/>
        </w:rPr>
        <w:t>Pierre M. Van Hiele.</w:t>
      </w:r>
      <w:r>
        <w:rPr>
          <w:rFonts w:ascii="David" w:eastAsia="David" w:hAnsi="David" w:cs="David"/>
          <w:sz w:val="24"/>
          <w:szCs w:val="24"/>
        </w:rPr>
        <w:t xml:space="preserve"> Brooklyn, NY: Brooklyn College, School of Education, 243-252.</w:t>
      </w:r>
    </w:p>
    <w:p w14:paraId="3CB2265F" w14:textId="77777777" w:rsidR="005B7BF6" w:rsidRDefault="00F10791">
      <w:pPr>
        <w:spacing w:before="240" w:after="240" w:line="360" w:lineRule="auto"/>
        <w:ind w:left="840" w:hanging="42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Vinner, S. (1991). The role of definitions in </w:t>
      </w:r>
      <w:proofErr w:type="gramStart"/>
      <w:r>
        <w:rPr>
          <w:rFonts w:ascii="David" w:eastAsia="David" w:hAnsi="David" w:cs="David"/>
          <w:sz w:val="24"/>
          <w:szCs w:val="24"/>
        </w:rPr>
        <w:t>the teaching</w:t>
      </w:r>
      <w:proofErr w:type="gramEnd"/>
      <w:r>
        <w:rPr>
          <w:rFonts w:ascii="David" w:eastAsia="David" w:hAnsi="David" w:cs="David"/>
          <w:sz w:val="24"/>
          <w:szCs w:val="24"/>
        </w:rPr>
        <w:t xml:space="preserve"> and </w:t>
      </w:r>
      <w:proofErr w:type="gramStart"/>
      <w:r>
        <w:rPr>
          <w:rFonts w:ascii="David" w:eastAsia="David" w:hAnsi="David" w:cs="David"/>
          <w:sz w:val="24"/>
          <w:szCs w:val="24"/>
        </w:rPr>
        <w:t>learning of</w:t>
      </w:r>
      <w:proofErr w:type="gramEnd"/>
      <w:r>
        <w:rPr>
          <w:rFonts w:ascii="David" w:eastAsia="David" w:hAnsi="David" w:cs="David"/>
          <w:sz w:val="24"/>
          <w:szCs w:val="24"/>
        </w:rPr>
        <w:t xml:space="preserve"> mathematics. In D. Tall (Ed.), </w:t>
      </w:r>
      <w:r>
        <w:rPr>
          <w:rFonts w:ascii="David" w:eastAsia="David" w:hAnsi="David" w:cs="David"/>
          <w:i/>
          <w:sz w:val="24"/>
          <w:szCs w:val="24"/>
        </w:rPr>
        <w:t xml:space="preserve">Advanced mathematical thinking </w:t>
      </w:r>
      <w:r>
        <w:rPr>
          <w:rFonts w:ascii="David" w:eastAsia="David" w:hAnsi="David" w:cs="David"/>
          <w:sz w:val="24"/>
          <w:szCs w:val="24"/>
        </w:rPr>
        <w:t>(pp. 65–81). Kluwer Academic Publishers.</w:t>
      </w:r>
    </w:p>
    <w:p w14:paraId="1976CF13" w14:textId="77777777" w:rsidR="005B7BF6" w:rsidRDefault="00F10791">
      <w:pPr>
        <w:spacing w:after="120" w:line="360" w:lineRule="auto"/>
        <w:ind w:left="840" w:hanging="420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Vinner, S., &amp; Hershkowitz, R. (1980). Concept image and common cognitive paths in the development of some simple geometrical concepts. In R. Karplus (Ed.), </w:t>
      </w:r>
      <w:r>
        <w:rPr>
          <w:rFonts w:ascii="David" w:eastAsia="David" w:hAnsi="David" w:cs="David"/>
          <w:i/>
          <w:sz w:val="24"/>
          <w:szCs w:val="24"/>
        </w:rPr>
        <w:t>Proceedings of the Conference of the International Group for Psychology of Mathematics Education</w:t>
      </w:r>
      <w:r>
        <w:rPr>
          <w:rFonts w:ascii="David" w:eastAsia="David" w:hAnsi="David" w:cs="David"/>
          <w:sz w:val="24"/>
          <w:szCs w:val="24"/>
        </w:rPr>
        <w:t xml:space="preserve"> (pp. 177-184). University of California.</w:t>
      </w:r>
    </w:p>
    <w:p w14:paraId="7DF2C718" w14:textId="77777777" w:rsidR="005B7BF6" w:rsidRDefault="00F10791">
      <w:pPr>
        <w:spacing w:after="120" w:line="360" w:lineRule="auto"/>
        <w:ind w:left="840" w:hanging="420"/>
        <w:jc w:val="both"/>
        <w:rPr>
          <w:rFonts w:ascii="David" w:eastAsia="David" w:hAnsi="David" w:cs="David"/>
          <w:i/>
          <w:color w:val="222222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Zeybek, Z. (2018). </w:t>
      </w:r>
      <w:r>
        <w:rPr>
          <w:rFonts w:ascii="David" w:eastAsia="David" w:hAnsi="David" w:cs="David"/>
          <w:color w:val="222222"/>
          <w:sz w:val="24"/>
          <w:szCs w:val="24"/>
        </w:rPr>
        <w:t xml:space="preserve">Understanding Inclusion Relations between Quadrilaterals. </w:t>
      </w:r>
      <w:r>
        <w:rPr>
          <w:rFonts w:ascii="David" w:eastAsia="David" w:hAnsi="David" w:cs="David"/>
          <w:i/>
          <w:color w:val="222222"/>
          <w:sz w:val="24"/>
          <w:szCs w:val="24"/>
        </w:rPr>
        <w:t>International Journal of Research in Education and Science, 4(2), 595-612.</w:t>
      </w:r>
    </w:p>
    <w:p w14:paraId="65CCD096" w14:textId="77777777" w:rsidR="005B7BF6" w:rsidRDefault="005B7BF6">
      <w:pPr>
        <w:spacing w:after="120" w:line="360" w:lineRule="auto"/>
        <w:ind w:left="840" w:hanging="420"/>
        <w:jc w:val="both"/>
        <w:rPr>
          <w:rFonts w:ascii="David" w:eastAsia="David" w:hAnsi="David" w:cs="David"/>
          <w:i/>
          <w:color w:val="222222"/>
          <w:sz w:val="24"/>
          <w:szCs w:val="24"/>
        </w:rPr>
      </w:pPr>
    </w:p>
    <w:p w14:paraId="7D6B07D8" w14:textId="77777777" w:rsidR="005B7BF6" w:rsidRDefault="005B7BF6">
      <w:pPr>
        <w:spacing w:after="120" w:line="360" w:lineRule="auto"/>
        <w:ind w:left="840" w:hanging="420"/>
        <w:jc w:val="both"/>
        <w:rPr>
          <w:rFonts w:ascii="David" w:eastAsia="David" w:hAnsi="David" w:cs="David"/>
          <w:i/>
          <w:color w:val="222222"/>
          <w:sz w:val="24"/>
          <w:szCs w:val="24"/>
        </w:rPr>
      </w:pPr>
    </w:p>
    <w:p w14:paraId="0E18E541" w14:textId="77777777" w:rsidR="005B7BF6" w:rsidRDefault="005B7BF6">
      <w:pPr>
        <w:spacing w:after="120" w:line="360" w:lineRule="auto"/>
        <w:ind w:left="840" w:hanging="420"/>
        <w:jc w:val="both"/>
        <w:rPr>
          <w:rFonts w:ascii="David" w:eastAsia="David" w:hAnsi="David" w:cs="David"/>
          <w:i/>
          <w:color w:val="222222"/>
          <w:sz w:val="24"/>
          <w:szCs w:val="24"/>
        </w:rPr>
      </w:pPr>
    </w:p>
    <w:p w14:paraId="6C1FA4C9" w14:textId="77777777" w:rsidR="005B7BF6" w:rsidRDefault="005B7BF6">
      <w:pPr>
        <w:spacing w:after="120" w:line="360" w:lineRule="auto"/>
        <w:ind w:left="840" w:hanging="420"/>
        <w:jc w:val="both"/>
        <w:rPr>
          <w:rFonts w:ascii="David" w:eastAsia="David" w:hAnsi="David" w:cs="David"/>
          <w:i/>
          <w:color w:val="222222"/>
          <w:sz w:val="24"/>
          <w:szCs w:val="24"/>
        </w:rPr>
      </w:pPr>
    </w:p>
    <w:p w14:paraId="15019960" w14:textId="77777777" w:rsidR="005B7BF6" w:rsidRDefault="005B7BF6">
      <w:pPr>
        <w:spacing w:after="120" w:line="360" w:lineRule="auto"/>
        <w:ind w:left="840" w:hanging="420"/>
        <w:jc w:val="both"/>
        <w:rPr>
          <w:rFonts w:ascii="David" w:eastAsia="David" w:hAnsi="David" w:cs="David"/>
          <w:i/>
          <w:color w:val="222222"/>
          <w:sz w:val="24"/>
          <w:szCs w:val="24"/>
        </w:rPr>
      </w:pPr>
    </w:p>
    <w:p w14:paraId="7965B025" w14:textId="77777777" w:rsidR="005B7BF6" w:rsidRDefault="005B7BF6">
      <w:pPr>
        <w:spacing w:after="120" w:line="360" w:lineRule="auto"/>
        <w:ind w:left="840" w:hanging="420"/>
        <w:jc w:val="both"/>
        <w:rPr>
          <w:rFonts w:ascii="David" w:eastAsia="David" w:hAnsi="David" w:cs="David"/>
          <w:i/>
          <w:color w:val="222222"/>
          <w:sz w:val="24"/>
          <w:szCs w:val="24"/>
        </w:rPr>
      </w:pPr>
    </w:p>
    <w:p w14:paraId="4D236517" w14:textId="77777777" w:rsidR="005B7BF6" w:rsidRDefault="005B7BF6">
      <w:pPr>
        <w:spacing w:after="120" w:line="360" w:lineRule="auto"/>
        <w:ind w:left="840" w:hanging="420"/>
        <w:jc w:val="both"/>
        <w:rPr>
          <w:rFonts w:ascii="David" w:eastAsia="David" w:hAnsi="David" w:cs="David"/>
          <w:i/>
          <w:color w:val="222222"/>
          <w:sz w:val="24"/>
          <w:szCs w:val="24"/>
        </w:rPr>
      </w:pPr>
    </w:p>
    <w:p w14:paraId="61EA01B0" w14:textId="77777777" w:rsidR="005B7BF6" w:rsidRDefault="005B7BF6">
      <w:pPr>
        <w:spacing w:after="120" w:line="360" w:lineRule="auto"/>
        <w:ind w:left="840" w:hanging="420"/>
        <w:jc w:val="both"/>
        <w:rPr>
          <w:rFonts w:ascii="David" w:eastAsia="David" w:hAnsi="David" w:cs="David"/>
          <w:i/>
          <w:color w:val="222222"/>
          <w:sz w:val="24"/>
          <w:szCs w:val="24"/>
        </w:rPr>
      </w:pPr>
    </w:p>
    <w:p w14:paraId="694FB113" w14:textId="77777777" w:rsidR="005B7BF6" w:rsidRDefault="005B7BF6">
      <w:pPr>
        <w:spacing w:after="120" w:line="360" w:lineRule="auto"/>
        <w:ind w:left="840" w:hanging="420"/>
        <w:jc w:val="both"/>
        <w:rPr>
          <w:rFonts w:ascii="David" w:eastAsia="David" w:hAnsi="David" w:cs="David"/>
          <w:i/>
          <w:color w:val="222222"/>
          <w:sz w:val="24"/>
          <w:szCs w:val="24"/>
        </w:rPr>
      </w:pPr>
    </w:p>
    <w:p w14:paraId="31491493" w14:textId="77777777" w:rsidR="005B7BF6" w:rsidRDefault="005B7BF6">
      <w:pPr>
        <w:spacing w:after="120" w:line="360" w:lineRule="auto"/>
        <w:ind w:left="840" w:hanging="420"/>
        <w:jc w:val="both"/>
        <w:rPr>
          <w:rFonts w:ascii="David" w:eastAsia="David" w:hAnsi="David" w:cs="David"/>
          <w:i/>
          <w:color w:val="222222"/>
          <w:sz w:val="24"/>
          <w:szCs w:val="24"/>
        </w:rPr>
      </w:pPr>
    </w:p>
    <w:p w14:paraId="5BA709BE" w14:textId="77777777" w:rsidR="005B7BF6" w:rsidRDefault="005B7BF6">
      <w:pPr>
        <w:spacing w:after="120" w:line="360" w:lineRule="auto"/>
        <w:ind w:left="840" w:hanging="420"/>
        <w:jc w:val="both"/>
        <w:rPr>
          <w:rFonts w:ascii="David" w:eastAsia="David" w:hAnsi="David" w:cs="David"/>
          <w:i/>
          <w:color w:val="222222"/>
          <w:sz w:val="24"/>
          <w:szCs w:val="24"/>
        </w:rPr>
      </w:pPr>
    </w:p>
    <w:p w14:paraId="322D9CA9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b/>
          <w:color w:val="222222"/>
          <w:sz w:val="24"/>
          <w:szCs w:val="24"/>
        </w:rPr>
      </w:pPr>
    </w:p>
    <w:p w14:paraId="1ADFC2AF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b/>
          <w:color w:val="222222"/>
          <w:sz w:val="24"/>
          <w:szCs w:val="24"/>
        </w:rPr>
      </w:pPr>
    </w:p>
    <w:p w14:paraId="71DB66CE" w14:textId="77777777" w:rsidR="000F7D40" w:rsidRDefault="000F7D40">
      <w:pP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</w:pP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br w:type="page"/>
      </w:r>
    </w:p>
    <w:p w14:paraId="153C6B66" w14:textId="722789B9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b/>
          <w:color w:val="222222"/>
          <w:sz w:val="24"/>
          <w:szCs w:val="24"/>
        </w:rPr>
      </w:pP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lastRenderedPageBreak/>
        <w:t xml:space="preserve">נספח 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 xml:space="preserve">1. </w:t>
      </w: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t>שאלון מקדים</w:t>
      </w:r>
    </w:p>
    <w:p w14:paraId="49F0E7E5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t xml:space="preserve">משימה 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>1: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br/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 כתוב הגדרה מתמטית מקובלת למושג </w:t>
      </w:r>
      <w:r>
        <w:rPr>
          <w:rFonts w:ascii="David" w:eastAsia="David" w:hAnsi="David" w:cs="David"/>
          <w:color w:val="222222"/>
          <w:sz w:val="24"/>
          <w:szCs w:val="24"/>
          <w:rtl/>
        </w:rPr>
        <w:t>"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אלכסון במצולע</w:t>
      </w:r>
      <w:r>
        <w:rPr>
          <w:rFonts w:ascii="David" w:eastAsia="David" w:hAnsi="David" w:cs="David"/>
          <w:color w:val="222222"/>
          <w:sz w:val="24"/>
          <w:szCs w:val="24"/>
          <w:rtl/>
        </w:rPr>
        <w:t>".</w:t>
      </w:r>
    </w:p>
    <w:p w14:paraId="39FD0CBD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t xml:space="preserve">משימה 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>2: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br/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 כתוב האם הקטע בצבע אדום הוא </w:t>
      </w:r>
      <w:r>
        <w:rPr>
          <w:rFonts w:ascii="David" w:eastAsia="David" w:hAnsi="David" w:cs="David"/>
          <w:i/>
          <w:color w:val="222222"/>
          <w:sz w:val="24"/>
          <w:szCs w:val="24"/>
          <w:rtl/>
          <w:lang w:bidi="he-IL"/>
        </w:rPr>
        <w:t>אלכסון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 או </w:t>
      </w:r>
      <w:r>
        <w:rPr>
          <w:rFonts w:ascii="David" w:eastAsia="David" w:hAnsi="David" w:cs="David"/>
          <w:i/>
          <w:color w:val="222222"/>
          <w:sz w:val="24"/>
          <w:szCs w:val="24"/>
          <w:rtl/>
          <w:lang w:bidi="he-IL"/>
        </w:rPr>
        <w:t>לא אלכסון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 ונמק את בחירתך</w:t>
      </w:r>
      <w:r>
        <w:rPr>
          <w:rFonts w:ascii="David" w:eastAsia="David" w:hAnsi="David" w:cs="David"/>
          <w:color w:val="222222"/>
          <w:sz w:val="24"/>
          <w:szCs w:val="24"/>
          <w:rtl/>
        </w:rPr>
        <w:t>.</w:t>
      </w:r>
    </w:p>
    <w:p w14:paraId="3BDE929D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  <w:r>
        <w:rPr>
          <w:rFonts w:ascii="David" w:eastAsia="David" w:hAnsi="David" w:cs="David"/>
          <w:noProof/>
          <w:color w:val="222222"/>
          <w:sz w:val="24"/>
          <w:szCs w:val="24"/>
        </w:rPr>
        <w:drawing>
          <wp:inline distT="114300" distB="114300" distL="114300" distR="114300" wp14:anchorId="6FE8D9EC" wp14:editId="52FD2839">
            <wp:extent cx="4737100" cy="1358900"/>
            <wp:effectExtent l="0" t="0" r="0" b="0"/>
            <wp:docPr id="18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135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AB76B6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b/>
          <w:color w:val="222222"/>
          <w:sz w:val="24"/>
          <w:szCs w:val="24"/>
        </w:rPr>
      </w:pPr>
    </w:p>
    <w:p w14:paraId="20F6109E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b/>
          <w:color w:val="222222"/>
          <w:sz w:val="24"/>
          <w:szCs w:val="24"/>
        </w:rPr>
      </w:pPr>
    </w:p>
    <w:p w14:paraId="1AE8317A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b/>
          <w:color w:val="222222"/>
          <w:sz w:val="24"/>
          <w:szCs w:val="24"/>
        </w:rPr>
      </w:pPr>
    </w:p>
    <w:p w14:paraId="58BED203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b/>
          <w:color w:val="222222"/>
          <w:sz w:val="24"/>
          <w:szCs w:val="24"/>
        </w:rPr>
      </w:pPr>
    </w:p>
    <w:p w14:paraId="2B8B9BE0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b/>
          <w:color w:val="222222"/>
          <w:sz w:val="24"/>
          <w:szCs w:val="24"/>
        </w:rPr>
      </w:pPr>
    </w:p>
    <w:p w14:paraId="25E7B199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b/>
          <w:color w:val="222222"/>
          <w:sz w:val="24"/>
          <w:szCs w:val="24"/>
        </w:rPr>
      </w:pPr>
    </w:p>
    <w:p w14:paraId="44951086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b/>
          <w:color w:val="222222"/>
          <w:sz w:val="24"/>
          <w:szCs w:val="24"/>
        </w:rPr>
      </w:pPr>
    </w:p>
    <w:p w14:paraId="25A7CBA2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b/>
          <w:color w:val="222222"/>
          <w:sz w:val="24"/>
          <w:szCs w:val="24"/>
        </w:rPr>
      </w:pPr>
    </w:p>
    <w:p w14:paraId="313BCF5C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b/>
          <w:color w:val="222222"/>
          <w:sz w:val="24"/>
          <w:szCs w:val="24"/>
        </w:rPr>
      </w:pPr>
    </w:p>
    <w:p w14:paraId="5E8EB72A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b/>
          <w:color w:val="222222"/>
          <w:sz w:val="24"/>
          <w:szCs w:val="24"/>
        </w:rPr>
      </w:pPr>
    </w:p>
    <w:p w14:paraId="2415AFAF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b/>
          <w:color w:val="222222"/>
          <w:sz w:val="24"/>
          <w:szCs w:val="24"/>
        </w:rPr>
      </w:pPr>
    </w:p>
    <w:p w14:paraId="6F0195DA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b/>
          <w:color w:val="222222"/>
          <w:sz w:val="24"/>
          <w:szCs w:val="24"/>
        </w:rPr>
      </w:pPr>
    </w:p>
    <w:p w14:paraId="2ADEBEC3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b/>
          <w:color w:val="222222"/>
          <w:sz w:val="24"/>
          <w:szCs w:val="24"/>
        </w:rPr>
      </w:pPr>
    </w:p>
    <w:p w14:paraId="3E490E57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b/>
          <w:color w:val="222222"/>
          <w:sz w:val="24"/>
          <w:szCs w:val="24"/>
        </w:rPr>
      </w:pPr>
    </w:p>
    <w:p w14:paraId="13B7EEBC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b/>
          <w:color w:val="222222"/>
          <w:sz w:val="24"/>
          <w:szCs w:val="24"/>
        </w:rPr>
      </w:pPr>
    </w:p>
    <w:p w14:paraId="124E4E95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b/>
          <w:color w:val="222222"/>
          <w:sz w:val="24"/>
          <w:szCs w:val="24"/>
        </w:rPr>
      </w:pPr>
    </w:p>
    <w:p w14:paraId="61296B04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b/>
          <w:color w:val="222222"/>
          <w:sz w:val="24"/>
          <w:szCs w:val="24"/>
        </w:rPr>
      </w:pP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lastRenderedPageBreak/>
        <w:t xml:space="preserve">נספח 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 xml:space="preserve">2. </w:t>
      </w: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t>שאלון מסכם</w:t>
      </w:r>
    </w:p>
    <w:p w14:paraId="0CFB5DD6" w14:textId="77777777" w:rsidR="005B7BF6" w:rsidRDefault="00F10791" w:rsidP="000F7D40">
      <w:pPr>
        <w:bidi/>
        <w:spacing w:before="240" w:after="240" w:line="360" w:lineRule="auto"/>
        <w:rPr>
          <w:rFonts w:ascii="David" w:eastAsia="David" w:hAnsi="David" w:cs="David"/>
          <w:color w:val="222222"/>
          <w:sz w:val="24"/>
          <w:szCs w:val="24"/>
        </w:rPr>
      </w:pP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t xml:space="preserve">משימה 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>1: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br/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 כתוב הגדרה מתמטית מקובלת למושג </w:t>
      </w:r>
      <w:r>
        <w:rPr>
          <w:rFonts w:ascii="David" w:eastAsia="David" w:hAnsi="David" w:cs="David"/>
          <w:color w:val="222222"/>
          <w:sz w:val="24"/>
          <w:szCs w:val="24"/>
          <w:rtl/>
        </w:rPr>
        <w:t>"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אלכסון במצולע</w:t>
      </w:r>
      <w:r>
        <w:rPr>
          <w:rFonts w:ascii="David" w:eastAsia="David" w:hAnsi="David" w:cs="David"/>
          <w:color w:val="222222"/>
          <w:sz w:val="24"/>
          <w:szCs w:val="24"/>
          <w:rtl/>
        </w:rPr>
        <w:t>".</w:t>
      </w:r>
    </w:p>
    <w:p w14:paraId="224B8501" w14:textId="77777777" w:rsidR="005B7BF6" w:rsidRDefault="00F10791" w:rsidP="000F7D40">
      <w:pPr>
        <w:bidi/>
        <w:spacing w:before="240" w:after="240" w:line="360" w:lineRule="auto"/>
        <w:rPr>
          <w:rFonts w:ascii="David" w:eastAsia="David" w:hAnsi="David" w:cs="David"/>
          <w:color w:val="222222"/>
          <w:sz w:val="24"/>
          <w:szCs w:val="24"/>
        </w:rPr>
      </w:pP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t xml:space="preserve">משימה 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>2: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br/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 בהתבסס על המצולע הבא</w:t>
      </w:r>
      <w:r>
        <w:rPr>
          <w:rFonts w:ascii="David" w:eastAsia="David" w:hAnsi="David" w:cs="David"/>
          <w:color w:val="222222"/>
          <w:sz w:val="24"/>
          <w:szCs w:val="24"/>
          <w:rtl/>
        </w:rPr>
        <w:t>:</w:t>
      </w:r>
      <w:r>
        <w:rPr>
          <w:rFonts w:ascii="David" w:eastAsia="David" w:hAnsi="David" w:cs="David"/>
          <w:noProof/>
          <w:color w:val="222222"/>
          <w:sz w:val="24"/>
          <w:szCs w:val="24"/>
        </w:rPr>
        <w:drawing>
          <wp:inline distT="114300" distB="114300" distL="114300" distR="114300" wp14:anchorId="54FCE55A" wp14:editId="04F794F3">
            <wp:extent cx="1244600" cy="1244600"/>
            <wp:effectExtent l="0" t="0" r="0" b="0"/>
            <wp:docPr id="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3A3BEC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t xml:space="preserve">שאלה 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>1: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  כתוב מספר כל האלכסונים היוצאים מהקודקוד  </w:t>
      </w:r>
      <w:r>
        <w:rPr>
          <w:rFonts w:ascii="David" w:eastAsia="David" w:hAnsi="David" w:cs="David"/>
          <w:color w:val="222222"/>
          <w:sz w:val="24"/>
          <w:szCs w:val="24"/>
        </w:rPr>
        <w:t>P</w:t>
      </w:r>
      <w:r>
        <w:rPr>
          <w:rFonts w:ascii="David" w:eastAsia="David" w:hAnsi="David" w:cs="David"/>
          <w:color w:val="222222"/>
          <w:sz w:val="24"/>
          <w:szCs w:val="24"/>
          <w:rtl/>
        </w:rPr>
        <w:t>.</w:t>
      </w:r>
    </w:p>
    <w:p w14:paraId="4319AE4B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t xml:space="preserve">שאלה 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>2: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  שרטט את כל האלכסונים האלה</w:t>
      </w:r>
      <w:r>
        <w:rPr>
          <w:rFonts w:ascii="David" w:eastAsia="David" w:hAnsi="David" w:cs="David"/>
          <w:color w:val="222222"/>
          <w:sz w:val="24"/>
          <w:szCs w:val="24"/>
          <w:rtl/>
        </w:rPr>
        <w:t>.</w:t>
      </w:r>
    </w:p>
    <w:p w14:paraId="4B4039C1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b/>
          <w:color w:val="222222"/>
          <w:sz w:val="24"/>
          <w:szCs w:val="24"/>
        </w:rPr>
      </w:pPr>
      <w:r>
        <w:rPr>
          <w:rFonts w:ascii="David" w:eastAsia="David" w:hAnsi="David" w:cs="David"/>
          <w:color w:val="222222"/>
          <w:sz w:val="24"/>
          <w:szCs w:val="24"/>
        </w:rPr>
        <w:t xml:space="preserve"> </w:t>
      </w: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t xml:space="preserve">משימה 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>3:</w:t>
      </w:r>
    </w:p>
    <w:p w14:paraId="79F47807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המשימה הבאה ניתנה לתלמידים בהקשר למושג </w:t>
      </w:r>
      <w:r>
        <w:rPr>
          <w:rFonts w:ascii="David" w:eastAsia="David" w:hAnsi="David" w:cs="David"/>
          <w:color w:val="222222"/>
          <w:sz w:val="24"/>
          <w:szCs w:val="24"/>
          <w:rtl/>
        </w:rPr>
        <w:t>"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אלכסון במצולע</w:t>
      </w:r>
      <w:r>
        <w:rPr>
          <w:rFonts w:ascii="David" w:eastAsia="David" w:hAnsi="David" w:cs="David"/>
          <w:color w:val="222222"/>
          <w:sz w:val="24"/>
          <w:szCs w:val="24"/>
          <w:rtl/>
        </w:rPr>
        <w:t>":</w:t>
      </w:r>
    </w:p>
    <w:p w14:paraId="32AD995B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i/>
          <w:color w:val="222222"/>
          <w:sz w:val="24"/>
          <w:szCs w:val="24"/>
        </w:rPr>
      </w:pPr>
      <w:r>
        <w:rPr>
          <w:rFonts w:ascii="David" w:eastAsia="David" w:hAnsi="David" w:cs="David"/>
          <w:i/>
          <w:color w:val="222222"/>
          <w:sz w:val="24"/>
          <w:szCs w:val="24"/>
          <w:rtl/>
          <w:lang w:bidi="he-IL"/>
        </w:rPr>
        <w:t>מוצגים להלן מצולעים שונים</w:t>
      </w:r>
      <w:r>
        <w:rPr>
          <w:rFonts w:ascii="David" w:eastAsia="David" w:hAnsi="David" w:cs="David"/>
          <w:i/>
          <w:color w:val="222222"/>
          <w:sz w:val="24"/>
          <w:szCs w:val="24"/>
          <w:rtl/>
        </w:rPr>
        <w:t>.</w:t>
      </w:r>
      <w:r>
        <w:rPr>
          <w:rFonts w:ascii="David" w:eastAsia="David" w:hAnsi="David" w:cs="David"/>
          <w:i/>
          <w:color w:val="222222"/>
          <w:sz w:val="24"/>
          <w:szCs w:val="24"/>
          <w:rtl/>
        </w:rPr>
        <w:br/>
        <w:t xml:space="preserve"> </w:t>
      </w:r>
      <w:r>
        <w:rPr>
          <w:rFonts w:ascii="David" w:eastAsia="David" w:hAnsi="David" w:cs="David"/>
          <w:i/>
          <w:color w:val="222222"/>
          <w:sz w:val="24"/>
          <w:szCs w:val="24"/>
          <w:rtl/>
          <w:lang w:bidi="he-IL"/>
        </w:rPr>
        <w:t>עבור כל מצולע</w:t>
      </w:r>
      <w:r>
        <w:rPr>
          <w:rFonts w:ascii="David" w:eastAsia="David" w:hAnsi="David" w:cs="David"/>
          <w:i/>
          <w:color w:val="222222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i/>
          <w:color w:val="222222"/>
          <w:sz w:val="24"/>
          <w:szCs w:val="24"/>
          <w:rtl/>
          <w:lang w:bidi="he-IL"/>
        </w:rPr>
        <w:t xml:space="preserve">שרטט את כל האלכסונים היוצאים מהקודקוד  </w:t>
      </w:r>
      <w:r>
        <w:rPr>
          <w:rFonts w:ascii="David" w:eastAsia="David" w:hAnsi="David" w:cs="David"/>
          <w:i/>
          <w:color w:val="222222"/>
          <w:sz w:val="24"/>
          <w:szCs w:val="24"/>
        </w:rPr>
        <w:t>A</w:t>
      </w:r>
      <w:r>
        <w:rPr>
          <w:rFonts w:ascii="David" w:eastAsia="David" w:hAnsi="David" w:cs="David"/>
          <w:i/>
          <w:color w:val="222222"/>
          <w:sz w:val="24"/>
          <w:szCs w:val="24"/>
          <w:rtl/>
        </w:rPr>
        <w:br/>
      </w:r>
    </w:p>
    <w:p w14:paraId="48E118CA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להלן תשובותיהם של שני תלמידים</w:t>
      </w:r>
      <w:r>
        <w:rPr>
          <w:rFonts w:ascii="David" w:eastAsia="David" w:hAnsi="David" w:cs="David"/>
          <w:color w:val="222222"/>
          <w:sz w:val="24"/>
          <w:szCs w:val="24"/>
          <w:rtl/>
        </w:rPr>
        <w:t>:</w:t>
      </w:r>
    </w:p>
    <w:tbl>
      <w:tblPr>
        <w:tblStyle w:val="a6"/>
        <w:bidiVisual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40"/>
      </w:tblGrid>
      <w:tr w:rsidR="005B7BF6" w14:paraId="508D17D2" w14:textId="77777777">
        <w:trPr>
          <w:trHeight w:val="285"/>
        </w:trPr>
        <w:tc>
          <w:tcPr>
            <w:tcW w:w="4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80EA53" w14:textId="77777777" w:rsidR="005B7BF6" w:rsidRDefault="00F10791">
            <w:pPr>
              <w:bidi/>
              <w:spacing w:before="240" w:line="360" w:lineRule="auto"/>
              <w:jc w:val="center"/>
              <w:rPr>
                <w:rFonts w:ascii="David" w:eastAsia="David" w:hAnsi="David" w:cs="David"/>
                <w:b/>
                <w:color w:val="222222"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color w:val="222222"/>
                <w:sz w:val="24"/>
                <w:szCs w:val="24"/>
                <w:rtl/>
                <w:lang w:bidi="he-IL"/>
              </w:rPr>
              <w:t>תלמיד ראשון</w:t>
            </w:r>
          </w:p>
        </w:tc>
        <w:tc>
          <w:tcPr>
            <w:tcW w:w="4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AA7667" w14:textId="77777777" w:rsidR="005B7BF6" w:rsidRDefault="00F10791">
            <w:pPr>
              <w:bidi/>
              <w:spacing w:before="240" w:line="360" w:lineRule="auto"/>
              <w:jc w:val="center"/>
              <w:rPr>
                <w:rFonts w:ascii="David" w:eastAsia="David" w:hAnsi="David" w:cs="David"/>
                <w:b/>
                <w:color w:val="222222"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color w:val="222222"/>
                <w:sz w:val="24"/>
                <w:szCs w:val="24"/>
                <w:rtl/>
                <w:lang w:bidi="he-IL"/>
              </w:rPr>
              <w:t>תלמיד שני</w:t>
            </w:r>
          </w:p>
        </w:tc>
      </w:tr>
      <w:tr w:rsidR="005B7BF6" w14:paraId="7B98061E" w14:textId="77777777">
        <w:trPr>
          <w:trHeight w:val="4350"/>
        </w:trPr>
        <w:tc>
          <w:tcPr>
            <w:tcW w:w="44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D7BB4A" w14:textId="77777777" w:rsidR="005B7BF6" w:rsidRDefault="00F10791">
            <w:pPr>
              <w:bidi/>
              <w:spacing w:before="240" w:line="360" w:lineRule="auto"/>
              <w:jc w:val="center"/>
              <w:rPr>
                <w:rFonts w:ascii="David" w:eastAsia="David" w:hAnsi="David" w:cs="David"/>
                <w:color w:val="222222"/>
                <w:sz w:val="24"/>
                <w:szCs w:val="24"/>
              </w:rPr>
            </w:pPr>
            <w:r>
              <w:rPr>
                <w:rFonts w:ascii="David" w:eastAsia="David" w:hAnsi="David" w:cs="David"/>
                <w:noProof/>
                <w:color w:val="222222"/>
                <w:sz w:val="24"/>
                <w:szCs w:val="24"/>
              </w:rPr>
              <w:drawing>
                <wp:inline distT="114300" distB="114300" distL="114300" distR="114300" wp14:anchorId="2919ED4B" wp14:editId="62B126DE">
                  <wp:extent cx="2409167" cy="2371326"/>
                  <wp:effectExtent l="0" t="0" r="0" b="0"/>
                  <wp:docPr id="1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167" cy="23713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8E438" w14:textId="77777777" w:rsidR="005B7BF6" w:rsidRDefault="00F10791">
            <w:pPr>
              <w:bidi/>
              <w:spacing w:before="240" w:line="360" w:lineRule="auto"/>
              <w:jc w:val="center"/>
              <w:rPr>
                <w:rFonts w:ascii="David" w:eastAsia="David" w:hAnsi="David" w:cs="David"/>
                <w:color w:val="222222"/>
                <w:sz w:val="24"/>
                <w:szCs w:val="24"/>
              </w:rPr>
            </w:pPr>
            <w:r>
              <w:rPr>
                <w:rFonts w:ascii="David" w:eastAsia="David" w:hAnsi="David" w:cs="David"/>
                <w:noProof/>
                <w:color w:val="222222"/>
                <w:sz w:val="24"/>
                <w:szCs w:val="24"/>
              </w:rPr>
              <w:drawing>
                <wp:inline distT="114300" distB="114300" distL="114300" distR="114300" wp14:anchorId="412CFD92" wp14:editId="7608AB98">
                  <wp:extent cx="2138363" cy="2450207"/>
                  <wp:effectExtent l="0" t="0" r="0" b="0"/>
                  <wp:docPr id="13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363" cy="24502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2F9B92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b/>
          <w:color w:val="222222"/>
          <w:sz w:val="24"/>
          <w:szCs w:val="24"/>
        </w:rPr>
      </w:pP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t>חלק א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>':</w:t>
      </w:r>
    </w:p>
    <w:p w14:paraId="476FEE74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lastRenderedPageBreak/>
        <w:t>בהתבסס על שתי התשובות שלמעלה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נתח מה כל תלמיד מבין לגבי מושג האלכסון במצולע</w:t>
      </w:r>
      <w:r>
        <w:rPr>
          <w:rFonts w:ascii="David" w:eastAsia="David" w:hAnsi="David" w:cs="David"/>
          <w:color w:val="222222"/>
          <w:sz w:val="24"/>
          <w:szCs w:val="24"/>
          <w:rtl/>
        </w:rPr>
        <w:t>.</w:t>
      </w:r>
      <w:r>
        <w:rPr>
          <w:rFonts w:ascii="David" w:eastAsia="David" w:hAnsi="David" w:cs="David"/>
          <w:color w:val="222222"/>
          <w:sz w:val="24"/>
          <w:szCs w:val="24"/>
          <w:rtl/>
        </w:rPr>
        <w:br/>
        <w:t xml:space="preserve">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במילים אחרות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כתוב את ההגדרה שכל אחד מהם אימץ למושג </w:t>
      </w:r>
      <w:r>
        <w:rPr>
          <w:rFonts w:ascii="David" w:eastAsia="David" w:hAnsi="David" w:cs="David"/>
          <w:color w:val="222222"/>
          <w:sz w:val="24"/>
          <w:szCs w:val="24"/>
          <w:rtl/>
        </w:rPr>
        <w:t>"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אלכסון במצולע</w:t>
      </w:r>
      <w:r>
        <w:rPr>
          <w:rFonts w:ascii="David" w:eastAsia="David" w:hAnsi="David" w:cs="David"/>
          <w:color w:val="222222"/>
          <w:sz w:val="24"/>
          <w:szCs w:val="24"/>
          <w:rtl/>
        </w:rPr>
        <w:t>".</w:t>
      </w:r>
    </w:p>
    <w:p w14:paraId="2C1BBDBF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  <w:r>
        <w:rPr>
          <w:rFonts w:ascii="David" w:eastAsia="David" w:hAnsi="David" w:cs="David"/>
          <w:color w:val="222222"/>
          <w:sz w:val="24"/>
          <w:szCs w:val="24"/>
        </w:rPr>
        <w:t xml:space="preserve"> </w:t>
      </w:r>
    </w:p>
    <w:p w14:paraId="3F4B078D" w14:textId="77777777" w:rsidR="005B7BF6" w:rsidRDefault="00F10791" w:rsidP="000F7D40">
      <w:pPr>
        <w:bidi/>
        <w:spacing w:before="240" w:after="240" w:line="360" w:lineRule="auto"/>
        <w:rPr>
          <w:rFonts w:ascii="David" w:eastAsia="David" w:hAnsi="David" w:cs="David"/>
          <w:b/>
          <w:color w:val="222222"/>
          <w:sz w:val="24"/>
          <w:szCs w:val="24"/>
        </w:rPr>
      </w:pP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t>חלק ב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>':</w:t>
      </w:r>
    </w:p>
    <w:p w14:paraId="3C6D8AC8" w14:textId="77777777" w:rsidR="005B7BF6" w:rsidRDefault="00F10791" w:rsidP="000F7D40">
      <w:pPr>
        <w:bidi/>
        <w:spacing w:before="240" w:after="240" w:line="360" w:lineRule="auto"/>
        <w:rPr>
          <w:rFonts w:ascii="David" w:eastAsia="David" w:hAnsi="David" w:cs="David"/>
          <w:color w:val="222222"/>
          <w:sz w:val="24"/>
          <w:szCs w:val="24"/>
        </w:rPr>
      </w:pP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להלן שני מצולעים חדשים</w:t>
      </w:r>
      <w:r>
        <w:rPr>
          <w:rFonts w:ascii="David" w:eastAsia="David" w:hAnsi="David" w:cs="David"/>
          <w:color w:val="222222"/>
          <w:sz w:val="24"/>
          <w:szCs w:val="24"/>
          <w:rtl/>
        </w:rPr>
        <w:t>.</w:t>
      </w:r>
      <w:r>
        <w:rPr>
          <w:rFonts w:ascii="David" w:eastAsia="David" w:hAnsi="David" w:cs="David"/>
          <w:color w:val="222222"/>
          <w:sz w:val="24"/>
          <w:szCs w:val="24"/>
          <w:rtl/>
        </w:rPr>
        <w:br/>
        <w:t xml:space="preserve">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שרטט את כל האלכסונים מהקודקוד </w:t>
      </w:r>
      <w:r>
        <w:rPr>
          <w:rFonts w:ascii="David" w:eastAsia="David" w:hAnsi="David" w:cs="David"/>
          <w:color w:val="222222"/>
          <w:sz w:val="24"/>
          <w:szCs w:val="24"/>
        </w:rPr>
        <w:t>A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 בכל אחד מהם 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–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בהתאם להבנה של כל אחד משני התלמידים למושג האלכסון</w:t>
      </w:r>
      <w:r>
        <w:rPr>
          <w:rFonts w:ascii="David" w:eastAsia="David" w:hAnsi="David" w:cs="David"/>
          <w:color w:val="222222"/>
          <w:sz w:val="24"/>
          <w:szCs w:val="24"/>
          <w:rtl/>
        </w:rPr>
        <w:t>.</w:t>
      </w:r>
    </w:p>
    <w:p w14:paraId="5171FD56" w14:textId="77777777" w:rsidR="005B7BF6" w:rsidRDefault="00F10791">
      <w:pPr>
        <w:bidi/>
        <w:spacing w:before="240" w:after="240" w:line="360" w:lineRule="auto"/>
        <w:jc w:val="center"/>
        <w:rPr>
          <w:rFonts w:ascii="David" w:eastAsia="David" w:hAnsi="David" w:cs="David"/>
          <w:color w:val="222222"/>
          <w:sz w:val="24"/>
          <w:szCs w:val="24"/>
        </w:rPr>
      </w:pPr>
      <w:r>
        <w:rPr>
          <w:rFonts w:ascii="David" w:eastAsia="David" w:hAnsi="David" w:cs="David"/>
          <w:noProof/>
          <w:color w:val="222222"/>
          <w:sz w:val="24"/>
          <w:szCs w:val="24"/>
        </w:rPr>
        <w:drawing>
          <wp:inline distT="114300" distB="114300" distL="114300" distR="114300" wp14:anchorId="45ABD317" wp14:editId="6BCDF058">
            <wp:extent cx="3048000" cy="1384300"/>
            <wp:effectExtent l="0" t="0" r="0" b="0"/>
            <wp:docPr id="3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38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10AE8D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</w:p>
    <w:p w14:paraId="240516B0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</w:p>
    <w:p w14:paraId="72443201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</w:p>
    <w:p w14:paraId="3D3F48EC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</w:p>
    <w:p w14:paraId="3FDD699D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</w:p>
    <w:p w14:paraId="2C298ABF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</w:p>
    <w:p w14:paraId="50BC8BA4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</w:p>
    <w:p w14:paraId="6C45ECA4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</w:p>
    <w:p w14:paraId="51943627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</w:p>
    <w:p w14:paraId="3DEE69A2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</w:p>
    <w:p w14:paraId="7E57422A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</w:p>
    <w:p w14:paraId="74924F0C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</w:p>
    <w:p w14:paraId="2BEF8110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</w:p>
    <w:p w14:paraId="1E37067A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</w:p>
    <w:p w14:paraId="40002A9F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b/>
          <w:color w:val="222222"/>
          <w:sz w:val="24"/>
          <w:szCs w:val="24"/>
        </w:rPr>
      </w:pP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lastRenderedPageBreak/>
        <w:t xml:space="preserve">נספח 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>3.</w:t>
      </w:r>
    </w:p>
    <w:p w14:paraId="616FE75B" w14:textId="77777777" w:rsidR="005B7BF6" w:rsidRDefault="00F10791" w:rsidP="000F7D40">
      <w:pPr>
        <w:bidi/>
        <w:spacing w:before="240" w:after="240" w:line="360" w:lineRule="auto"/>
        <w:rPr>
          <w:rFonts w:ascii="David" w:eastAsia="David" w:hAnsi="David" w:cs="David"/>
          <w:color w:val="222222"/>
          <w:sz w:val="24"/>
          <w:szCs w:val="24"/>
        </w:rPr>
      </w:pP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קרא</w:t>
      </w:r>
      <w:r>
        <w:rPr>
          <w:rFonts w:ascii="David" w:eastAsia="David" w:hAnsi="David" w:cs="David"/>
          <w:color w:val="222222"/>
          <w:sz w:val="24"/>
          <w:szCs w:val="24"/>
          <w:rtl/>
        </w:rPr>
        <w:t>/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י כל שאלה ובחר</w:t>
      </w:r>
      <w:r>
        <w:rPr>
          <w:rFonts w:ascii="David" w:eastAsia="David" w:hAnsi="David" w:cs="David"/>
          <w:color w:val="222222"/>
          <w:sz w:val="24"/>
          <w:szCs w:val="24"/>
          <w:rtl/>
        </w:rPr>
        <w:t>/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י את אחת מהתשובות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: </w:t>
      </w: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t xml:space="preserve">כן 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 xml:space="preserve">/ </w:t>
      </w: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t xml:space="preserve">לא 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 xml:space="preserve">/ </w:t>
      </w: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t>לא יודע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>/</w:t>
      </w: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color w:val="222222"/>
          <w:sz w:val="24"/>
          <w:szCs w:val="24"/>
          <w:rtl/>
        </w:rPr>
        <w:t>.</w:t>
      </w:r>
      <w:r>
        <w:rPr>
          <w:rFonts w:ascii="David" w:eastAsia="David" w:hAnsi="David" w:cs="David"/>
          <w:color w:val="222222"/>
          <w:sz w:val="24"/>
          <w:szCs w:val="24"/>
          <w:rtl/>
        </w:rPr>
        <w:br/>
        <w:t xml:space="preserve">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לאחר מכן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t>נמק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>/</w:t>
      </w: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t>י בקצרה את תשובתך</w:t>
      </w:r>
      <w:r>
        <w:rPr>
          <w:rFonts w:ascii="David" w:eastAsia="David" w:hAnsi="David" w:cs="David"/>
          <w:color w:val="222222"/>
          <w:sz w:val="24"/>
          <w:szCs w:val="24"/>
        </w:rPr>
        <w:t>.</w:t>
      </w:r>
    </w:p>
    <w:p w14:paraId="1D0B86D8" w14:textId="77777777" w:rsidR="005B7BF6" w:rsidRDefault="00F10791">
      <w:pPr>
        <w:numPr>
          <w:ilvl w:val="0"/>
          <w:numId w:val="5"/>
        </w:numPr>
        <w:bidi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t>האם ריבוע הוא מלבן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>?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br/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 כן 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/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לא 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/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לא יודע</w:t>
      </w:r>
      <w:r>
        <w:rPr>
          <w:rFonts w:ascii="David" w:eastAsia="David" w:hAnsi="David" w:cs="David"/>
          <w:color w:val="222222"/>
          <w:sz w:val="24"/>
          <w:szCs w:val="24"/>
          <w:rtl/>
        </w:rPr>
        <w:t>/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color w:val="222222"/>
          <w:sz w:val="24"/>
          <w:szCs w:val="24"/>
          <w:rtl/>
        </w:rPr>
        <w:br/>
        <w:t xml:space="preserve">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נמק</w:t>
      </w:r>
      <w:r>
        <w:rPr>
          <w:rFonts w:ascii="David" w:eastAsia="David" w:hAnsi="David" w:cs="David"/>
          <w:color w:val="222222"/>
          <w:sz w:val="24"/>
          <w:szCs w:val="24"/>
          <w:rtl/>
        </w:rPr>
        <w:t>/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י את תשובתך</w:t>
      </w:r>
      <w:r>
        <w:rPr>
          <w:rFonts w:ascii="David" w:eastAsia="David" w:hAnsi="David" w:cs="David"/>
          <w:color w:val="222222"/>
          <w:sz w:val="24"/>
          <w:szCs w:val="24"/>
          <w:rtl/>
        </w:rPr>
        <w:t>:_____________________________</w:t>
      </w:r>
    </w:p>
    <w:p w14:paraId="5E40DED0" w14:textId="77777777" w:rsidR="005B7BF6" w:rsidRDefault="00F10791">
      <w:pPr>
        <w:numPr>
          <w:ilvl w:val="0"/>
          <w:numId w:val="5"/>
        </w:numPr>
        <w:bidi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t>האם מלבן הוא מקבילית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>?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br/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 כן 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/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לא 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/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לא יודע</w:t>
      </w:r>
      <w:r>
        <w:rPr>
          <w:rFonts w:ascii="David" w:eastAsia="David" w:hAnsi="David" w:cs="David"/>
          <w:color w:val="222222"/>
          <w:sz w:val="24"/>
          <w:szCs w:val="24"/>
          <w:rtl/>
        </w:rPr>
        <w:t>/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color w:val="222222"/>
          <w:sz w:val="24"/>
          <w:szCs w:val="24"/>
          <w:rtl/>
        </w:rPr>
        <w:br/>
        <w:t xml:space="preserve">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נמק</w:t>
      </w:r>
      <w:r>
        <w:rPr>
          <w:rFonts w:ascii="David" w:eastAsia="David" w:hAnsi="David" w:cs="David"/>
          <w:color w:val="222222"/>
          <w:sz w:val="24"/>
          <w:szCs w:val="24"/>
          <w:rtl/>
        </w:rPr>
        <w:t>/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י את תשובתך</w:t>
      </w:r>
      <w:r>
        <w:rPr>
          <w:rFonts w:ascii="David" w:eastAsia="David" w:hAnsi="David" w:cs="David"/>
          <w:color w:val="222222"/>
          <w:sz w:val="24"/>
          <w:szCs w:val="24"/>
          <w:rtl/>
        </w:rPr>
        <w:t>: _____________________________</w:t>
      </w:r>
    </w:p>
    <w:p w14:paraId="79B0C34D" w14:textId="77777777" w:rsidR="005B7BF6" w:rsidRDefault="00F10791">
      <w:pPr>
        <w:numPr>
          <w:ilvl w:val="0"/>
          <w:numId w:val="5"/>
        </w:numPr>
        <w:bidi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t>האם ריבוע הוא דלתון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>?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br/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 כן 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/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לא 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/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לא יודע</w:t>
      </w:r>
      <w:r>
        <w:rPr>
          <w:rFonts w:ascii="David" w:eastAsia="David" w:hAnsi="David" w:cs="David"/>
          <w:color w:val="222222"/>
          <w:sz w:val="24"/>
          <w:szCs w:val="24"/>
          <w:rtl/>
        </w:rPr>
        <w:t>/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color w:val="222222"/>
          <w:sz w:val="24"/>
          <w:szCs w:val="24"/>
          <w:rtl/>
        </w:rPr>
        <w:br/>
        <w:t xml:space="preserve">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נמק</w:t>
      </w:r>
      <w:r>
        <w:rPr>
          <w:rFonts w:ascii="David" w:eastAsia="David" w:hAnsi="David" w:cs="David"/>
          <w:color w:val="222222"/>
          <w:sz w:val="24"/>
          <w:szCs w:val="24"/>
          <w:rtl/>
        </w:rPr>
        <w:t>/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י את תשובתך</w:t>
      </w:r>
      <w:r>
        <w:rPr>
          <w:rFonts w:ascii="David" w:eastAsia="David" w:hAnsi="David" w:cs="David"/>
          <w:color w:val="222222"/>
          <w:sz w:val="24"/>
          <w:szCs w:val="24"/>
          <w:rtl/>
        </w:rPr>
        <w:t>: _____________________________</w:t>
      </w:r>
    </w:p>
    <w:p w14:paraId="0D4156D7" w14:textId="77777777" w:rsidR="005B7BF6" w:rsidRDefault="00F10791">
      <w:pPr>
        <w:numPr>
          <w:ilvl w:val="0"/>
          <w:numId w:val="5"/>
        </w:numPr>
        <w:bidi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t>האם ריבוע הוא מקבילית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>?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br/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 כן 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/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לא 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/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לא יודע</w:t>
      </w:r>
      <w:r>
        <w:rPr>
          <w:rFonts w:ascii="David" w:eastAsia="David" w:hAnsi="David" w:cs="David"/>
          <w:color w:val="222222"/>
          <w:sz w:val="24"/>
          <w:szCs w:val="24"/>
          <w:rtl/>
        </w:rPr>
        <w:t>/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color w:val="222222"/>
          <w:sz w:val="24"/>
          <w:szCs w:val="24"/>
          <w:rtl/>
        </w:rPr>
        <w:br/>
        <w:t xml:space="preserve">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נמק</w:t>
      </w:r>
      <w:r>
        <w:rPr>
          <w:rFonts w:ascii="David" w:eastAsia="David" w:hAnsi="David" w:cs="David"/>
          <w:color w:val="222222"/>
          <w:sz w:val="24"/>
          <w:szCs w:val="24"/>
          <w:rtl/>
        </w:rPr>
        <w:t>/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י את תשובתך</w:t>
      </w:r>
      <w:r>
        <w:rPr>
          <w:rFonts w:ascii="David" w:eastAsia="David" w:hAnsi="David" w:cs="David"/>
          <w:color w:val="222222"/>
          <w:sz w:val="24"/>
          <w:szCs w:val="24"/>
          <w:rtl/>
        </w:rPr>
        <w:t>: _____________________________</w:t>
      </w:r>
    </w:p>
    <w:p w14:paraId="1EAD1EF2" w14:textId="77777777" w:rsidR="005B7BF6" w:rsidRDefault="00F10791">
      <w:pPr>
        <w:numPr>
          <w:ilvl w:val="0"/>
          <w:numId w:val="5"/>
        </w:numPr>
        <w:bidi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t>האם ריבוע הוא מעוין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>?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br/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 כן 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/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לא 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/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לא יודע</w:t>
      </w:r>
      <w:r>
        <w:rPr>
          <w:rFonts w:ascii="David" w:eastAsia="David" w:hAnsi="David" w:cs="David"/>
          <w:color w:val="222222"/>
          <w:sz w:val="24"/>
          <w:szCs w:val="24"/>
          <w:rtl/>
        </w:rPr>
        <w:t>/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color w:val="222222"/>
          <w:sz w:val="24"/>
          <w:szCs w:val="24"/>
          <w:rtl/>
        </w:rPr>
        <w:br/>
        <w:t xml:space="preserve">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נמק</w:t>
      </w:r>
      <w:r>
        <w:rPr>
          <w:rFonts w:ascii="David" w:eastAsia="David" w:hAnsi="David" w:cs="David"/>
          <w:color w:val="222222"/>
          <w:sz w:val="24"/>
          <w:szCs w:val="24"/>
          <w:rtl/>
        </w:rPr>
        <w:t>/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י את תשובתך</w:t>
      </w:r>
      <w:r>
        <w:rPr>
          <w:rFonts w:ascii="David" w:eastAsia="David" w:hAnsi="David" w:cs="David"/>
          <w:color w:val="222222"/>
          <w:sz w:val="24"/>
          <w:szCs w:val="24"/>
          <w:rtl/>
        </w:rPr>
        <w:t>: _____________________________</w:t>
      </w:r>
    </w:p>
    <w:p w14:paraId="7288DD2A" w14:textId="77777777" w:rsidR="005B7BF6" w:rsidRDefault="00F10791">
      <w:pPr>
        <w:numPr>
          <w:ilvl w:val="0"/>
          <w:numId w:val="5"/>
        </w:numPr>
        <w:bidi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t>האם מעוין הוא דלתון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>?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br/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 כן 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/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לא 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/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לא יודע</w:t>
      </w:r>
      <w:r>
        <w:rPr>
          <w:rFonts w:ascii="David" w:eastAsia="David" w:hAnsi="David" w:cs="David"/>
          <w:color w:val="222222"/>
          <w:sz w:val="24"/>
          <w:szCs w:val="24"/>
          <w:rtl/>
        </w:rPr>
        <w:t>/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color w:val="222222"/>
          <w:sz w:val="24"/>
          <w:szCs w:val="24"/>
          <w:rtl/>
        </w:rPr>
        <w:br/>
        <w:t xml:space="preserve">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נמק</w:t>
      </w:r>
      <w:r>
        <w:rPr>
          <w:rFonts w:ascii="David" w:eastAsia="David" w:hAnsi="David" w:cs="David"/>
          <w:color w:val="222222"/>
          <w:sz w:val="24"/>
          <w:szCs w:val="24"/>
          <w:rtl/>
        </w:rPr>
        <w:t>/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י את תשובתך</w:t>
      </w:r>
      <w:r>
        <w:rPr>
          <w:rFonts w:ascii="David" w:eastAsia="David" w:hAnsi="David" w:cs="David"/>
          <w:color w:val="222222"/>
          <w:sz w:val="24"/>
          <w:szCs w:val="24"/>
          <w:rtl/>
        </w:rPr>
        <w:t>: _____________________________</w:t>
      </w:r>
    </w:p>
    <w:p w14:paraId="07997764" w14:textId="77777777" w:rsidR="005B7BF6" w:rsidRDefault="00F10791">
      <w:pPr>
        <w:numPr>
          <w:ilvl w:val="0"/>
          <w:numId w:val="5"/>
        </w:numPr>
        <w:bidi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t>האם ריבוע הוא טרפז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>?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br/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 כן 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/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לא 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/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לא יודע</w:t>
      </w:r>
      <w:r>
        <w:rPr>
          <w:rFonts w:ascii="David" w:eastAsia="David" w:hAnsi="David" w:cs="David"/>
          <w:color w:val="222222"/>
          <w:sz w:val="24"/>
          <w:szCs w:val="24"/>
          <w:rtl/>
        </w:rPr>
        <w:t>/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color w:val="222222"/>
          <w:sz w:val="24"/>
          <w:szCs w:val="24"/>
          <w:rtl/>
        </w:rPr>
        <w:br/>
        <w:t xml:space="preserve">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נמק</w:t>
      </w:r>
      <w:r>
        <w:rPr>
          <w:rFonts w:ascii="David" w:eastAsia="David" w:hAnsi="David" w:cs="David"/>
          <w:color w:val="222222"/>
          <w:sz w:val="24"/>
          <w:szCs w:val="24"/>
          <w:rtl/>
        </w:rPr>
        <w:t>/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י את תשובתך</w:t>
      </w:r>
      <w:r>
        <w:rPr>
          <w:rFonts w:ascii="David" w:eastAsia="David" w:hAnsi="David" w:cs="David"/>
          <w:color w:val="222222"/>
          <w:sz w:val="24"/>
          <w:szCs w:val="24"/>
          <w:rtl/>
        </w:rPr>
        <w:t>: _____________________________</w:t>
      </w:r>
    </w:p>
    <w:p w14:paraId="2585F6CB" w14:textId="77777777" w:rsidR="005B7BF6" w:rsidRDefault="00F10791">
      <w:pPr>
        <w:numPr>
          <w:ilvl w:val="0"/>
          <w:numId w:val="5"/>
        </w:numPr>
        <w:bidi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t>האם דלתון הוא מקבילית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>?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br/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 כן 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/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לא 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/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לא יודע</w:t>
      </w:r>
      <w:r>
        <w:rPr>
          <w:rFonts w:ascii="David" w:eastAsia="David" w:hAnsi="David" w:cs="David"/>
          <w:color w:val="222222"/>
          <w:sz w:val="24"/>
          <w:szCs w:val="24"/>
          <w:rtl/>
        </w:rPr>
        <w:t>/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color w:val="222222"/>
          <w:sz w:val="24"/>
          <w:szCs w:val="24"/>
          <w:rtl/>
        </w:rPr>
        <w:br/>
        <w:t xml:space="preserve">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נמק</w:t>
      </w:r>
      <w:r>
        <w:rPr>
          <w:rFonts w:ascii="David" w:eastAsia="David" w:hAnsi="David" w:cs="David"/>
          <w:color w:val="222222"/>
          <w:sz w:val="24"/>
          <w:szCs w:val="24"/>
          <w:rtl/>
        </w:rPr>
        <w:t>/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י את תשובתך</w:t>
      </w:r>
      <w:r>
        <w:rPr>
          <w:rFonts w:ascii="David" w:eastAsia="David" w:hAnsi="David" w:cs="David"/>
          <w:color w:val="222222"/>
          <w:sz w:val="24"/>
          <w:szCs w:val="24"/>
          <w:rtl/>
        </w:rPr>
        <w:t>: _____________________________</w:t>
      </w:r>
    </w:p>
    <w:p w14:paraId="1F599DD1" w14:textId="77777777" w:rsidR="005B7BF6" w:rsidRDefault="00F10791">
      <w:pPr>
        <w:numPr>
          <w:ilvl w:val="0"/>
          <w:numId w:val="5"/>
        </w:numPr>
        <w:bidi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t>האם מקבילית היא טרפז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>?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br/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 כן 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/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לא 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/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לא יודע</w:t>
      </w:r>
      <w:r>
        <w:rPr>
          <w:rFonts w:ascii="David" w:eastAsia="David" w:hAnsi="David" w:cs="David"/>
          <w:color w:val="222222"/>
          <w:sz w:val="24"/>
          <w:szCs w:val="24"/>
          <w:rtl/>
        </w:rPr>
        <w:t>/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color w:val="222222"/>
          <w:sz w:val="24"/>
          <w:szCs w:val="24"/>
          <w:rtl/>
        </w:rPr>
        <w:br/>
        <w:t xml:space="preserve">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נמק</w:t>
      </w:r>
      <w:r>
        <w:rPr>
          <w:rFonts w:ascii="David" w:eastAsia="David" w:hAnsi="David" w:cs="David"/>
          <w:color w:val="222222"/>
          <w:sz w:val="24"/>
          <w:szCs w:val="24"/>
          <w:rtl/>
        </w:rPr>
        <w:t>/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י את תשובתך</w:t>
      </w:r>
      <w:r>
        <w:rPr>
          <w:rFonts w:ascii="David" w:eastAsia="David" w:hAnsi="David" w:cs="David"/>
          <w:color w:val="222222"/>
          <w:sz w:val="24"/>
          <w:szCs w:val="24"/>
          <w:rtl/>
        </w:rPr>
        <w:t>: _____________________________</w:t>
      </w:r>
    </w:p>
    <w:p w14:paraId="4C082D1F" w14:textId="77777777" w:rsidR="005B7BF6" w:rsidRDefault="00F10791">
      <w:pPr>
        <w:numPr>
          <w:ilvl w:val="0"/>
          <w:numId w:val="5"/>
        </w:numPr>
        <w:bidi/>
        <w:spacing w:after="24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t>האם מעוין הוא מקבילית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>?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br/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 כן 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/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 xml:space="preserve">לא 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/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לא יודע</w:t>
      </w:r>
      <w:r>
        <w:rPr>
          <w:rFonts w:ascii="David" w:eastAsia="David" w:hAnsi="David" w:cs="David"/>
          <w:color w:val="222222"/>
          <w:sz w:val="24"/>
          <w:szCs w:val="24"/>
          <w:rtl/>
        </w:rPr>
        <w:t>/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color w:val="222222"/>
          <w:sz w:val="24"/>
          <w:szCs w:val="24"/>
          <w:rtl/>
        </w:rPr>
        <w:br/>
        <w:t xml:space="preserve"> 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נמק</w:t>
      </w:r>
      <w:r>
        <w:rPr>
          <w:rFonts w:ascii="David" w:eastAsia="David" w:hAnsi="David" w:cs="David"/>
          <w:color w:val="222222"/>
          <w:sz w:val="24"/>
          <w:szCs w:val="24"/>
          <w:rtl/>
        </w:rPr>
        <w:t>/</w:t>
      </w: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י את תשובתך</w:t>
      </w:r>
      <w:r>
        <w:rPr>
          <w:rFonts w:ascii="David" w:eastAsia="David" w:hAnsi="David" w:cs="David"/>
          <w:color w:val="222222"/>
          <w:sz w:val="24"/>
          <w:szCs w:val="24"/>
          <w:rtl/>
        </w:rPr>
        <w:t>: _____________________________</w:t>
      </w:r>
    </w:p>
    <w:p w14:paraId="70B7E210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</w:p>
    <w:p w14:paraId="59687DEA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  <w:r>
        <w:br w:type="page"/>
      </w:r>
    </w:p>
    <w:p w14:paraId="18B36ED3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b/>
          <w:color w:val="222222"/>
          <w:sz w:val="24"/>
          <w:szCs w:val="24"/>
        </w:rPr>
      </w:pPr>
      <w:r>
        <w:rPr>
          <w:rFonts w:ascii="David" w:eastAsia="David" w:hAnsi="David" w:cs="David"/>
          <w:b/>
          <w:color w:val="222222"/>
          <w:sz w:val="24"/>
          <w:szCs w:val="24"/>
          <w:rtl/>
          <w:lang w:bidi="he-IL"/>
        </w:rPr>
        <w:lastRenderedPageBreak/>
        <w:t xml:space="preserve">נספח </w:t>
      </w:r>
      <w:r>
        <w:rPr>
          <w:rFonts w:ascii="David" w:eastAsia="David" w:hAnsi="David" w:cs="David"/>
          <w:b/>
          <w:color w:val="222222"/>
          <w:sz w:val="24"/>
          <w:szCs w:val="24"/>
          <w:rtl/>
        </w:rPr>
        <w:t>4.</w:t>
      </w:r>
    </w:p>
    <w:p w14:paraId="36AF4EF3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לפניך הצורות הבאות</w:t>
      </w:r>
      <w:r>
        <w:rPr>
          <w:rFonts w:ascii="David" w:eastAsia="David" w:hAnsi="David" w:cs="David"/>
          <w:color w:val="222222"/>
          <w:sz w:val="24"/>
          <w:szCs w:val="24"/>
          <w:rtl/>
        </w:rPr>
        <w:t>:</w:t>
      </w:r>
    </w:p>
    <w:p w14:paraId="7E747FE3" w14:textId="77777777" w:rsidR="005B7BF6" w:rsidRDefault="00F10791">
      <w:pPr>
        <w:bidi/>
        <w:spacing w:before="240" w:after="240" w:line="360" w:lineRule="auto"/>
        <w:jc w:val="center"/>
        <w:rPr>
          <w:rFonts w:ascii="David" w:eastAsia="David" w:hAnsi="David" w:cs="David"/>
          <w:color w:val="222222"/>
          <w:sz w:val="24"/>
          <w:szCs w:val="24"/>
        </w:rPr>
      </w:pPr>
      <w:r>
        <w:rPr>
          <w:rFonts w:ascii="David" w:eastAsia="David" w:hAnsi="David" w:cs="David"/>
          <w:noProof/>
          <w:color w:val="222222"/>
          <w:sz w:val="24"/>
          <w:szCs w:val="24"/>
        </w:rPr>
        <w:drawing>
          <wp:inline distT="114300" distB="114300" distL="114300" distR="114300" wp14:anchorId="568A5BC0" wp14:editId="14EEB14A">
            <wp:extent cx="5731200" cy="596900"/>
            <wp:effectExtent l="0" t="0" r="0" b="0"/>
            <wp:docPr id="16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9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5B2FD5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רשום את מספרי כל הצורות שהן מקביליות</w:t>
      </w:r>
      <w:r>
        <w:rPr>
          <w:rFonts w:ascii="David" w:eastAsia="David" w:hAnsi="David" w:cs="David"/>
          <w:color w:val="222222"/>
          <w:sz w:val="24"/>
          <w:szCs w:val="24"/>
          <w:rtl/>
        </w:rPr>
        <w:t>: _____________________</w:t>
      </w:r>
    </w:p>
    <w:p w14:paraId="0346EEB3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רשום את מספרי כל הצורות שהן מלבנים</w:t>
      </w:r>
      <w:r>
        <w:rPr>
          <w:rFonts w:ascii="David" w:eastAsia="David" w:hAnsi="David" w:cs="David"/>
          <w:color w:val="222222"/>
          <w:sz w:val="24"/>
          <w:szCs w:val="24"/>
          <w:rtl/>
        </w:rPr>
        <w:t>: _____________________</w:t>
      </w:r>
    </w:p>
    <w:p w14:paraId="53400738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רשום את מספרי כל הצורות שהן מעוינים</w:t>
      </w:r>
      <w:r>
        <w:rPr>
          <w:rFonts w:ascii="David" w:eastAsia="David" w:hAnsi="David" w:cs="David"/>
          <w:color w:val="222222"/>
          <w:sz w:val="24"/>
          <w:szCs w:val="24"/>
          <w:rtl/>
        </w:rPr>
        <w:t>: _____________________</w:t>
      </w:r>
    </w:p>
    <w:p w14:paraId="5A61C00B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רשום את מספרי כל הצורות שהן ריבועים</w:t>
      </w:r>
      <w:r>
        <w:rPr>
          <w:rFonts w:ascii="David" w:eastAsia="David" w:hAnsi="David" w:cs="David"/>
          <w:color w:val="222222"/>
          <w:sz w:val="24"/>
          <w:szCs w:val="24"/>
          <w:rtl/>
        </w:rPr>
        <w:t>: _____________________</w:t>
      </w:r>
    </w:p>
    <w:p w14:paraId="73114886" w14:textId="77777777" w:rsidR="005B7BF6" w:rsidRDefault="00F10791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  <w:r>
        <w:rPr>
          <w:rFonts w:ascii="David" w:eastAsia="David" w:hAnsi="David" w:cs="David"/>
          <w:color w:val="222222"/>
          <w:sz w:val="24"/>
          <w:szCs w:val="24"/>
          <w:rtl/>
          <w:lang w:bidi="he-IL"/>
        </w:rPr>
        <w:t>רשום את מספרי כל הצורות שהן דלתונים</w:t>
      </w:r>
      <w:r>
        <w:rPr>
          <w:rFonts w:ascii="David" w:eastAsia="David" w:hAnsi="David" w:cs="David"/>
          <w:color w:val="222222"/>
          <w:sz w:val="24"/>
          <w:szCs w:val="24"/>
          <w:rtl/>
        </w:rPr>
        <w:t>: _____________________</w:t>
      </w:r>
    </w:p>
    <w:p w14:paraId="79183769" w14:textId="77777777" w:rsidR="005B7BF6" w:rsidRDefault="005B7BF6">
      <w:pPr>
        <w:bidi/>
        <w:spacing w:before="240" w:after="24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</w:p>
    <w:p w14:paraId="3112A55E" w14:textId="77777777" w:rsidR="005B7BF6" w:rsidRDefault="005B7BF6">
      <w:pPr>
        <w:bidi/>
        <w:spacing w:after="120" w:line="360" w:lineRule="auto"/>
        <w:ind w:left="840" w:hanging="420"/>
        <w:jc w:val="both"/>
        <w:rPr>
          <w:rFonts w:ascii="David" w:eastAsia="David" w:hAnsi="David" w:cs="David"/>
          <w:color w:val="222222"/>
          <w:sz w:val="24"/>
          <w:szCs w:val="24"/>
        </w:rPr>
      </w:pPr>
    </w:p>
    <w:p w14:paraId="335EC21E" w14:textId="77777777" w:rsidR="005B7BF6" w:rsidRDefault="005B7BF6">
      <w:pPr>
        <w:spacing w:after="120" w:line="360" w:lineRule="auto"/>
        <w:ind w:left="840" w:hanging="420"/>
        <w:jc w:val="both"/>
        <w:rPr>
          <w:rFonts w:ascii="David" w:eastAsia="David" w:hAnsi="David" w:cs="David"/>
          <w:i/>
          <w:color w:val="222222"/>
          <w:sz w:val="24"/>
          <w:szCs w:val="24"/>
        </w:rPr>
      </w:pPr>
    </w:p>
    <w:p w14:paraId="5549D0DD" w14:textId="77777777" w:rsidR="005B7BF6" w:rsidRDefault="005B7BF6">
      <w:pPr>
        <w:spacing w:after="120" w:line="360" w:lineRule="auto"/>
        <w:ind w:left="840" w:hanging="420"/>
        <w:jc w:val="both"/>
        <w:rPr>
          <w:rFonts w:ascii="David" w:eastAsia="David" w:hAnsi="David" w:cs="David"/>
          <w:i/>
          <w:color w:val="222222"/>
          <w:sz w:val="24"/>
          <w:szCs w:val="24"/>
        </w:rPr>
      </w:pPr>
    </w:p>
    <w:p w14:paraId="0BDE9192" w14:textId="77777777" w:rsidR="005B7BF6" w:rsidRDefault="005B7BF6">
      <w:pPr>
        <w:jc w:val="right"/>
        <w:rPr>
          <w:rFonts w:ascii="David" w:eastAsia="David" w:hAnsi="David" w:cs="David"/>
        </w:rPr>
      </w:pPr>
    </w:p>
    <w:sectPr w:rsidR="005B7BF6"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798A"/>
    <w:multiLevelType w:val="multilevel"/>
    <w:tmpl w:val="EFA2CA1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AF32F4A"/>
    <w:multiLevelType w:val="multilevel"/>
    <w:tmpl w:val="B762AE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A34634"/>
    <w:multiLevelType w:val="multilevel"/>
    <w:tmpl w:val="16D2F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092155"/>
    <w:multiLevelType w:val="multilevel"/>
    <w:tmpl w:val="FD58E5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215A96"/>
    <w:multiLevelType w:val="multilevel"/>
    <w:tmpl w:val="DAB6F2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C1138C"/>
    <w:multiLevelType w:val="hybridMultilevel"/>
    <w:tmpl w:val="9498FA80"/>
    <w:lvl w:ilvl="0" w:tplc="B636D5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72374"/>
    <w:multiLevelType w:val="multilevel"/>
    <w:tmpl w:val="B5DA1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127815582">
    <w:abstractNumId w:val="1"/>
  </w:num>
  <w:num w:numId="2" w16cid:durableId="871651132">
    <w:abstractNumId w:val="0"/>
  </w:num>
  <w:num w:numId="3" w16cid:durableId="374933589">
    <w:abstractNumId w:val="2"/>
  </w:num>
  <w:num w:numId="4" w16cid:durableId="2002269628">
    <w:abstractNumId w:val="6"/>
  </w:num>
  <w:num w:numId="5" w16cid:durableId="1613703771">
    <w:abstractNumId w:val="3"/>
  </w:num>
  <w:num w:numId="6" w16cid:durableId="1797328369">
    <w:abstractNumId w:val="4"/>
  </w:num>
  <w:num w:numId="7" w16cid:durableId="1650941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BF6"/>
    <w:rsid w:val="00091637"/>
    <w:rsid w:val="000F7D40"/>
    <w:rsid w:val="00167915"/>
    <w:rsid w:val="003E4E68"/>
    <w:rsid w:val="00503505"/>
    <w:rsid w:val="005B7BF6"/>
    <w:rsid w:val="006E1877"/>
    <w:rsid w:val="00CB4445"/>
    <w:rsid w:val="00F1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ACAB3"/>
  <w15:docId w15:val="{F9C5E082-DF24-49C4-8F42-0D93BE6B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791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791"/>
    <w:rPr>
      <w:rFonts w:ascii="Tahoma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F7D4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F7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https://doi.org/10.1080/09243453.2013.778297" TargetMode="External"/><Relationship Id="rId21" Type="http://schemas.openxmlformats.org/officeDocument/2006/relationships/image" Target="media/image16.png"/><Relationship Id="rId34" Type="http://schemas.openxmlformats.org/officeDocument/2006/relationships/image" Target="media/image2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yperlink" Target="http://etd.fcla.edu/UF/UFE0041186/tutak_f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3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yperlink" Target="https://doi.org/10.1016/S0742-051X(99)00020-7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yperlink" Target="https://doi.org/10.1080/09243453.2013.778297" TargetMode="External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8" Type="http://schemas.openxmlformats.org/officeDocument/2006/relationships/image" Target="media/image3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F2395-AB79-4ED6-8DB9-0644BE3A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8781</Words>
  <Characters>46866</Characters>
  <Application>Microsoft Office Word</Application>
  <DocSecurity>0</DocSecurity>
  <Lines>1231</Lines>
  <Paragraphs>478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Juhaina Awawdeh Shahbari</dc:creator>
  <cp:lastModifiedBy>Huda Shayeb</cp:lastModifiedBy>
  <cp:revision>2</cp:revision>
  <dcterms:created xsi:type="dcterms:W3CDTF">2025-05-29T13:45:00Z</dcterms:created>
  <dcterms:modified xsi:type="dcterms:W3CDTF">2025-05-29T13:45:00Z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f8324a78-adea-4e41-a90e-46d128b43d8d</vt:lpwstr>
  </property>
</Properties>
</file>