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BCCBD" w14:textId="6D10AE75" w:rsidR="00A168DF" w:rsidRDefault="00A168DF" w:rsidP="00A168DF">
      <w:pPr>
        <w:spacing w:before="100" w:beforeAutospacing="1" w:after="100" w:afterAutospacing="1" w:line="480" w:lineRule="auto"/>
        <w:jc w:val="center"/>
        <w:rPr>
          <w:rFonts w:asciiTheme="majorBidi" w:hAnsiTheme="majorBidi" w:cstheme="majorBidi"/>
          <w:b/>
          <w:bCs/>
        </w:rPr>
      </w:pPr>
      <w:r w:rsidRPr="00B42911">
        <w:rPr>
          <w:rFonts w:asciiTheme="majorBidi" w:hAnsiTheme="majorBidi" w:cstheme="majorBidi"/>
          <w:b/>
          <w:bCs/>
        </w:rPr>
        <w:t>Brief Report</w:t>
      </w:r>
    </w:p>
    <w:p w14:paraId="4E767958" w14:textId="2F13B612" w:rsidR="009552AD" w:rsidRDefault="009552AD" w:rsidP="009552AD">
      <w:pPr>
        <w:jc w:val="center"/>
        <w:rPr>
          <w:rFonts w:asciiTheme="majorBidi" w:hAnsiTheme="majorBidi" w:cstheme="majorBidi"/>
          <w:b/>
          <w:bCs/>
        </w:rPr>
      </w:pPr>
      <w:r w:rsidRPr="009552AD">
        <w:rPr>
          <w:rFonts w:asciiTheme="majorBidi" w:hAnsiTheme="majorBidi" w:cstheme="majorBidi"/>
          <w:b/>
          <w:bCs/>
        </w:rPr>
        <w:t xml:space="preserve">Improving </w:t>
      </w:r>
      <w:r w:rsidRPr="009552AD">
        <w:rPr>
          <w:rFonts w:asciiTheme="majorBidi" w:hAnsiTheme="majorBidi" w:cstheme="majorBidi"/>
          <w:b/>
          <w:bCs/>
        </w:rPr>
        <w:t>prognostic prediction in depression</w:t>
      </w:r>
      <w:r w:rsidRPr="009552AD">
        <w:rPr>
          <w:rFonts w:asciiTheme="majorBidi" w:hAnsiTheme="majorBidi" w:cstheme="majorBidi"/>
          <w:b/>
          <w:bCs/>
        </w:rPr>
        <w:t xml:space="preserve">: The </w:t>
      </w:r>
      <w:r w:rsidRPr="009552AD">
        <w:rPr>
          <w:rFonts w:asciiTheme="majorBidi" w:hAnsiTheme="majorBidi" w:cstheme="majorBidi"/>
          <w:b/>
          <w:bCs/>
        </w:rPr>
        <w:t>utility of pre-treatment symptom variability and trajectory</w:t>
      </w:r>
    </w:p>
    <w:p w14:paraId="08A6C7DA" w14:textId="77777777" w:rsidR="009552AD" w:rsidRPr="009552AD" w:rsidRDefault="009552AD" w:rsidP="009552AD">
      <w:pPr>
        <w:jc w:val="center"/>
        <w:rPr>
          <w:rFonts w:asciiTheme="majorBidi" w:hAnsiTheme="majorBidi" w:cstheme="majorBidi"/>
          <w:b/>
          <w:bCs/>
        </w:rPr>
      </w:pPr>
    </w:p>
    <w:p w14:paraId="5C2626E4" w14:textId="34FB51E3" w:rsidR="004D7309" w:rsidRPr="004D7309" w:rsidRDefault="004D7309" w:rsidP="004D7309">
      <w:pPr>
        <w:spacing w:before="100" w:beforeAutospacing="1" w:after="100" w:afterAutospacing="1" w:line="480" w:lineRule="auto"/>
        <w:jc w:val="center"/>
        <w:rPr>
          <w:rFonts w:ascii="Times New Roman" w:eastAsia="Times New Roman" w:hAnsi="Times New Roman" w:cs="Times New Roman"/>
          <w:kern w:val="0"/>
          <w:vertAlign w:val="superscript"/>
          <w:lang w:bidi="ar-SA"/>
          <w14:ligatures w14:val="none"/>
        </w:rPr>
      </w:pPr>
      <w:r w:rsidRPr="004D7309">
        <w:rPr>
          <w:rFonts w:ascii="Times New Roman" w:eastAsia="Times New Roman" w:hAnsi="Times New Roman" w:cs="Times New Roman"/>
          <w:kern w:val="0"/>
          <w:lang w:bidi="ar-SA"/>
          <w14:ligatures w14:val="none"/>
        </w:rPr>
        <w:t>Sigal Zilcha-Mano</w:t>
      </w:r>
      <w:r w:rsidRPr="004D7309">
        <w:rPr>
          <w:rFonts w:ascii="Times New Roman" w:eastAsia="Times New Roman" w:hAnsi="Times New Roman" w:cs="Times New Roman"/>
          <w:kern w:val="0"/>
          <w:vertAlign w:val="superscript"/>
          <w:lang w:bidi="ar-SA"/>
          <w14:ligatures w14:val="none"/>
        </w:rPr>
        <w:t>1</w:t>
      </w:r>
      <w:r w:rsidRPr="004D7309">
        <w:rPr>
          <w:rFonts w:ascii="Times New Roman" w:eastAsia="Times New Roman" w:hAnsi="Times New Roman" w:cs="Times New Roman"/>
          <w:kern w:val="0"/>
          <w:lang w:bidi="ar-SA"/>
          <w14:ligatures w14:val="none"/>
        </w:rPr>
        <w:t>*</w:t>
      </w:r>
    </w:p>
    <w:p w14:paraId="3EAED391" w14:textId="77777777" w:rsidR="004D7309" w:rsidRPr="004D7309" w:rsidRDefault="004D7309" w:rsidP="004D7309">
      <w:pPr>
        <w:spacing w:before="100" w:beforeAutospacing="1" w:after="100" w:afterAutospacing="1" w:line="480" w:lineRule="auto"/>
        <w:ind w:left="360"/>
        <w:rPr>
          <w:rFonts w:ascii="Times New Roman" w:eastAsia="Times New Roman" w:hAnsi="Times New Roman" w:cs="Times New Roman"/>
          <w:kern w:val="0"/>
          <w:lang w:bidi="ar-SA"/>
          <w14:ligatures w14:val="none"/>
        </w:rPr>
      </w:pPr>
      <w:r w:rsidRPr="004D7309">
        <w:rPr>
          <w:rFonts w:ascii="Times New Roman" w:eastAsia="Times New Roman" w:hAnsi="Times New Roman" w:cs="Times New Roman"/>
          <w:kern w:val="0"/>
          <w:vertAlign w:val="superscript"/>
          <w:lang w:bidi="ar-SA"/>
          <w14:ligatures w14:val="none"/>
        </w:rPr>
        <w:t>1</w:t>
      </w:r>
      <w:r w:rsidRPr="004D7309">
        <w:rPr>
          <w:rFonts w:ascii="Times New Roman" w:eastAsia="Times New Roman" w:hAnsi="Times New Roman" w:cs="Times New Roman"/>
          <w:kern w:val="0"/>
          <w:lang w:bidi="ar-SA"/>
          <w14:ligatures w14:val="none"/>
        </w:rPr>
        <w:t xml:space="preserve">School of Psychological Sciences, University of Haifa, Haifa, Israel </w:t>
      </w:r>
    </w:p>
    <w:p w14:paraId="5FEFEDDD" w14:textId="77777777" w:rsidR="00EB0E01" w:rsidRPr="00EB0E01" w:rsidRDefault="00EB0E01" w:rsidP="00EB0E01">
      <w:pPr>
        <w:spacing w:before="100" w:beforeAutospacing="1" w:after="100" w:afterAutospacing="1" w:line="480" w:lineRule="auto"/>
        <w:ind w:left="360"/>
        <w:rPr>
          <w:rFonts w:ascii="Times New Roman" w:eastAsia="Times New Roman" w:hAnsi="Times New Roman" w:cs="Times New Roman"/>
          <w:b/>
          <w:bCs/>
          <w:kern w:val="0"/>
          <w:lang w:bidi="ar-SA"/>
          <w14:ligatures w14:val="none"/>
        </w:rPr>
      </w:pPr>
      <w:r w:rsidRPr="00EB0E01">
        <w:rPr>
          <w:rFonts w:ascii="Times New Roman" w:eastAsia="Times New Roman" w:hAnsi="Times New Roman" w:cs="Times New Roman"/>
          <w:b/>
          <w:bCs/>
          <w:kern w:val="0"/>
          <w:lang w:bidi="ar-SA"/>
          <w14:ligatures w14:val="none"/>
        </w:rPr>
        <w:t>Statement of Ethics:</w:t>
      </w:r>
    </w:p>
    <w:p w14:paraId="1A361819" w14:textId="0CD07A95" w:rsidR="00EB0E01" w:rsidRPr="00EB0E01" w:rsidRDefault="00EB0E01" w:rsidP="00EB0E01">
      <w:pPr>
        <w:spacing w:before="100" w:beforeAutospacing="1" w:after="100" w:afterAutospacing="1" w:line="480" w:lineRule="auto"/>
        <w:ind w:left="360"/>
        <w:rPr>
          <w:rFonts w:ascii="Times New Roman" w:eastAsia="Times New Roman" w:hAnsi="Times New Roman" w:cs="Times New Roman"/>
          <w:kern w:val="0"/>
          <w:lang w:bidi="ar-SA"/>
          <w14:ligatures w14:val="none"/>
        </w:rPr>
      </w:pPr>
      <w:r w:rsidRPr="00EB0E01">
        <w:rPr>
          <w:rFonts w:ascii="Times New Roman" w:eastAsia="Times New Roman" w:hAnsi="Times New Roman" w:cs="Times New Roman"/>
          <w:kern w:val="0"/>
          <w:lang w:bidi="ar-SA"/>
          <w14:ligatures w14:val="none"/>
        </w:rPr>
        <w:t>This study was performed in accordance with the Declaration of Helsinki. This human study was approved by University of Haifa IRB committee</w:t>
      </w:r>
      <w:r>
        <w:rPr>
          <w:rFonts w:ascii="Times New Roman" w:eastAsia="Times New Roman" w:hAnsi="Times New Roman" w:cs="Times New Roman"/>
          <w:kern w:val="0"/>
          <w:lang w:bidi="ar-SA"/>
          <w14:ligatures w14:val="none"/>
        </w:rPr>
        <w:t xml:space="preserve">. </w:t>
      </w:r>
      <w:r w:rsidRPr="00EB0E01">
        <w:rPr>
          <w:rFonts w:ascii="Times New Roman" w:eastAsia="Times New Roman" w:hAnsi="Times New Roman" w:cs="Times New Roman"/>
          <w:kern w:val="0"/>
          <w:lang w:bidi="ar-SA"/>
          <w14:ligatures w14:val="none"/>
        </w:rPr>
        <w:t xml:space="preserve">All adult participants provided written informed consent to participate in this study. Written informed consent was obtained from the individuals for publication of the details of their medical case and any accompanying images. </w:t>
      </w:r>
    </w:p>
    <w:p w14:paraId="72B1B35F" w14:textId="673FEB63" w:rsidR="004D7309" w:rsidRPr="004D7309" w:rsidRDefault="004D7309" w:rsidP="004D7309">
      <w:pPr>
        <w:spacing w:before="100" w:beforeAutospacing="1" w:after="100" w:afterAutospacing="1" w:line="480" w:lineRule="auto"/>
        <w:ind w:left="360"/>
        <w:rPr>
          <w:rFonts w:ascii="Times New Roman" w:eastAsia="Times New Roman" w:hAnsi="Times New Roman" w:cs="Times New Roman"/>
          <w:kern w:val="0"/>
          <w:lang w:bidi="ar-SA"/>
          <w14:ligatures w14:val="none"/>
        </w:rPr>
      </w:pPr>
      <w:r w:rsidRPr="004D7309">
        <w:rPr>
          <w:rFonts w:ascii="Times New Roman" w:eastAsia="Times New Roman" w:hAnsi="Times New Roman" w:cs="Times New Roman"/>
          <w:b/>
          <w:bCs/>
          <w:kern w:val="0"/>
          <w:lang w:bidi="ar-SA"/>
          <w14:ligatures w14:val="none"/>
        </w:rPr>
        <w:t>Funding:</w:t>
      </w:r>
      <w:r w:rsidRPr="004D7309">
        <w:rPr>
          <w:rFonts w:ascii="Times New Roman" w:eastAsia="Times New Roman" w:hAnsi="Times New Roman" w:cs="Times New Roman"/>
          <w:kern w:val="0"/>
          <w:lang w:bidi="ar-SA"/>
          <w14:ligatures w14:val="none"/>
        </w:rPr>
        <w:t xml:space="preserve"> </w:t>
      </w:r>
    </w:p>
    <w:p w14:paraId="504CDC25" w14:textId="5D730EB9" w:rsidR="00EB0E01" w:rsidRPr="004D7309" w:rsidRDefault="004D7309" w:rsidP="00A168DF">
      <w:pPr>
        <w:spacing w:before="100" w:beforeAutospacing="1" w:after="100" w:afterAutospacing="1" w:line="480" w:lineRule="auto"/>
        <w:ind w:left="360"/>
        <w:rPr>
          <w:rFonts w:ascii="Times New Roman" w:eastAsia="Times New Roman" w:hAnsi="Times New Roman" w:cs="Times New Roman"/>
          <w:kern w:val="0"/>
          <w:lang w:bidi="ar-SA"/>
          <w14:ligatures w14:val="none"/>
        </w:rPr>
      </w:pPr>
      <w:r w:rsidRPr="004D7309">
        <w:rPr>
          <w:rFonts w:ascii="Times New Roman" w:eastAsia="Times New Roman" w:hAnsi="Times New Roman" w:cs="Times New Roman"/>
          <w:kern w:val="0"/>
          <w:lang w:bidi="ar-SA"/>
          <w14:ligatures w14:val="none"/>
        </w:rPr>
        <w:t>European Research Council grant (ERC consolidator)</w:t>
      </w:r>
      <w:r w:rsidR="00A168DF">
        <w:rPr>
          <w:rFonts w:ascii="Times New Roman" w:eastAsia="Times New Roman" w:hAnsi="Times New Roman" w:cs="Times New Roman"/>
          <w:kern w:val="0"/>
          <w:lang w:bidi="ar-SA"/>
          <w14:ligatures w14:val="none"/>
        </w:rPr>
        <w:t xml:space="preserve">. </w:t>
      </w:r>
      <w:r w:rsidRPr="004D7309">
        <w:rPr>
          <w:rFonts w:ascii="Times New Roman" w:eastAsia="Times New Roman" w:hAnsi="Times New Roman" w:cs="Times New Roman"/>
          <w:kern w:val="0"/>
          <w:lang w:bidi="ar-SA"/>
          <w14:ligatures w14:val="none"/>
        </w:rPr>
        <w:t>Israel Science Foundation, Grant no. 186/ 15</w:t>
      </w:r>
      <w:r w:rsidR="00A168DF">
        <w:rPr>
          <w:rFonts w:ascii="Times New Roman" w:eastAsia="Times New Roman" w:hAnsi="Times New Roman" w:cs="Times New Roman"/>
          <w:kern w:val="0"/>
          <w:lang w:bidi="ar-SA"/>
          <w14:ligatures w14:val="none"/>
        </w:rPr>
        <w:t>.</w:t>
      </w:r>
      <w:r w:rsidRPr="004D7309">
        <w:rPr>
          <w:rFonts w:ascii="Times New Roman" w:eastAsia="Times New Roman" w:hAnsi="Times New Roman" w:cs="Times New Roman"/>
          <w:kern w:val="0"/>
          <w:lang w:bidi="ar-SA"/>
          <w14:ligatures w14:val="none"/>
        </w:rPr>
        <w:t xml:space="preserve"> </w:t>
      </w:r>
      <w:r w:rsidR="00EB0E01" w:rsidRPr="00BC0AD2">
        <w:rPr>
          <w:rFonts w:asciiTheme="majorBidi" w:hAnsiTheme="majorBidi" w:cstheme="majorBidi"/>
        </w:rPr>
        <w:t>The funders had no role in the design, data collection, data analysis, and reporting of this study</w:t>
      </w:r>
      <w:r w:rsidR="00EB0E01">
        <w:rPr>
          <w:rFonts w:asciiTheme="majorBidi" w:hAnsiTheme="majorBidi" w:cstheme="majorBidi"/>
        </w:rPr>
        <w:t>.</w:t>
      </w:r>
    </w:p>
    <w:p w14:paraId="51E36CAB" w14:textId="77777777" w:rsidR="004D7309" w:rsidRPr="004D7309" w:rsidRDefault="004D7309" w:rsidP="004D7309">
      <w:pPr>
        <w:spacing w:before="100" w:beforeAutospacing="1" w:after="100" w:afterAutospacing="1" w:line="480" w:lineRule="auto"/>
        <w:ind w:left="360"/>
        <w:rPr>
          <w:rFonts w:ascii="Times New Roman" w:eastAsia="Times New Roman" w:hAnsi="Times New Roman" w:cs="Times New Roman"/>
          <w:kern w:val="0"/>
          <w:lang w:bidi="ar-SA"/>
          <w14:ligatures w14:val="none"/>
        </w:rPr>
      </w:pPr>
      <w:r w:rsidRPr="004D7309">
        <w:rPr>
          <w:rFonts w:ascii="Times New Roman" w:eastAsia="Times New Roman" w:hAnsi="Times New Roman" w:cs="Times New Roman"/>
          <w:b/>
          <w:kern w:val="0"/>
          <w:lang w:bidi="ar-SA"/>
          <w14:ligatures w14:val="none"/>
        </w:rPr>
        <w:t>Competing interests:</w:t>
      </w:r>
      <w:r w:rsidRPr="004D7309">
        <w:rPr>
          <w:rFonts w:ascii="Times New Roman" w:eastAsia="Times New Roman" w:hAnsi="Times New Roman" w:cs="Times New Roman"/>
          <w:kern w:val="0"/>
          <w:lang w:bidi="ar-SA"/>
          <w14:ligatures w14:val="none"/>
        </w:rPr>
        <w:t xml:space="preserve"> The Author declares no competing interests.</w:t>
      </w:r>
    </w:p>
    <w:p w14:paraId="1CCCBF67" w14:textId="77777777" w:rsidR="004D7309" w:rsidRPr="004D7309" w:rsidRDefault="004D7309" w:rsidP="004D7309">
      <w:pPr>
        <w:spacing w:after="0" w:line="240" w:lineRule="auto"/>
        <w:ind w:left="357"/>
        <w:rPr>
          <w:rFonts w:ascii="Times New Roman" w:eastAsia="Times New Roman" w:hAnsi="Times New Roman" w:cs="Times New Roman"/>
          <w:color w:val="0000FF"/>
          <w:kern w:val="0"/>
          <w:u w:val="single"/>
          <w:lang w:bidi="ar-SA"/>
          <w14:ligatures w14:val="none"/>
        </w:rPr>
      </w:pPr>
      <w:bookmarkStart w:id="0" w:name="_Hlk62201654"/>
      <w:r w:rsidRPr="004D7309">
        <w:rPr>
          <w:rFonts w:ascii="Times New Roman" w:eastAsia="Times New Roman" w:hAnsi="Times New Roman" w:cs="Times New Roman"/>
          <w:kern w:val="0"/>
          <w:lang w:bidi="ar-SA"/>
          <w14:ligatures w14:val="none"/>
        </w:rPr>
        <w:t xml:space="preserve">*Corresponding author. Email: </w:t>
      </w:r>
      <w:hyperlink r:id="rId5" w:history="1">
        <w:r w:rsidRPr="004D7309">
          <w:rPr>
            <w:rFonts w:ascii="Times New Roman" w:eastAsia="Times New Roman" w:hAnsi="Times New Roman" w:cs="Times New Roman"/>
            <w:color w:val="0000FF"/>
            <w:kern w:val="0"/>
            <w:u w:val="single"/>
            <w:lang w:bidi="ar-SA"/>
            <w14:ligatures w14:val="none"/>
          </w:rPr>
          <w:t>sigalzil@gmail.com</w:t>
        </w:r>
      </w:hyperlink>
      <w:bookmarkEnd w:id="0"/>
    </w:p>
    <w:p w14:paraId="75D79FBE" w14:textId="77777777" w:rsidR="004D7309" w:rsidRPr="004D7309" w:rsidRDefault="004D7309" w:rsidP="004D7309">
      <w:pPr>
        <w:spacing w:after="0" w:line="240" w:lineRule="auto"/>
        <w:rPr>
          <w:rFonts w:ascii="Times New Roman" w:eastAsia="Times New Roman" w:hAnsi="Times New Roman" w:cs="Times New Roman"/>
          <w:kern w:val="0"/>
          <w:lang w:bidi="ar-SA"/>
          <w14:ligatures w14:val="none"/>
        </w:rPr>
      </w:pPr>
      <w:r w:rsidRPr="004D7309">
        <w:rPr>
          <w:rFonts w:ascii="Times New Roman" w:eastAsia="Times New Roman" w:hAnsi="Times New Roman" w:cs="Times New Roman"/>
          <w:kern w:val="0"/>
          <w:lang w:bidi="ar-SA"/>
          <w14:ligatures w14:val="none"/>
        </w:rPr>
        <w:t xml:space="preserve">        Department of Psychology, University of Haifa</w:t>
      </w:r>
    </w:p>
    <w:p w14:paraId="6C18273E" w14:textId="77777777" w:rsidR="004D7309" w:rsidRPr="004D7309" w:rsidRDefault="004D7309" w:rsidP="004D7309">
      <w:pPr>
        <w:spacing w:after="0" w:line="240" w:lineRule="auto"/>
        <w:rPr>
          <w:rFonts w:ascii="Times New Roman" w:eastAsia="Times New Roman" w:hAnsi="Times New Roman" w:cs="Times New Roman"/>
          <w:kern w:val="0"/>
          <w:lang w:bidi="ar-SA"/>
          <w14:ligatures w14:val="none"/>
        </w:rPr>
      </w:pPr>
      <w:r w:rsidRPr="004D7309">
        <w:rPr>
          <w:rFonts w:ascii="Times New Roman" w:eastAsia="Times New Roman" w:hAnsi="Times New Roman" w:cs="Times New Roman"/>
          <w:kern w:val="0"/>
          <w:lang w:bidi="ar-SA"/>
          <w14:ligatures w14:val="none"/>
        </w:rPr>
        <w:t xml:space="preserve">        Mount Carmel, Haifa 31905, Israel</w:t>
      </w:r>
    </w:p>
    <w:p w14:paraId="75A67306" w14:textId="77777777" w:rsidR="004D7309" w:rsidRPr="004D7309" w:rsidRDefault="004D7309" w:rsidP="004D7309">
      <w:pPr>
        <w:spacing w:after="0" w:line="240" w:lineRule="auto"/>
        <w:ind w:left="357"/>
        <w:rPr>
          <w:rFonts w:ascii="Times New Roman" w:eastAsia="Times New Roman" w:hAnsi="Times New Roman" w:cs="Times New Roman"/>
          <w:kern w:val="0"/>
          <w:lang w:bidi="ar-SA"/>
          <w14:ligatures w14:val="none"/>
        </w:rPr>
      </w:pPr>
      <w:r w:rsidRPr="004D7309">
        <w:rPr>
          <w:rFonts w:ascii="Times New Roman" w:eastAsia="Times New Roman" w:hAnsi="Times New Roman" w:cs="Times New Roman"/>
          <w:kern w:val="0"/>
          <w:lang w:bidi="ar-SA"/>
          <w14:ligatures w14:val="none"/>
        </w:rPr>
        <w:t xml:space="preserve">  Telephone: 972-4-8249047</w:t>
      </w:r>
    </w:p>
    <w:p w14:paraId="3B5F0F0A" w14:textId="59701ABB" w:rsidR="00CC4E12" w:rsidRPr="00912AB9" w:rsidRDefault="00CC4E12" w:rsidP="00A54AB1">
      <w:pPr>
        <w:spacing w:before="100" w:beforeAutospacing="1" w:after="100" w:afterAutospacing="1" w:line="480" w:lineRule="auto"/>
        <w:jc w:val="center"/>
        <w:rPr>
          <w:rFonts w:asciiTheme="majorBidi" w:hAnsiTheme="majorBidi" w:cstheme="majorBidi"/>
          <w:b/>
          <w:bCs/>
        </w:rPr>
      </w:pPr>
      <w:r w:rsidRPr="00912AB9">
        <w:rPr>
          <w:rFonts w:asciiTheme="majorBidi" w:hAnsiTheme="majorBidi" w:cstheme="majorBidi"/>
          <w:b/>
          <w:bCs/>
        </w:rPr>
        <w:lastRenderedPageBreak/>
        <w:t>Introduction</w:t>
      </w:r>
    </w:p>
    <w:p w14:paraId="17CD333C" w14:textId="618E07BB" w:rsidR="00441572" w:rsidRPr="00912AB9" w:rsidRDefault="00441572" w:rsidP="00912AB9">
      <w:pPr>
        <w:spacing w:before="100" w:beforeAutospacing="1" w:after="100" w:afterAutospacing="1" w:line="480" w:lineRule="auto"/>
        <w:rPr>
          <w:rFonts w:asciiTheme="majorBidi" w:hAnsiTheme="majorBidi" w:cstheme="majorBidi"/>
          <w:rtl/>
        </w:rPr>
      </w:pPr>
      <w:r w:rsidRPr="00912AB9">
        <w:rPr>
          <w:rFonts w:asciiTheme="majorBidi" w:hAnsiTheme="majorBidi" w:cstheme="majorBidi"/>
        </w:rPr>
        <w:t>One of the empirical findings with greatest impact on clinical practice is that baseline depressive symptom severity predicts treatment outcomes. For instance, pooled individual patient data from 16 studies indicated that higher initial severity is significantly associated with lower remission rates across both medication and psychotherapy treatments</w:t>
      </w:r>
      <w:r w:rsidR="00B14275" w:rsidRPr="00912AB9">
        <w:rPr>
          <w:rFonts w:asciiTheme="majorBidi" w:hAnsiTheme="majorBidi" w:cstheme="majorBidi"/>
        </w:rPr>
        <w:t xml:space="preserve"> </w:t>
      </w:r>
      <w:r w:rsidR="004E1657" w:rsidRPr="00912AB9">
        <w:rPr>
          <w:rFonts w:asciiTheme="majorBidi" w:hAnsiTheme="majorBidi" w:cstheme="majorBidi"/>
        </w:rPr>
        <w:fldChar w:fldCharType="begin"/>
      </w:r>
      <w:r w:rsidR="004E1657" w:rsidRPr="00912AB9">
        <w:rPr>
          <w:rFonts w:asciiTheme="majorBidi" w:hAnsiTheme="majorBidi" w:cstheme="majorBidi"/>
        </w:rPr>
        <w:instrText xml:space="preserve"> ADDIN EN.CITE &lt;EndNote&gt;&lt;Cite&gt;&lt;Author&gt;Weitz&lt;/Author&gt;&lt;Year&gt;2015&lt;/Year&gt;&lt;RecNum&gt;1&lt;/RecNum&gt;&lt;DisplayText&gt;[1]&lt;/DisplayText&gt;&lt;record&gt;&lt;rec-number&gt;1&lt;/rec-number&gt;&lt;foreign-keys&gt;&lt;key app="EN" db-id="psfpff22iavxdlerdrnxes5cedrev290zear" timestamp="1750866743"&gt;1&lt;/key&gt;&lt;/foreign-keys&gt;&lt;ref-type name="Journal Article"&gt;17&lt;/ref-type&gt;&lt;contributors&gt;&lt;authors&gt;&lt;author&gt;Weitz, Erica S&lt;/author&gt;&lt;author&gt;Hollon, Steven D&lt;/author&gt;&lt;author&gt;Twisk, Jos&lt;/author&gt;&lt;author&gt;Van Straten, Annemieke&lt;/author&gt;&lt;author&gt;Huibers, Marcus JH&lt;/author&gt;&lt;author&gt;David, Daniel&lt;/author&gt;&lt;author&gt;DeRubeis, Robert J&lt;/author&gt;&lt;author&gt;Dimidjian, Sona&lt;/author&gt;&lt;author&gt;Dunlop, Boadie W&lt;/author&gt;&lt;author&gt;Cristea, Ioana A&lt;/author&gt;&lt;/authors&gt;&lt;/contributors&gt;&lt;titles&gt;&lt;title&gt;Baseline depression severity as moderator of depression outcomes between cognitive behavioral therapy vs pharmacotherapy: an individual patient data meta-analysis&lt;/title&gt;&lt;secondary-title&gt;JAMA psychiatry&lt;/secondary-title&gt;&lt;/titles&gt;&lt;periodical&gt;&lt;full-title&gt;JAMA psychiatry&lt;/full-title&gt;&lt;/periodical&gt;&lt;pages&gt;1102-1109&lt;/pages&gt;&lt;volume&gt;72&lt;/volume&gt;&lt;number&gt;11&lt;/number&gt;&lt;dates&gt;&lt;year&gt;2015&lt;/year&gt;&lt;/dates&gt;&lt;isbn&gt;2168-622X&lt;/isbn&gt;&lt;urls&gt;&lt;related-urls&gt;&lt;url&gt;https://jamanetwork.com/journals/jamapsychiatry/fullarticle/2436905&lt;/url&gt;&lt;/related-urls&gt;&lt;/urls&gt;&lt;/record&gt;&lt;/Cite&gt;&lt;/EndNote&gt;</w:instrText>
      </w:r>
      <w:r w:rsidR="004E1657" w:rsidRPr="00912AB9">
        <w:rPr>
          <w:rFonts w:asciiTheme="majorBidi" w:hAnsiTheme="majorBidi" w:cstheme="majorBidi"/>
        </w:rPr>
        <w:fldChar w:fldCharType="separate"/>
      </w:r>
      <w:r w:rsidR="004E1657" w:rsidRPr="00912AB9">
        <w:rPr>
          <w:rFonts w:asciiTheme="majorBidi" w:hAnsiTheme="majorBidi" w:cstheme="majorBidi"/>
          <w:noProof/>
        </w:rPr>
        <w:t>[1]</w:t>
      </w:r>
      <w:r w:rsidR="004E1657" w:rsidRPr="00912AB9">
        <w:rPr>
          <w:rFonts w:asciiTheme="majorBidi" w:hAnsiTheme="majorBidi" w:cstheme="majorBidi"/>
        </w:rPr>
        <w:fldChar w:fldCharType="end"/>
      </w:r>
      <w:r w:rsidRPr="00912AB9">
        <w:rPr>
          <w:rFonts w:asciiTheme="majorBidi" w:hAnsiTheme="majorBidi" w:cstheme="majorBidi"/>
        </w:rPr>
        <w:t>. The finding on the importance of baseline symptom severity for determining treatment outcomes has substantial implications for clinical practice, directly influencing critical treatment decisions such as whether to initiate treatment, determining expected prognosis, and selecting appropriate therapeutic approaches. Clinical guidelines worldwide, including those from the United States</w:t>
      </w:r>
      <w:r w:rsidR="00B14275" w:rsidRPr="00912AB9">
        <w:rPr>
          <w:rFonts w:asciiTheme="majorBidi" w:hAnsiTheme="majorBidi" w:cstheme="majorBidi"/>
        </w:rPr>
        <w:t xml:space="preserve"> </w:t>
      </w:r>
      <w:r w:rsidR="00B14275" w:rsidRPr="00912AB9">
        <w:rPr>
          <w:rFonts w:asciiTheme="majorBidi" w:hAnsiTheme="majorBidi" w:cstheme="majorBidi"/>
        </w:rPr>
        <w:fldChar w:fldCharType="begin"/>
      </w:r>
      <w:r w:rsidR="00B14275" w:rsidRPr="00912AB9">
        <w:rPr>
          <w:rFonts w:asciiTheme="majorBidi" w:hAnsiTheme="majorBidi" w:cstheme="majorBidi"/>
        </w:rPr>
        <w:instrText xml:space="preserve"> ADDIN EN.CITE &lt;EndNote&gt;&lt;Cite&gt;&lt;Author&gt;Qaseem&lt;/Author&gt;&lt;Year&gt;2023&lt;/Year&gt;&lt;RecNum&gt;7&lt;/RecNum&gt;&lt;DisplayText&gt;[2]&lt;/DisplayText&gt;&lt;record&gt;&lt;rec-number&gt;7&lt;/rec-number&gt;&lt;foreign-keys&gt;&lt;key app="EN" db-id="psfpff22iavxdlerdrnxes5cedrev290zear" timestamp="1750866853"&gt;7&lt;/key&gt;&lt;/foreign-keys&gt;&lt;ref-type name="Journal Article"&gt;17&lt;/ref-type&gt;&lt;contributors&gt;&lt;authors&gt;&lt;author&gt;Qaseem, Amir&lt;/author&gt;&lt;author&gt;Owens, Douglas K&lt;/author&gt;&lt;author&gt;Etxeandia-Ikobaltzeta, Itziar&lt;/author&gt;&lt;author&gt;Tufte, Janice&lt;/author&gt;&lt;author&gt;Cross Jr, J Thomas&lt;/author&gt;&lt;author&gt;Wilt, Timothy J&lt;/author&gt;&lt;author&gt;Clinical Guidelines Committee of the American College of Physicians&lt;/author&gt;&lt;author&gt;Crandall, Carolyn J&lt;/author&gt;&lt;author&gt;Balk, Ethan&lt;/author&gt;&lt;author&gt;Cooney, Thomas G&lt;/author&gt;&lt;/authors&gt;&lt;/contributors&gt;&lt;titles&gt;&lt;title&gt;Nonpharmacologic and pharmacologic treatments of adults in the acute phase of major depressive disorder: a living clinical guideline from the American College of Physicians&lt;/title&gt;&lt;secondary-title&gt;Annals of internal medicine&lt;/secondary-title&gt;&lt;/titles&gt;&lt;periodical&gt;&lt;full-title&gt;Annals of internal medicine&lt;/full-title&gt;&lt;/periodical&gt;&lt;pages&gt;239-252&lt;/pages&gt;&lt;volume&gt;176&lt;/volume&gt;&lt;number&gt;2&lt;/number&gt;&lt;dates&gt;&lt;year&gt;2023&lt;/year&gt;&lt;/dates&gt;&lt;isbn&gt;0003-4819&lt;/isbn&gt;&lt;urls&gt;&lt;/urls&gt;&lt;/record&gt;&lt;/Cite&gt;&lt;/EndNote&gt;</w:instrText>
      </w:r>
      <w:r w:rsidR="00B14275" w:rsidRPr="00912AB9">
        <w:rPr>
          <w:rFonts w:asciiTheme="majorBidi" w:hAnsiTheme="majorBidi" w:cstheme="majorBidi"/>
        </w:rPr>
        <w:fldChar w:fldCharType="separate"/>
      </w:r>
      <w:r w:rsidR="00B14275" w:rsidRPr="00912AB9">
        <w:rPr>
          <w:rFonts w:asciiTheme="majorBidi" w:hAnsiTheme="majorBidi" w:cstheme="majorBidi"/>
          <w:noProof/>
        </w:rPr>
        <w:t>[2]</w:t>
      </w:r>
      <w:r w:rsidR="00B14275" w:rsidRPr="00912AB9">
        <w:rPr>
          <w:rFonts w:asciiTheme="majorBidi" w:hAnsiTheme="majorBidi" w:cstheme="majorBidi"/>
        </w:rPr>
        <w:fldChar w:fldCharType="end"/>
      </w:r>
      <w:r w:rsidRPr="00912AB9">
        <w:rPr>
          <w:rFonts w:asciiTheme="majorBidi" w:hAnsiTheme="majorBidi" w:cstheme="majorBidi"/>
        </w:rPr>
        <w:t>, Canada</w:t>
      </w:r>
      <w:r w:rsidR="00B14275" w:rsidRPr="00912AB9">
        <w:rPr>
          <w:rFonts w:asciiTheme="majorBidi" w:hAnsiTheme="majorBidi" w:cstheme="majorBidi"/>
        </w:rPr>
        <w:t xml:space="preserve"> </w:t>
      </w:r>
      <w:r w:rsidR="00B14275" w:rsidRPr="00912AB9">
        <w:rPr>
          <w:rFonts w:asciiTheme="majorBidi" w:hAnsiTheme="majorBidi" w:cstheme="majorBidi"/>
        </w:rPr>
        <w:fldChar w:fldCharType="begin"/>
      </w:r>
      <w:r w:rsidR="00B14275" w:rsidRPr="00912AB9">
        <w:rPr>
          <w:rFonts w:asciiTheme="majorBidi" w:hAnsiTheme="majorBidi" w:cstheme="majorBidi"/>
        </w:rPr>
        <w:instrText xml:space="preserve"> ADDIN EN.CITE &lt;EndNote&gt;&lt;Cite&gt;&lt;Author&gt;Kennedy&lt;/Author&gt;&lt;Year&gt;2016&lt;/Year&gt;&lt;RecNum&gt;8&lt;/RecNum&gt;&lt;DisplayText&gt;[3]&lt;/DisplayText&gt;&lt;record&gt;&lt;rec-number&gt;8&lt;/rec-number&gt;&lt;foreign-keys&gt;&lt;key app="EN" db-id="psfpff22iavxdlerdrnxes5cedrev290zear" timestamp="1750866877"&gt;8&lt;/key&gt;&lt;/foreign-keys&gt;&lt;ref-type name="Journal Article"&gt;17&lt;/ref-type&gt;&lt;contributors&gt;&lt;authors&gt;&lt;author&gt;Kennedy, Sidney H&lt;/author&gt;&lt;author&gt;Lam, Raymond W&lt;/author&gt;&lt;author&gt;McIntyre, Roger S&lt;/author&gt;&lt;author&gt;Tourjman, S Valérie&lt;/author&gt;&lt;author&gt;Bhat, Venkat&lt;/author&gt;&lt;author&gt;Blier, Pierre&lt;/author&gt;&lt;author&gt;Hasnain, Mehrul&lt;/author&gt;&lt;author&gt;Jollant, Fabrice&lt;/author&gt;&lt;author&gt;Levitt, Anthony J&lt;/author&gt;&lt;author&gt;MacQueen, Glenda M&lt;/author&gt;&lt;/authors&gt;&lt;/contributors&gt;&lt;titles&gt;&lt;title&gt;Canadian Network for Mood and Anxiety Treatments (CANMAT) 2016 clinical guidelines for the management of adults with major depressive disorder: section 3. Pharmacological treatments&lt;/title&gt;&lt;secondary-title&gt;The Canadian Journal of Psychiatry&lt;/secondary-title&gt;&lt;/titles&gt;&lt;periodical&gt;&lt;full-title&gt;The Canadian Journal of Psychiatry&lt;/full-title&gt;&lt;/periodical&gt;&lt;pages&gt;540-560&lt;/pages&gt;&lt;volume&gt;61&lt;/volume&gt;&lt;number&gt;9&lt;/number&gt;&lt;dates&gt;&lt;year&gt;2016&lt;/year&gt;&lt;/dates&gt;&lt;isbn&gt;0706-7437&lt;/isbn&gt;&lt;urls&gt;&lt;related-urls&gt;&lt;url&gt;https://pmc.ncbi.nlm.nih.gov/articles/PMC4994790/&lt;/url&gt;&lt;/related-urls&gt;&lt;/urls&gt;&lt;/record&gt;&lt;/Cite&gt;&lt;/EndNote&gt;</w:instrText>
      </w:r>
      <w:r w:rsidR="00B14275" w:rsidRPr="00912AB9">
        <w:rPr>
          <w:rFonts w:asciiTheme="majorBidi" w:hAnsiTheme="majorBidi" w:cstheme="majorBidi"/>
        </w:rPr>
        <w:fldChar w:fldCharType="separate"/>
      </w:r>
      <w:r w:rsidR="00B14275" w:rsidRPr="00912AB9">
        <w:rPr>
          <w:rFonts w:asciiTheme="majorBidi" w:hAnsiTheme="majorBidi" w:cstheme="majorBidi"/>
          <w:noProof/>
        </w:rPr>
        <w:t>[3]</w:t>
      </w:r>
      <w:r w:rsidR="00B14275" w:rsidRPr="00912AB9">
        <w:rPr>
          <w:rFonts w:asciiTheme="majorBidi" w:hAnsiTheme="majorBidi" w:cstheme="majorBidi"/>
        </w:rPr>
        <w:fldChar w:fldCharType="end"/>
      </w:r>
      <w:r w:rsidRPr="00912AB9">
        <w:rPr>
          <w:rFonts w:asciiTheme="majorBidi" w:hAnsiTheme="majorBidi" w:cstheme="majorBidi"/>
        </w:rPr>
        <w:t>, and the United Kingdom</w:t>
      </w:r>
      <w:r w:rsidR="00B14275" w:rsidRPr="00912AB9">
        <w:rPr>
          <w:rFonts w:asciiTheme="majorBidi" w:hAnsiTheme="majorBidi" w:cstheme="majorBidi"/>
        </w:rPr>
        <w:t xml:space="preserve"> </w:t>
      </w:r>
      <w:r w:rsidR="00B14275" w:rsidRPr="00912AB9">
        <w:rPr>
          <w:rFonts w:asciiTheme="majorBidi" w:hAnsiTheme="majorBidi" w:cstheme="majorBidi"/>
        </w:rPr>
        <w:fldChar w:fldCharType="begin"/>
      </w:r>
      <w:r w:rsidR="00B14275" w:rsidRPr="00912AB9">
        <w:rPr>
          <w:rFonts w:asciiTheme="majorBidi" w:hAnsiTheme="majorBidi" w:cstheme="majorBidi"/>
        </w:rPr>
        <w:instrText xml:space="preserve"> ADDIN EN.CITE &lt;EndNote&gt;&lt;Cite&gt;&lt;Author&gt;NICE&lt;/Author&gt;&lt;Year&gt;2022&lt;/Year&gt;&lt;RecNum&gt;9&lt;/RecNum&gt;&lt;DisplayText&gt;[4]&lt;/DisplayText&gt;&lt;record&gt;&lt;rec-number&gt;9&lt;/rec-number&gt;&lt;foreign-keys&gt;&lt;key app="EN" db-id="psfpff22iavxdlerdrnxes5cedrev290zear" timestamp="1750866905"&gt;9&lt;/key&gt;&lt;/foreign-keys&gt;&lt;ref-type name="Journal Article"&gt;17&lt;/ref-type&gt;&lt;contributors&gt;&lt;authors&gt;&lt;author&gt;NICE, UK&lt;/author&gt;&lt;/authors&gt;&lt;/contributors&gt;&lt;titles&gt;&lt;title&gt;Depression in adults: treatment and management&lt;/title&gt;&lt;secondary-title&gt;NICE guideline&lt;/secondary-title&gt;&lt;/titles&gt;&lt;periodical&gt;&lt;full-title&gt;NICE guideline&lt;/full-title&gt;&lt;/periodical&gt;&lt;dates&gt;&lt;year&gt;2022&lt;/year&gt;&lt;/dates&gt;&lt;urls&gt;&lt;/urls&gt;&lt;/record&gt;&lt;/Cite&gt;&lt;/EndNote&gt;</w:instrText>
      </w:r>
      <w:r w:rsidR="00B14275" w:rsidRPr="00912AB9">
        <w:rPr>
          <w:rFonts w:asciiTheme="majorBidi" w:hAnsiTheme="majorBidi" w:cstheme="majorBidi"/>
        </w:rPr>
        <w:fldChar w:fldCharType="separate"/>
      </w:r>
      <w:r w:rsidR="00B14275" w:rsidRPr="00912AB9">
        <w:rPr>
          <w:rFonts w:asciiTheme="majorBidi" w:hAnsiTheme="majorBidi" w:cstheme="majorBidi"/>
          <w:noProof/>
        </w:rPr>
        <w:t>[4]</w:t>
      </w:r>
      <w:r w:rsidR="00B14275" w:rsidRPr="00912AB9">
        <w:rPr>
          <w:rFonts w:asciiTheme="majorBidi" w:hAnsiTheme="majorBidi" w:cstheme="majorBidi"/>
        </w:rPr>
        <w:fldChar w:fldCharType="end"/>
      </w:r>
      <w:r w:rsidRPr="00912AB9">
        <w:rPr>
          <w:rFonts w:asciiTheme="majorBidi" w:hAnsiTheme="majorBidi" w:cstheme="majorBidi"/>
        </w:rPr>
        <w:t>, consistently use baseline depression severity as a determinant of treatment recommendations.</w:t>
      </w:r>
    </w:p>
    <w:p w14:paraId="0BEDA48D" w14:textId="1CF3346C" w:rsidR="00A449BB" w:rsidRDefault="00786135" w:rsidP="00A449BB">
      <w:pPr>
        <w:spacing w:before="100" w:beforeAutospacing="1" w:after="100" w:afterAutospacing="1" w:line="480" w:lineRule="auto"/>
        <w:rPr>
          <w:rFonts w:asciiTheme="majorBidi" w:hAnsiTheme="majorBidi" w:cstheme="majorBidi"/>
          <w:rtl/>
        </w:rPr>
      </w:pPr>
      <w:r w:rsidRPr="00912AB9">
        <w:rPr>
          <w:rFonts w:asciiTheme="majorBidi" w:hAnsiTheme="majorBidi" w:cstheme="majorBidi"/>
        </w:rPr>
        <w:t>In recent years, the clinical utility of baseline depressive symptom severity as a predictor of treatment outcome has been increasingly questioned, as conflicting findings have begun to accumulate. It has even been suggested that current clinical guidelines for best practice may contradict recent scientific evidence</w:t>
      </w:r>
      <w:r w:rsidR="00B14275" w:rsidRPr="00912AB9">
        <w:rPr>
          <w:rFonts w:asciiTheme="majorBidi" w:hAnsiTheme="majorBidi" w:cstheme="majorBidi"/>
        </w:rPr>
        <w:t xml:space="preserve"> </w:t>
      </w:r>
      <w:r w:rsidR="00B14275" w:rsidRPr="00912AB9">
        <w:rPr>
          <w:rFonts w:asciiTheme="majorBidi" w:hAnsiTheme="majorBidi" w:cstheme="majorBidi"/>
        </w:rPr>
        <w:fldChar w:fldCharType="begin"/>
      </w:r>
      <w:r w:rsidR="00B14275" w:rsidRPr="00912AB9">
        <w:rPr>
          <w:rFonts w:asciiTheme="majorBidi" w:hAnsiTheme="majorBidi" w:cstheme="majorBidi"/>
        </w:rPr>
        <w:instrText xml:space="preserve"> ADDIN EN.CITE &lt;EndNote&gt;&lt;Cite&gt;&lt;Author&gt;Tröger&lt;/Author&gt;&lt;Year&gt;2024&lt;/Year&gt;&lt;RecNum&gt;10&lt;/RecNum&gt;&lt;DisplayText&gt;[5]&lt;/DisplayText&gt;&lt;record&gt;&lt;rec-number&gt;10&lt;/rec-number&gt;&lt;foreign-keys&gt;&lt;key app="EN" db-id="psfpff22iavxdlerdrnxes5cedrev290zear" timestamp="1750866924"&gt;10&lt;/key&gt;&lt;/foreign-keys&gt;&lt;ref-type name="Journal Article"&gt;17&lt;/ref-type&gt;&lt;contributors&gt;&lt;authors&gt;&lt;author&gt;Tröger, Anna&lt;/author&gt;&lt;author&gt;Miguel, Clara&lt;/author&gt;&lt;author&gt;Ciharova, Marketa&lt;/author&gt;&lt;author&gt;de Ponti, Nino&lt;/author&gt;&lt;author&gt;Durman, Güldehan&lt;/author&gt;&lt;author&gt;Cuijpers, Pim&lt;/author&gt;&lt;author&gt;Karyotaki, Eirini&lt;/author&gt;&lt;/authors&gt;&lt;/contributors&gt;&lt;titles&gt;&lt;title&gt;Baseline depression severity as moderator on depression outcomes in psychotherapy and pharmacotherapy&lt;/title&gt;&lt;secondary-title&gt;Journal of affective disorders&lt;/secondary-title&gt;&lt;/titles&gt;&lt;periodical&gt;&lt;full-title&gt;Journal of affective disorders&lt;/full-title&gt;&lt;/periodical&gt;&lt;pages&gt;86-99&lt;/pages&gt;&lt;volume&gt;344&lt;/volume&gt;&lt;dates&gt;&lt;year&gt;2024&lt;/year&gt;&lt;/dates&gt;&lt;isbn&gt;0165-0327&lt;/isbn&gt;&lt;urls&gt;&lt;related-urls&gt;&lt;url&gt;https://www.sciencedirect.com/science/article/pii/S016503272301234X?via%3Dihub&lt;/url&gt;&lt;/related-urls&gt;&lt;/urls&gt;&lt;/record&gt;&lt;/Cite&gt;&lt;/EndNote&gt;</w:instrText>
      </w:r>
      <w:r w:rsidR="00B14275" w:rsidRPr="00912AB9">
        <w:rPr>
          <w:rFonts w:asciiTheme="majorBidi" w:hAnsiTheme="majorBidi" w:cstheme="majorBidi"/>
        </w:rPr>
        <w:fldChar w:fldCharType="separate"/>
      </w:r>
      <w:r w:rsidR="00B14275" w:rsidRPr="00912AB9">
        <w:rPr>
          <w:rFonts w:asciiTheme="majorBidi" w:hAnsiTheme="majorBidi" w:cstheme="majorBidi"/>
          <w:noProof/>
        </w:rPr>
        <w:t>[5]</w:t>
      </w:r>
      <w:r w:rsidR="00B14275" w:rsidRPr="00912AB9">
        <w:rPr>
          <w:rFonts w:asciiTheme="majorBidi" w:hAnsiTheme="majorBidi" w:cstheme="majorBidi"/>
        </w:rPr>
        <w:fldChar w:fldCharType="end"/>
      </w:r>
      <w:r w:rsidRPr="00912AB9">
        <w:rPr>
          <w:rFonts w:asciiTheme="majorBidi" w:hAnsiTheme="majorBidi" w:cstheme="majorBidi"/>
        </w:rPr>
        <w:t>. Classic findings suggesting that baseline severity predicts differential success for specific treatments have failed to receive consistent empirical support</w:t>
      </w:r>
      <w:r w:rsidR="00B14275" w:rsidRPr="00912AB9">
        <w:rPr>
          <w:rFonts w:asciiTheme="majorBidi" w:hAnsiTheme="majorBidi" w:cstheme="majorBidi"/>
        </w:rPr>
        <w:t xml:space="preserve"> </w:t>
      </w:r>
      <w:r w:rsidR="00B14275" w:rsidRPr="00912AB9">
        <w:rPr>
          <w:rFonts w:asciiTheme="majorBidi" w:hAnsiTheme="majorBidi" w:cstheme="majorBidi"/>
        </w:rPr>
        <w:fldChar w:fldCharType="begin"/>
      </w:r>
      <w:r w:rsidR="00B14275" w:rsidRPr="00912AB9">
        <w:rPr>
          <w:rFonts w:asciiTheme="majorBidi" w:hAnsiTheme="majorBidi" w:cstheme="majorBidi"/>
        </w:rPr>
        <w:instrText xml:space="preserve"> ADDIN EN.CITE &lt;EndNote&gt;&lt;Cite&gt;&lt;Author&gt;Tröger&lt;/Author&gt;&lt;Year&gt;2024&lt;/Year&gt;&lt;RecNum&gt;10&lt;/RecNum&gt;&lt;DisplayText&gt;[5]&lt;/DisplayText&gt;&lt;record&gt;&lt;rec-number&gt;10&lt;/rec-number&gt;&lt;foreign-keys&gt;&lt;key app="EN" db-id="psfpff22iavxdlerdrnxes5cedrev290zear" timestamp="1750866924"&gt;10&lt;/key&gt;&lt;/foreign-keys&gt;&lt;ref-type name="Journal Article"&gt;17&lt;/ref-type&gt;&lt;contributors&gt;&lt;authors&gt;&lt;author&gt;Tröger, Anna&lt;/author&gt;&lt;author&gt;Miguel, Clara&lt;/author&gt;&lt;author&gt;Ciharova, Marketa&lt;/author&gt;&lt;author&gt;de Ponti, Nino&lt;/author&gt;&lt;author&gt;Durman, Güldehan&lt;/author&gt;&lt;author&gt;Cuijpers, Pim&lt;/author&gt;&lt;author&gt;Karyotaki, Eirini&lt;/author&gt;&lt;/authors&gt;&lt;/contributors&gt;&lt;titles&gt;&lt;title&gt;Baseline depression severity as moderator on depression outcomes in psychotherapy and pharmacotherapy&lt;/title&gt;&lt;secondary-title&gt;Journal of affective disorders&lt;/secondary-title&gt;&lt;/titles&gt;&lt;periodical&gt;&lt;full-title&gt;Journal of affective disorders&lt;/full-title&gt;&lt;/periodical&gt;&lt;pages&gt;86-99&lt;/pages&gt;&lt;volume&gt;344&lt;/volume&gt;&lt;dates&gt;&lt;year&gt;2024&lt;/year&gt;&lt;/dates&gt;&lt;isbn&gt;0165-0327&lt;/isbn&gt;&lt;urls&gt;&lt;related-urls&gt;&lt;url&gt;https://www.sciencedirect.com/science/article/pii/S016503272301234X?via%3Dihub&lt;/url&gt;&lt;/related-urls&gt;&lt;/urls&gt;&lt;/record&gt;&lt;/Cite&gt;&lt;/EndNote&gt;</w:instrText>
      </w:r>
      <w:r w:rsidR="00B14275" w:rsidRPr="00912AB9">
        <w:rPr>
          <w:rFonts w:asciiTheme="majorBidi" w:hAnsiTheme="majorBidi" w:cstheme="majorBidi"/>
        </w:rPr>
        <w:fldChar w:fldCharType="separate"/>
      </w:r>
      <w:r w:rsidR="00B14275" w:rsidRPr="00912AB9">
        <w:rPr>
          <w:rFonts w:asciiTheme="majorBidi" w:hAnsiTheme="majorBidi" w:cstheme="majorBidi"/>
          <w:noProof/>
        </w:rPr>
        <w:t>[5]</w:t>
      </w:r>
      <w:r w:rsidR="00B14275" w:rsidRPr="00912AB9">
        <w:rPr>
          <w:rFonts w:asciiTheme="majorBidi" w:hAnsiTheme="majorBidi" w:cstheme="majorBidi"/>
        </w:rPr>
        <w:fldChar w:fldCharType="end"/>
      </w:r>
      <w:r w:rsidRPr="00912AB9">
        <w:rPr>
          <w:rFonts w:asciiTheme="majorBidi" w:hAnsiTheme="majorBidi" w:cstheme="majorBidi"/>
        </w:rPr>
        <w:t>. Not less critical, severity may not even reliably predict general treatment outcomes. For instance, a comprehensive meta-analysis of 132 controlled psychotherapy studie</w:t>
      </w:r>
      <w:r w:rsidR="00935EAD" w:rsidRPr="00912AB9">
        <w:rPr>
          <w:rFonts w:asciiTheme="majorBidi" w:hAnsiTheme="majorBidi" w:cstheme="majorBidi"/>
        </w:rPr>
        <w:t xml:space="preserve">s </w:t>
      </w:r>
      <w:r w:rsidRPr="00912AB9">
        <w:rPr>
          <w:rFonts w:asciiTheme="majorBidi" w:hAnsiTheme="majorBidi" w:cstheme="majorBidi"/>
        </w:rPr>
        <w:t>with over 10,000 patients, found no evidence that higher baseline symptom severity predicted poorer response</w:t>
      </w:r>
      <w:r w:rsidR="00BB5911">
        <w:rPr>
          <w:rFonts w:asciiTheme="majorBidi" w:hAnsiTheme="majorBidi" w:cstheme="majorBidi"/>
        </w:rPr>
        <w:t xml:space="preserve"> </w:t>
      </w:r>
      <w:r w:rsidR="00BB5911" w:rsidRPr="00BB5911">
        <w:rPr>
          <w:rFonts w:asciiTheme="majorBidi" w:hAnsiTheme="majorBidi" w:cstheme="majorBidi"/>
        </w:rPr>
        <w:t>relative to controls</w:t>
      </w:r>
      <w:r w:rsidR="00BB5911">
        <w:rPr>
          <w:rFonts w:asciiTheme="majorBidi" w:hAnsiTheme="majorBidi" w:cstheme="majorBidi" w:hint="cs"/>
          <w:rtl/>
        </w:rPr>
        <w:t xml:space="preserve"> </w:t>
      </w:r>
      <w:r w:rsidR="00B14275" w:rsidRPr="00912AB9">
        <w:rPr>
          <w:rFonts w:asciiTheme="majorBidi" w:hAnsiTheme="majorBidi" w:cstheme="majorBidi"/>
        </w:rPr>
        <w:fldChar w:fldCharType="begin"/>
      </w:r>
      <w:r w:rsidR="00B14275" w:rsidRPr="00912AB9">
        <w:rPr>
          <w:rFonts w:asciiTheme="majorBidi" w:hAnsiTheme="majorBidi" w:cstheme="majorBidi"/>
        </w:rPr>
        <w:instrText xml:space="preserve"> ADDIN EN.CITE &lt;EndNote&gt;&lt;Cite&gt;&lt;Author&gt;Driessen&lt;/Author&gt;&lt;Year&gt;2010&lt;/Year&gt;&lt;RecNum&gt;13&lt;/RecNum&gt;&lt;DisplayText&gt;[6]&lt;/DisplayText&gt;&lt;record&gt;&lt;rec-number&gt;13&lt;/rec-number&gt;&lt;foreign-keys&gt;&lt;key app="EN" db-id="psfpff22iavxdlerdrnxes5cedrev290zear" timestamp="1750867689"&gt;13&lt;/key&gt;&lt;/foreign-keys&gt;&lt;ref-type name="Journal Article"&gt;17&lt;/ref-type&gt;&lt;contributors&gt;&lt;authors&gt;&lt;author&gt;Driessen, Ellen&lt;/author&gt;&lt;author&gt;Cuijpers, Pim&lt;/author&gt;&lt;author&gt;Hollon, Steven D&lt;/author&gt;&lt;author&gt;Dekker, Jack JM&lt;/author&gt;&lt;/authors&gt;&lt;/contributors&gt;&lt;titles&gt;&lt;title&gt;Does pretreatment severity moderate the efficacy of psychological treatment of adult outpatient depression? A meta-analysis&lt;/title&gt;&lt;secondary-title&gt;Journal of consulting and clinical psychology&lt;/secondary-title&gt;&lt;/titles&gt;&lt;periodical&gt;&lt;full-title&gt;Journal of consulting and clinical psychology&lt;/full-title&gt;&lt;/periodical&gt;&lt;pages&gt;668&lt;/pages&gt;&lt;volume&gt;78&lt;/volume&gt;&lt;number&gt;5&lt;/number&gt;&lt;dates&gt;&lt;year&gt;2010&lt;/year&gt;&lt;/dates&gt;&lt;isbn&gt;1939-2117&lt;/isbn&gt;&lt;urls&gt;&lt;/urls&gt;&lt;/record&gt;&lt;/Cite&gt;&lt;/EndNote&gt;</w:instrText>
      </w:r>
      <w:r w:rsidR="00B14275" w:rsidRPr="00912AB9">
        <w:rPr>
          <w:rFonts w:asciiTheme="majorBidi" w:hAnsiTheme="majorBidi" w:cstheme="majorBidi"/>
        </w:rPr>
        <w:fldChar w:fldCharType="separate"/>
      </w:r>
      <w:r w:rsidR="00B14275" w:rsidRPr="00912AB9">
        <w:rPr>
          <w:rFonts w:asciiTheme="majorBidi" w:hAnsiTheme="majorBidi" w:cstheme="majorBidi"/>
          <w:noProof/>
        </w:rPr>
        <w:t>[6]</w:t>
      </w:r>
      <w:r w:rsidR="00B14275" w:rsidRPr="00912AB9">
        <w:rPr>
          <w:rFonts w:asciiTheme="majorBidi" w:hAnsiTheme="majorBidi" w:cstheme="majorBidi"/>
        </w:rPr>
        <w:fldChar w:fldCharType="end"/>
      </w:r>
      <w:r w:rsidRPr="00912AB9">
        <w:rPr>
          <w:rFonts w:asciiTheme="majorBidi" w:hAnsiTheme="majorBidi" w:cstheme="majorBidi"/>
        </w:rPr>
        <w:t xml:space="preserve">. </w:t>
      </w:r>
    </w:p>
    <w:p w14:paraId="305FC936" w14:textId="3C93C4B2" w:rsidR="006A6482" w:rsidRPr="00BB5911" w:rsidRDefault="006A6482" w:rsidP="00A449BB">
      <w:pPr>
        <w:spacing w:before="100" w:beforeAutospacing="1" w:after="100" w:afterAutospacing="1" w:line="480" w:lineRule="auto"/>
        <w:rPr>
          <w:rFonts w:asciiTheme="majorBidi" w:hAnsiTheme="majorBidi" w:cstheme="majorBidi"/>
          <w:i/>
          <w:iCs/>
        </w:rPr>
      </w:pPr>
      <w:r w:rsidRPr="00912AB9">
        <w:rPr>
          <w:rFonts w:asciiTheme="majorBidi" w:hAnsiTheme="majorBidi" w:cstheme="majorBidi"/>
        </w:rPr>
        <w:lastRenderedPageBreak/>
        <w:t xml:space="preserve">These findings, casting doubt on the clinical utility of using baseline symptom severity as a predictor of clinical prognosis, seem counterintuitive to what many clinicians view as fundamental truths guiding their daily decision-making in treating depression. Indeed, clinicians conducting initial assessments for depression treatment routinely rely on their clinical impressions of symptom severity to determine clinical prognosis. </w:t>
      </w:r>
      <w:r w:rsidRPr="00BB5911">
        <w:rPr>
          <w:rFonts w:asciiTheme="majorBidi" w:hAnsiTheme="majorBidi" w:cstheme="majorBidi"/>
          <w:i/>
          <w:iCs/>
        </w:rPr>
        <w:t>But could it be that clinicians gather a richer, more nuanced understanding of depression than what baseline severity scores—the cornerstone of much clinical research—can offer?</w:t>
      </w:r>
    </w:p>
    <w:p w14:paraId="65B6E4FF" w14:textId="2DC3EB02" w:rsidR="006A6482" w:rsidRPr="00912AB9" w:rsidRDefault="006A6482" w:rsidP="00912AB9">
      <w:pPr>
        <w:spacing w:before="100" w:beforeAutospacing="1" w:after="100" w:afterAutospacing="1" w:line="480" w:lineRule="auto"/>
        <w:rPr>
          <w:rFonts w:asciiTheme="majorBidi" w:hAnsiTheme="majorBidi" w:cstheme="majorBidi"/>
        </w:rPr>
      </w:pPr>
      <w:r w:rsidRPr="00912AB9">
        <w:rPr>
          <w:rFonts w:asciiTheme="majorBidi" w:hAnsiTheme="majorBidi" w:cstheme="majorBidi"/>
        </w:rPr>
        <w:t>Recent findings on the psychopathology of depression characterize mental health, and particularly depression, as highly dynamic and person-specific</w:t>
      </w:r>
      <w:r w:rsidR="00C44CB7" w:rsidRPr="00912AB9">
        <w:rPr>
          <w:rFonts w:asciiTheme="majorBidi" w:hAnsiTheme="majorBidi" w:cstheme="majorBidi"/>
        </w:rPr>
        <w:t xml:space="preserve"> </w:t>
      </w:r>
      <w:r w:rsidR="00C44CB7" w:rsidRPr="00912AB9">
        <w:rPr>
          <w:rFonts w:asciiTheme="majorBidi" w:hAnsiTheme="majorBidi" w:cstheme="majorBidi"/>
        </w:rPr>
        <w:fldChar w:fldCharType="begin"/>
      </w:r>
      <w:r w:rsidR="00C44CB7" w:rsidRPr="00912AB9">
        <w:rPr>
          <w:rFonts w:asciiTheme="majorBidi" w:hAnsiTheme="majorBidi" w:cstheme="majorBidi"/>
        </w:rPr>
        <w:instrText xml:space="preserve"> ADDIN EN.CITE &lt;EndNote&gt;&lt;Cite&gt;&lt;Author&gt;Zilcha-Mano&lt;/Author&gt;&lt;Year&gt;2024&lt;/Year&gt;&lt;RecNum&gt;6&lt;/RecNum&gt;&lt;DisplayText&gt;[7]&lt;/DisplayText&gt;&lt;record&gt;&lt;rec-number&gt;6&lt;/rec-number&gt;&lt;foreign-keys&gt;&lt;key app="EN" db-id="psfpff22iavxdlerdrnxes5cedrev290zear" timestamp="1750866840"&gt;6&lt;/key&gt;&lt;/foreign-keys&gt;&lt;ref-type name="Journal Article"&gt;17&lt;/ref-type&gt;&lt;contributors&gt;&lt;authors&gt;&lt;author&gt;Zilcha-Mano, Sigal&lt;/author&gt;&lt;/authors&gt;&lt;/contributors&gt;&lt;titles&gt;&lt;title&gt;Individual-specific animated profiles of mental health&lt;/title&gt;&lt;secondary-title&gt;Perspectives on Psychological Science&lt;/secondary-title&gt;&lt;/titles&gt;&lt;periodical&gt;&lt;full-title&gt;Perspectives on Psychological Science&lt;/full-title&gt;&lt;/periodical&gt;&lt;pages&gt;17456916231226308&lt;/pages&gt;&lt;dates&gt;&lt;year&gt;2024&lt;/year&gt;&lt;/dates&gt;&lt;isbn&gt;1745-6916&lt;/isbn&gt;&lt;urls&gt;&lt;/urls&gt;&lt;/record&gt;&lt;/Cite&gt;&lt;/EndNote&gt;</w:instrText>
      </w:r>
      <w:r w:rsidR="00C44CB7" w:rsidRPr="00912AB9">
        <w:rPr>
          <w:rFonts w:asciiTheme="majorBidi" w:hAnsiTheme="majorBidi" w:cstheme="majorBidi"/>
        </w:rPr>
        <w:fldChar w:fldCharType="separate"/>
      </w:r>
      <w:r w:rsidR="00C44CB7" w:rsidRPr="00912AB9">
        <w:rPr>
          <w:rFonts w:asciiTheme="majorBidi" w:hAnsiTheme="majorBidi" w:cstheme="majorBidi"/>
          <w:noProof/>
        </w:rPr>
        <w:t>[7]</w:t>
      </w:r>
      <w:r w:rsidR="00C44CB7" w:rsidRPr="00912AB9">
        <w:rPr>
          <w:rFonts w:asciiTheme="majorBidi" w:hAnsiTheme="majorBidi" w:cstheme="majorBidi"/>
        </w:rPr>
        <w:fldChar w:fldCharType="end"/>
      </w:r>
      <w:r w:rsidRPr="00912AB9">
        <w:rPr>
          <w:rFonts w:asciiTheme="majorBidi" w:hAnsiTheme="majorBidi" w:cstheme="majorBidi"/>
        </w:rPr>
        <w:t xml:space="preserve">. In other words, patients' depressive states before treatment initiation are not necessarily stable: some individuals show worsening symptoms pre-treatment, others demonstrate stability, and some even exhibit improvement. Patients differ not only in their symptom trajectories but also in the degree of symptom variability. Some show </w:t>
      </w:r>
      <w:r w:rsidR="00BB5911">
        <w:rPr>
          <w:rFonts w:asciiTheme="majorBidi" w:hAnsiTheme="majorBidi" w:cstheme="majorBidi"/>
        </w:rPr>
        <w:t>substantial</w:t>
      </w:r>
      <w:r w:rsidRPr="00912AB9">
        <w:rPr>
          <w:rFonts w:asciiTheme="majorBidi" w:hAnsiTheme="majorBidi" w:cstheme="majorBidi"/>
        </w:rPr>
        <w:t xml:space="preserve"> day-to-day fluctuations in their depression severity, while others experience minimal or no fluctuations at all. This raises an important question: can this pre-treatment symptom dynamic (as manifested in trajectory and variability) provide clinically valuable prognostic information about a patient's likelihood of improvement, above and beyond what existing assessments (such as baseline Hamilton scores) are able to predict?</w:t>
      </w:r>
    </w:p>
    <w:p w14:paraId="26391305" w14:textId="4E13338F" w:rsidR="00CE26D2" w:rsidRPr="00912AB9" w:rsidRDefault="00CE26D2" w:rsidP="00912AB9">
      <w:pPr>
        <w:spacing w:before="100" w:beforeAutospacing="1" w:after="100" w:afterAutospacing="1" w:line="480" w:lineRule="auto"/>
        <w:rPr>
          <w:rFonts w:asciiTheme="majorBidi" w:hAnsiTheme="majorBidi" w:cstheme="majorBidi"/>
        </w:rPr>
      </w:pPr>
      <w:r w:rsidRPr="00912AB9">
        <w:rPr>
          <w:rFonts w:asciiTheme="majorBidi" w:hAnsiTheme="majorBidi" w:cstheme="majorBidi"/>
        </w:rPr>
        <w:t xml:space="preserve">In the current study, we focused on the dynamics of depression (trajectory and variability) just prior to treatment commencement, as this period is most clinically relevant and immediately accessible for assessment by clinicians before starting treatment. We used a daily digital depression-assessment app, previously shown to have approximately 90% </w:t>
      </w:r>
      <w:r w:rsidRPr="00912AB9">
        <w:rPr>
          <w:rFonts w:asciiTheme="majorBidi" w:hAnsiTheme="majorBidi" w:cstheme="majorBidi"/>
        </w:rPr>
        <w:lastRenderedPageBreak/>
        <w:t>agreement with clinicians' Hamilton Depression Rating Scale evaluations, to capture depression dynamics during the week before treatment initiation</w:t>
      </w:r>
      <w:r w:rsidR="007E26C8">
        <w:rPr>
          <w:rFonts w:asciiTheme="majorBidi" w:hAnsiTheme="majorBidi" w:cstheme="majorBidi" w:hint="cs"/>
          <w:rtl/>
        </w:rPr>
        <w:t xml:space="preserve"> </w:t>
      </w:r>
      <w:r w:rsidR="007E26C8">
        <w:rPr>
          <w:rFonts w:asciiTheme="majorBidi" w:hAnsiTheme="majorBidi" w:cstheme="majorBidi"/>
        </w:rPr>
        <w:t>(Days 1-7)</w:t>
      </w:r>
      <w:r w:rsidRPr="00912AB9">
        <w:rPr>
          <w:rFonts w:asciiTheme="majorBidi" w:hAnsiTheme="majorBidi" w:cstheme="majorBidi"/>
        </w:rPr>
        <w:t>. We then examined whether these pre-treatment depression dynamics offer additional clinical utility by predicting treatment prognosis, above and beyond what baseline Hamilton scores alone could indicate.</w:t>
      </w:r>
    </w:p>
    <w:p w14:paraId="2C25AA46" w14:textId="3BFD0FDE" w:rsidR="00D363BC" w:rsidRPr="00912AB9" w:rsidRDefault="00CC4E12" w:rsidP="00A54AB1">
      <w:pPr>
        <w:spacing w:before="100" w:beforeAutospacing="1" w:after="100" w:afterAutospacing="1" w:line="480" w:lineRule="auto"/>
        <w:jc w:val="center"/>
        <w:rPr>
          <w:rFonts w:asciiTheme="majorBidi" w:hAnsiTheme="majorBidi" w:cstheme="majorBidi"/>
          <w:b/>
          <w:bCs/>
          <w:rtl/>
        </w:rPr>
      </w:pPr>
      <w:r w:rsidRPr="00912AB9">
        <w:rPr>
          <w:rFonts w:asciiTheme="majorBidi" w:hAnsiTheme="majorBidi" w:cstheme="majorBidi"/>
          <w:b/>
          <w:bCs/>
        </w:rPr>
        <w:t>Methods</w:t>
      </w:r>
    </w:p>
    <w:p w14:paraId="6DB64795" w14:textId="47975FA4" w:rsidR="006D1C77" w:rsidRPr="00912AB9" w:rsidRDefault="00CE75EE" w:rsidP="000B1B90">
      <w:pPr>
        <w:spacing w:before="100" w:beforeAutospacing="1" w:after="100" w:afterAutospacing="1" w:line="480" w:lineRule="auto"/>
        <w:rPr>
          <w:rFonts w:asciiTheme="majorBidi" w:hAnsiTheme="majorBidi" w:cstheme="majorBidi"/>
        </w:rPr>
      </w:pPr>
      <w:r w:rsidRPr="00912AB9">
        <w:rPr>
          <w:rFonts w:asciiTheme="majorBidi" w:hAnsiTheme="majorBidi" w:cstheme="majorBidi"/>
        </w:rPr>
        <w:t xml:space="preserve">Study setting and participants are described in details elsewhere </w:t>
      </w:r>
      <w:r w:rsidR="0089335C" w:rsidRPr="00912AB9">
        <w:rPr>
          <w:rFonts w:asciiTheme="majorBidi" w:hAnsiTheme="majorBidi" w:cstheme="majorBidi"/>
        </w:rPr>
        <w:fldChar w:fldCharType="begin"/>
      </w:r>
      <w:r w:rsidR="00C44CB7" w:rsidRPr="00912AB9">
        <w:rPr>
          <w:rFonts w:asciiTheme="majorBidi" w:hAnsiTheme="majorBidi" w:cstheme="majorBidi"/>
        </w:rPr>
        <w:instrText xml:space="preserve"> ADDIN EN.CITE &lt;EndNote&gt;&lt;Cite&gt;&lt;Author&gt;Zilcha-Mano&lt;/Author&gt;&lt;Year&gt;2018&lt;/Year&gt;&lt;RecNum&gt;3&lt;/RecNum&gt;&lt;DisplayText&gt;[8, 9]&lt;/DisplayText&gt;&lt;record&gt;&lt;rec-number&gt;3&lt;/rec-number&gt;&lt;foreign-keys&gt;&lt;key app="EN" db-id="psfpff22iavxdlerdrnxes5cedrev290zear" timestamp="1750866794"&gt;3&lt;/key&gt;&lt;/foreign-keys&gt;&lt;ref-type name="Journal Article"&gt;17&lt;/ref-type&gt;&lt;contributors&gt;&lt;authors&gt;&lt;author&gt;Zilcha-Mano, Sigal&lt;/author&gt;&lt;author&gt;Dolev, Tohar&lt;/author&gt;&lt;author&gt;Leibovich, Liat&lt;/author&gt;&lt;author&gt;Barber, Jacques P&lt;/author&gt;&lt;/authors&gt;&lt;/contributors&gt;&lt;titles&gt;&lt;title&gt;Identifying the most suitable treatment for depression based on patients’ attachment: Study protocol for a randomized controlled trial of supportive-expressive vs. supportive treatments&lt;/title&gt;&lt;secondary-title&gt;BMC psychiatry&lt;/secondary-title&gt;&lt;/titles&gt;&lt;periodical&gt;&lt;full-title&gt;BMC psychiatry&lt;/full-title&gt;&lt;/periodical&gt;&lt;pages&gt;1-9&lt;/pages&gt;&lt;volume&gt;18&lt;/volume&gt;&lt;dates&gt;&lt;year&gt;2018&lt;/year&gt;&lt;/dates&gt;&lt;urls&gt;&lt;/urls&gt;&lt;/record&gt;&lt;/Cite&gt;&lt;Cite&gt;&lt;Author&gt;Zilcha-Mano&lt;/Author&gt;&lt;Year&gt;2021&lt;/Year&gt;&lt;RecNum&gt;2&lt;/RecNum&gt;&lt;record&gt;&lt;rec-number&gt;2&lt;/rec-number&gt;&lt;foreign-keys&gt;&lt;key app="EN" db-id="psfpff22iavxdlerdrnxes5cedrev290zear" timestamp="1750866778"&gt;2&lt;/key&gt;&lt;/foreign-keys&gt;&lt;ref-type name="Journal Article"&gt;17&lt;/ref-type&gt;&lt;contributors&gt;&lt;authors&gt;&lt;author&gt;Zilcha-Mano, Sigal&lt;/author&gt;&lt;author&gt;Shahar, Ben&lt;/author&gt;&lt;author&gt;Fisher, Hadar&lt;/author&gt;&lt;author&gt;Dolev-Amit, Tohar&lt;/author&gt;&lt;author&gt;Greenberg, Leslie S&lt;/author&gt;&lt;author&gt;Barber, Jacques P&lt;/author&gt;&lt;/authors&gt;&lt;/contributors&gt;&lt;titles&gt;&lt;title&gt;Investigating patient-specific mechanisms of change in SET vs. EFT for depression: study protocol for a mechanistic randomized controlled trial&lt;/title&gt;&lt;secondary-title&gt;BMC psychiatry&lt;/secondary-title&gt;&lt;/titles&gt;&lt;periodical&gt;&lt;full-title&gt;BMC psychiatry&lt;/full-title&gt;&lt;/periodical&gt;&lt;pages&gt;287&lt;/pages&gt;&lt;volume&gt;21&lt;/volume&gt;&lt;number&gt;1&lt;/number&gt;&lt;dates&gt;&lt;year&gt;2021&lt;/year&gt;&lt;/dates&gt;&lt;isbn&gt;1471-244X&lt;/isbn&gt;&lt;urls&gt;&lt;related-urls&gt;&lt;url&gt;https://bmcpsychiatry.biomedcentral.com/counter/pdf/10.1186/s12888-021-03279-y.pdf&lt;/url&gt;&lt;/related-urls&gt;&lt;/urls&gt;&lt;/record&gt;&lt;/Cite&gt;&lt;/EndNote&gt;</w:instrText>
      </w:r>
      <w:r w:rsidR="0089335C" w:rsidRPr="00912AB9">
        <w:rPr>
          <w:rFonts w:asciiTheme="majorBidi" w:hAnsiTheme="majorBidi" w:cstheme="majorBidi"/>
        </w:rPr>
        <w:fldChar w:fldCharType="separate"/>
      </w:r>
      <w:r w:rsidR="00C44CB7" w:rsidRPr="00912AB9">
        <w:rPr>
          <w:rFonts w:asciiTheme="majorBidi" w:hAnsiTheme="majorBidi" w:cstheme="majorBidi"/>
          <w:noProof/>
        </w:rPr>
        <w:t>[8, 9</w:t>
      </w:r>
      <w:r w:rsidR="0089335C" w:rsidRPr="00912AB9">
        <w:rPr>
          <w:rFonts w:asciiTheme="majorBidi" w:hAnsiTheme="majorBidi" w:cstheme="majorBidi"/>
        </w:rPr>
        <w:fldChar w:fldCharType="end"/>
      </w:r>
      <w:r w:rsidR="006D1C77" w:rsidRPr="00912AB9">
        <w:rPr>
          <w:rFonts w:asciiTheme="majorBidi" w:hAnsiTheme="majorBidi" w:cstheme="majorBidi"/>
        </w:rPr>
        <w:t>,</w:t>
      </w:r>
      <w:r w:rsidRPr="00912AB9">
        <w:rPr>
          <w:rFonts w:asciiTheme="majorBidi" w:hAnsiTheme="majorBidi" w:cstheme="majorBidi"/>
        </w:rPr>
        <w:t xml:space="preserve"> and at clinicaltrials.gov Identifiers: NCT02728557</w:t>
      </w:r>
      <w:r w:rsidR="00E4319C" w:rsidRPr="00912AB9">
        <w:rPr>
          <w:rFonts w:asciiTheme="majorBidi" w:hAnsiTheme="majorBidi" w:cstheme="majorBidi"/>
        </w:rPr>
        <w:t xml:space="preserve"> and  NCT04576182</w:t>
      </w:r>
      <w:r w:rsidRPr="00912AB9">
        <w:rPr>
          <w:rFonts w:asciiTheme="majorBidi" w:hAnsiTheme="majorBidi" w:cstheme="majorBidi"/>
        </w:rPr>
        <w:t>]. Patients diagnosed with MDD (n=</w:t>
      </w:r>
      <w:r w:rsidR="002A30CC" w:rsidRPr="00912AB9">
        <w:rPr>
          <w:rFonts w:asciiTheme="majorBidi" w:hAnsiTheme="majorBidi" w:cstheme="majorBidi"/>
        </w:rPr>
        <w:t>7</w:t>
      </w:r>
      <w:r w:rsidRPr="00912AB9">
        <w:rPr>
          <w:rFonts w:asciiTheme="majorBidi" w:hAnsiTheme="majorBidi" w:cstheme="majorBidi"/>
        </w:rPr>
        <w:t xml:space="preserve">7) participated in one of two clinical trials of </w:t>
      </w:r>
      <w:r w:rsidR="00A10B3B">
        <w:rPr>
          <w:rFonts w:asciiTheme="majorBidi" w:hAnsiTheme="majorBidi" w:cstheme="majorBidi"/>
        </w:rPr>
        <w:t>short-term</w:t>
      </w:r>
      <w:r w:rsidRPr="00912AB9">
        <w:rPr>
          <w:rFonts w:asciiTheme="majorBidi" w:hAnsiTheme="majorBidi" w:cstheme="majorBidi"/>
        </w:rPr>
        <w:t xml:space="preserve"> psychotherapies for depression of 16 weeks</w:t>
      </w:r>
      <w:r w:rsidR="002A30CC" w:rsidRPr="00912AB9">
        <w:rPr>
          <w:rFonts w:asciiTheme="majorBidi" w:hAnsiTheme="majorBidi" w:cstheme="majorBidi"/>
        </w:rPr>
        <w:t>; those with at least 3 daily assessments of pre-treatment depression were included in the analyses</w:t>
      </w:r>
      <w:r w:rsidRPr="00912AB9">
        <w:rPr>
          <w:rFonts w:asciiTheme="majorBidi" w:hAnsiTheme="majorBidi" w:cstheme="majorBidi"/>
        </w:rPr>
        <w:t xml:space="preserve">. The study was approved by the Institutional Review Board, and all patients gave informed consent in writing before screening. </w:t>
      </w:r>
    </w:p>
    <w:p w14:paraId="0438F9CF" w14:textId="598E7765" w:rsidR="00CE75EE" w:rsidRPr="00912AB9" w:rsidRDefault="00CE75EE" w:rsidP="00912AB9">
      <w:pPr>
        <w:spacing w:before="100" w:beforeAutospacing="1" w:after="100" w:afterAutospacing="1" w:line="480" w:lineRule="auto"/>
        <w:rPr>
          <w:rFonts w:asciiTheme="majorBidi" w:hAnsiTheme="majorBidi" w:cstheme="majorBidi"/>
          <w:rtl/>
        </w:rPr>
      </w:pPr>
      <w:r w:rsidRPr="00912AB9">
        <w:rPr>
          <w:rFonts w:asciiTheme="majorBidi" w:hAnsiTheme="majorBidi" w:cstheme="majorBidi"/>
        </w:rPr>
        <w:t xml:space="preserve">The dynamic of depression was measured </w:t>
      </w:r>
      <w:r w:rsidR="00A10B3B">
        <w:rPr>
          <w:rFonts w:asciiTheme="majorBidi" w:hAnsiTheme="majorBidi" w:cstheme="majorBidi"/>
        </w:rPr>
        <w:t>with</w:t>
      </w:r>
      <w:r w:rsidRPr="00912AB9">
        <w:rPr>
          <w:rFonts w:asciiTheme="majorBidi" w:hAnsiTheme="majorBidi" w:cstheme="majorBidi"/>
        </w:rPr>
        <w:t xml:space="preserve"> the digital format of the Hamilton depression rating scale</w:t>
      </w:r>
      <w:r w:rsidR="0089335C" w:rsidRPr="00912AB9">
        <w:rPr>
          <w:rFonts w:asciiTheme="majorBidi" w:hAnsiTheme="majorBidi" w:cstheme="majorBidi"/>
        </w:rPr>
        <w:t xml:space="preserve"> </w:t>
      </w:r>
      <w:r w:rsidR="0089335C" w:rsidRPr="00912AB9">
        <w:rPr>
          <w:rFonts w:asciiTheme="majorBidi" w:hAnsiTheme="majorBidi" w:cstheme="majorBidi"/>
        </w:rPr>
        <w:fldChar w:fldCharType="begin"/>
      </w:r>
      <w:r w:rsidR="00C44CB7" w:rsidRPr="00912AB9">
        <w:rPr>
          <w:rFonts w:asciiTheme="majorBidi" w:hAnsiTheme="majorBidi" w:cstheme="majorBidi"/>
        </w:rPr>
        <w:instrText xml:space="preserve"> ADDIN EN.CITE &lt;EndNote&gt;&lt;Cite&gt;&lt;Author&gt;Berko&lt;/Author&gt;&lt;Year&gt;2022&lt;/Year&gt;&lt;RecNum&gt;4&lt;/RecNum&gt;&lt;DisplayText&gt;[10]&lt;/DisplayText&gt;&lt;record&gt;&lt;rec-number&gt;4&lt;/rec-number&gt;&lt;foreign-keys&gt;&lt;key app="EN" db-id="psfpff22iavxdlerdrnxes5cedrev290zear" timestamp="1750866810"&gt;4&lt;/key&gt;&lt;/foreign-keys&gt;&lt;ref-type name="Journal Article"&gt;17&lt;/ref-type&gt;&lt;contributors&gt;&lt;authors&gt;&lt;author&gt;Berko, Adi&lt;/author&gt;&lt;author&gt;Bar-Sella, Avigail&lt;/author&gt;&lt;author&gt;Fisher, Hadar&lt;/author&gt;&lt;author&gt;Sobolev, Michael&lt;/author&gt;&lt;author&gt;Pollak, JP&lt;/author&gt;&lt;author&gt;Zilcha-Mano, Sigal&lt;/author&gt;&lt;/authors&gt;&lt;/contributors&gt;&lt;titles&gt;&lt;title&gt;Development and evaluation of the HRSD-D, an image-based digital measure of the Hamilton rating scale for depression&lt;/title&gt;&lt;secondary-title&gt;Scientific Reports&lt;/secondary-title&gt;&lt;/titles&gt;&lt;periodical&gt;&lt;full-title&gt;Scientific Reports&lt;/full-title&gt;&lt;/periodical&gt;&lt;pages&gt;14342&lt;/pages&gt;&lt;volume&gt;12&lt;/volume&gt;&lt;number&gt;1&lt;/number&gt;&lt;dates&gt;&lt;year&gt;2022&lt;/year&gt;&lt;/dates&gt;&lt;isbn&gt;2045-2322&lt;/isbn&gt;&lt;urls&gt;&lt;related-urls&gt;&lt;url&gt;https://www.nature.com/articles/s41598-022-18434-y.pdf&lt;/url&gt;&lt;/related-urls&gt;&lt;/urls&gt;&lt;/record&gt;&lt;/Cite&gt;&lt;/EndNote&gt;</w:instrText>
      </w:r>
      <w:r w:rsidR="0089335C" w:rsidRPr="00912AB9">
        <w:rPr>
          <w:rFonts w:asciiTheme="majorBidi" w:hAnsiTheme="majorBidi" w:cstheme="majorBidi"/>
        </w:rPr>
        <w:fldChar w:fldCharType="separate"/>
      </w:r>
      <w:r w:rsidR="00C44CB7" w:rsidRPr="00912AB9">
        <w:rPr>
          <w:rFonts w:asciiTheme="majorBidi" w:hAnsiTheme="majorBidi" w:cstheme="majorBidi"/>
          <w:noProof/>
        </w:rPr>
        <w:t>[10]</w:t>
      </w:r>
      <w:r w:rsidR="0089335C" w:rsidRPr="00912AB9">
        <w:rPr>
          <w:rFonts w:asciiTheme="majorBidi" w:hAnsiTheme="majorBidi" w:cstheme="majorBidi"/>
        </w:rPr>
        <w:fldChar w:fldCharType="end"/>
      </w:r>
      <w:r w:rsidRPr="00912AB9">
        <w:rPr>
          <w:rFonts w:asciiTheme="majorBidi" w:hAnsiTheme="majorBidi" w:cstheme="majorBidi"/>
        </w:rPr>
        <w:t>, and the HRSD itself</w:t>
      </w:r>
      <w:r w:rsidR="0089335C" w:rsidRPr="00912AB9">
        <w:rPr>
          <w:rFonts w:asciiTheme="majorBidi" w:hAnsiTheme="majorBidi" w:cstheme="majorBidi"/>
        </w:rPr>
        <w:t xml:space="preserve"> </w:t>
      </w:r>
      <w:r w:rsidR="00486AE1" w:rsidRPr="00912AB9">
        <w:rPr>
          <w:rFonts w:asciiTheme="majorBidi" w:hAnsiTheme="majorBidi" w:cstheme="majorBidi"/>
        </w:rPr>
        <w:fldChar w:fldCharType="begin"/>
      </w:r>
      <w:r w:rsidR="00486AE1" w:rsidRPr="00912AB9">
        <w:rPr>
          <w:rFonts w:asciiTheme="majorBidi" w:hAnsiTheme="majorBidi" w:cstheme="majorBidi"/>
        </w:rPr>
        <w:instrText xml:space="preserve"> ADDIN EN.CITE &lt;EndNote&gt;&lt;Cite&gt;&lt;Author&gt;Hamilton&lt;/Author&gt;&lt;Year&gt;1960&lt;/Year&gt;&lt;RecNum&gt;5&lt;/RecNum&gt;&lt;DisplayText&gt;[11]&lt;/DisplayText&gt;&lt;record&gt;&lt;rec-number&gt;5&lt;/rec-number&gt;&lt;foreign-keys&gt;&lt;key app="EN" db-id="psfpff22iavxdlerdrnxes5cedrev290zear" timestamp="1750866829"&gt;5&lt;/key&gt;&lt;/foreign-keys&gt;&lt;ref-type name="Journal Article"&gt;17&lt;/ref-type&gt;&lt;contributors&gt;&lt;authors&gt;&lt;author&gt;Hamilton, Max&lt;/author&gt;&lt;/authors&gt;&lt;/contributors&gt;&lt;titles&gt;&lt;title&gt;A rating scale for depression&lt;/title&gt;&lt;secondary-title&gt;Journal of neurology, neurosurgery, and psychiatry&lt;/secondary-title&gt;&lt;/titles&gt;&lt;periodical&gt;&lt;full-title&gt;Journal of neurology, neurosurgery, and psychiatry&lt;/full-title&gt;&lt;/periodical&gt;&lt;pages&gt;56&lt;/pages&gt;&lt;volume&gt;23&lt;/volume&gt;&lt;number&gt;1&lt;/number&gt;&lt;dates&gt;&lt;year&gt;1960&lt;/year&gt;&lt;/dates&gt;&lt;urls&gt;&lt;related-urls&gt;&lt;url&gt;https://pmc.ncbi.nlm.nih.gov/articles/PMC495331/&lt;/url&gt;&lt;/related-urls&gt;&lt;/urls&gt;&lt;/record&gt;&lt;/Cite&gt;&lt;/EndNote&gt;</w:instrText>
      </w:r>
      <w:r w:rsidR="00486AE1" w:rsidRPr="00912AB9">
        <w:rPr>
          <w:rFonts w:asciiTheme="majorBidi" w:hAnsiTheme="majorBidi" w:cstheme="majorBidi"/>
        </w:rPr>
        <w:fldChar w:fldCharType="separate"/>
      </w:r>
      <w:r w:rsidR="00486AE1" w:rsidRPr="00912AB9">
        <w:rPr>
          <w:rFonts w:asciiTheme="majorBidi" w:hAnsiTheme="majorBidi" w:cstheme="majorBidi"/>
          <w:noProof/>
        </w:rPr>
        <w:t>[11]</w:t>
      </w:r>
      <w:r w:rsidR="00486AE1" w:rsidRPr="00912AB9">
        <w:rPr>
          <w:rFonts w:asciiTheme="majorBidi" w:hAnsiTheme="majorBidi" w:cstheme="majorBidi"/>
        </w:rPr>
        <w:fldChar w:fldCharType="end"/>
      </w:r>
      <w:r w:rsidR="000B1B90">
        <w:rPr>
          <w:rFonts w:asciiTheme="majorBidi" w:hAnsiTheme="majorBidi" w:cstheme="majorBidi"/>
        </w:rPr>
        <w:t xml:space="preserve"> </w:t>
      </w:r>
      <w:r w:rsidRPr="00912AB9">
        <w:rPr>
          <w:rFonts w:asciiTheme="majorBidi" w:hAnsiTheme="majorBidi" w:cstheme="majorBidi"/>
        </w:rPr>
        <w:t xml:space="preserve">was administered at </w:t>
      </w:r>
      <w:r w:rsidR="00E4319C" w:rsidRPr="00912AB9">
        <w:rPr>
          <w:rFonts w:asciiTheme="majorBidi" w:hAnsiTheme="majorBidi" w:cstheme="majorBidi"/>
        </w:rPr>
        <w:t>baseline</w:t>
      </w:r>
      <w:r w:rsidRPr="00912AB9">
        <w:rPr>
          <w:rFonts w:asciiTheme="majorBidi" w:hAnsiTheme="majorBidi" w:cstheme="majorBidi"/>
        </w:rPr>
        <w:t xml:space="preserve"> and then weekly for the 16 weeks of treatment.</w:t>
      </w:r>
    </w:p>
    <w:p w14:paraId="396E20E6" w14:textId="77777777" w:rsidR="00E62A41" w:rsidRPr="00E62A41" w:rsidRDefault="00E62A41" w:rsidP="00912AB9">
      <w:pPr>
        <w:spacing w:before="100" w:beforeAutospacing="1" w:after="100" w:afterAutospacing="1" w:line="480" w:lineRule="auto"/>
        <w:rPr>
          <w:rFonts w:asciiTheme="majorBidi" w:hAnsiTheme="majorBidi" w:cstheme="majorBidi"/>
        </w:rPr>
      </w:pPr>
      <w:r w:rsidRPr="00E62A41">
        <w:rPr>
          <w:rFonts w:asciiTheme="majorBidi" w:hAnsiTheme="majorBidi" w:cstheme="majorBidi"/>
          <w:b/>
          <w:bCs/>
        </w:rPr>
        <w:t>Statistical Analysis</w:t>
      </w:r>
    </w:p>
    <w:p w14:paraId="50F0F8A9" w14:textId="77777777" w:rsidR="00E62A41" w:rsidRPr="00E62A41" w:rsidRDefault="00E62A41" w:rsidP="00912AB9">
      <w:pPr>
        <w:spacing w:before="100" w:beforeAutospacing="1" w:after="100" w:afterAutospacing="1" w:line="480" w:lineRule="auto"/>
        <w:rPr>
          <w:rFonts w:asciiTheme="majorBidi" w:hAnsiTheme="majorBidi" w:cstheme="majorBidi"/>
        </w:rPr>
      </w:pPr>
      <w:r w:rsidRPr="00E62A41">
        <w:rPr>
          <w:rFonts w:asciiTheme="majorBidi" w:hAnsiTheme="majorBidi" w:cstheme="majorBidi"/>
        </w:rPr>
        <w:t>To characterize pre-treatment individual dynamics, two within-patient binary parameters were computed: (a) linear trajectory (categorized as "improving" if slope &lt; 0, or "worsening" if slope ≥ 0), and (b) variability, measured by the standard deviation (SD) and categorized as "low variability" (SD ≤ median of the sample’s SD) or "high variability" (SD &gt; median).</w:t>
      </w:r>
    </w:p>
    <w:p w14:paraId="478054D2" w14:textId="77777777" w:rsidR="00E62A41" w:rsidRPr="00E62A41" w:rsidRDefault="00E62A41" w:rsidP="00912AB9">
      <w:pPr>
        <w:spacing w:before="100" w:beforeAutospacing="1" w:after="100" w:afterAutospacing="1" w:line="480" w:lineRule="auto"/>
        <w:rPr>
          <w:rFonts w:asciiTheme="majorBidi" w:hAnsiTheme="majorBidi" w:cstheme="majorBidi"/>
        </w:rPr>
      </w:pPr>
      <w:r w:rsidRPr="00E62A41">
        <w:rPr>
          <w:rFonts w:asciiTheme="majorBidi" w:hAnsiTheme="majorBidi" w:cstheme="majorBidi"/>
        </w:rPr>
        <w:lastRenderedPageBreak/>
        <w:t>The intersection of these two parameters yielded four distinct dynamic types for patient classification:</w:t>
      </w:r>
    </w:p>
    <w:p w14:paraId="2142C592" w14:textId="77777777" w:rsidR="00E62A41" w:rsidRPr="00E62A41" w:rsidRDefault="00E62A41" w:rsidP="00912AB9">
      <w:pPr>
        <w:numPr>
          <w:ilvl w:val="0"/>
          <w:numId w:val="10"/>
        </w:numPr>
        <w:spacing w:before="100" w:beforeAutospacing="1" w:after="100" w:afterAutospacing="1" w:line="480" w:lineRule="auto"/>
        <w:rPr>
          <w:rFonts w:asciiTheme="majorBidi" w:hAnsiTheme="majorBidi" w:cstheme="majorBidi"/>
        </w:rPr>
      </w:pPr>
      <w:r w:rsidRPr="00E62A41">
        <w:rPr>
          <w:rFonts w:asciiTheme="majorBidi" w:hAnsiTheme="majorBidi" w:cstheme="majorBidi"/>
        </w:rPr>
        <w:t>Improving + Low Variability</w:t>
      </w:r>
    </w:p>
    <w:p w14:paraId="19A23E3E" w14:textId="77777777" w:rsidR="00E62A41" w:rsidRPr="00E62A41" w:rsidRDefault="00E62A41" w:rsidP="00912AB9">
      <w:pPr>
        <w:numPr>
          <w:ilvl w:val="0"/>
          <w:numId w:val="10"/>
        </w:numPr>
        <w:spacing w:before="100" w:beforeAutospacing="1" w:after="100" w:afterAutospacing="1" w:line="480" w:lineRule="auto"/>
        <w:rPr>
          <w:rFonts w:asciiTheme="majorBidi" w:hAnsiTheme="majorBidi" w:cstheme="majorBidi"/>
        </w:rPr>
      </w:pPr>
      <w:r w:rsidRPr="00E62A41">
        <w:rPr>
          <w:rFonts w:asciiTheme="majorBidi" w:hAnsiTheme="majorBidi" w:cstheme="majorBidi"/>
        </w:rPr>
        <w:t>Improving + High Variability</w:t>
      </w:r>
    </w:p>
    <w:p w14:paraId="003A9FF4" w14:textId="77777777" w:rsidR="00E62A41" w:rsidRPr="00E62A41" w:rsidRDefault="00E62A41" w:rsidP="00912AB9">
      <w:pPr>
        <w:numPr>
          <w:ilvl w:val="0"/>
          <w:numId w:val="10"/>
        </w:numPr>
        <w:spacing w:before="100" w:beforeAutospacing="1" w:after="100" w:afterAutospacing="1" w:line="480" w:lineRule="auto"/>
        <w:rPr>
          <w:rFonts w:asciiTheme="majorBidi" w:hAnsiTheme="majorBidi" w:cstheme="majorBidi"/>
        </w:rPr>
      </w:pPr>
      <w:r w:rsidRPr="00E62A41">
        <w:rPr>
          <w:rFonts w:asciiTheme="majorBidi" w:hAnsiTheme="majorBidi" w:cstheme="majorBidi"/>
        </w:rPr>
        <w:t>Worsening + Low Variability</w:t>
      </w:r>
    </w:p>
    <w:p w14:paraId="6416F56E" w14:textId="77777777" w:rsidR="00E62A41" w:rsidRPr="00E62A41" w:rsidRDefault="00E62A41" w:rsidP="00912AB9">
      <w:pPr>
        <w:numPr>
          <w:ilvl w:val="0"/>
          <w:numId w:val="10"/>
        </w:numPr>
        <w:spacing w:before="100" w:beforeAutospacing="1" w:after="100" w:afterAutospacing="1" w:line="480" w:lineRule="auto"/>
        <w:rPr>
          <w:rFonts w:asciiTheme="majorBidi" w:hAnsiTheme="majorBidi" w:cstheme="majorBidi"/>
        </w:rPr>
      </w:pPr>
      <w:r w:rsidRPr="00E62A41">
        <w:rPr>
          <w:rFonts w:asciiTheme="majorBidi" w:hAnsiTheme="majorBidi" w:cstheme="majorBidi"/>
        </w:rPr>
        <w:t>Worsening + High Variability</w:t>
      </w:r>
    </w:p>
    <w:p w14:paraId="7A80F55C" w14:textId="61CEAD00" w:rsidR="00CE75EE" w:rsidRPr="00912AB9" w:rsidRDefault="00E62A41" w:rsidP="00912AB9">
      <w:pPr>
        <w:spacing w:before="100" w:beforeAutospacing="1" w:after="100" w:afterAutospacing="1" w:line="480" w:lineRule="auto"/>
        <w:rPr>
          <w:rFonts w:asciiTheme="majorBidi" w:hAnsiTheme="majorBidi" w:cstheme="majorBidi"/>
          <w:rtl/>
        </w:rPr>
      </w:pPr>
      <w:r w:rsidRPr="00E62A41">
        <w:rPr>
          <w:rFonts w:asciiTheme="majorBidi" w:hAnsiTheme="majorBidi" w:cstheme="majorBidi"/>
        </w:rPr>
        <w:t>To predict HRSD severity across treatment, a linear mixed-effects model was fitted with fixed effects for session, dynamic type, and their interaction. Baseline HRSD score was included as a covariate. A random intercept was specified for each patient. All analyses were conducted using R (version 4.4.0).</w:t>
      </w:r>
    </w:p>
    <w:p w14:paraId="112DAFEC" w14:textId="77777777" w:rsidR="00437820" w:rsidRPr="00437820" w:rsidRDefault="00437820" w:rsidP="00A54AB1">
      <w:pPr>
        <w:spacing w:before="100" w:beforeAutospacing="1" w:after="100" w:afterAutospacing="1" w:line="480" w:lineRule="auto"/>
        <w:jc w:val="center"/>
        <w:rPr>
          <w:rFonts w:asciiTheme="majorBidi" w:hAnsiTheme="majorBidi" w:cstheme="majorBidi"/>
        </w:rPr>
      </w:pPr>
      <w:r w:rsidRPr="00437820">
        <w:rPr>
          <w:rFonts w:asciiTheme="majorBidi" w:hAnsiTheme="majorBidi" w:cstheme="majorBidi"/>
          <w:b/>
          <w:bCs/>
        </w:rPr>
        <w:t>Results</w:t>
      </w:r>
    </w:p>
    <w:p w14:paraId="20C2BB71" w14:textId="1918B35E" w:rsidR="00437820" w:rsidRPr="00437820" w:rsidRDefault="00437820" w:rsidP="00437820">
      <w:pPr>
        <w:spacing w:before="100" w:beforeAutospacing="1" w:after="100" w:afterAutospacing="1" w:line="480" w:lineRule="auto"/>
        <w:rPr>
          <w:rFonts w:asciiTheme="majorBidi" w:hAnsiTheme="majorBidi" w:cstheme="majorBidi"/>
        </w:rPr>
      </w:pPr>
      <w:r w:rsidRPr="00437820">
        <w:rPr>
          <w:rFonts w:asciiTheme="majorBidi" w:hAnsiTheme="majorBidi" w:cstheme="majorBidi"/>
        </w:rPr>
        <w:t xml:space="preserve">The distribution of pre-treatment </w:t>
      </w:r>
      <w:r>
        <w:rPr>
          <w:rFonts w:asciiTheme="majorBidi" w:hAnsiTheme="majorBidi" w:cstheme="majorBidi"/>
        </w:rPr>
        <w:t>dynamic</w:t>
      </w:r>
      <w:r w:rsidRPr="00437820">
        <w:rPr>
          <w:rFonts w:asciiTheme="majorBidi" w:hAnsiTheme="majorBidi" w:cstheme="majorBidi"/>
        </w:rPr>
        <w:t xml:space="preserve"> types was as follows: Improving + Low Variability (n = 19, 24.7%), Improving + High Variability (n = 15, 19.5%), Worsening + Low Variability (n = 20, 26.0%), and Worsening + High Variability (n = 23, 29.9%).</w:t>
      </w:r>
    </w:p>
    <w:p w14:paraId="699D9532" w14:textId="77777777" w:rsidR="00437820" w:rsidRPr="00437820" w:rsidRDefault="00437820" w:rsidP="00437820">
      <w:pPr>
        <w:spacing w:before="100" w:beforeAutospacing="1" w:after="100" w:afterAutospacing="1" w:line="480" w:lineRule="auto"/>
        <w:rPr>
          <w:rFonts w:asciiTheme="majorBidi" w:hAnsiTheme="majorBidi" w:cstheme="majorBidi"/>
        </w:rPr>
      </w:pPr>
      <w:r w:rsidRPr="00437820">
        <w:rPr>
          <w:rFonts w:asciiTheme="majorBidi" w:hAnsiTheme="majorBidi" w:cstheme="majorBidi"/>
        </w:rPr>
        <w:t>Table 1 summarizes results from the linear mixed-effects model predicting changes in HRSD scores across treatment sessions. A significant interaction was observed between session and the Worsening + High Variability group (β = –0.22, 95% CI: –0.33 to –0.10, p &lt; .001), indicating a significantly steeper improvement trajectory compared to the reference group (Improving + Low Variability).</w:t>
      </w:r>
    </w:p>
    <w:p w14:paraId="5D719360" w14:textId="77777777" w:rsidR="00437820" w:rsidRPr="00437820" w:rsidRDefault="00437820" w:rsidP="00437820">
      <w:pPr>
        <w:spacing w:before="100" w:beforeAutospacing="1" w:after="100" w:afterAutospacing="1" w:line="480" w:lineRule="auto"/>
        <w:rPr>
          <w:rFonts w:asciiTheme="majorBidi" w:hAnsiTheme="majorBidi" w:cstheme="majorBidi"/>
        </w:rPr>
      </w:pPr>
      <w:r w:rsidRPr="00437820">
        <w:rPr>
          <w:rFonts w:asciiTheme="majorBidi" w:hAnsiTheme="majorBidi" w:cstheme="majorBidi"/>
        </w:rPr>
        <w:lastRenderedPageBreak/>
        <w:t>Simple slope analyses (Table 2, Figure 1) revealed that all four trajectory groups significantly improved over time (all slopes negative, p &lt; .001). Notably, patients characterized by initially worsening symptoms and high variability demonstrated the fastest improvement, significantly outperforming the other groups. No significant differences were found among the remaining three groups, which showed broadly similar rates of symptom reduction.</w:t>
      </w:r>
    </w:p>
    <w:p w14:paraId="692FBF83" w14:textId="77777777" w:rsidR="00437820" w:rsidRPr="00437820" w:rsidRDefault="00437820" w:rsidP="00437820">
      <w:pPr>
        <w:spacing w:before="100" w:beforeAutospacing="1" w:after="100" w:afterAutospacing="1" w:line="480" w:lineRule="auto"/>
        <w:rPr>
          <w:rFonts w:asciiTheme="majorBidi" w:hAnsiTheme="majorBidi" w:cstheme="majorBidi"/>
        </w:rPr>
      </w:pPr>
      <w:r w:rsidRPr="00437820">
        <w:rPr>
          <w:rFonts w:asciiTheme="majorBidi" w:hAnsiTheme="majorBidi" w:cstheme="majorBidi"/>
        </w:rPr>
        <w:t>These findings indicate that while all groups improved significantly, individuals with initially worsening and highly variable depressive symptom dynamics exhibited the strongest response.</w:t>
      </w:r>
    </w:p>
    <w:p w14:paraId="2065EF50" w14:textId="1191751D" w:rsidR="00CC4E12" w:rsidRPr="00912AB9" w:rsidRDefault="00CC4E12" w:rsidP="00A54AB1">
      <w:pPr>
        <w:bidi/>
        <w:spacing w:before="100" w:beforeAutospacing="1" w:after="100" w:afterAutospacing="1" w:line="480" w:lineRule="auto"/>
        <w:jc w:val="center"/>
        <w:rPr>
          <w:rFonts w:asciiTheme="majorBidi" w:hAnsiTheme="majorBidi" w:cstheme="majorBidi"/>
          <w:b/>
          <w:bCs/>
        </w:rPr>
      </w:pPr>
      <w:r w:rsidRPr="00912AB9">
        <w:rPr>
          <w:rFonts w:asciiTheme="majorBidi" w:hAnsiTheme="majorBidi" w:cstheme="majorBidi"/>
          <w:b/>
          <w:bCs/>
        </w:rPr>
        <w:t>Discussion</w:t>
      </w:r>
    </w:p>
    <w:p w14:paraId="33FBAE97" w14:textId="33E80310" w:rsidR="00912AB9" w:rsidRPr="00912AB9" w:rsidRDefault="00912AB9" w:rsidP="00912AB9">
      <w:pPr>
        <w:spacing w:before="100" w:beforeAutospacing="1" w:after="100" w:afterAutospacing="1" w:line="480" w:lineRule="auto"/>
        <w:rPr>
          <w:rFonts w:asciiTheme="majorBidi" w:hAnsiTheme="majorBidi" w:cstheme="majorBidi"/>
        </w:rPr>
      </w:pPr>
      <w:r w:rsidRPr="00912AB9">
        <w:rPr>
          <w:rFonts w:asciiTheme="majorBidi" w:hAnsiTheme="majorBidi" w:cstheme="majorBidi"/>
        </w:rPr>
        <w:t xml:space="preserve">The results suggest that individuals entering treatment with initially worsening and unstable depressive symptom patterns (high variability) demonstrated </w:t>
      </w:r>
      <w:r w:rsidR="00340BBB">
        <w:rPr>
          <w:rFonts w:asciiTheme="majorBidi" w:hAnsiTheme="majorBidi" w:cstheme="majorBidi"/>
        </w:rPr>
        <w:t>the greatest treatment efficacy</w:t>
      </w:r>
      <w:r w:rsidRPr="00912AB9">
        <w:rPr>
          <w:rFonts w:asciiTheme="majorBidi" w:hAnsiTheme="majorBidi" w:cstheme="majorBidi"/>
        </w:rPr>
        <w:t>. The contribution of these findings extends beyond what could be inferred solely from baseline Hamilton scores. Clinically, these findings highlight the importance of assessing not only the severity but also the dynamic nature (trajectory and variability) of depressive symptoms shortly before treatment initiation, offering clinicians valuable prognostic information to guide treatment decisions.</w:t>
      </w:r>
    </w:p>
    <w:p w14:paraId="17F9122F" w14:textId="14182E3A" w:rsidR="00C84776" w:rsidRPr="00C84776" w:rsidRDefault="00912AB9" w:rsidP="00C84776">
      <w:pPr>
        <w:spacing w:beforeAutospacing="1" w:after="100" w:afterAutospacing="1" w:line="480" w:lineRule="auto"/>
        <w:rPr>
          <w:rFonts w:asciiTheme="majorBidi" w:hAnsiTheme="majorBidi" w:cstheme="majorBidi"/>
        </w:rPr>
      </w:pPr>
      <w:r w:rsidRPr="00912AB9">
        <w:rPr>
          <w:rFonts w:asciiTheme="majorBidi" w:hAnsiTheme="majorBidi" w:cstheme="majorBidi"/>
        </w:rPr>
        <w:t xml:space="preserve">Since we aimed to provide analyses that could directly inform clinicians' decision-making based on the short timeframe immediately preceding treatment initiation for individuals undergoing treatment for depression, our study focused exclusively on participants exhibiting clinical depression, specifically during the week prior to treatment onset. </w:t>
      </w:r>
      <w:r w:rsidRPr="00912AB9">
        <w:rPr>
          <w:rFonts w:asciiTheme="majorBidi" w:hAnsiTheme="majorBidi" w:cstheme="majorBidi"/>
        </w:rPr>
        <w:lastRenderedPageBreak/>
        <w:t>Future research could extend the assessment period to evaluate depressive symptom dynamics over longer durations and include a broader spectrum of participants, encompassing subclinical populations and individuals without depression, to further enhance the generalizability and clinical relevance of these findings.</w:t>
      </w:r>
      <w:r>
        <w:rPr>
          <w:rFonts w:asciiTheme="majorBidi" w:hAnsiTheme="majorBidi" w:cstheme="majorBidi" w:hint="cs"/>
          <w:rtl/>
        </w:rPr>
        <w:t xml:space="preserve"> </w:t>
      </w:r>
      <w:r w:rsidR="00C84776" w:rsidRPr="00C84776">
        <w:rPr>
          <w:rFonts w:asciiTheme="majorBidi" w:hAnsiTheme="majorBidi" w:cstheme="majorBidi"/>
        </w:rPr>
        <w:t>Future studies utilizing larger datasets could explore additional, more complex patterns of depression dynamics, as well as their potential role in predicting and moderating treatment outcomes.</w:t>
      </w:r>
    </w:p>
    <w:p w14:paraId="09367C0D" w14:textId="493B4F25" w:rsidR="00912AB9" w:rsidRPr="00912AB9" w:rsidRDefault="00912AB9" w:rsidP="00912AB9">
      <w:pPr>
        <w:spacing w:before="100" w:beforeAutospacing="1" w:after="100" w:afterAutospacing="1" w:line="480" w:lineRule="auto"/>
        <w:rPr>
          <w:rFonts w:asciiTheme="majorBidi" w:hAnsiTheme="majorBidi" w:cstheme="majorBidi"/>
        </w:rPr>
      </w:pPr>
      <w:r w:rsidRPr="00912AB9">
        <w:rPr>
          <w:rFonts w:asciiTheme="majorBidi" w:hAnsiTheme="majorBidi" w:cstheme="majorBidi"/>
        </w:rPr>
        <w:t>.</w:t>
      </w:r>
    </w:p>
    <w:p w14:paraId="59659485" w14:textId="18648091" w:rsidR="00912AB9" w:rsidRPr="00912AB9" w:rsidRDefault="00912AB9" w:rsidP="00912AB9">
      <w:pPr>
        <w:spacing w:before="100" w:beforeAutospacing="1" w:after="100" w:afterAutospacing="1" w:line="480" w:lineRule="auto"/>
        <w:rPr>
          <w:rFonts w:asciiTheme="majorBidi" w:hAnsiTheme="majorBidi" w:cstheme="majorBidi"/>
        </w:rPr>
      </w:pPr>
    </w:p>
    <w:p w14:paraId="149CB566" w14:textId="77777777" w:rsidR="00912AB9" w:rsidRDefault="00912AB9" w:rsidP="00912AB9">
      <w:pPr>
        <w:pStyle w:val="EndNoteBibliography"/>
        <w:spacing w:before="100" w:beforeAutospacing="1" w:after="100" w:afterAutospacing="1" w:line="480" w:lineRule="auto"/>
        <w:ind w:left="720" w:hanging="720"/>
        <w:rPr>
          <w:rFonts w:asciiTheme="majorBidi" w:hAnsiTheme="majorBidi" w:cstheme="majorBidi"/>
        </w:rPr>
      </w:pPr>
    </w:p>
    <w:p w14:paraId="7823BC1A" w14:textId="77777777" w:rsidR="00340BBB" w:rsidRDefault="00340BBB" w:rsidP="00912AB9">
      <w:pPr>
        <w:pStyle w:val="EndNoteBibliography"/>
        <w:spacing w:before="100" w:beforeAutospacing="1" w:after="100" w:afterAutospacing="1" w:line="480" w:lineRule="auto"/>
        <w:ind w:left="720" w:hanging="720"/>
        <w:rPr>
          <w:rFonts w:asciiTheme="majorBidi" w:hAnsiTheme="majorBidi" w:cstheme="majorBidi"/>
        </w:rPr>
      </w:pPr>
    </w:p>
    <w:p w14:paraId="686CE9BA" w14:textId="77777777" w:rsidR="00340BBB" w:rsidRDefault="00340BBB" w:rsidP="00912AB9">
      <w:pPr>
        <w:pStyle w:val="EndNoteBibliography"/>
        <w:spacing w:before="100" w:beforeAutospacing="1" w:after="100" w:afterAutospacing="1" w:line="480" w:lineRule="auto"/>
        <w:ind w:left="720" w:hanging="720"/>
        <w:rPr>
          <w:rFonts w:asciiTheme="majorBidi" w:hAnsiTheme="majorBidi" w:cstheme="majorBidi"/>
        </w:rPr>
      </w:pPr>
    </w:p>
    <w:p w14:paraId="4474EAD2" w14:textId="77777777" w:rsidR="00340BBB" w:rsidRDefault="00340BBB" w:rsidP="00912AB9">
      <w:pPr>
        <w:pStyle w:val="EndNoteBibliography"/>
        <w:spacing w:before="100" w:beforeAutospacing="1" w:after="100" w:afterAutospacing="1" w:line="480" w:lineRule="auto"/>
        <w:ind w:left="720" w:hanging="720"/>
        <w:rPr>
          <w:rFonts w:asciiTheme="majorBidi" w:hAnsiTheme="majorBidi" w:cstheme="majorBidi"/>
        </w:rPr>
      </w:pPr>
    </w:p>
    <w:p w14:paraId="34866BEE" w14:textId="77777777" w:rsidR="00340BBB" w:rsidRDefault="00340BBB" w:rsidP="00912AB9">
      <w:pPr>
        <w:pStyle w:val="EndNoteBibliography"/>
        <w:spacing w:before="100" w:beforeAutospacing="1" w:after="100" w:afterAutospacing="1" w:line="480" w:lineRule="auto"/>
        <w:ind w:left="720" w:hanging="720"/>
        <w:rPr>
          <w:rFonts w:asciiTheme="majorBidi" w:hAnsiTheme="majorBidi" w:cstheme="majorBidi"/>
        </w:rPr>
      </w:pPr>
    </w:p>
    <w:p w14:paraId="7C2A518D" w14:textId="77777777" w:rsidR="00340BBB" w:rsidRDefault="00340BBB" w:rsidP="00912AB9">
      <w:pPr>
        <w:pStyle w:val="EndNoteBibliography"/>
        <w:spacing w:before="100" w:beforeAutospacing="1" w:after="100" w:afterAutospacing="1" w:line="480" w:lineRule="auto"/>
        <w:ind w:left="720" w:hanging="720"/>
        <w:rPr>
          <w:rFonts w:asciiTheme="majorBidi" w:hAnsiTheme="majorBidi" w:cstheme="majorBidi"/>
        </w:rPr>
      </w:pPr>
    </w:p>
    <w:p w14:paraId="2F7E73CB" w14:textId="77777777" w:rsidR="00340BBB" w:rsidRDefault="00340BBB" w:rsidP="00912AB9">
      <w:pPr>
        <w:pStyle w:val="EndNoteBibliography"/>
        <w:spacing w:before="100" w:beforeAutospacing="1" w:after="100" w:afterAutospacing="1" w:line="480" w:lineRule="auto"/>
        <w:ind w:left="720" w:hanging="720"/>
        <w:rPr>
          <w:rFonts w:asciiTheme="majorBidi" w:hAnsiTheme="majorBidi" w:cstheme="majorBidi"/>
        </w:rPr>
      </w:pPr>
    </w:p>
    <w:p w14:paraId="57ECAC4D" w14:textId="77777777" w:rsidR="00340BBB" w:rsidRDefault="00340BBB" w:rsidP="00912AB9">
      <w:pPr>
        <w:pStyle w:val="EndNoteBibliography"/>
        <w:spacing w:before="100" w:beforeAutospacing="1" w:after="100" w:afterAutospacing="1" w:line="480" w:lineRule="auto"/>
        <w:ind w:left="720" w:hanging="720"/>
        <w:rPr>
          <w:rFonts w:asciiTheme="majorBidi" w:hAnsiTheme="majorBidi" w:cstheme="majorBidi"/>
        </w:rPr>
      </w:pPr>
    </w:p>
    <w:p w14:paraId="407A66DE" w14:textId="77777777" w:rsidR="00340BBB" w:rsidRDefault="00340BBB" w:rsidP="00A66632">
      <w:pPr>
        <w:pStyle w:val="EndNoteBibliography"/>
        <w:spacing w:before="100" w:beforeAutospacing="1" w:after="100" w:afterAutospacing="1" w:line="480" w:lineRule="auto"/>
        <w:rPr>
          <w:rFonts w:asciiTheme="majorBidi" w:hAnsiTheme="majorBidi" w:cstheme="majorBidi"/>
        </w:rPr>
      </w:pPr>
    </w:p>
    <w:p w14:paraId="2C46ECE0" w14:textId="6E81A69E" w:rsidR="0090564F" w:rsidRPr="00437820" w:rsidRDefault="0090564F" w:rsidP="00912AB9">
      <w:pPr>
        <w:pStyle w:val="EndNoteBibliography"/>
        <w:spacing w:before="100" w:beforeAutospacing="1" w:after="100" w:afterAutospacing="1" w:line="480" w:lineRule="auto"/>
        <w:ind w:left="720" w:hanging="720"/>
        <w:rPr>
          <w:rFonts w:asciiTheme="majorBidi" w:hAnsiTheme="majorBidi" w:cstheme="majorBidi"/>
          <w:b/>
          <w:bCs/>
        </w:rPr>
      </w:pPr>
      <w:r w:rsidRPr="00437820">
        <w:rPr>
          <w:rFonts w:asciiTheme="majorBidi" w:hAnsiTheme="majorBidi" w:cstheme="majorBidi"/>
          <w:b/>
          <w:bCs/>
        </w:rPr>
        <w:lastRenderedPageBreak/>
        <w:t>References:</w:t>
      </w:r>
    </w:p>
    <w:p w14:paraId="676C0F2C" w14:textId="77777777" w:rsidR="00486AE1" w:rsidRPr="00912AB9" w:rsidRDefault="004E1657" w:rsidP="00912AB9">
      <w:pPr>
        <w:pStyle w:val="EndNoteBibliography"/>
        <w:spacing w:before="100" w:beforeAutospacing="1" w:after="100" w:afterAutospacing="1" w:line="480" w:lineRule="auto"/>
        <w:ind w:left="720" w:hanging="720"/>
        <w:rPr>
          <w:rFonts w:asciiTheme="majorBidi" w:hAnsiTheme="majorBidi" w:cstheme="majorBidi"/>
        </w:rPr>
      </w:pPr>
      <w:r w:rsidRPr="00912AB9">
        <w:rPr>
          <w:rFonts w:asciiTheme="majorBidi" w:hAnsiTheme="majorBidi" w:cstheme="majorBidi"/>
        </w:rPr>
        <w:fldChar w:fldCharType="begin"/>
      </w:r>
      <w:r w:rsidRPr="00912AB9">
        <w:rPr>
          <w:rFonts w:asciiTheme="majorBidi" w:hAnsiTheme="majorBidi" w:cstheme="majorBidi"/>
        </w:rPr>
        <w:instrText xml:space="preserve"> ADDIN EN.REFLIST </w:instrText>
      </w:r>
      <w:r w:rsidRPr="00912AB9">
        <w:rPr>
          <w:rFonts w:asciiTheme="majorBidi" w:hAnsiTheme="majorBidi" w:cstheme="majorBidi"/>
        </w:rPr>
        <w:fldChar w:fldCharType="separate"/>
      </w:r>
      <w:r w:rsidR="00486AE1" w:rsidRPr="00912AB9">
        <w:rPr>
          <w:rFonts w:asciiTheme="majorBidi" w:hAnsiTheme="majorBidi" w:cstheme="majorBidi"/>
        </w:rPr>
        <w:t>1.</w:t>
      </w:r>
      <w:r w:rsidR="00486AE1" w:rsidRPr="00912AB9">
        <w:rPr>
          <w:rFonts w:asciiTheme="majorBidi" w:hAnsiTheme="majorBidi" w:cstheme="majorBidi"/>
        </w:rPr>
        <w:tab/>
        <w:t>Weitz, E.S., et al., Baseline depression severity as moderator of depression outcomes between cognitive behavioral therapy vs pharmacotherapy: an individual patient data meta-analysis</w:t>
      </w:r>
      <w:r w:rsidR="00486AE1" w:rsidRPr="00912AB9">
        <w:rPr>
          <w:rFonts w:asciiTheme="majorBidi" w:hAnsiTheme="majorBidi" w:cstheme="majorBidi"/>
          <w:i/>
        </w:rPr>
        <w:t>.</w:t>
      </w:r>
      <w:r w:rsidR="00486AE1" w:rsidRPr="00912AB9">
        <w:rPr>
          <w:rFonts w:asciiTheme="majorBidi" w:hAnsiTheme="majorBidi" w:cstheme="majorBidi"/>
        </w:rPr>
        <w:t xml:space="preserve"> </w:t>
      </w:r>
      <w:r w:rsidR="00486AE1" w:rsidRPr="00912AB9">
        <w:rPr>
          <w:rFonts w:asciiTheme="majorBidi" w:hAnsiTheme="majorBidi" w:cstheme="majorBidi"/>
          <w:i/>
        </w:rPr>
        <w:t>JAMA psychiatry</w:t>
      </w:r>
      <w:r w:rsidR="00486AE1" w:rsidRPr="00912AB9">
        <w:rPr>
          <w:rFonts w:asciiTheme="majorBidi" w:hAnsiTheme="majorBidi" w:cstheme="majorBidi"/>
        </w:rPr>
        <w:t>. 2015; 72(11): 1102-1109.</w:t>
      </w:r>
    </w:p>
    <w:p w14:paraId="7B7DBC5B" w14:textId="77777777" w:rsidR="00486AE1" w:rsidRPr="00912AB9" w:rsidRDefault="00486AE1" w:rsidP="00912AB9">
      <w:pPr>
        <w:pStyle w:val="EndNoteBibliography"/>
        <w:spacing w:before="100" w:beforeAutospacing="1" w:after="100" w:afterAutospacing="1" w:line="480" w:lineRule="auto"/>
        <w:ind w:left="720" w:hanging="720"/>
        <w:rPr>
          <w:rFonts w:asciiTheme="majorBidi" w:hAnsiTheme="majorBidi" w:cstheme="majorBidi"/>
        </w:rPr>
      </w:pPr>
      <w:r w:rsidRPr="00912AB9">
        <w:rPr>
          <w:rFonts w:asciiTheme="majorBidi" w:hAnsiTheme="majorBidi" w:cstheme="majorBidi"/>
        </w:rPr>
        <w:t>2.</w:t>
      </w:r>
      <w:r w:rsidRPr="00912AB9">
        <w:rPr>
          <w:rFonts w:asciiTheme="majorBidi" w:hAnsiTheme="majorBidi" w:cstheme="majorBidi"/>
        </w:rPr>
        <w:tab/>
        <w:t>Qaseem, A., et al., Nonpharmacologic and pharmacologic treatments of adults in the acute phase of major depressive disorder: a living clinical guideline from the American College of Physicians</w:t>
      </w:r>
      <w:r w:rsidRPr="00912AB9">
        <w:rPr>
          <w:rFonts w:asciiTheme="majorBidi" w:hAnsiTheme="majorBidi" w:cstheme="majorBidi"/>
          <w:i/>
        </w:rPr>
        <w:t>.</w:t>
      </w:r>
      <w:r w:rsidRPr="00912AB9">
        <w:rPr>
          <w:rFonts w:asciiTheme="majorBidi" w:hAnsiTheme="majorBidi" w:cstheme="majorBidi"/>
        </w:rPr>
        <w:t xml:space="preserve"> </w:t>
      </w:r>
      <w:r w:rsidRPr="00912AB9">
        <w:rPr>
          <w:rFonts w:asciiTheme="majorBidi" w:hAnsiTheme="majorBidi" w:cstheme="majorBidi"/>
          <w:i/>
        </w:rPr>
        <w:t>Annals of internal medicine</w:t>
      </w:r>
      <w:r w:rsidRPr="00912AB9">
        <w:rPr>
          <w:rFonts w:asciiTheme="majorBidi" w:hAnsiTheme="majorBidi" w:cstheme="majorBidi"/>
        </w:rPr>
        <w:t>. 2023; 176(2): 239-252.</w:t>
      </w:r>
    </w:p>
    <w:p w14:paraId="1A636092" w14:textId="77777777" w:rsidR="00486AE1" w:rsidRPr="00912AB9" w:rsidRDefault="00486AE1" w:rsidP="00912AB9">
      <w:pPr>
        <w:pStyle w:val="EndNoteBibliography"/>
        <w:spacing w:before="100" w:beforeAutospacing="1" w:after="100" w:afterAutospacing="1" w:line="480" w:lineRule="auto"/>
        <w:ind w:left="720" w:hanging="720"/>
        <w:rPr>
          <w:rFonts w:asciiTheme="majorBidi" w:hAnsiTheme="majorBidi" w:cstheme="majorBidi"/>
        </w:rPr>
      </w:pPr>
      <w:r w:rsidRPr="00912AB9">
        <w:rPr>
          <w:rFonts w:asciiTheme="majorBidi" w:hAnsiTheme="majorBidi" w:cstheme="majorBidi"/>
        </w:rPr>
        <w:t>3.</w:t>
      </w:r>
      <w:r w:rsidRPr="00912AB9">
        <w:rPr>
          <w:rFonts w:asciiTheme="majorBidi" w:hAnsiTheme="majorBidi" w:cstheme="majorBidi"/>
        </w:rPr>
        <w:tab/>
        <w:t>Kennedy, S.H., et al., Canadian Network for Mood and Anxiety Treatments (CANMAT) 2016 clinical guidelines for the management of adults with major depressive disorder: section 3. Pharmacological treatments</w:t>
      </w:r>
      <w:r w:rsidRPr="00912AB9">
        <w:rPr>
          <w:rFonts w:asciiTheme="majorBidi" w:hAnsiTheme="majorBidi" w:cstheme="majorBidi"/>
          <w:i/>
        </w:rPr>
        <w:t>.</w:t>
      </w:r>
      <w:r w:rsidRPr="00912AB9">
        <w:rPr>
          <w:rFonts w:asciiTheme="majorBidi" w:hAnsiTheme="majorBidi" w:cstheme="majorBidi"/>
        </w:rPr>
        <w:t xml:space="preserve"> </w:t>
      </w:r>
      <w:r w:rsidRPr="00912AB9">
        <w:rPr>
          <w:rFonts w:asciiTheme="majorBidi" w:hAnsiTheme="majorBidi" w:cstheme="majorBidi"/>
          <w:i/>
        </w:rPr>
        <w:t>The Canadian Journal of Psychiatry</w:t>
      </w:r>
      <w:r w:rsidRPr="00912AB9">
        <w:rPr>
          <w:rFonts w:asciiTheme="majorBidi" w:hAnsiTheme="majorBidi" w:cstheme="majorBidi"/>
        </w:rPr>
        <w:t>. 2016; 61(9): 540-560.</w:t>
      </w:r>
    </w:p>
    <w:p w14:paraId="0592AB1F" w14:textId="77777777" w:rsidR="00486AE1" w:rsidRPr="00912AB9" w:rsidRDefault="00486AE1" w:rsidP="00912AB9">
      <w:pPr>
        <w:pStyle w:val="EndNoteBibliography"/>
        <w:spacing w:before="100" w:beforeAutospacing="1" w:after="100" w:afterAutospacing="1" w:line="480" w:lineRule="auto"/>
        <w:ind w:left="720" w:hanging="720"/>
        <w:rPr>
          <w:rFonts w:asciiTheme="majorBidi" w:hAnsiTheme="majorBidi" w:cstheme="majorBidi"/>
        </w:rPr>
      </w:pPr>
      <w:r w:rsidRPr="00912AB9">
        <w:rPr>
          <w:rFonts w:asciiTheme="majorBidi" w:hAnsiTheme="majorBidi" w:cstheme="majorBidi"/>
        </w:rPr>
        <w:t>4.</w:t>
      </w:r>
      <w:r w:rsidRPr="00912AB9">
        <w:rPr>
          <w:rFonts w:asciiTheme="majorBidi" w:hAnsiTheme="majorBidi" w:cstheme="majorBidi"/>
        </w:rPr>
        <w:tab/>
        <w:t>NICE, U., Depression in adults: treatment and management</w:t>
      </w:r>
      <w:r w:rsidRPr="00912AB9">
        <w:rPr>
          <w:rFonts w:asciiTheme="majorBidi" w:hAnsiTheme="majorBidi" w:cstheme="majorBidi"/>
          <w:i/>
        </w:rPr>
        <w:t>.</w:t>
      </w:r>
      <w:r w:rsidRPr="00912AB9">
        <w:rPr>
          <w:rFonts w:asciiTheme="majorBidi" w:hAnsiTheme="majorBidi" w:cstheme="majorBidi"/>
        </w:rPr>
        <w:t xml:space="preserve"> </w:t>
      </w:r>
      <w:r w:rsidRPr="00912AB9">
        <w:rPr>
          <w:rFonts w:asciiTheme="majorBidi" w:hAnsiTheme="majorBidi" w:cstheme="majorBidi"/>
          <w:i/>
        </w:rPr>
        <w:t>NICE guideline</w:t>
      </w:r>
      <w:r w:rsidRPr="00912AB9">
        <w:rPr>
          <w:rFonts w:asciiTheme="majorBidi" w:hAnsiTheme="majorBidi" w:cstheme="majorBidi"/>
        </w:rPr>
        <w:t>. 2022.</w:t>
      </w:r>
    </w:p>
    <w:p w14:paraId="3F9D0E77" w14:textId="77777777" w:rsidR="00486AE1" w:rsidRPr="00912AB9" w:rsidRDefault="00486AE1" w:rsidP="00912AB9">
      <w:pPr>
        <w:pStyle w:val="EndNoteBibliography"/>
        <w:spacing w:before="100" w:beforeAutospacing="1" w:after="100" w:afterAutospacing="1" w:line="480" w:lineRule="auto"/>
        <w:ind w:left="720" w:hanging="720"/>
        <w:rPr>
          <w:rFonts w:asciiTheme="majorBidi" w:hAnsiTheme="majorBidi" w:cstheme="majorBidi"/>
        </w:rPr>
      </w:pPr>
      <w:r w:rsidRPr="00912AB9">
        <w:rPr>
          <w:rFonts w:asciiTheme="majorBidi" w:hAnsiTheme="majorBidi" w:cstheme="majorBidi"/>
        </w:rPr>
        <w:t>5.</w:t>
      </w:r>
      <w:r w:rsidRPr="00912AB9">
        <w:rPr>
          <w:rFonts w:asciiTheme="majorBidi" w:hAnsiTheme="majorBidi" w:cstheme="majorBidi"/>
        </w:rPr>
        <w:tab/>
        <w:t>Tröger, A., et al., Baseline depression severity as moderator on depression outcomes in psychotherapy and pharmacotherapy</w:t>
      </w:r>
      <w:r w:rsidRPr="00912AB9">
        <w:rPr>
          <w:rFonts w:asciiTheme="majorBidi" w:hAnsiTheme="majorBidi" w:cstheme="majorBidi"/>
          <w:i/>
        </w:rPr>
        <w:t>.</w:t>
      </w:r>
      <w:r w:rsidRPr="00912AB9">
        <w:rPr>
          <w:rFonts w:asciiTheme="majorBidi" w:hAnsiTheme="majorBidi" w:cstheme="majorBidi"/>
        </w:rPr>
        <w:t xml:space="preserve"> </w:t>
      </w:r>
      <w:r w:rsidRPr="00912AB9">
        <w:rPr>
          <w:rFonts w:asciiTheme="majorBidi" w:hAnsiTheme="majorBidi" w:cstheme="majorBidi"/>
          <w:i/>
        </w:rPr>
        <w:t>Journal of affective disorders</w:t>
      </w:r>
      <w:r w:rsidRPr="00912AB9">
        <w:rPr>
          <w:rFonts w:asciiTheme="majorBidi" w:hAnsiTheme="majorBidi" w:cstheme="majorBidi"/>
        </w:rPr>
        <w:t>. 2024; 344: 86-99.</w:t>
      </w:r>
    </w:p>
    <w:p w14:paraId="732BACD3" w14:textId="77777777" w:rsidR="00486AE1" w:rsidRPr="00912AB9" w:rsidRDefault="00486AE1" w:rsidP="00912AB9">
      <w:pPr>
        <w:pStyle w:val="EndNoteBibliography"/>
        <w:spacing w:before="100" w:beforeAutospacing="1" w:after="100" w:afterAutospacing="1" w:line="480" w:lineRule="auto"/>
        <w:ind w:left="720" w:hanging="720"/>
        <w:rPr>
          <w:rFonts w:asciiTheme="majorBidi" w:hAnsiTheme="majorBidi" w:cstheme="majorBidi"/>
        </w:rPr>
      </w:pPr>
      <w:r w:rsidRPr="00912AB9">
        <w:rPr>
          <w:rFonts w:asciiTheme="majorBidi" w:hAnsiTheme="majorBidi" w:cstheme="majorBidi"/>
        </w:rPr>
        <w:t>6.</w:t>
      </w:r>
      <w:r w:rsidRPr="00912AB9">
        <w:rPr>
          <w:rFonts w:asciiTheme="majorBidi" w:hAnsiTheme="majorBidi" w:cstheme="majorBidi"/>
        </w:rPr>
        <w:tab/>
        <w:t>Driessen, E., et al., Does pretreatment severity moderate the efficacy of psychological treatment of adult outpatient depression? A meta-analysis</w:t>
      </w:r>
      <w:r w:rsidRPr="00912AB9">
        <w:rPr>
          <w:rFonts w:asciiTheme="majorBidi" w:hAnsiTheme="majorBidi" w:cstheme="majorBidi"/>
          <w:i/>
        </w:rPr>
        <w:t>.</w:t>
      </w:r>
      <w:r w:rsidRPr="00912AB9">
        <w:rPr>
          <w:rFonts w:asciiTheme="majorBidi" w:hAnsiTheme="majorBidi" w:cstheme="majorBidi"/>
        </w:rPr>
        <w:t xml:space="preserve"> </w:t>
      </w:r>
      <w:r w:rsidRPr="00912AB9">
        <w:rPr>
          <w:rFonts w:asciiTheme="majorBidi" w:hAnsiTheme="majorBidi" w:cstheme="majorBidi"/>
          <w:i/>
        </w:rPr>
        <w:t>Journal of consulting and clinical psychology</w:t>
      </w:r>
      <w:r w:rsidRPr="00912AB9">
        <w:rPr>
          <w:rFonts w:asciiTheme="majorBidi" w:hAnsiTheme="majorBidi" w:cstheme="majorBidi"/>
        </w:rPr>
        <w:t>. 2010; 78(5): 668.</w:t>
      </w:r>
    </w:p>
    <w:p w14:paraId="769D2AD9" w14:textId="77777777" w:rsidR="00486AE1" w:rsidRPr="00912AB9" w:rsidRDefault="00486AE1" w:rsidP="00912AB9">
      <w:pPr>
        <w:pStyle w:val="EndNoteBibliography"/>
        <w:spacing w:before="100" w:beforeAutospacing="1" w:after="100" w:afterAutospacing="1" w:line="480" w:lineRule="auto"/>
        <w:ind w:left="720" w:hanging="720"/>
        <w:rPr>
          <w:rFonts w:asciiTheme="majorBidi" w:hAnsiTheme="majorBidi" w:cstheme="majorBidi"/>
        </w:rPr>
      </w:pPr>
      <w:r w:rsidRPr="00912AB9">
        <w:rPr>
          <w:rFonts w:asciiTheme="majorBidi" w:hAnsiTheme="majorBidi" w:cstheme="majorBidi"/>
        </w:rPr>
        <w:lastRenderedPageBreak/>
        <w:t>7.</w:t>
      </w:r>
      <w:r w:rsidRPr="00912AB9">
        <w:rPr>
          <w:rFonts w:asciiTheme="majorBidi" w:hAnsiTheme="majorBidi" w:cstheme="majorBidi"/>
        </w:rPr>
        <w:tab/>
        <w:t>Zilcha-Mano, S., Individual-specific animated profiles of mental health</w:t>
      </w:r>
      <w:r w:rsidRPr="00912AB9">
        <w:rPr>
          <w:rFonts w:asciiTheme="majorBidi" w:hAnsiTheme="majorBidi" w:cstheme="majorBidi"/>
          <w:i/>
        </w:rPr>
        <w:t>.</w:t>
      </w:r>
      <w:r w:rsidRPr="00912AB9">
        <w:rPr>
          <w:rFonts w:asciiTheme="majorBidi" w:hAnsiTheme="majorBidi" w:cstheme="majorBidi"/>
        </w:rPr>
        <w:t xml:space="preserve"> </w:t>
      </w:r>
      <w:r w:rsidRPr="00912AB9">
        <w:rPr>
          <w:rFonts w:asciiTheme="majorBidi" w:hAnsiTheme="majorBidi" w:cstheme="majorBidi"/>
          <w:i/>
        </w:rPr>
        <w:t>Perspectives on Psychological Science</w:t>
      </w:r>
      <w:r w:rsidRPr="00912AB9">
        <w:rPr>
          <w:rFonts w:asciiTheme="majorBidi" w:hAnsiTheme="majorBidi" w:cstheme="majorBidi"/>
        </w:rPr>
        <w:t>. 2024: 17456916231226308.</w:t>
      </w:r>
    </w:p>
    <w:p w14:paraId="44DD4836" w14:textId="77777777" w:rsidR="00486AE1" w:rsidRPr="00912AB9" w:rsidRDefault="00486AE1" w:rsidP="00912AB9">
      <w:pPr>
        <w:pStyle w:val="EndNoteBibliography"/>
        <w:spacing w:before="100" w:beforeAutospacing="1" w:after="100" w:afterAutospacing="1" w:line="480" w:lineRule="auto"/>
        <w:ind w:left="720" w:hanging="720"/>
        <w:rPr>
          <w:rFonts w:asciiTheme="majorBidi" w:hAnsiTheme="majorBidi" w:cstheme="majorBidi"/>
        </w:rPr>
      </w:pPr>
      <w:r w:rsidRPr="00912AB9">
        <w:rPr>
          <w:rFonts w:asciiTheme="majorBidi" w:hAnsiTheme="majorBidi" w:cstheme="majorBidi"/>
        </w:rPr>
        <w:t>8.</w:t>
      </w:r>
      <w:r w:rsidRPr="00912AB9">
        <w:rPr>
          <w:rFonts w:asciiTheme="majorBidi" w:hAnsiTheme="majorBidi" w:cstheme="majorBidi"/>
        </w:rPr>
        <w:tab/>
        <w:t>Zilcha-Mano, S., et al., Identifying the most suitable treatment for depression based on patients’ attachment: Study protocol for a randomized controlled trial of supportive-expressive vs. supportive treatments</w:t>
      </w:r>
      <w:r w:rsidRPr="00912AB9">
        <w:rPr>
          <w:rFonts w:asciiTheme="majorBidi" w:hAnsiTheme="majorBidi" w:cstheme="majorBidi"/>
          <w:i/>
        </w:rPr>
        <w:t>.</w:t>
      </w:r>
      <w:r w:rsidRPr="00912AB9">
        <w:rPr>
          <w:rFonts w:asciiTheme="majorBidi" w:hAnsiTheme="majorBidi" w:cstheme="majorBidi"/>
        </w:rPr>
        <w:t xml:space="preserve"> </w:t>
      </w:r>
      <w:r w:rsidRPr="00912AB9">
        <w:rPr>
          <w:rFonts w:asciiTheme="majorBidi" w:hAnsiTheme="majorBidi" w:cstheme="majorBidi"/>
          <w:i/>
        </w:rPr>
        <w:t>BMC psychiatry</w:t>
      </w:r>
      <w:r w:rsidRPr="00912AB9">
        <w:rPr>
          <w:rFonts w:asciiTheme="majorBidi" w:hAnsiTheme="majorBidi" w:cstheme="majorBidi"/>
        </w:rPr>
        <w:t>. 2018; 18: 1-9.</w:t>
      </w:r>
    </w:p>
    <w:p w14:paraId="6E571702" w14:textId="77777777" w:rsidR="00486AE1" w:rsidRPr="00912AB9" w:rsidRDefault="00486AE1" w:rsidP="00912AB9">
      <w:pPr>
        <w:pStyle w:val="EndNoteBibliography"/>
        <w:spacing w:before="100" w:beforeAutospacing="1" w:after="100" w:afterAutospacing="1" w:line="480" w:lineRule="auto"/>
        <w:ind w:left="720" w:hanging="720"/>
        <w:rPr>
          <w:rFonts w:asciiTheme="majorBidi" w:hAnsiTheme="majorBidi" w:cstheme="majorBidi"/>
        </w:rPr>
      </w:pPr>
      <w:r w:rsidRPr="00912AB9">
        <w:rPr>
          <w:rFonts w:asciiTheme="majorBidi" w:hAnsiTheme="majorBidi" w:cstheme="majorBidi"/>
        </w:rPr>
        <w:t>9.</w:t>
      </w:r>
      <w:r w:rsidRPr="00912AB9">
        <w:rPr>
          <w:rFonts w:asciiTheme="majorBidi" w:hAnsiTheme="majorBidi" w:cstheme="majorBidi"/>
        </w:rPr>
        <w:tab/>
        <w:t>Zilcha-Mano, S., et al., Investigating patient-specific mechanisms of change in SET vs. EFT for depression: study protocol for a mechanistic randomized controlled trial</w:t>
      </w:r>
      <w:r w:rsidRPr="00912AB9">
        <w:rPr>
          <w:rFonts w:asciiTheme="majorBidi" w:hAnsiTheme="majorBidi" w:cstheme="majorBidi"/>
          <w:i/>
        </w:rPr>
        <w:t>.</w:t>
      </w:r>
      <w:r w:rsidRPr="00912AB9">
        <w:rPr>
          <w:rFonts w:asciiTheme="majorBidi" w:hAnsiTheme="majorBidi" w:cstheme="majorBidi"/>
        </w:rPr>
        <w:t xml:space="preserve"> </w:t>
      </w:r>
      <w:r w:rsidRPr="00912AB9">
        <w:rPr>
          <w:rFonts w:asciiTheme="majorBidi" w:hAnsiTheme="majorBidi" w:cstheme="majorBidi"/>
          <w:i/>
        </w:rPr>
        <w:t>BMC psychiatry</w:t>
      </w:r>
      <w:r w:rsidRPr="00912AB9">
        <w:rPr>
          <w:rFonts w:asciiTheme="majorBidi" w:hAnsiTheme="majorBidi" w:cstheme="majorBidi"/>
        </w:rPr>
        <w:t>. 2021; 21(1): 287.</w:t>
      </w:r>
    </w:p>
    <w:p w14:paraId="7CF46672" w14:textId="77777777" w:rsidR="00486AE1" w:rsidRPr="00912AB9" w:rsidRDefault="00486AE1" w:rsidP="00912AB9">
      <w:pPr>
        <w:pStyle w:val="EndNoteBibliography"/>
        <w:spacing w:before="100" w:beforeAutospacing="1" w:after="100" w:afterAutospacing="1" w:line="480" w:lineRule="auto"/>
        <w:ind w:left="720" w:hanging="720"/>
        <w:rPr>
          <w:rFonts w:asciiTheme="majorBidi" w:hAnsiTheme="majorBidi" w:cstheme="majorBidi"/>
        </w:rPr>
      </w:pPr>
      <w:r w:rsidRPr="00912AB9">
        <w:rPr>
          <w:rFonts w:asciiTheme="majorBidi" w:hAnsiTheme="majorBidi" w:cstheme="majorBidi"/>
        </w:rPr>
        <w:t>10.</w:t>
      </w:r>
      <w:r w:rsidRPr="00912AB9">
        <w:rPr>
          <w:rFonts w:asciiTheme="majorBidi" w:hAnsiTheme="majorBidi" w:cstheme="majorBidi"/>
        </w:rPr>
        <w:tab/>
        <w:t>Berko, A., et al., Development and evaluation of the HRSD-D, an image-based digital measure of the Hamilton rating scale for depression</w:t>
      </w:r>
      <w:r w:rsidRPr="00912AB9">
        <w:rPr>
          <w:rFonts w:asciiTheme="majorBidi" w:hAnsiTheme="majorBidi" w:cstheme="majorBidi"/>
          <w:i/>
        </w:rPr>
        <w:t>.</w:t>
      </w:r>
      <w:r w:rsidRPr="00912AB9">
        <w:rPr>
          <w:rFonts w:asciiTheme="majorBidi" w:hAnsiTheme="majorBidi" w:cstheme="majorBidi"/>
        </w:rPr>
        <w:t xml:space="preserve"> </w:t>
      </w:r>
      <w:r w:rsidRPr="00912AB9">
        <w:rPr>
          <w:rFonts w:asciiTheme="majorBidi" w:hAnsiTheme="majorBidi" w:cstheme="majorBidi"/>
          <w:i/>
        </w:rPr>
        <w:t>Scientific Reports</w:t>
      </w:r>
      <w:r w:rsidRPr="00912AB9">
        <w:rPr>
          <w:rFonts w:asciiTheme="majorBidi" w:hAnsiTheme="majorBidi" w:cstheme="majorBidi"/>
        </w:rPr>
        <w:t>. 2022; 12(1): 14342.</w:t>
      </w:r>
    </w:p>
    <w:p w14:paraId="7B9BCA38" w14:textId="77777777" w:rsidR="00486AE1" w:rsidRPr="00912AB9" w:rsidRDefault="00486AE1" w:rsidP="00912AB9">
      <w:pPr>
        <w:pStyle w:val="EndNoteBibliography"/>
        <w:spacing w:before="100" w:beforeAutospacing="1" w:after="100" w:afterAutospacing="1" w:line="480" w:lineRule="auto"/>
        <w:ind w:left="720" w:hanging="720"/>
        <w:rPr>
          <w:rFonts w:asciiTheme="majorBidi" w:hAnsiTheme="majorBidi" w:cstheme="majorBidi"/>
        </w:rPr>
      </w:pPr>
      <w:r w:rsidRPr="00912AB9">
        <w:rPr>
          <w:rFonts w:asciiTheme="majorBidi" w:hAnsiTheme="majorBidi" w:cstheme="majorBidi"/>
        </w:rPr>
        <w:t>11.</w:t>
      </w:r>
      <w:r w:rsidRPr="00912AB9">
        <w:rPr>
          <w:rFonts w:asciiTheme="majorBidi" w:hAnsiTheme="majorBidi" w:cstheme="majorBidi"/>
        </w:rPr>
        <w:tab/>
        <w:t>Hamilton, M., A rating scale for depression</w:t>
      </w:r>
      <w:r w:rsidRPr="00912AB9">
        <w:rPr>
          <w:rFonts w:asciiTheme="majorBidi" w:hAnsiTheme="majorBidi" w:cstheme="majorBidi"/>
          <w:i/>
        </w:rPr>
        <w:t>.</w:t>
      </w:r>
      <w:r w:rsidRPr="00912AB9">
        <w:rPr>
          <w:rFonts w:asciiTheme="majorBidi" w:hAnsiTheme="majorBidi" w:cstheme="majorBidi"/>
        </w:rPr>
        <w:t xml:space="preserve"> </w:t>
      </w:r>
      <w:r w:rsidRPr="00912AB9">
        <w:rPr>
          <w:rFonts w:asciiTheme="majorBidi" w:hAnsiTheme="majorBidi" w:cstheme="majorBidi"/>
          <w:i/>
        </w:rPr>
        <w:t>Journal of neurology, neurosurgery, and psychiatry</w:t>
      </w:r>
      <w:r w:rsidRPr="00912AB9">
        <w:rPr>
          <w:rFonts w:asciiTheme="majorBidi" w:hAnsiTheme="majorBidi" w:cstheme="majorBidi"/>
        </w:rPr>
        <w:t>. 1960; 23(1): 56.</w:t>
      </w:r>
    </w:p>
    <w:p w14:paraId="1FD15B7E" w14:textId="12C3C651" w:rsidR="00E4319C" w:rsidRDefault="004E1657" w:rsidP="00912AB9">
      <w:pPr>
        <w:spacing w:before="100" w:beforeAutospacing="1" w:after="100" w:afterAutospacing="1" w:line="480" w:lineRule="auto"/>
        <w:rPr>
          <w:rFonts w:asciiTheme="majorBidi" w:hAnsiTheme="majorBidi" w:cstheme="majorBidi"/>
          <w:rtl/>
        </w:rPr>
      </w:pPr>
      <w:r w:rsidRPr="00912AB9">
        <w:rPr>
          <w:rFonts w:asciiTheme="majorBidi" w:hAnsiTheme="majorBidi" w:cstheme="majorBidi"/>
        </w:rPr>
        <w:fldChar w:fldCharType="end"/>
      </w:r>
    </w:p>
    <w:p w14:paraId="4D9E6056" w14:textId="77777777" w:rsidR="00F61079" w:rsidRDefault="00F61079" w:rsidP="00912AB9">
      <w:pPr>
        <w:spacing w:before="100" w:beforeAutospacing="1" w:after="100" w:afterAutospacing="1" w:line="480" w:lineRule="auto"/>
        <w:rPr>
          <w:rFonts w:asciiTheme="majorBidi" w:hAnsiTheme="majorBidi" w:cstheme="majorBidi"/>
          <w:rtl/>
        </w:rPr>
      </w:pPr>
    </w:p>
    <w:p w14:paraId="42D0CA63" w14:textId="77777777" w:rsidR="00F61079" w:rsidRDefault="00F61079" w:rsidP="00912AB9">
      <w:pPr>
        <w:spacing w:before="100" w:beforeAutospacing="1" w:after="100" w:afterAutospacing="1" w:line="480" w:lineRule="auto"/>
        <w:rPr>
          <w:rFonts w:asciiTheme="majorBidi" w:hAnsiTheme="majorBidi" w:cstheme="majorBidi"/>
          <w:rtl/>
        </w:rPr>
      </w:pPr>
    </w:p>
    <w:p w14:paraId="63614531" w14:textId="77777777" w:rsidR="00F61079" w:rsidRDefault="00F61079" w:rsidP="00912AB9">
      <w:pPr>
        <w:spacing w:before="100" w:beforeAutospacing="1" w:after="100" w:afterAutospacing="1" w:line="480" w:lineRule="auto"/>
        <w:rPr>
          <w:rFonts w:asciiTheme="majorBidi" w:hAnsiTheme="majorBidi" w:cstheme="majorBidi"/>
          <w:rtl/>
        </w:rPr>
      </w:pPr>
    </w:p>
    <w:p w14:paraId="47A06ABE" w14:textId="77777777" w:rsidR="00F61079" w:rsidRDefault="00F61079" w:rsidP="00912AB9">
      <w:pPr>
        <w:spacing w:before="100" w:beforeAutospacing="1" w:after="100" w:afterAutospacing="1" w:line="480" w:lineRule="auto"/>
        <w:rPr>
          <w:rFonts w:asciiTheme="majorBidi" w:hAnsiTheme="majorBidi" w:cstheme="majorBidi"/>
          <w:rtl/>
        </w:rPr>
      </w:pPr>
    </w:p>
    <w:p w14:paraId="1B18428E" w14:textId="77777777" w:rsidR="00F61079" w:rsidRPr="009F29C1" w:rsidRDefault="00F61079" w:rsidP="00F61079">
      <w:pPr>
        <w:rPr>
          <w:b/>
          <w:bCs/>
        </w:rPr>
      </w:pPr>
      <w:r w:rsidRPr="009F29C1">
        <w:rPr>
          <w:b/>
          <w:bCs/>
        </w:rPr>
        <w:lastRenderedPageBreak/>
        <w:t>Table 1. Linear mixed-effects model predicting HRSD change across treatment</w:t>
      </w:r>
    </w:p>
    <w:tbl>
      <w:tblPr>
        <w:tblStyle w:val="TableGridLight"/>
        <w:tblW w:w="0" w:type="auto"/>
        <w:tblLook w:val="04A0" w:firstRow="1" w:lastRow="0" w:firstColumn="1" w:lastColumn="0" w:noHBand="0" w:noVBand="1"/>
      </w:tblPr>
      <w:tblGrid>
        <w:gridCol w:w="5077"/>
        <w:gridCol w:w="780"/>
        <w:gridCol w:w="1510"/>
        <w:gridCol w:w="798"/>
      </w:tblGrid>
      <w:tr w:rsidR="00F61079" w:rsidRPr="009F29C1" w14:paraId="44470D95" w14:textId="77777777" w:rsidTr="00F61079">
        <w:tc>
          <w:tcPr>
            <w:tcW w:w="0" w:type="auto"/>
            <w:tcBorders>
              <w:top w:val="single" w:sz="12" w:space="0" w:color="auto"/>
              <w:bottom w:val="single" w:sz="12" w:space="0" w:color="auto"/>
            </w:tcBorders>
            <w:hideMark/>
          </w:tcPr>
          <w:p w14:paraId="0CBDF298" w14:textId="77777777" w:rsidR="00F61079" w:rsidRPr="009F29C1" w:rsidRDefault="00F61079" w:rsidP="00E412F4">
            <w:pPr>
              <w:rPr>
                <w:b/>
                <w:bCs/>
              </w:rPr>
            </w:pPr>
            <w:r w:rsidRPr="009F29C1">
              <w:rPr>
                <w:b/>
                <w:bCs/>
              </w:rPr>
              <w:t>Predictor</w:t>
            </w:r>
          </w:p>
        </w:tc>
        <w:tc>
          <w:tcPr>
            <w:tcW w:w="0" w:type="auto"/>
            <w:tcBorders>
              <w:top w:val="single" w:sz="12" w:space="0" w:color="auto"/>
              <w:bottom w:val="single" w:sz="12" w:space="0" w:color="auto"/>
            </w:tcBorders>
            <w:hideMark/>
          </w:tcPr>
          <w:p w14:paraId="6E105CC0" w14:textId="77777777" w:rsidR="00F61079" w:rsidRPr="009F29C1" w:rsidRDefault="00F61079" w:rsidP="00E412F4">
            <w:pPr>
              <w:rPr>
                <w:b/>
                <w:bCs/>
              </w:rPr>
            </w:pPr>
            <w:r w:rsidRPr="009F29C1">
              <w:rPr>
                <w:b/>
                <w:bCs/>
              </w:rPr>
              <w:t>β</w:t>
            </w:r>
          </w:p>
        </w:tc>
        <w:tc>
          <w:tcPr>
            <w:tcW w:w="0" w:type="auto"/>
            <w:tcBorders>
              <w:top w:val="single" w:sz="12" w:space="0" w:color="auto"/>
              <w:bottom w:val="single" w:sz="12" w:space="0" w:color="auto"/>
            </w:tcBorders>
            <w:hideMark/>
          </w:tcPr>
          <w:p w14:paraId="04C3200C" w14:textId="77777777" w:rsidR="00F61079" w:rsidRPr="009F29C1" w:rsidRDefault="00F61079" w:rsidP="00E412F4">
            <w:pPr>
              <w:rPr>
                <w:b/>
                <w:bCs/>
              </w:rPr>
            </w:pPr>
            <w:r w:rsidRPr="009F29C1">
              <w:rPr>
                <w:b/>
                <w:bCs/>
              </w:rPr>
              <w:t>95% CI</w:t>
            </w:r>
          </w:p>
        </w:tc>
        <w:tc>
          <w:tcPr>
            <w:tcW w:w="0" w:type="auto"/>
            <w:tcBorders>
              <w:top w:val="single" w:sz="12" w:space="0" w:color="auto"/>
              <w:bottom w:val="single" w:sz="12" w:space="0" w:color="auto"/>
            </w:tcBorders>
            <w:hideMark/>
          </w:tcPr>
          <w:p w14:paraId="4CB12E39" w14:textId="77777777" w:rsidR="00F61079" w:rsidRPr="009F29C1" w:rsidRDefault="00F61079" w:rsidP="00E412F4">
            <w:pPr>
              <w:rPr>
                <w:b/>
                <w:bCs/>
              </w:rPr>
            </w:pPr>
            <w:r w:rsidRPr="009F29C1">
              <w:rPr>
                <w:b/>
                <w:bCs/>
                <w:i/>
                <w:iCs/>
              </w:rPr>
              <w:t>p</w:t>
            </w:r>
          </w:p>
        </w:tc>
      </w:tr>
      <w:tr w:rsidR="00F61079" w:rsidRPr="009F29C1" w14:paraId="74BE01BE" w14:textId="77777777" w:rsidTr="00F61079">
        <w:tc>
          <w:tcPr>
            <w:tcW w:w="0" w:type="auto"/>
            <w:tcBorders>
              <w:top w:val="single" w:sz="12" w:space="0" w:color="auto"/>
            </w:tcBorders>
            <w:hideMark/>
          </w:tcPr>
          <w:p w14:paraId="74E0F4E7" w14:textId="77777777" w:rsidR="00F61079" w:rsidRPr="009F29C1" w:rsidRDefault="00F61079" w:rsidP="00E412F4">
            <w:r w:rsidRPr="009F29C1">
              <w:t>Session</w:t>
            </w:r>
          </w:p>
        </w:tc>
        <w:tc>
          <w:tcPr>
            <w:tcW w:w="0" w:type="auto"/>
            <w:tcBorders>
              <w:top w:val="single" w:sz="12" w:space="0" w:color="auto"/>
            </w:tcBorders>
            <w:hideMark/>
          </w:tcPr>
          <w:p w14:paraId="752031B5" w14:textId="77777777" w:rsidR="00F61079" w:rsidRPr="009F29C1" w:rsidRDefault="00F61079" w:rsidP="00E412F4">
            <w:r w:rsidRPr="009F29C1">
              <w:t>–0.32</w:t>
            </w:r>
          </w:p>
        </w:tc>
        <w:tc>
          <w:tcPr>
            <w:tcW w:w="0" w:type="auto"/>
            <w:tcBorders>
              <w:top w:val="single" w:sz="12" w:space="0" w:color="auto"/>
            </w:tcBorders>
            <w:hideMark/>
          </w:tcPr>
          <w:p w14:paraId="6F1FED41" w14:textId="77777777" w:rsidR="00F61079" w:rsidRPr="009F29C1" w:rsidRDefault="00F61079" w:rsidP="00E412F4">
            <w:r w:rsidRPr="009F29C1">
              <w:t>–0.41 , –0.24</w:t>
            </w:r>
          </w:p>
        </w:tc>
        <w:tc>
          <w:tcPr>
            <w:tcW w:w="0" w:type="auto"/>
            <w:tcBorders>
              <w:top w:val="single" w:sz="12" w:space="0" w:color="auto"/>
            </w:tcBorders>
            <w:hideMark/>
          </w:tcPr>
          <w:p w14:paraId="36DDC43C" w14:textId="77777777" w:rsidR="00F61079" w:rsidRPr="009F29C1" w:rsidRDefault="00F61079" w:rsidP="00E412F4">
            <w:r w:rsidRPr="009F29C1">
              <w:t>&lt;.001</w:t>
            </w:r>
          </w:p>
        </w:tc>
      </w:tr>
      <w:tr w:rsidR="00F61079" w:rsidRPr="009F29C1" w14:paraId="7F808FA9" w14:textId="77777777" w:rsidTr="00F61079">
        <w:tc>
          <w:tcPr>
            <w:tcW w:w="0" w:type="auto"/>
            <w:hideMark/>
          </w:tcPr>
          <w:p w14:paraId="3855CEF5" w14:textId="77777777" w:rsidR="00F61079" w:rsidRPr="009F29C1" w:rsidRDefault="00F61079" w:rsidP="00E412F4">
            <w:r w:rsidRPr="009F29C1">
              <w:t xml:space="preserve">Trajectory Type (ref: Improving + </w:t>
            </w:r>
            <w:r w:rsidRPr="00235582">
              <w:t>Low Variability</w:t>
            </w:r>
            <w:r w:rsidRPr="009F29C1">
              <w:t>)</w:t>
            </w:r>
          </w:p>
        </w:tc>
        <w:tc>
          <w:tcPr>
            <w:tcW w:w="0" w:type="auto"/>
            <w:hideMark/>
          </w:tcPr>
          <w:p w14:paraId="4EF16D70" w14:textId="77777777" w:rsidR="00F61079" w:rsidRPr="009F29C1" w:rsidRDefault="00F61079" w:rsidP="00E412F4"/>
        </w:tc>
        <w:tc>
          <w:tcPr>
            <w:tcW w:w="0" w:type="auto"/>
            <w:hideMark/>
          </w:tcPr>
          <w:p w14:paraId="1F0032C3" w14:textId="77777777" w:rsidR="00F61079" w:rsidRPr="009F29C1" w:rsidRDefault="00F61079" w:rsidP="00E412F4"/>
        </w:tc>
        <w:tc>
          <w:tcPr>
            <w:tcW w:w="0" w:type="auto"/>
            <w:hideMark/>
          </w:tcPr>
          <w:p w14:paraId="65A82AD8" w14:textId="77777777" w:rsidR="00F61079" w:rsidRPr="009F29C1" w:rsidRDefault="00F61079" w:rsidP="00E412F4"/>
        </w:tc>
      </w:tr>
      <w:tr w:rsidR="00F61079" w:rsidRPr="009F29C1" w14:paraId="126878FB" w14:textId="77777777" w:rsidTr="00F61079">
        <w:tc>
          <w:tcPr>
            <w:tcW w:w="0" w:type="auto"/>
            <w:hideMark/>
          </w:tcPr>
          <w:p w14:paraId="02143584" w14:textId="77777777" w:rsidR="00F61079" w:rsidRPr="009F29C1" w:rsidRDefault="00F61079" w:rsidP="00E412F4">
            <w:r w:rsidRPr="009F29C1">
              <w:t xml:space="preserve">  Improving + </w:t>
            </w:r>
            <w:r w:rsidRPr="00235582">
              <w:t>High Variability</w:t>
            </w:r>
            <w:r>
              <w:rPr>
                <w:rFonts w:hint="cs"/>
                <w:rtl/>
              </w:rPr>
              <w:t xml:space="preserve"> </w:t>
            </w:r>
          </w:p>
        </w:tc>
        <w:tc>
          <w:tcPr>
            <w:tcW w:w="0" w:type="auto"/>
            <w:hideMark/>
          </w:tcPr>
          <w:p w14:paraId="5C55CAD0" w14:textId="77777777" w:rsidR="00F61079" w:rsidRPr="009F29C1" w:rsidRDefault="00F61079" w:rsidP="00E412F4">
            <w:r w:rsidRPr="009F29C1">
              <w:t>0.18</w:t>
            </w:r>
          </w:p>
        </w:tc>
        <w:tc>
          <w:tcPr>
            <w:tcW w:w="0" w:type="auto"/>
            <w:hideMark/>
          </w:tcPr>
          <w:p w14:paraId="625280CE" w14:textId="77777777" w:rsidR="00F61079" w:rsidRPr="009F29C1" w:rsidRDefault="00F61079" w:rsidP="00E412F4">
            <w:r w:rsidRPr="009F29C1">
              <w:t>–2.50 , 2.80</w:t>
            </w:r>
          </w:p>
        </w:tc>
        <w:tc>
          <w:tcPr>
            <w:tcW w:w="0" w:type="auto"/>
            <w:hideMark/>
          </w:tcPr>
          <w:p w14:paraId="12243741" w14:textId="77777777" w:rsidR="00F61079" w:rsidRPr="009F29C1" w:rsidRDefault="00F61079" w:rsidP="00E412F4">
            <w:r w:rsidRPr="009F29C1">
              <w:t>.90</w:t>
            </w:r>
          </w:p>
        </w:tc>
      </w:tr>
      <w:tr w:rsidR="00F61079" w:rsidRPr="009F29C1" w14:paraId="0ABFDE36" w14:textId="77777777" w:rsidTr="00F61079">
        <w:tc>
          <w:tcPr>
            <w:tcW w:w="0" w:type="auto"/>
            <w:hideMark/>
          </w:tcPr>
          <w:p w14:paraId="4CF5E9C8" w14:textId="77777777" w:rsidR="00F61079" w:rsidRPr="009F29C1" w:rsidRDefault="00F61079" w:rsidP="00E412F4">
            <w:r w:rsidRPr="009F29C1">
              <w:t xml:space="preserve">  Worsening + </w:t>
            </w:r>
            <w:r w:rsidRPr="00235582">
              <w:t>Low Variability</w:t>
            </w:r>
          </w:p>
        </w:tc>
        <w:tc>
          <w:tcPr>
            <w:tcW w:w="0" w:type="auto"/>
            <w:hideMark/>
          </w:tcPr>
          <w:p w14:paraId="11168B21" w14:textId="77777777" w:rsidR="00F61079" w:rsidRPr="009F29C1" w:rsidRDefault="00F61079" w:rsidP="00E412F4">
            <w:r w:rsidRPr="009F29C1">
              <w:t>1.50</w:t>
            </w:r>
          </w:p>
        </w:tc>
        <w:tc>
          <w:tcPr>
            <w:tcW w:w="0" w:type="auto"/>
            <w:hideMark/>
          </w:tcPr>
          <w:p w14:paraId="28E432ED" w14:textId="77777777" w:rsidR="00F61079" w:rsidRPr="009F29C1" w:rsidRDefault="00F61079" w:rsidP="00E412F4">
            <w:r w:rsidRPr="009F29C1">
              <w:t>–1.00 , 4.00</w:t>
            </w:r>
          </w:p>
        </w:tc>
        <w:tc>
          <w:tcPr>
            <w:tcW w:w="0" w:type="auto"/>
            <w:hideMark/>
          </w:tcPr>
          <w:p w14:paraId="558281F1" w14:textId="77777777" w:rsidR="00F61079" w:rsidRPr="009F29C1" w:rsidRDefault="00F61079" w:rsidP="00E412F4">
            <w:r w:rsidRPr="009F29C1">
              <w:t>.20</w:t>
            </w:r>
          </w:p>
        </w:tc>
      </w:tr>
      <w:tr w:rsidR="00F61079" w:rsidRPr="009F29C1" w14:paraId="7D394253" w14:textId="77777777" w:rsidTr="00F61079">
        <w:tc>
          <w:tcPr>
            <w:tcW w:w="0" w:type="auto"/>
            <w:hideMark/>
          </w:tcPr>
          <w:p w14:paraId="7DBC610E" w14:textId="77777777" w:rsidR="00F61079" w:rsidRPr="009F29C1" w:rsidRDefault="00F61079" w:rsidP="00E412F4">
            <w:r w:rsidRPr="009F29C1">
              <w:t xml:space="preserve">  Worsening + </w:t>
            </w:r>
            <w:r w:rsidRPr="00235582">
              <w:t>High Variability</w:t>
            </w:r>
            <w:r>
              <w:rPr>
                <w:rFonts w:hint="cs"/>
                <w:rtl/>
              </w:rPr>
              <w:t xml:space="preserve"> </w:t>
            </w:r>
          </w:p>
        </w:tc>
        <w:tc>
          <w:tcPr>
            <w:tcW w:w="0" w:type="auto"/>
            <w:hideMark/>
          </w:tcPr>
          <w:p w14:paraId="3EE45311" w14:textId="77777777" w:rsidR="00F61079" w:rsidRPr="009F29C1" w:rsidRDefault="00F61079" w:rsidP="00E412F4">
            <w:r w:rsidRPr="009F29C1">
              <w:t>0.23</w:t>
            </w:r>
          </w:p>
        </w:tc>
        <w:tc>
          <w:tcPr>
            <w:tcW w:w="0" w:type="auto"/>
            <w:hideMark/>
          </w:tcPr>
          <w:p w14:paraId="58538C1D" w14:textId="77777777" w:rsidR="00F61079" w:rsidRPr="009F29C1" w:rsidRDefault="00F61079" w:rsidP="00E412F4">
            <w:r w:rsidRPr="009F29C1">
              <w:t>–2.20 , 2.60</w:t>
            </w:r>
          </w:p>
        </w:tc>
        <w:tc>
          <w:tcPr>
            <w:tcW w:w="0" w:type="auto"/>
            <w:hideMark/>
          </w:tcPr>
          <w:p w14:paraId="183325AE" w14:textId="77777777" w:rsidR="00F61079" w:rsidRPr="009F29C1" w:rsidRDefault="00F61079" w:rsidP="00E412F4">
            <w:r w:rsidRPr="009F29C1">
              <w:t>.80</w:t>
            </w:r>
          </w:p>
        </w:tc>
      </w:tr>
      <w:tr w:rsidR="00F61079" w:rsidRPr="009F29C1" w14:paraId="0292DFBC" w14:textId="77777777" w:rsidTr="00F61079">
        <w:tc>
          <w:tcPr>
            <w:tcW w:w="0" w:type="auto"/>
            <w:hideMark/>
          </w:tcPr>
          <w:p w14:paraId="18B25A3F" w14:textId="77777777" w:rsidR="00F61079" w:rsidRPr="009F29C1" w:rsidRDefault="00F61079" w:rsidP="00E412F4">
            <w:r w:rsidRPr="009F29C1">
              <w:t>Baseline HRSD</w:t>
            </w:r>
          </w:p>
        </w:tc>
        <w:tc>
          <w:tcPr>
            <w:tcW w:w="0" w:type="auto"/>
            <w:hideMark/>
          </w:tcPr>
          <w:p w14:paraId="0D3CF28A" w14:textId="77777777" w:rsidR="00F61079" w:rsidRPr="009F29C1" w:rsidRDefault="00F61079" w:rsidP="00E412F4">
            <w:r w:rsidRPr="009F29C1">
              <w:t>0.44</w:t>
            </w:r>
          </w:p>
        </w:tc>
        <w:tc>
          <w:tcPr>
            <w:tcW w:w="0" w:type="auto"/>
            <w:hideMark/>
          </w:tcPr>
          <w:p w14:paraId="76314ED4" w14:textId="77777777" w:rsidR="00F61079" w:rsidRPr="009F29C1" w:rsidRDefault="00F61079" w:rsidP="00E412F4">
            <w:r w:rsidRPr="009F29C1">
              <w:t>0.26 , 0.62</w:t>
            </w:r>
          </w:p>
        </w:tc>
        <w:tc>
          <w:tcPr>
            <w:tcW w:w="0" w:type="auto"/>
            <w:hideMark/>
          </w:tcPr>
          <w:p w14:paraId="5CAA0BC8" w14:textId="77777777" w:rsidR="00F61079" w:rsidRPr="009F29C1" w:rsidRDefault="00F61079" w:rsidP="00E412F4">
            <w:r w:rsidRPr="009F29C1">
              <w:t>&lt;.001</w:t>
            </w:r>
          </w:p>
        </w:tc>
      </w:tr>
      <w:tr w:rsidR="00F61079" w:rsidRPr="009F29C1" w14:paraId="2EC9D03D" w14:textId="77777777" w:rsidTr="00F61079">
        <w:tc>
          <w:tcPr>
            <w:tcW w:w="0" w:type="auto"/>
            <w:hideMark/>
          </w:tcPr>
          <w:p w14:paraId="579DEE3C" w14:textId="77777777" w:rsidR="00F61079" w:rsidRPr="009F29C1" w:rsidRDefault="00F61079" w:rsidP="00E412F4">
            <w:r w:rsidRPr="009F29C1">
              <w:t>Session × Trajectory Type</w:t>
            </w:r>
          </w:p>
        </w:tc>
        <w:tc>
          <w:tcPr>
            <w:tcW w:w="0" w:type="auto"/>
            <w:hideMark/>
          </w:tcPr>
          <w:p w14:paraId="60C963D1" w14:textId="77777777" w:rsidR="00F61079" w:rsidRPr="009F29C1" w:rsidRDefault="00F61079" w:rsidP="00E412F4"/>
        </w:tc>
        <w:tc>
          <w:tcPr>
            <w:tcW w:w="0" w:type="auto"/>
            <w:hideMark/>
          </w:tcPr>
          <w:p w14:paraId="2907289C" w14:textId="77777777" w:rsidR="00F61079" w:rsidRPr="009F29C1" w:rsidRDefault="00F61079" w:rsidP="00E412F4"/>
        </w:tc>
        <w:tc>
          <w:tcPr>
            <w:tcW w:w="0" w:type="auto"/>
            <w:hideMark/>
          </w:tcPr>
          <w:p w14:paraId="12ADC0CA" w14:textId="77777777" w:rsidR="00F61079" w:rsidRPr="009F29C1" w:rsidRDefault="00F61079" w:rsidP="00E412F4"/>
        </w:tc>
      </w:tr>
      <w:tr w:rsidR="00F61079" w:rsidRPr="009F29C1" w14:paraId="1007337D" w14:textId="77777777" w:rsidTr="00F61079">
        <w:tc>
          <w:tcPr>
            <w:tcW w:w="0" w:type="auto"/>
            <w:hideMark/>
          </w:tcPr>
          <w:p w14:paraId="0F46793F" w14:textId="77777777" w:rsidR="00F61079" w:rsidRPr="009F29C1" w:rsidRDefault="00F61079" w:rsidP="00E412F4">
            <w:r w:rsidRPr="009F29C1">
              <w:t xml:space="preserve">  Session × Improving + </w:t>
            </w:r>
            <w:r w:rsidRPr="00235582">
              <w:t>High Variability</w:t>
            </w:r>
            <w:r>
              <w:rPr>
                <w:rFonts w:hint="cs"/>
                <w:rtl/>
              </w:rPr>
              <w:t xml:space="preserve"> </w:t>
            </w:r>
          </w:p>
        </w:tc>
        <w:tc>
          <w:tcPr>
            <w:tcW w:w="0" w:type="auto"/>
            <w:hideMark/>
          </w:tcPr>
          <w:p w14:paraId="1DA62B7F" w14:textId="77777777" w:rsidR="00F61079" w:rsidRPr="009F29C1" w:rsidRDefault="00F61079" w:rsidP="00E412F4">
            <w:r w:rsidRPr="009F29C1">
              <w:t>0.01</w:t>
            </w:r>
          </w:p>
        </w:tc>
        <w:tc>
          <w:tcPr>
            <w:tcW w:w="0" w:type="auto"/>
            <w:hideMark/>
          </w:tcPr>
          <w:p w14:paraId="0ADF772A" w14:textId="77777777" w:rsidR="00F61079" w:rsidRPr="009F29C1" w:rsidRDefault="00F61079" w:rsidP="00E412F4">
            <w:r w:rsidRPr="009F29C1">
              <w:t>–0.13 , 0.15</w:t>
            </w:r>
          </w:p>
        </w:tc>
        <w:tc>
          <w:tcPr>
            <w:tcW w:w="0" w:type="auto"/>
            <w:hideMark/>
          </w:tcPr>
          <w:p w14:paraId="39EB396F" w14:textId="77777777" w:rsidR="00F61079" w:rsidRPr="009F29C1" w:rsidRDefault="00F61079" w:rsidP="00E412F4">
            <w:r w:rsidRPr="009F29C1">
              <w:t>&gt;.90</w:t>
            </w:r>
          </w:p>
        </w:tc>
      </w:tr>
      <w:tr w:rsidR="00F61079" w:rsidRPr="009F29C1" w14:paraId="550D6AFC" w14:textId="77777777" w:rsidTr="00F61079">
        <w:tc>
          <w:tcPr>
            <w:tcW w:w="0" w:type="auto"/>
            <w:hideMark/>
          </w:tcPr>
          <w:p w14:paraId="7F4F05EB" w14:textId="77777777" w:rsidR="00F61079" w:rsidRPr="009F29C1" w:rsidRDefault="00F61079" w:rsidP="00E412F4">
            <w:r w:rsidRPr="009F29C1">
              <w:t xml:space="preserve">  Session × Worsening + </w:t>
            </w:r>
            <w:r w:rsidRPr="00235582">
              <w:t>Low Variability</w:t>
            </w:r>
          </w:p>
        </w:tc>
        <w:tc>
          <w:tcPr>
            <w:tcW w:w="0" w:type="auto"/>
            <w:hideMark/>
          </w:tcPr>
          <w:p w14:paraId="15A2FB77" w14:textId="77777777" w:rsidR="00F61079" w:rsidRPr="009F29C1" w:rsidRDefault="00F61079" w:rsidP="00E412F4">
            <w:r w:rsidRPr="009F29C1">
              <w:t>0.00</w:t>
            </w:r>
          </w:p>
        </w:tc>
        <w:tc>
          <w:tcPr>
            <w:tcW w:w="0" w:type="auto"/>
            <w:hideMark/>
          </w:tcPr>
          <w:p w14:paraId="2895B7B5" w14:textId="77777777" w:rsidR="00F61079" w:rsidRPr="009F29C1" w:rsidRDefault="00F61079" w:rsidP="00E412F4">
            <w:r w:rsidRPr="009F29C1">
              <w:t>–0.13 , 0.13</w:t>
            </w:r>
          </w:p>
        </w:tc>
        <w:tc>
          <w:tcPr>
            <w:tcW w:w="0" w:type="auto"/>
            <w:hideMark/>
          </w:tcPr>
          <w:p w14:paraId="12B56C6E" w14:textId="77777777" w:rsidR="00F61079" w:rsidRPr="009F29C1" w:rsidRDefault="00F61079" w:rsidP="00E412F4">
            <w:r w:rsidRPr="009F29C1">
              <w:t>&gt;.90</w:t>
            </w:r>
          </w:p>
        </w:tc>
      </w:tr>
      <w:tr w:rsidR="00F61079" w:rsidRPr="009F29C1" w14:paraId="27AF8425" w14:textId="77777777" w:rsidTr="00F61079">
        <w:tc>
          <w:tcPr>
            <w:tcW w:w="0" w:type="auto"/>
            <w:tcBorders>
              <w:bottom w:val="single" w:sz="12" w:space="0" w:color="auto"/>
            </w:tcBorders>
            <w:hideMark/>
          </w:tcPr>
          <w:p w14:paraId="7ECE3A22" w14:textId="77777777" w:rsidR="00F61079" w:rsidRPr="009F29C1" w:rsidRDefault="00F61079" w:rsidP="00E412F4">
            <w:r w:rsidRPr="009F29C1">
              <w:t xml:space="preserve">  Session × Worsening + </w:t>
            </w:r>
            <w:r w:rsidRPr="00235582">
              <w:t>High Variability</w:t>
            </w:r>
            <w:r>
              <w:rPr>
                <w:rFonts w:hint="cs"/>
                <w:rtl/>
              </w:rPr>
              <w:t xml:space="preserve"> </w:t>
            </w:r>
          </w:p>
        </w:tc>
        <w:tc>
          <w:tcPr>
            <w:tcW w:w="0" w:type="auto"/>
            <w:tcBorders>
              <w:bottom w:val="single" w:sz="12" w:space="0" w:color="auto"/>
            </w:tcBorders>
            <w:hideMark/>
          </w:tcPr>
          <w:p w14:paraId="48991C78" w14:textId="77777777" w:rsidR="00F61079" w:rsidRPr="009F29C1" w:rsidRDefault="00F61079" w:rsidP="00E412F4">
            <w:r w:rsidRPr="009F29C1">
              <w:t>–0.22</w:t>
            </w:r>
          </w:p>
        </w:tc>
        <w:tc>
          <w:tcPr>
            <w:tcW w:w="0" w:type="auto"/>
            <w:tcBorders>
              <w:bottom w:val="single" w:sz="12" w:space="0" w:color="auto"/>
            </w:tcBorders>
            <w:hideMark/>
          </w:tcPr>
          <w:p w14:paraId="34E5F3A6" w14:textId="77777777" w:rsidR="00F61079" w:rsidRPr="009F29C1" w:rsidRDefault="00F61079" w:rsidP="00E412F4">
            <w:r w:rsidRPr="009F29C1">
              <w:t>–0.33 , –0.10</w:t>
            </w:r>
          </w:p>
        </w:tc>
        <w:tc>
          <w:tcPr>
            <w:tcW w:w="0" w:type="auto"/>
            <w:tcBorders>
              <w:bottom w:val="single" w:sz="12" w:space="0" w:color="auto"/>
            </w:tcBorders>
            <w:hideMark/>
          </w:tcPr>
          <w:p w14:paraId="74C0E8CA" w14:textId="77777777" w:rsidR="00F61079" w:rsidRPr="009F29C1" w:rsidRDefault="00F61079" w:rsidP="00E412F4">
            <w:r w:rsidRPr="009F29C1">
              <w:t>&lt;.001</w:t>
            </w:r>
          </w:p>
        </w:tc>
      </w:tr>
    </w:tbl>
    <w:p w14:paraId="136D5589" w14:textId="77777777" w:rsidR="00F61079" w:rsidRDefault="00F61079" w:rsidP="00F61079">
      <w:pPr>
        <w:rPr>
          <w:b/>
          <w:bCs/>
        </w:rPr>
      </w:pPr>
    </w:p>
    <w:p w14:paraId="6477374B" w14:textId="77777777" w:rsidR="00F61079" w:rsidRDefault="00F61079" w:rsidP="00F61079">
      <w:pPr>
        <w:rPr>
          <w:b/>
          <w:bCs/>
        </w:rPr>
      </w:pPr>
      <w:r>
        <w:rPr>
          <w:b/>
          <w:bCs/>
        </w:rPr>
        <w:br w:type="page"/>
      </w:r>
    </w:p>
    <w:p w14:paraId="4C911FDF" w14:textId="77777777" w:rsidR="00F61079" w:rsidRPr="009F29C1" w:rsidRDefault="00F61079" w:rsidP="00F61079">
      <w:pPr>
        <w:rPr>
          <w:b/>
          <w:bCs/>
        </w:rPr>
      </w:pPr>
      <w:r w:rsidRPr="009F29C1">
        <w:rPr>
          <w:b/>
          <w:bCs/>
        </w:rPr>
        <w:lastRenderedPageBreak/>
        <w:t>Table 2. Estimated slopes by trajectory type</w:t>
      </w:r>
    </w:p>
    <w:tbl>
      <w:tblPr>
        <w:tblStyle w:val="TableGridLight"/>
        <w:tblW w:w="0" w:type="auto"/>
        <w:tblLook w:val="04A0" w:firstRow="1" w:lastRow="0" w:firstColumn="1" w:lastColumn="0" w:noHBand="0" w:noVBand="1"/>
      </w:tblPr>
      <w:tblGrid>
        <w:gridCol w:w="3148"/>
        <w:gridCol w:w="2003"/>
        <w:gridCol w:w="670"/>
        <w:gridCol w:w="890"/>
        <w:gridCol w:w="798"/>
      </w:tblGrid>
      <w:tr w:rsidR="00F61079" w:rsidRPr="009F29C1" w14:paraId="6C541904" w14:textId="77777777" w:rsidTr="00F61079">
        <w:tc>
          <w:tcPr>
            <w:tcW w:w="0" w:type="auto"/>
            <w:tcBorders>
              <w:top w:val="single" w:sz="12" w:space="0" w:color="auto"/>
              <w:bottom w:val="single" w:sz="12" w:space="0" w:color="auto"/>
            </w:tcBorders>
            <w:hideMark/>
          </w:tcPr>
          <w:p w14:paraId="76808FDD" w14:textId="77777777" w:rsidR="00F61079" w:rsidRPr="009F29C1" w:rsidRDefault="00F61079" w:rsidP="00E412F4">
            <w:pPr>
              <w:rPr>
                <w:b/>
                <w:bCs/>
              </w:rPr>
            </w:pPr>
            <w:r w:rsidRPr="009F29C1">
              <w:rPr>
                <w:b/>
                <w:bCs/>
              </w:rPr>
              <w:t>Trajectory Type</w:t>
            </w:r>
          </w:p>
        </w:tc>
        <w:tc>
          <w:tcPr>
            <w:tcW w:w="0" w:type="auto"/>
            <w:tcBorders>
              <w:top w:val="single" w:sz="12" w:space="0" w:color="auto"/>
              <w:bottom w:val="single" w:sz="12" w:space="0" w:color="auto"/>
            </w:tcBorders>
            <w:hideMark/>
          </w:tcPr>
          <w:p w14:paraId="3D1C1A08" w14:textId="77777777" w:rsidR="00F61079" w:rsidRPr="009F29C1" w:rsidRDefault="00F61079" w:rsidP="00E412F4">
            <w:pPr>
              <w:rPr>
                <w:b/>
                <w:bCs/>
              </w:rPr>
            </w:pPr>
            <w:r w:rsidRPr="009F29C1">
              <w:rPr>
                <w:b/>
                <w:bCs/>
              </w:rPr>
              <w:t>Estimated Slope</w:t>
            </w:r>
          </w:p>
        </w:tc>
        <w:tc>
          <w:tcPr>
            <w:tcW w:w="0" w:type="auto"/>
            <w:tcBorders>
              <w:top w:val="single" w:sz="12" w:space="0" w:color="auto"/>
              <w:bottom w:val="single" w:sz="12" w:space="0" w:color="auto"/>
            </w:tcBorders>
            <w:hideMark/>
          </w:tcPr>
          <w:p w14:paraId="7A1F6B69" w14:textId="77777777" w:rsidR="00F61079" w:rsidRPr="009F29C1" w:rsidRDefault="00F61079" w:rsidP="00E412F4">
            <w:pPr>
              <w:rPr>
                <w:b/>
                <w:bCs/>
              </w:rPr>
            </w:pPr>
            <w:r w:rsidRPr="009F29C1">
              <w:rPr>
                <w:b/>
                <w:bCs/>
              </w:rPr>
              <w:t>SE</w:t>
            </w:r>
          </w:p>
        </w:tc>
        <w:tc>
          <w:tcPr>
            <w:tcW w:w="0" w:type="auto"/>
            <w:tcBorders>
              <w:top w:val="single" w:sz="12" w:space="0" w:color="auto"/>
              <w:bottom w:val="single" w:sz="12" w:space="0" w:color="auto"/>
            </w:tcBorders>
            <w:hideMark/>
          </w:tcPr>
          <w:p w14:paraId="2268986D" w14:textId="77777777" w:rsidR="00F61079" w:rsidRPr="009F29C1" w:rsidRDefault="00F61079" w:rsidP="00E412F4">
            <w:pPr>
              <w:rPr>
                <w:b/>
                <w:bCs/>
              </w:rPr>
            </w:pPr>
            <w:r w:rsidRPr="009F29C1">
              <w:rPr>
                <w:b/>
                <w:bCs/>
                <w:i/>
                <w:iCs/>
              </w:rPr>
              <w:t>t</w:t>
            </w:r>
          </w:p>
        </w:tc>
        <w:tc>
          <w:tcPr>
            <w:tcW w:w="0" w:type="auto"/>
            <w:tcBorders>
              <w:top w:val="single" w:sz="12" w:space="0" w:color="auto"/>
              <w:bottom w:val="single" w:sz="12" w:space="0" w:color="auto"/>
            </w:tcBorders>
            <w:hideMark/>
          </w:tcPr>
          <w:p w14:paraId="21AC5C0D" w14:textId="77777777" w:rsidR="00F61079" w:rsidRPr="009F29C1" w:rsidRDefault="00F61079" w:rsidP="00E412F4">
            <w:pPr>
              <w:rPr>
                <w:b/>
                <w:bCs/>
              </w:rPr>
            </w:pPr>
            <w:r w:rsidRPr="009F29C1">
              <w:rPr>
                <w:b/>
                <w:bCs/>
                <w:i/>
                <w:iCs/>
              </w:rPr>
              <w:t>p</w:t>
            </w:r>
          </w:p>
        </w:tc>
      </w:tr>
      <w:tr w:rsidR="00F61079" w:rsidRPr="009F29C1" w14:paraId="719EB4DA" w14:textId="77777777" w:rsidTr="00F61079">
        <w:tc>
          <w:tcPr>
            <w:tcW w:w="0" w:type="auto"/>
            <w:tcBorders>
              <w:top w:val="single" w:sz="12" w:space="0" w:color="auto"/>
            </w:tcBorders>
            <w:hideMark/>
          </w:tcPr>
          <w:p w14:paraId="7150946E" w14:textId="77777777" w:rsidR="00F61079" w:rsidRPr="009F29C1" w:rsidRDefault="00F61079" w:rsidP="00E412F4">
            <w:r w:rsidRPr="009F29C1">
              <w:t xml:space="preserve">Improving + </w:t>
            </w:r>
            <w:r w:rsidRPr="00235582">
              <w:t>Low Variability</w:t>
            </w:r>
          </w:p>
        </w:tc>
        <w:tc>
          <w:tcPr>
            <w:tcW w:w="0" w:type="auto"/>
            <w:tcBorders>
              <w:top w:val="single" w:sz="12" w:space="0" w:color="auto"/>
            </w:tcBorders>
            <w:hideMark/>
          </w:tcPr>
          <w:p w14:paraId="3B5B220B" w14:textId="77777777" w:rsidR="00F61079" w:rsidRPr="009F29C1" w:rsidRDefault="00F61079" w:rsidP="00E412F4">
            <w:r w:rsidRPr="009F29C1">
              <w:t>–0.32</w:t>
            </w:r>
          </w:p>
        </w:tc>
        <w:tc>
          <w:tcPr>
            <w:tcW w:w="0" w:type="auto"/>
            <w:tcBorders>
              <w:top w:val="single" w:sz="12" w:space="0" w:color="auto"/>
            </w:tcBorders>
            <w:hideMark/>
          </w:tcPr>
          <w:p w14:paraId="3235D0FF" w14:textId="77777777" w:rsidR="00F61079" w:rsidRPr="009F29C1" w:rsidRDefault="00F61079" w:rsidP="00E412F4">
            <w:r w:rsidRPr="009F29C1">
              <w:t>0.04</w:t>
            </w:r>
          </w:p>
        </w:tc>
        <w:tc>
          <w:tcPr>
            <w:tcW w:w="0" w:type="auto"/>
            <w:tcBorders>
              <w:top w:val="single" w:sz="12" w:space="0" w:color="auto"/>
            </w:tcBorders>
            <w:hideMark/>
          </w:tcPr>
          <w:p w14:paraId="559F87AC" w14:textId="77777777" w:rsidR="00F61079" w:rsidRPr="009F29C1" w:rsidRDefault="00F61079" w:rsidP="00E412F4">
            <w:r w:rsidRPr="009F29C1">
              <w:t>–7.38</w:t>
            </w:r>
          </w:p>
        </w:tc>
        <w:tc>
          <w:tcPr>
            <w:tcW w:w="0" w:type="auto"/>
            <w:tcBorders>
              <w:top w:val="single" w:sz="12" w:space="0" w:color="auto"/>
            </w:tcBorders>
            <w:hideMark/>
          </w:tcPr>
          <w:p w14:paraId="6424C4CC" w14:textId="77777777" w:rsidR="00F61079" w:rsidRPr="009F29C1" w:rsidRDefault="00F61079" w:rsidP="00E412F4">
            <w:r w:rsidRPr="009F29C1">
              <w:t>&lt;.001</w:t>
            </w:r>
          </w:p>
        </w:tc>
      </w:tr>
      <w:tr w:rsidR="00F61079" w:rsidRPr="009F29C1" w14:paraId="7F561387" w14:textId="77777777" w:rsidTr="00F61079">
        <w:tc>
          <w:tcPr>
            <w:tcW w:w="0" w:type="auto"/>
            <w:hideMark/>
          </w:tcPr>
          <w:p w14:paraId="708CFADD" w14:textId="77777777" w:rsidR="00F61079" w:rsidRPr="009F29C1" w:rsidRDefault="00F61079" w:rsidP="00E412F4">
            <w:r w:rsidRPr="009F29C1">
              <w:t xml:space="preserve">Improving + </w:t>
            </w:r>
            <w:r w:rsidRPr="00235582">
              <w:t>High Variability</w:t>
            </w:r>
            <w:r>
              <w:rPr>
                <w:rFonts w:hint="cs"/>
                <w:rtl/>
              </w:rPr>
              <w:t xml:space="preserve"> </w:t>
            </w:r>
          </w:p>
        </w:tc>
        <w:tc>
          <w:tcPr>
            <w:tcW w:w="0" w:type="auto"/>
            <w:hideMark/>
          </w:tcPr>
          <w:p w14:paraId="6B80F13C" w14:textId="77777777" w:rsidR="00F61079" w:rsidRPr="009F29C1" w:rsidRDefault="00F61079" w:rsidP="00E412F4">
            <w:r w:rsidRPr="009F29C1">
              <w:t>–0.32</w:t>
            </w:r>
          </w:p>
        </w:tc>
        <w:tc>
          <w:tcPr>
            <w:tcW w:w="0" w:type="auto"/>
            <w:hideMark/>
          </w:tcPr>
          <w:p w14:paraId="4CB37BDD" w14:textId="77777777" w:rsidR="00F61079" w:rsidRPr="009F29C1" w:rsidRDefault="00F61079" w:rsidP="00E412F4">
            <w:r w:rsidRPr="009F29C1">
              <w:t>0.06</w:t>
            </w:r>
          </w:p>
        </w:tc>
        <w:tc>
          <w:tcPr>
            <w:tcW w:w="0" w:type="auto"/>
            <w:hideMark/>
          </w:tcPr>
          <w:p w14:paraId="1CA3AAE0" w14:textId="77777777" w:rsidR="00F61079" w:rsidRPr="009F29C1" w:rsidRDefault="00F61079" w:rsidP="00E412F4">
            <w:r w:rsidRPr="009F29C1">
              <w:t>–5.43</w:t>
            </w:r>
          </w:p>
        </w:tc>
        <w:tc>
          <w:tcPr>
            <w:tcW w:w="0" w:type="auto"/>
            <w:hideMark/>
          </w:tcPr>
          <w:p w14:paraId="4DDF01D4" w14:textId="77777777" w:rsidR="00F61079" w:rsidRPr="009F29C1" w:rsidRDefault="00F61079" w:rsidP="00E412F4">
            <w:r w:rsidRPr="009F29C1">
              <w:t>&lt;.001</w:t>
            </w:r>
          </w:p>
        </w:tc>
      </w:tr>
      <w:tr w:rsidR="00F61079" w:rsidRPr="009F29C1" w14:paraId="4F83500C" w14:textId="77777777" w:rsidTr="00F61079">
        <w:tc>
          <w:tcPr>
            <w:tcW w:w="0" w:type="auto"/>
            <w:hideMark/>
          </w:tcPr>
          <w:p w14:paraId="2438295E" w14:textId="77777777" w:rsidR="00F61079" w:rsidRPr="009F29C1" w:rsidRDefault="00F61079" w:rsidP="00E412F4">
            <w:r w:rsidRPr="009F29C1">
              <w:t xml:space="preserve">Worsening + </w:t>
            </w:r>
            <w:r w:rsidRPr="00235582">
              <w:t>Low Variability</w:t>
            </w:r>
          </w:p>
        </w:tc>
        <w:tc>
          <w:tcPr>
            <w:tcW w:w="0" w:type="auto"/>
            <w:hideMark/>
          </w:tcPr>
          <w:p w14:paraId="1997B06D" w14:textId="77777777" w:rsidR="00F61079" w:rsidRPr="009F29C1" w:rsidRDefault="00F61079" w:rsidP="00E412F4">
            <w:r w:rsidRPr="009F29C1">
              <w:t>–0.33</w:t>
            </w:r>
          </w:p>
        </w:tc>
        <w:tc>
          <w:tcPr>
            <w:tcW w:w="0" w:type="auto"/>
            <w:hideMark/>
          </w:tcPr>
          <w:p w14:paraId="6B57FEB1" w14:textId="77777777" w:rsidR="00F61079" w:rsidRPr="009F29C1" w:rsidRDefault="00F61079" w:rsidP="00E412F4">
            <w:r w:rsidRPr="009F29C1">
              <w:t>0.05</w:t>
            </w:r>
          </w:p>
        </w:tc>
        <w:tc>
          <w:tcPr>
            <w:tcW w:w="0" w:type="auto"/>
            <w:hideMark/>
          </w:tcPr>
          <w:p w14:paraId="29D2B5E0" w14:textId="77777777" w:rsidR="00F61079" w:rsidRPr="009F29C1" w:rsidRDefault="00F61079" w:rsidP="00E412F4">
            <w:r w:rsidRPr="009F29C1">
              <w:t>–6.54</w:t>
            </w:r>
          </w:p>
        </w:tc>
        <w:tc>
          <w:tcPr>
            <w:tcW w:w="0" w:type="auto"/>
            <w:hideMark/>
          </w:tcPr>
          <w:p w14:paraId="139829AB" w14:textId="77777777" w:rsidR="00F61079" w:rsidRPr="009F29C1" w:rsidRDefault="00F61079" w:rsidP="00E412F4">
            <w:r w:rsidRPr="009F29C1">
              <w:t>&lt;.001</w:t>
            </w:r>
          </w:p>
        </w:tc>
      </w:tr>
      <w:tr w:rsidR="00F61079" w:rsidRPr="009F29C1" w14:paraId="64146FF0" w14:textId="77777777" w:rsidTr="00F61079">
        <w:tc>
          <w:tcPr>
            <w:tcW w:w="0" w:type="auto"/>
            <w:tcBorders>
              <w:bottom w:val="single" w:sz="12" w:space="0" w:color="auto"/>
            </w:tcBorders>
            <w:hideMark/>
          </w:tcPr>
          <w:p w14:paraId="7BA2CEC6" w14:textId="77777777" w:rsidR="00F61079" w:rsidRPr="009F29C1" w:rsidRDefault="00F61079" w:rsidP="00E412F4">
            <w:r w:rsidRPr="009F29C1">
              <w:t xml:space="preserve">Worsening + </w:t>
            </w:r>
            <w:r w:rsidRPr="00235582">
              <w:t>High Variability</w:t>
            </w:r>
            <w:r>
              <w:rPr>
                <w:rFonts w:hint="cs"/>
                <w:rtl/>
              </w:rPr>
              <w:t xml:space="preserve"> </w:t>
            </w:r>
          </w:p>
        </w:tc>
        <w:tc>
          <w:tcPr>
            <w:tcW w:w="0" w:type="auto"/>
            <w:tcBorders>
              <w:bottom w:val="single" w:sz="12" w:space="0" w:color="auto"/>
            </w:tcBorders>
            <w:hideMark/>
          </w:tcPr>
          <w:p w14:paraId="2FE369C8" w14:textId="77777777" w:rsidR="00F61079" w:rsidRPr="009F29C1" w:rsidRDefault="00F61079" w:rsidP="00E412F4">
            <w:r w:rsidRPr="009F29C1">
              <w:t>–0.54</w:t>
            </w:r>
          </w:p>
        </w:tc>
        <w:tc>
          <w:tcPr>
            <w:tcW w:w="0" w:type="auto"/>
            <w:tcBorders>
              <w:bottom w:val="single" w:sz="12" w:space="0" w:color="auto"/>
            </w:tcBorders>
            <w:hideMark/>
          </w:tcPr>
          <w:p w14:paraId="425DEE34" w14:textId="77777777" w:rsidR="00F61079" w:rsidRPr="009F29C1" w:rsidRDefault="00F61079" w:rsidP="00E412F4">
            <w:r w:rsidRPr="009F29C1">
              <w:t>0.04</w:t>
            </w:r>
          </w:p>
        </w:tc>
        <w:tc>
          <w:tcPr>
            <w:tcW w:w="0" w:type="auto"/>
            <w:tcBorders>
              <w:bottom w:val="single" w:sz="12" w:space="0" w:color="auto"/>
            </w:tcBorders>
            <w:hideMark/>
          </w:tcPr>
          <w:p w14:paraId="288824D9" w14:textId="77777777" w:rsidR="00F61079" w:rsidRPr="009F29C1" w:rsidRDefault="00F61079" w:rsidP="00E412F4">
            <w:r w:rsidRPr="009F29C1">
              <w:t>–13.37</w:t>
            </w:r>
          </w:p>
        </w:tc>
        <w:tc>
          <w:tcPr>
            <w:tcW w:w="0" w:type="auto"/>
            <w:tcBorders>
              <w:bottom w:val="single" w:sz="12" w:space="0" w:color="auto"/>
            </w:tcBorders>
            <w:hideMark/>
          </w:tcPr>
          <w:p w14:paraId="09FA5826" w14:textId="77777777" w:rsidR="00F61079" w:rsidRPr="009F29C1" w:rsidRDefault="00F61079" w:rsidP="00E412F4">
            <w:r w:rsidRPr="009F29C1">
              <w:t>&lt;.001</w:t>
            </w:r>
          </w:p>
        </w:tc>
      </w:tr>
    </w:tbl>
    <w:p w14:paraId="7F17249F" w14:textId="77777777" w:rsidR="00F61079" w:rsidRDefault="00F61079" w:rsidP="00F61079"/>
    <w:p w14:paraId="35E4F12E" w14:textId="77777777" w:rsidR="00F61079" w:rsidRDefault="00F61079" w:rsidP="00F61079"/>
    <w:p w14:paraId="19277366" w14:textId="7E63767D" w:rsidR="00A8556A" w:rsidRPr="00A8556A" w:rsidRDefault="003F0960" w:rsidP="00A8556A">
      <w:pPr>
        <w:rPr>
          <w:b/>
          <w:bCs/>
        </w:rPr>
      </w:pPr>
      <w:r w:rsidRPr="00A8556A">
        <w:rPr>
          <w:b/>
          <w:bCs/>
        </w:rPr>
        <w:t>Figure 1.</w:t>
      </w:r>
      <w:r w:rsidR="00A8556A" w:rsidRPr="00A8556A">
        <w:rPr>
          <w:b/>
          <w:bCs/>
        </w:rPr>
        <w:t xml:space="preserve"> Depressive symptom reduction over treatment sessions by pre-treatment symptom dynamics</w:t>
      </w:r>
    </w:p>
    <w:p w14:paraId="2B0550A6" w14:textId="1982C51C" w:rsidR="00F61079" w:rsidRDefault="003F0960" w:rsidP="00F61079">
      <w:r>
        <w:t xml:space="preserve"> </w:t>
      </w:r>
    </w:p>
    <w:p w14:paraId="5EB9DB20" w14:textId="1CDCD75A" w:rsidR="00F61079" w:rsidRPr="00912AB9" w:rsidRDefault="000F7F8C" w:rsidP="00912AB9">
      <w:pPr>
        <w:spacing w:before="100" w:beforeAutospacing="1" w:after="100" w:afterAutospacing="1" w:line="480" w:lineRule="auto"/>
        <w:rPr>
          <w:rFonts w:asciiTheme="majorBidi" w:hAnsiTheme="majorBidi" w:cstheme="majorBidi"/>
        </w:rPr>
      </w:pPr>
      <w:r>
        <w:rPr>
          <w:rFonts w:ascii="Courier New" w:hAnsi="Courier New" w:cs="Courier New"/>
          <w:noProof/>
        </w:rPr>
        <w:drawing>
          <wp:inline distT="0" distB="0" distL="0" distR="0" wp14:anchorId="5F3E5848" wp14:editId="153BB284">
            <wp:extent cx="5486400" cy="3770904"/>
            <wp:effectExtent l="0" t="0" r="0" b="1270"/>
            <wp:docPr id="581357541"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770904"/>
                    </a:xfrm>
                    <a:prstGeom prst="rect">
                      <a:avLst/>
                    </a:prstGeom>
                    <a:noFill/>
                  </pic:spPr>
                </pic:pic>
              </a:graphicData>
            </a:graphic>
          </wp:inline>
        </w:drawing>
      </w:r>
    </w:p>
    <w:sectPr w:rsidR="00F61079" w:rsidRPr="00912AB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A75F1"/>
    <w:multiLevelType w:val="multilevel"/>
    <w:tmpl w:val="C94E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A7820"/>
    <w:multiLevelType w:val="multilevel"/>
    <w:tmpl w:val="5D72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662AE"/>
    <w:multiLevelType w:val="multilevel"/>
    <w:tmpl w:val="F5B0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4592C"/>
    <w:multiLevelType w:val="multilevel"/>
    <w:tmpl w:val="4F44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B4B21"/>
    <w:multiLevelType w:val="multilevel"/>
    <w:tmpl w:val="0FCEB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DD7D87"/>
    <w:multiLevelType w:val="multilevel"/>
    <w:tmpl w:val="0FB2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662F75"/>
    <w:multiLevelType w:val="multilevel"/>
    <w:tmpl w:val="CA06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DF548C"/>
    <w:multiLevelType w:val="multilevel"/>
    <w:tmpl w:val="A022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F43C98"/>
    <w:multiLevelType w:val="multilevel"/>
    <w:tmpl w:val="8C50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4616B7"/>
    <w:multiLevelType w:val="multilevel"/>
    <w:tmpl w:val="54B0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395262">
    <w:abstractNumId w:val="7"/>
  </w:num>
  <w:num w:numId="2" w16cid:durableId="1835292323">
    <w:abstractNumId w:val="1"/>
  </w:num>
  <w:num w:numId="3" w16cid:durableId="1348362578">
    <w:abstractNumId w:val="9"/>
  </w:num>
  <w:num w:numId="4" w16cid:durableId="2029483350">
    <w:abstractNumId w:val="6"/>
  </w:num>
  <w:num w:numId="5" w16cid:durableId="99958059">
    <w:abstractNumId w:val="5"/>
  </w:num>
  <w:num w:numId="6" w16cid:durableId="337853076">
    <w:abstractNumId w:val="3"/>
  </w:num>
  <w:num w:numId="7" w16cid:durableId="1033532833">
    <w:abstractNumId w:val="0"/>
  </w:num>
  <w:num w:numId="8" w16cid:durableId="739904529">
    <w:abstractNumId w:val="8"/>
  </w:num>
  <w:num w:numId="9" w16cid:durableId="1208957880">
    <w:abstractNumId w:val="2"/>
  </w:num>
  <w:num w:numId="10" w16cid:durableId="585656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 JAMA psychiatry&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sfpff22iavxdlerdrnxes5cedrev290zear&quot;&gt;My EndNote Library_depression dynamics&lt;record-ids&gt;&lt;item&gt;1&lt;/item&gt;&lt;item&gt;2&lt;/item&gt;&lt;item&gt;3&lt;/item&gt;&lt;item&gt;4&lt;/item&gt;&lt;item&gt;5&lt;/item&gt;&lt;item&gt;6&lt;/item&gt;&lt;item&gt;7&lt;/item&gt;&lt;item&gt;8&lt;/item&gt;&lt;item&gt;9&lt;/item&gt;&lt;item&gt;10&lt;/item&gt;&lt;item&gt;13&lt;/item&gt;&lt;/record-ids&gt;&lt;/item&gt;&lt;/Libraries&gt;"/>
  </w:docVars>
  <w:rsids>
    <w:rsidRoot w:val="000A7921"/>
    <w:rsid w:val="000050DB"/>
    <w:rsid w:val="0008199D"/>
    <w:rsid w:val="000A7921"/>
    <w:rsid w:val="000B1B90"/>
    <w:rsid w:val="000F3D6E"/>
    <w:rsid w:val="000F7F8C"/>
    <w:rsid w:val="00100FF8"/>
    <w:rsid w:val="00127545"/>
    <w:rsid w:val="001B3F27"/>
    <w:rsid w:val="0020186C"/>
    <w:rsid w:val="002A30CC"/>
    <w:rsid w:val="002C1B64"/>
    <w:rsid w:val="00340BBB"/>
    <w:rsid w:val="0039532A"/>
    <w:rsid w:val="003A0E89"/>
    <w:rsid w:val="003F0960"/>
    <w:rsid w:val="00417F44"/>
    <w:rsid w:val="00437820"/>
    <w:rsid w:val="00441572"/>
    <w:rsid w:val="00456CCE"/>
    <w:rsid w:val="004827EB"/>
    <w:rsid w:val="00486AE1"/>
    <w:rsid w:val="004D7309"/>
    <w:rsid w:val="004E1657"/>
    <w:rsid w:val="004F2558"/>
    <w:rsid w:val="005152C1"/>
    <w:rsid w:val="00532B19"/>
    <w:rsid w:val="005A6569"/>
    <w:rsid w:val="005F66BA"/>
    <w:rsid w:val="00611B27"/>
    <w:rsid w:val="00635F5A"/>
    <w:rsid w:val="006A6482"/>
    <w:rsid w:val="006D1C77"/>
    <w:rsid w:val="00705DAD"/>
    <w:rsid w:val="0077770D"/>
    <w:rsid w:val="00786135"/>
    <w:rsid w:val="007E26C8"/>
    <w:rsid w:val="007F1EFB"/>
    <w:rsid w:val="00822471"/>
    <w:rsid w:val="008402AA"/>
    <w:rsid w:val="0089335C"/>
    <w:rsid w:val="00902E15"/>
    <w:rsid w:val="0090564F"/>
    <w:rsid w:val="00912AB9"/>
    <w:rsid w:val="0093205C"/>
    <w:rsid w:val="0093323B"/>
    <w:rsid w:val="00935EAD"/>
    <w:rsid w:val="009552AD"/>
    <w:rsid w:val="009F233D"/>
    <w:rsid w:val="00A10B3B"/>
    <w:rsid w:val="00A168DF"/>
    <w:rsid w:val="00A25EF0"/>
    <w:rsid w:val="00A34845"/>
    <w:rsid w:val="00A449BB"/>
    <w:rsid w:val="00A45936"/>
    <w:rsid w:val="00A54AB1"/>
    <w:rsid w:val="00A56D9F"/>
    <w:rsid w:val="00A65F49"/>
    <w:rsid w:val="00A66632"/>
    <w:rsid w:val="00A66B52"/>
    <w:rsid w:val="00A8556A"/>
    <w:rsid w:val="00B14275"/>
    <w:rsid w:val="00B37FD6"/>
    <w:rsid w:val="00B97EFA"/>
    <w:rsid w:val="00BB425D"/>
    <w:rsid w:val="00BB5911"/>
    <w:rsid w:val="00C0154A"/>
    <w:rsid w:val="00C106E5"/>
    <w:rsid w:val="00C44CB7"/>
    <w:rsid w:val="00C73BDB"/>
    <w:rsid w:val="00C84776"/>
    <w:rsid w:val="00CB2112"/>
    <w:rsid w:val="00CC4E12"/>
    <w:rsid w:val="00CE26D2"/>
    <w:rsid w:val="00CE75EE"/>
    <w:rsid w:val="00D363BC"/>
    <w:rsid w:val="00E4319C"/>
    <w:rsid w:val="00E62A41"/>
    <w:rsid w:val="00EB0E01"/>
    <w:rsid w:val="00EB50F6"/>
    <w:rsid w:val="00EE754A"/>
    <w:rsid w:val="00F176B7"/>
    <w:rsid w:val="00F56FDB"/>
    <w:rsid w:val="00F610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014E7"/>
  <w15:chartTrackingRefBased/>
  <w15:docId w15:val="{1928DD04-3B56-4958-A426-74B63485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9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9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9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9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9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9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9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9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9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9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9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9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9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9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9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9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9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921"/>
    <w:rPr>
      <w:rFonts w:eastAsiaTheme="majorEastAsia" w:cstheme="majorBidi"/>
      <w:color w:val="272727" w:themeColor="text1" w:themeTint="D8"/>
    </w:rPr>
  </w:style>
  <w:style w:type="paragraph" w:styleId="Title">
    <w:name w:val="Title"/>
    <w:basedOn w:val="Normal"/>
    <w:next w:val="Normal"/>
    <w:link w:val="TitleChar"/>
    <w:uiPriority w:val="10"/>
    <w:qFormat/>
    <w:rsid w:val="000A79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9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9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9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921"/>
    <w:pPr>
      <w:spacing w:before="160"/>
      <w:jc w:val="center"/>
    </w:pPr>
    <w:rPr>
      <w:i/>
      <w:iCs/>
      <w:color w:val="404040" w:themeColor="text1" w:themeTint="BF"/>
    </w:rPr>
  </w:style>
  <w:style w:type="character" w:customStyle="1" w:styleId="QuoteChar">
    <w:name w:val="Quote Char"/>
    <w:basedOn w:val="DefaultParagraphFont"/>
    <w:link w:val="Quote"/>
    <w:uiPriority w:val="29"/>
    <w:rsid w:val="000A7921"/>
    <w:rPr>
      <w:i/>
      <w:iCs/>
      <w:color w:val="404040" w:themeColor="text1" w:themeTint="BF"/>
    </w:rPr>
  </w:style>
  <w:style w:type="paragraph" w:styleId="ListParagraph">
    <w:name w:val="List Paragraph"/>
    <w:basedOn w:val="Normal"/>
    <w:uiPriority w:val="34"/>
    <w:qFormat/>
    <w:rsid w:val="000A7921"/>
    <w:pPr>
      <w:ind w:left="720"/>
      <w:contextualSpacing/>
    </w:pPr>
  </w:style>
  <w:style w:type="character" w:styleId="IntenseEmphasis">
    <w:name w:val="Intense Emphasis"/>
    <w:basedOn w:val="DefaultParagraphFont"/>
    <w:uiPriority w:val="21"/>
    <w:qFormat/>
    <w:rsid w:val="000A7921"/>
    <w:rPr>
      <w:i/>
      <w:iCs/>
      <w:color w:val="0F4761" w:themeColor="accent1" w:themeShade="BF"/>
    </w:rPr>
  </w:style>
  <w:style w:type="paragraph" w:styleId="IntenseQuote">
    <w:name w:val="Intense Quote"/>
    <w:basedOn w:val="Normal"/>
    <w:next w:val="Normal"/>
    <w:link w:val="IntenseQuoteChar"/>
    <w:uiPriority w:val="30"/>
    <w:qFormat/>
    <w:rsid w:val="000A79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921"/>
    <w:rPr>
      <w:i/>
      <w:iCs/>
      <w:color w:val="0F4761" w:themeColor="accent1" w:themeShade="BF"/>
    </w:rPr>
  </w:style>
  <w:style w:type="character" w:styleId="IntenseReference">
    <w:name w:val="Intense Reference"/>
    <w:basedOn w:val="DefaultParagraphFont"/>
    <w:uiPriority w:val="32"/>
    <w:qFormat/>
    <w:rsid w:val="000A7921"/>
    <w:rPr>
      <w:b/>
      <w:bCs/>
      <w:smallCaps/>
      <w:color w:val="0F4761" w:themeColor="accent1" w:themeShade="BF"/>
      <w:spacing w:val="5"/>
    </w:rPr>
  </w:style>
  <w:style w:type="character" w:styleId="Hyperlink">
    <w:name w:val="Hyperlink"/>
    <w:basedOn w:val="DefaultParagraphFont"/>
    <w:uiPriority w:val="99"/>
    <w:unhideWhenUsed/>
    <w:rsid w:val="00532B19"/>
    <w:rPr>
      <w:color w:val="467886" w:themeColor="hyperlink"/>
      <w:u w:val="single"/>
    </w:rPr>
  </w:style>
  <w:style w:type="character" w:styleId="UnresolvedMention">
    <w:name w:val="Unresolved Mention"/>
    <w:basedOn w:val="DefaultParagraphFont"/>
    <w:uiPriority w:val="99"/>
    <w:semiHidden/>
    <w:unhideWhenUsed/>
    <w:rsid w:val="00532B19"/>
    <w:rPr>
      <w:color w:val="605E5C"/>
      <w:shd w:val="clear" w:color="auto" w:fill="E1DFDD"/>
    </w:rPr>
  </w:style>
  <w:style w:type="character" w:styleId="FollowedHyperlink">
    <w:name w:val="FollowedHyperlink"/>
    <w:basedOn w:val="DefaultParagraphFont"/>
    <w:uiPriority w:val="99"/>
    <w:semiHidden/>
    <w:unhideWhenUsed/>
    <w:rsid w:val="000050DB"/>
    <w:rPr>
      <w:color w:val="96607D" w:themeColor="followedHyperlink"/>
      <w:u w:val="single"/>
    </w:rPr>
  </w:style>
  <w:style w:type="paragraph" w:customStyle="1" w:styleId="EndNoteBibliographyTitle">
    <w:name w:val="EndNote Bibliography Title"/>
    <w:basedOn w:val="Normal"/>
    <w:link w:val="EndNoteBibliographyTitle0"/>
    <w:rsid w:val="004E1657"/>
    <w:pPr>
      <w:spacing w:after="0"/>
      <w:jc w:val="center"/>
    </w:pPr>
    <w:rPr>
      <w:rFonts w:ascii="Aptos" w:hAnsi="Aptos"/>
      <w:noProof/>
    </w:rPr>
  </w:style>
  <w:style w:type="character" w:customStyle="1" w:styleId="EndNoteBibliographyTitle0">
    <w:name w:val="EndNote Bibliography Title תו"/>
    <w:basedOn w:val="DefaultParagraphFont"/>
    <w:link w:val="EndNoteBibliographyTitle"/>
    <w:rsid w:val="004E1657"/>
    <w:rPr>
      <w:rFonts w:ascii="Aptos" w:hAnsi="Aptos"/>
      <w:noProof/>
    </w:rPr>
  </w:style>
  <w:style w:type="paragraph" w:customStyle="1" w:styleId="EndNoteBibliography">
    <w:name w:val="EndNote Bibliography"/>
    <w:basedOn w:val="Normal"/>
    <w:link w:val="EndNoteBibliography0"/>
    <w:rsid w:val="004E1657"/>
    <w:pPr>
      <w:spacing w:line="240" w:lineRule="auto"/>
    </w:pPr>
    <w:rPr>
      <w:rFonts w:ascii="Aptos" w:hAnsi="Aptos"/>
      <w:noProof/>
    </w:rPr>
  </w:style>
  <w:style w:type="character" w:customStyle="1" w:styleId="EndNoteBibliography0">
    <w:name w:val="EndNote Bibliography תו"/>
    <w:basedOn w:val="DefaultParagraphFont"/>
    <w:link w:val="EndNoteBibliography"/>
    <w:rsid w:val="004E1657"/>
    <w:rPr>
      <w:rFonts w:ascii="Aptos" w:hAnsi="Aptos"/>
      <w:noProof/>
    </w:rPr>
  </w:style>
  <w:style w:type="table" w:styleId="TableGridLight">
    <w:name w:val="Grid Table Light"/>
    <w:basedOn w:val="TableNormal"/>
    <w:uiPriority w:val="40"/>
    <w:rsid w:val="00F610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cknowledgement">
    <w:name w:val="Acknowledgement"/>
    <w:basedOn w:val="Normal"/>
    <w:rsid w:val="00EB0E01"/>
    <w:pPr>
      <w:spacing w:before="120" w:after="0" w:line="240" w:lineRule="auto"/>
      <w:ind w:left="720" w:hanging="720"/>
    </w:pPr>
    <w:rPr>
      <w:rFonts w:ascii="Times New Roman" w:eastAsia="Times New Roman" w:hAnsi="Times New Roman" w:cs="Times New Roman"/>
      <w:kern w:val="0"/>
      <w:lang w:bidi="ar-SA"/>
      <w14:ligatures w14:val="none"/>
    </w:rPr>
  </w:style>
  <w:style w:type="paragraph" w:styleId="NormalWeb">
    <w:name w:val="Normal (Web)"/>
    <w:basedOn w:val="Normal"/>
    <w:uiPriority w:val="99"/>
    <w:semiHidden/>
    <w:unhideWhenUsed/>
    <w:rsid w:val="00C8477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70993">
      <w:bodyDiv w:val="1"/>
      <w:marLeft w:val="0"/>
      <w:marRight w:val="0"/>
      <w:marTop w:val="0"/>
      <w:marBottom w:val="0"/>
      <w:divBdr>
        <w:top w:val="none" w:sz="0" w:space="0" w:color="auto"/>
        <w:left w:val="none" w:sz="0" w:space="0" w:color="auto"/>
        <w:bottom w:val="none" w:sz="0" w:space="0" w:color="auto"/>
        <w:right w:val="none" w:sz="0" w:space="0" w:color="auto"/>
      </w:divBdr>
    </w:div>
    <w:div w:id="187258575">
      <w:bodyDiv w:val="1"/>
      <w:marLeft w:val="0"/>
      <w:marRight w:val="0"/>
      <w:marTop w:val="0"/>
      <w:marBottom w:val="0"/>
      <w:divBdr>
        <w:top w:val="none" w:sz="0" w:space="0" w:color="auto"/>
        <w:left w:val="none" w:sz="0" w:space="0" w:color="auto"/>
        <w:bottom w:val="none" w:sz="0" w:space="0" w:color="auto"/>
        <w:right w:val="none" w:sz="0" w:space="0" w:color="auto"/>
      </w:divBdr>
    </w:div>
    <w:div w:id="322050316">
      <w:bodyDiv w:val="1"/>
      <w:marLeft w:val="0"/>
      <w:marRight w:val="0"/>
      <w:marTop w:val="0"/>
      <w:marBottom w:val="0"/>
      <w:divBdr>
        <w:top w:val="none" w:sz="0" w:space="0" w:color="auto"/>
        <w:left w:val="none" w:sz="0" w:space="0" w:color="auto"/>
        <w:bottom w:val="none" w:sz="0" w:space="0" w:color="auto"/>
        <w:right w:val="none" w:sz="0" w:space="0" w:color="auto"/>
      </w:divBdr>
      <w:divsChild>
        <w:div w:id="243300027">
          <w:marLeft w:val="0"/>
          <w:marRight w:val="0"/>
          <w:marTop w:val="0"/>
          <w:marBottom w:val="0"/>
          <w:divBdr>
            <w:top w:val="none" w:sz="0" w:space="0" w:color="auto"/>
            <w:left w:val="none" w:sz="0" w:space="0" w:color="auto"/>
            <w:bottom w:val="none" w:sz="0" w:space="0" w:color="auto"/>
            <w:right w:val="none" w:sz="0" w:space="0" w:color="auto"/>
          </w:divBdr>
          <w:divsChild>
            <w:div w:id="4417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20211">
      <w:bodyDiv w:val="1"/>
      <w:marLeft w:val="0"/>
      <w:marRight w:val="0"/>
      <w:marTop w:val="0"/>
      <w:marBottom w:val="0"/>
      <w:divBdr>
        <w:top w:val="none" w:sz="0" w:space="0" w:color="auto"/>
        <w:left w:val="none" w:sz="0" w:space="0" w:color="auto"/>
        <w:bottom w:val="none" w:sz="0" w:space="0" w:color="auto"/>
        <w:right w:val="none" w:sz="0" w:space="0" w:color="auto"/>
      </w:divBdr>
    </w:div>
    <w:div w:id="489297083">
      <w:bodyDiv w:val="1"/>
      <w:marLeft w:val="0"/>
      <w:marRight w:val="0"/>
      <w:marTop w:val="0"/>
      <w:marBottom w:val="0"/>
      <w:divBdr>
        <w:top w:val="none" w:sz="0" w:space="0" w:color="auto"/>
        <w:left w:val="none" w:sz="0" w:space="0" w:color="auto"/>
        <w:bottom w:val="none" w:sz="0" w:space="0" w:color="auto"/>
        <w:right w:val="none" w:sz="0" w:space="0" w:color="auto"/>
      </w:divBdr>
      <w:divsChild>
        <w:div w:id="703822253">
          <w:marLeft w:val="0"/>
          <w:marRight w:val="0"/>
          <w:marTop w:val="0"/>
          <w:marBottom w:val="0"/>
          <w:divBdr>
            <w:top w:val="none" w:sz="0" w:space="0" w:color="auto"/>
            <w:left w:val="none" w:sz="0" w:space="0" w:color="auto"/>
            <w:bottom w:val="none" w:sz="0" w:space="0" w:color="auto"/>
            <w:right w:val="none" w:sz="0" w:space="0" w:color="auto"/>
          </w:divBdr>
          <w:divsChild>
            <w:div w:id="1092121612">
              <w:marLeft w:val="0"/>
              <w:marRight w:val="0"/>
              <w:marTop w:val="0"/>
              <w:marBottom w:val="0"/>
              <w:divBdr>
                <w:top w:val="none" w:sz="0" w:space="0" w:color="auto"/>
                <w:left w:val="none" w:sz="0" w:space="0" w:color="auto"/>
                <w:bottom w:val="none" w:sz="0" w:space="0" w:color="auto"/>
                <w:right w:val="none" w:sz="0" w:space="0" w:color="auto"/>
              </w:divBdr>
              <w:divsChild>
                <w:div w:id="1950114714">
                  <w:marLeft w:val="0"/>
                  <w:marRight w:val="0"/>
                  <w:marTop w:val="0"/>
                  <w:marBottom w:val="0"/>
                  <w:divBdr>
                    <w:top w:val="none" w:sz="0" w:space="0" w:color="auto"/>
                    <w:left w:val="none" w:sz="0" w:space="0" w:color="auto"/>
                    <w:bottom w:val="none" w:sz="0" w:space="0" w:color="auto"/>
                    <w:right w:val="none" w:sz="0" w:space="0" w:color="auto"/>
                  </w:divBdr>
                  <w:divsChild>
                    <w:div w:id="394671321">
                      <w:marLeft w:val="0"/>
                      <w:marRight w:val="0"/>
                      <w:marTop w:val="0"/>
                      <w:marBottom w:val="0"/>
                      <w:divBdr>
                        <w:top w:val="none" w:sz="0" w:space="0" w:color="auto"/>
                        <w:left w:val="none" w:sz="0" w:space="0" w:color="auto"/>
                        <w:bottom w:val="none" w:sz="0" w:space="0" w:color="auto"/>
                        <w:right w:val="none" w:sz="0" w:space="0" w:color="auto"/>
                      </w:divBdr>
                      <w:divsChild>
                        <w:div w:id="2004426798">
                          <w:marLeft w:val="0"/>
                          <w:marRight w:val="0"/>
                          <w:marTop w:val="0"/>
                          <w:marBottom w:val="0"/>
                          <w:divBdr>
                            <w:top w:val="none" w:sz="0" w:space="0" w:color="auto"/>
                            <w:left w:val="none" w:sz="0" w:space="0" w:color="auto"/>
                            <w:bottom w:val="none" w:sz="0" w:space="0" w:color="auto"/>
                            <w:right w:val="none" w:sz="0" w:space="0" w:color="auto"/>
                          </w:divBdr>
                          <w:divsChild>
                            <w:div w:id="2008705775">
                              <w:marLeft w:val="0"/>
                              <w:marRight w:val="0"/>
                              <w:marTop w:val="0"/>
                              <w:marBottom w:val="0"/>
                              <w:divBdr>
                                <w:top w:val="none" w:sz="0" w:space="0" w:color="auto"/>
                                <w:left w:val="none" w:sz="0" w:space="0" w:color="auto"/>
                                <w:bottom w:val="none" w:sz="0" w:space="0" w:color="auto"/>
                                <w:right w:val="none" w:sz="0" w:space="0" w:color="auto"/>
                              </w:divBdr>
                              <w:divsChild>
                                <w:div w:id="182210131">
                                  <w:marLeft w:val="0"/>
                                  <w:marRight w:val="0"/>
                                  <w:marTop w:val="0"/>
                                  <w:marBottom w:val="0"/>
                                  <w:divBdr>
                                    <w:top w:val="none" w:sz="0" w:space="0" w:color="auto"/>
                                    <w:left w:val="none" w:sz="0" w:space="0" w:color="auto"/>
                                    <w:bottom w:val="none" w:sz="0" w:space="0" w:color="auto"/>
                                    <w:right w:val="none" w:sz="0" w:space="0" w:color="auto"/>
                                  </w:divBdr>
                                  <w:divsChild>
                                    <w:div w:id="3373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6166759">
      <w:bodyDiv w:val="1"/>
      <w:marLeft w:val="0"/>
      <w:marRight w:val="0"/>
      <w:marTop w:val="0"/>
      <w:marBottom w:val="0"/>
      <w:divBdr>
        <w:top w:val="none" w:sz="0" w:space="0" w:color="auto"/>
        <w:left w:val="none" w:sz="0" w:space="0" w:color="auto"/>
        <w:bottom w:val="none" w:sz="0" w:space="0" w:color="auto"/>
        <w:right w:val="none" w:sz="0" w:space="0" w:color="auto"/>
      </w:divBdr>
      <w:divsChild>
        <w:div w:id="1982075239">
          <w:marLeft w:val="0"/>
          <w:marRight w:val="0"/>
          <w:marTop w:val="0"/>
          <w:marBottom w:val="0"/>
          <w:divBdr>
            <w:top w:val="none" w:sz="0" w:space="0" w:color="auto"/>
            <w:left w:val="none" w:sz="0" w:space="0" w:color="auto"/>
            <w:bottom w:val="none" w:sz="0" w:space="0" w:color="auto"/>
            <w:right w:val="none" w:sz="0" w:space="0" w:color="auto"/>
          </w:divBdr>
          <w:divsChild>
            <w:div w:id="609898568">
              <w:marLeft w:val="0"/>
              <w:marRight w:val="0"/>
              <w:marTop w:val="0"/>
              <w:marBottom w:val="0"/>
              <w:divBdr>
                <w:top w:val="none" w:sz="0" w:space="0" w:color="auto"/>
                <w:left w:val="none" w:sz="0" w:space="0" w:color="auto"/>
                <w:bottom w:val="none" w:sz="0" w:space="0" w:color="auto"/>
                <w:right w:val="none" w:sz="0" w:space="0" w:color="auto"/>
              </w:divBdr>
              <w:divsChild>
                <w:div w:id="555043462">
                  <w:marLeft w:val="0"/>
                  <w:marRight w:val="0"/>
                  <w:marTop w:val="0"/>
                  <w:marBottom w:val="0"/>
                  <w:divBdr>
                    <w:top w:val="none" w:sz="0" w:space="0" w:color="auto"/>
                    <w:left w:val="none" w:sz="0" w:space="0" w:color="auto"/>
                    <w:bottom w:val="none" w:sz="0" w:space="0" w:color="auto"/>
                    <w:right w:val="none" w:sz="0" w:space="0" w:color="auto"/>
                  </w:divBdr>
                  <w:divsChild>
                    <w:div w:id="517887380">
                      <w:marLeft w:val="0"/>
                      <w:marRight w:val="0"/>
                      <w:marTop w:val="0"/>
                      <w:marBottom w:val="0"/>
                      <w:divBdr>
                        <w:top w:val="none" w:sz="0" w:space="0" w:color="auto"/>
                        <w:left w:val="none" w:sz="0" w:space="0" w:color="auto"/>
                        <w:bottom w:val="none" w:sz="0" w:space="0" w:color="auto"/>
                        <w:right w:val="none" w:sz="0" w:space="0" w:color="auto"/>
                      </w:divBdr>
                      <w:divsChild>
                        <w:div w:id="1532038382">
                          <w:marLeft w:val="0"/>
                          <w:marRight w:val="0"/>
                          <w:marTop w:val="0"/>
                          <w:marBottom w:val="0"/>
                          <w:divBdr>
                            <w:top w:val="none" w:sz="0" w:space="0" w:color="auto"/>
                            <w:left w:val="none" w:sz="0" w:space="0" w:color="auto"/>
                            <w:bottom w:val="none" w:sz="0" w:space="0" w:color="auto"/>
                            <w:right w:val="none" w:sz="0" w:space="0" w:color="auto"/>
                          </w:divBdr>
                          <w:divsChild>
                            <w:div w:id="45838146">
                              <w:marLeft w:val="0"/>
                              <w:marRight w:val="0"/>
                              <w:marTop w:val="0"/>
                              <w:marBottom w:val="0"/>
                              <w:divBdr>
                                <w:top w:val="none" w:sz="0" w:space="0" w:color="auto"/>
                                <w:left w:val="none" w:sz="0" w:space="0" w:color="auto"/>
                                <w:bottom w:val="none" w:sz="0" w:space="0" w:color="auto"/>
                                <w:right w:val="none" w:sz="0" w:space="0" w:color="auto"/>
                              </w:divBdr>
                              <w:divsChild>
                                <w:div w:id="288901589">
                                  <w:marLeft w:val="0"/>
                                  <w:marRight w:val="0"/>
                                  <w:marTop w:val="0"/>
                                  <w:marBottom w:val="0"/>
                                  <w:divBdr>
                                    <w:top w:val="none" w:sz="0" w:space="0" w:color="auto"/>
                                    <w:left w:val="none" w:sz="0" w:space="0" w:color="auto"/>
                                    <w:bottom w:val="none" w:sz="0" w:space="0" w:color="auto"/>
                                    <w:right w:val="none" w:sz="0" w:space="0" w:color="auto"/>
                                  </w:divBdr>
                                  <w:divsChild>
                                    <w:div w:id="10829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237340">
      <w:bodyDiv w:val="1"/>
      <w:marLeft w:val="0"/>
      <w:marRight w:val="0"/>
      <w:marTop w:val="0"/>
      <w:marBottom w:val="0"/>
      <w:divBdr>
        <w:top w:val="none" w:sz="0" w:space="0" w:color="auto"/>
        <w:left w:val="none" w:sz="0" w:space="0" w:color="auto"/>
        <w:bottom w:val="none" w:sz="0" w:space="0" w:color="auto"/>
        <w:right w:val="none" w:sz="0" w:space="0" w:color="auto"/>
      </w:divBdr>
      <w:divsChild>
        <w:div w:id="34826067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646403107">
      <w:bodyDiv w:val="1"/>
      <w:marLeft w:val="0"/>
      <w:marRight w:val="0"/>
      <w:marTop w:val="0"/>
      <w:marBottom w:val="0"/>
      <w:divBdr>
        <w:top w:val="none" w:sz="0" w:space="0" w:color="auto"/>
        <w:left w:val="none" w:sz="0" w:space="0" w:color="auto"/>
        <w:bottom w:val="none" w:sz="0" w:space="0" w:color="auto"/>
        <w:right w:val="none" w:sz="0" w:space="0" w:color="auto"/>
      </w:divBdr>
    </w:div>
    <w:div w:id="702362871">
      <w:bodyDiv w:val="1"/>
      <w:marLeft w:val="0"/>
      <w:marRight w:val="0"/>
      <w:marTop w:val="0"/>
      <w:marBottom w:val="0"/>
      <w:divBdr>
        <w:top w:val="none" w:sz="0" w:space="0" w:color="auto"/>
        <w:left w:val="none" w:sz="0" w:space="0" w:color="auto"/>
        <w:bottom w:val="none" w:sz="0" w:space="0" w:color="auto"/>
        <w:right w:val="none" w:sz="0" w:space="0" w:color="auto"/>
      </w:divBdr>
      <w:divsChild>
        <w:div w:id="836918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903095">
      <w:bodyDiv w:val="1"/>
      <w:marLeft w:val="0"/>
      <w:marRight w:val="0"/>
      <w:marTop w:val="0"/>
      <w:marBottom w:val="0"/>
      <w:divBdr>
        <w:top w:val="none" w:sz="0" w:space="0" w:color="auto"/>
        <w:left w:val="none" w:sz="0" w:space="0" w:color="auto"/>
        <w:bottom w:val="none" w:sz="0" w:space="0" w:color="auto"/>
        <w:right w:val="none" w:sz="0" w:space="0" w:color="auto"/>
      </w:divBdr>
      <w:divsChild>
        <w:div w:id="1423453552">
          <w:marLeft w:val="0"/>
          <w:marRight w:val="0"/>
          <w:marTop w:val="0"/>
          <w:marBottom w:val="0"/>
          <w:divBdr>
            <w:top w:val="none" w:sz="0" w:space="0" w:color="auto"/>
            <w:left w:val="none" w:sz="0" w:space="0" w:color="auto"/>
            <w:bottom w:val="none" w:sz="0" w:space="0" w:color="auto"/>
            <w:right w:val="none" w:sz="0" w:space="0" w:color="auto"/>
          </w:divBdr>
          <w:divsChild>
            <w:div w:id="35935300">
              <w:marLeft w:val="0"/>
              <w:marRight w:val="0"/>
              <w:marTop w:val="0"/>
              <w:marBottom w:val="0"/>
              <w:divBdr>
                <w:top w:val="none" w:sz="0" w:space="0" w:color="auto"/>
                <w:left w:val="none" w:sz="0" w:space="0" w:color="auto"/>
                <w:bottom w:val="none" w:sz="0" w:space="0" w:color="auto"/>
                <w:right w:val="none" w:sz="0" w:space="0" w:color="auto"/>
              </w:divBdr>
              <w:divsChild>
                <w:div w:id="2075159656">
                  <w:marLeft w:val="0"/>
                  <w:marRight w:val="0"/>
                  <w:marTop w:val="0"/>
                  <w:marBottom w:val="0"/>
                  <w:divBdr>
                    <w:top w:val="none" w:sz="0" w:space="0" w:color="auto"/>
                    <w:left w:val="none" w:sz="0" w:space="0" w:color="auto"/>
                    <w:bottom w:val="none" w:sz="0" w:space="0" w:color="auto"/>
                    <w:right w:val="none" w:sz="0" w:space="0" w:color="auto"/>
                  </w:divBdr>
                  <w:divsChild>
                    <w:div w:id="219363235">
                      <w:marLeft w:val="0"/>
                      <w:marRight w:val="0"/>
                      <w:marTop w:val="0"/>
                      <w:marBottom w:val="0"/>
                      <w:divBdr>
                        <w:top w:val="none" w:sz="0" w:space="0" w:color="auto"/>
                        <w:left w:val="none" w:sz="0" w:space="0" w:color="auto"/>
                        <w:bottom w:val="none" w:sz="0" w:space="0" w:color="auto"/>
                        <w:right w:val="none" w:sz="0" w:space="0" w:color="auto"/>
                      </w:divBdr>
                      <w:divsChild>
                        <w:div w:id="2055810662">
                          <w:marLeft w:val="0"/>
                          <w:marRight w:val="0"/>
                          <w:marTop w:val="0"/>
                          <w:marBottom w:val="0"/>
                          <w:divBdr>
                            <w:top w:val="none" w:sz="0" w:space="0" w:color="auto"/>
                            <w:left w:val="none" w:sz="0" w:space="0" w:color="auto"/>
                            <w:bottom w:val="none" w:sz="0" w:space="0" w:color="auto"/>
                            <w:right w:val="none" w:sz="0" w:space="0" w:color="auto"/>
                          </w:divBdr>
                          <w:divsChild>
                            <w:div w:id="467748555">
                              <w:marLeft w:val="0"/>
                              <w:marRight w:val="0"/>
                              <w:marTop w:val="0"/>
                              <w:marBottom w:val="0"/>
                              <w:divBdr>
                                <w:top w:val="none" w:sz="0" w:space="0" w:color="auto"/>
                                <w:left w:val="none" w:sz="0" w:space="0" w:color="auto"/>
                                <w:bottom w:val="none" w:sz="0" w:space="0" w:color="auto"/>
                                <w:right w:val="none" w:sz="0" w:space="0" w:color="auto"/>
                              </w:divBdr>
                              <w:divsChild>
                                <w:div w:id="1658224102">
                                  <w:marLeft w:val="0"/>
                                  <w:marRight w:val="0"/>
                                  <w:marTop w:val="0"/>
                                  <w:marBottom w:val="0"/>
                                  <w:divBdr>
                                    <w:top w:val="none" w:sz="0" w:space="0" w:color="auto"/>
                                    <w:left w:val="none" w:sz="0" w:space="0" w:color="auto"/>
                                    <w:bottom w:val="none" w:sz="0" w:space="0" w:color="auto"/>
                                    <w:right w:val="none" w:sz="0" w:space="0" w:color="auto"/>
                                  </w:divBdr>
                                  <w:divsChild>
                                    <w:div w:id="6941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244321">
      <w:bodyDiv w:val="1"/>
      <w:marLeft w:val="0"/>
      <w:marRight w:val="0"/>
      <w:marTop w:val="0"/>
      <w:marBottom w:val="0"/>
      <w:divBdr>
        <w:top w:val="none" w:sz="0" w:space="0" w:color="auto"/>
        <w:left w:val="none" w:sz="0" w:space="0" w:color="auto"/>
        <w:bottom w:val="none" w:sz="0" w:space="0" w:color="auto"/>
        <w:right w:val="none" w:sz="0" w:space="0" w:color="auto"/>
      </w:divBdr>
      <w:divsChild>
        <w:div w:id="1235428803">
          <w:marLeft w:val="0"/>
          <w:marRight w:val="0"/>
          <w:marTop w:val="0"/>
          <w:marBottom w:val="0"/>
          <w:divBdr>
            <w:top w:val="none" w:sz="0" w:space="0" w:color="auto"/>
            <w:left w:val="none" w:sz="0" w:space="0" w:color="auto"/>
            <w:bottom w:val="none" w:sz="0" w:space="0" w:color="auto"/>
            <w:right w:val="none" w:sz="0" w:space="0" w:color="auto"/>
          </w:divBdr>
          <w:divsChild>
            <w:div w:id="584265323">
              <w:marLeft w:val="0"/>
              <w:marRight w:val="0"/>
              <w:marTop w:val="0"/>
              <w:marBottom w:val="0"/>
              <w:divBdr>
                <w:top w:val="none" w:sz="0" w:space="0" w:color="auto"/>
                <w:left w:val="none" w:sz="0" w:space="0" w:color="auto"/>
                <w:bottom w:val="none" w:sz="0" w:space="0" w:color="auto"/>
                <w:right w:val="none" w:sz="0" w:space="0" w:color="auto"/>
              </w:divBdr>
              <w:divsChild>
                <w:div w:id="859392056">
                  <w:marLeft w:val="0"/>
                  <w:marRight w:val="0"/>
                  <w:marTop w:val="0"/>
                  <w:marBottom w:val="0"/>
                  <w:divBdr>
                    <w:top w:val="none" w:sz="0" w:space="0" w:color="auto"/>
                    <w:left w:val="none" w:sz="0" w:space="0" w:color="auto"/>
                    <w:bottom w:val="none" w:sz="0" w:space="0" w:color="auto"/>
                    <w:right w:val="none" w:sz="0" w:space="0" w:color="auto"/>
                  </w:divBdr>
                  <w:divsChild>
                    <w:div w:id="722607391">
                      <w:marLeft w:val="0"/>
                      <w:marRight w:val="0"/>
                      <w:marTop w:val="0"/>
                      <w:marBottom w:val="0"/>
                      <w:divBdr>
                        <w:top w:val="none" w:sz="0" w:space="0" w:color="auto"/>
                        <w:left w:val="none" w:sz="0" w:space="0" w:color="auto"/>
                        <w:bottom w:val="none" w:sz="0" w:space="0" w:color="auto"/>
                        <w:right w:val="none" w:sz="0" w:space="0" w:color="auto"/>
                      </w:divBdr>
                      <w:divsChild>
                        <w:div w:id="2106539400">
                          <w:marLeft w:val="0"/>
                          <w:marRight w:val="0"/>
                          <w:marTop w:val="0"/>
                          <w:marBottom w:val="0"/>
                          <w:divBdr>
                            <w:top w:val="none" w:sz="0" w:space="0" w:color="auto"/>
                            <w:left w:val="none" w:sz="0" w:space="0" w:color="auto"/>
                            <w:bottom w:val="none" w:sz="0" w:space="0" w:color="auto"/>
                            <w:right w:val="none" w:sz="0" w:space="0" w:color="auto"/>
                          </w:divBdr>
                          <w:divsChild>
                            <w:div w:id="346912743">
                              <w:marLeft w:val="0"/>
                              <w:marRight w:val="0"/>
                              <w:marTop w:val="0"/>
                              <w:marBottom w:val="0"/>
                              <w:divBdr>
                                <w:top w:val="none" w:sz="0" w:space="0" w:color="auto"/>
                                <w:left w:val="none" w:sz="0" w:space="0" w:color="auto"/>
                                <w:bottom w:val="none" w:sz="0" w:space="0" w:color="auto"/>
                                <w:right w:val="none" w:sz="0" w:space="0" w:color="auto"/>
                              </w:divBdr>
                              <w:divsChild>
                                <w:div w:id="1902522192">
                                  <w:marLeft w:val="0"/>
                                  <w:marRight w:val="0"/>
                                  <w:marTop w:val="0"/>
                                  <w:marBottom w:val="0"/>
                                  <w:divBdr>
                                    <w:top w:val="none" w:sz="0" w:space="0" w:color="auto"/>
                                    <w:left w:val="none" w:sz="0" w:space="0" w:color="auto"/>
                                    <w:bottom w:val="none" w:sz="0" w:space="0" w:color="auto"/>
                                    <w:right w:val="none" w:sz="0" w:space="0" w:color="auto"/>
                                  </w:divBdr>
                                  <w:divsChild>
                                    <w:div w:id="10175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334">
      <w:bodyDiv w:val="1"/>
      <w:marLeft w:val="0"/>
      <w:marRight w:val="0"/>
      <w:marTop w:val="0"/>
      <w:marBottom w:val="0"/>
      <w:divBdr>
        <w:top w:val="none" w:sz="0" w:space="0" w:color="auto"/>
        <w:left w:val="none" w:sz="0" w:space="0" w:color="auto"/>
        <w:bottom w:val="none" w:sz="0" w:space="0" w:color="auto"/>
        <w:right w:val="none" w:sz="0" w:space="0" w:color="auto"/>
      </w:divBdr>
    </w:div>
    <w:div w:id="1040131705">
      <w:bodyDiv w:val="1"/>
      <w:marLeft w:val="0"/>
      <w:marRight w:val="0"/>
      <w:marTop w:val="0"/>
      <w:marBottom w:val="0"/>
      <w:divBdr>
        <w:top w:val="none" w:sz="0" w:space="0" w:color="auto"/>
        <w:left w:val="none" w:sz="0" w:space="0" w:color="auto"/>
        <w:bottom w:val="none" w:sz="0" w:space="0" w:color="auto"/>
        <w:right w:val="none" w:sz="0" w:space="0" w:color="auto"/>
      </w:divBdr>
    </w:div>
    <w:div w:id="1210798520">
      <w:bodyDiv w:val="1"/>
      <w:marLeft w:val="0"/>
      <w:marRight w:val="0"/>
      <w:marTop w:val="0"/>
      <w:marBottom w:val="0"/>
      <w:divBdr>
        <w:top w:val="none" w:sz="0" w:space="0" w:color="auto"/>
        <w:left w:val="none" w:sz="0" w:space="0" w:color="auto"/>
        <w:bottom w:val="none" w:sz="0" w:space="0" w:color="auto"/>
        <w:right w:val="none" w:sz="0" w:space="0" w:color="auto"/>
      </w:divBdr>
      <w:divsChild>
        <w:div w:id="1296451077">
          <w:marLeft w:val="0"/>
          <w:marRight w:val="0"/>
          <w:marTop w:val="0"/>
          <w:marBottom w:val="0"/>
          <w:divBdr>
            <w:top w:val="none" w:sz="0" w:space="0" w:color="auto"/>
            <w:left w:val="none" w:sz="0" w:space="0" w:color="auto"/>
            <w:bottom w:val="none" w:sz="0" w:space="0" w:color="auto"/>
            <w:right w:val="none" w:sz="0" w:space="0" w:color="auto"/>
          </w:divBdr>
          <w:divsChild>
            <w:div w:id="1728065651">
              <w:marLeft w:val="0"/>
              <w:marRight w:val="0"/>
              <w:marTop w:val="0"/>
              <w:marBottom w:val="0"/>
              <w:divBdr>
                <w:top w:val="none" w:sz="0" w:space="0" w:color="auto"/>
                <w:left w:val="none" w:sz="0" w:space="0" w:color="auto"/>
                <w:bottom w:val="none" w:sz="0" w:space="0" w:color="auto"/>
                <w:right w:val="none" w:sz="0" w:space="0" w:color="auto"/>
              </w:divBdr>
              <w:divsChild>
                <w:div w:id="1450926940">
                  <w:marLeft w:val="0"/>
                  <w:marRight w:val="0"/>
                  <w:marTop w:val="0"/>
                  <w:marBottom w:val="0"/>
                  <w:divBdr>
                    <w:top w:val="none" w:sz="0" w:space="0" w:color="auto"/>
                    <w:left w:val="none" w:sz="0" w:space="0" w:color="auto"/>
                    <w:bottom w:val="none" w:sz="0" w:space="0" w:color="auto"/>
                    <w:right w:val="none" w:sz="0" w:space="0" w:color="auto"/>
                  </w:divBdr>
                  <w:divsChild>
                    <w:div w:id="497311412">
                      <w:marLeft w:val="0"/>
                      <w:marRight w:val="0"/>
                      <w:marTop w:val="0"/>
                      <w:marBottom w:val="0"/>
                      <w:divBdr>
                        <w:top w:val="none" w:sz="0" w:space="0" w:color="auto"/>
                        <w:left w:val="none" w:sz="0" w:space="0" w:color="auto"/>
                        <w:bottom w:val="none" w:sz="0" w:space="0" w:color="auto"/>
                        <w:right w:val="none" w:sz="0" w:space="0" w:color="auto"/>
                      </w:divBdr>
                      <w:divsChild>
                        <w:div w:id="915944869">
                          <w:marLeft w:val="0"/>
                          <w:marRight w:val="0"/>
                          <w:marTop w:val="0"/>
                          <w:marBottom w:val="0"/>
                          <w:divBdr>
                            <w:top w:val="none" w:sz="0" w:space="0" w:color="auto"/>
                            <w:left w:val="none" w:sz="0" w:space="0" w:color="auto"/>
                            <w:bottom w:val="none" w:sz="0" w:space="0" w:color="auto"/>
                            <w:right w:val="none" w:sz="0" w:space="0" w:color="auto"/>
                          </w:divBdr>
                          <w:divsChild>
                            <w:div w:id="1350373979">
                              <w:marLeft w:val="0"/>
                              <w:marRight w:val="0"/>
                              <w:marTop w:val="0"/>
                              <w:marBottom w:val="0"/>
                              <w:divBdr>
                                <w:top w:val="none" w:sz="0" w:space="0" w:color="auto"/>
                                <w:left w:val="none" w:sz="0" w:space="0" w:color="auto"/>
                                <w:bottom w:val="none" w:sz="0" w:space="0" w:color="auto"/>
                                <w:right w:val="none" w:sz="0" w:space="0" w:color="auto"/>
                              </w:divBdr>
                              <w:divsChild>
                                <w:div w:id="892304341">
                                  <w:marLeft w:val="0"/>
                                  <w:marRight w:val="0"/>
                                  <w:marTop w:val="0"/>
                                  <w:marBottom w:val="0"/>
                                  <w:divBdr>
                                    <w:top w:val="none" w:sz="0" w:space="0" w:color="auto"/>
                                    <w:left w:val="none" w:sz="0" w:space="0" w:color="auto"/>
                                    <w:bottom w:val="none" w:sz="0" w:space="0" w:color="auto"/>
                                    <w:right w:val="none" w:sz="0" w:space="0" w:color="auto"/>
                                  </w:divBdr>
                                  <w:divsChild>
                                    <w:div w:id="8093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41556">
      <w:bodyDiv w:val="1"/>
      <w:marLeft w:val="0"/>
      <w:marRight w:val="0"/>
      <w:marTop w:val="0"/>
      <w:marBottom w:val="0"/>
      <w:divBdr>
        <w:top w:val="none" w:sz="0" w:space="0" w:color="auto"/>
        <w:left w:val="none" w:sz="0" w:space="0" w:color="auto"/>
        <w:bottom w:val="none" w:sz="0" w:space="0" w:color="auto"/>
        <w:right w:val="none" w:sz="0" w:space="0" w:color="auto"/>
      </w:divBdr>
      <w:divsChild>
        <w:div w:id="93455615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384718304">
      <w:bodyDiv w:val="1"/>
      <w:marLeft w:val="0"/>
      <w:marRight w:val="0"/>
      <w:marTop w:val="0"/>
      <w:marBottom w:val="0"/>
      <w:divBdr>
        <w:top w:val="none" w:sz="0" w:space="0" w:color="auto"/>
        <w:left w:val="none" w:sz="0" w:space="0" w:color="auto"/>
        <w:bottom w:val="none" w:sz="0" w:space="0" w:color="auto"/>
        <w:right w:val="none" w:sz="0" w:space="0" w:color="auto"/>
      </w:divBdr>
      <w:divsChild>
        <w:div w:id="852109961">
          <w:marLeft w:val="0"/>
          <w:marRight w:val="0"/>
          <w:marTop w:val="0"/>
          <w:marBottom w:val="0"/>
          <w:divBdr>
            <w:top w:val="none" w:sz="0" w:space="0" w:color="auto"/>
            <w:left w:val="none" w:sz="0" w:space="0" w:color="auto"/>
            <w:bottom w:val="none" w:sz="0" w:space="0" w:color="auto"/>
            <w:right w:val="none" w:sz="0" w:space="0" w:color="auto"/>
          </w:divBdr>
          <w:divsChild>
            <w:div w:id="1576622961">
              <w:marLeft w:val="0"/>
              <w:marRight w:val="0"/>
              <w:marTop w:val="0"/>
              <w:marBottom w:val="0"/>
              <w:divBdr>
                <w:top w:val="none" w:sz="0" w:space="0" w:color="auto"/>
                <w:left w:val="none" w:sz="0" w:space="0" w:color="auto"/>
                <w:bottom w:val="none" w:sz="0" w:space="0" w:color="auto"/>
                <w:right w:val="none" w:sz="0" w:space="0" w:color="auto"/>
              </w:divBdr>
              <w:divsChild>
                <w:div w:id="710810028">
                  <w:marLeft w:val="0"/>
                  <w:marRight w:val="0"/>
                  <w:marTop w:val="0"/>
                  <w:marBottom w:val="0"/>
                  <w:divBdr>
                    <w:top w:val="none" w:sz="0" w:space="0" w:color="auto"/>
                    <w:left w:val="none" w:sz="0" w:space="0" w:color="auto"/>
                    <w:bottom w:val="none" w:sz="0" w:space="0" w:color="auto"/>
                    <w:right w:val="none" w:sz="0" w:space="0" w:color="auto"/>
                  </w:divBdr>
                  <w:divsChild>
                    <w:div w:id="2055229847">
                      <w:marLeft w:val="0"/>
                      <w:marRight w:val="0"/>
                      <w:marTop w:val="0"/>
                      <w:marBottom w:val="0"/>
                      <w:divBdr>
                        <w:top w:val="none" w:sz="0" w:space="0" w:color="auto"/>
                        <w:left w:val="none" w:sz="0" w:space="0" w:color="auto"/>
                        <w:bottom w:val="none" w:sz="0" w:space="0" w:color="auto"/>
                        <w:right w:val="none" w:sz="0" w:space="0" w:color="auto"/>
                      </w:divBdr>
                      <w:divsChild>
                        <w:div w:id="660348850">
                          <w:marLeft w:val="0"/>
                          <w:marRight w:val="0"/>
                          <w:marTop w:val="0"/>
                          <w:marBottom w:val="0"/>
                          <w:divBdr>
                            <w:top w:val="none" w:sz="0" w:space="0" w:color="auto"/>
                            <w:left w:val="none" w:sz="0" w:space="0" w:color="auto"/>
                            <w:bottom w:val="none" w:sz="0" w:space="0" w:color="auto"/>
                            <w:right w:val="none" w:sz="0" w:space="0" w:color="auto"/>
                          </w:divBdr>
                          <w:divsChild>
                            <w:div w:id="1142776186">
                              <w:marLeft w:val="0"/>
                              <w:marRight w:val="0"/>
                              <w:marTop w:val="0"/>
                              <w:marBottom w:val="0"/>
                              <w:divBdr>
                                <w:top w:val="none" w:sz="0" w:space="0" w:color="auto"/>
                                <w:left w:val="none" w:sz="0" w:space="0" w:color="auto"/>
                                <w:bottom w:val="none" w:sz="0" w:space="0" w:color="auto"/>
                                <w:right w:val="none" w:sz="0" w:space="0" w:color="auto"/>
                              </w:divBdr>
                              <w:divsChild>
                                <w:div w:id="1665161878">
                                  <w:marLeft w:val="0"/>
                                  <w:marRight w:val="0"/>
                                  <w:marTop w:val="0"/>
                                  <w:marBottom w:val="0"/>
                                  <w:divBdr>
                                    <w:top w:val="none" w:sz="0" w:space="0" w:color="auto"/>
                                    <w:left w:val="none" w:sz="0" w:space="0" w:color="auto"/>
                                    <w:bottom w:val="none" w:sz="0" w:space="0" w:color="auto"/>
                                    <w:right w:val="none" w:sz="0" w:space="0" w:color="auto"/>
                                  </w:divBdr>
                                  <w:divsChild>
                                    <w:div w:id="19074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600256">
      <w:bodyDiv w:val="1"/>
      <w:marLeft w:val="0"/>
      <w:marRight w:val="0"/>
      <w:marTop w:val="0"/>
      <w:marBottom w:val="0"/>
      <w:divBdr>
        <w:top w:val="none" w:sz="0" w:space="0" w:color="auto"/>
        <w:left w:val="none" w:sz="0" w:space="0" w:color="auto"/>
        <w:bottom w:val="none" w:sz="0" w:space="0" w:color="auto"/>
        <w:right w:val="none" w:sz="0" w:space="0" w:color="auto"/>
      </w:divBdr>
    </w:div>
    <w:div w:id="1439060916">
      <w:bodyDiv w:val="1"/>
      <w:marLeft w:val="0"/>
      <w:marRight w:val="0"/>
      <w:marTop w:val="0"/>
      <w:marBottom w:val="0"/>
      <w:divBdr>
        <w:top w:val="none" w:sz="0" w:space="0" w:color="auto"/>
        <w:left w:val="none" w:sz="0" w:space="0" w:color="auto"/>
        <w:bottom w:val="none" w:sz="0" w:space="0" w:color="auto"/>
        <w:right w:val="none" w:sz="0" w:space="0" w:color="auto"/>
      </w:divBdr>
    </w:div>
    <w:div w:id="1442527779">
      <w:bodyDiv w:val="1"/>
      <w:marLeft w:val="0"/>
      <w:marRight w:val="0"/>
      <w:marTop w:val="0"/>
      <w:marBottom w:val="0"/>
      <w:divBdr>
        <w:top w:val="none" w:sz="0" w:space="0" w:color="auto"/>
        <w:left w:val="none" w:sz="0" w:space="0" w:color="auto"/>
        <w:bottom w:val="none" w:sz="0" w:space="0" w:color="auto"/>
        <w:right w:val="none" w:sz="0" w:space="0" w:color="auto"/>
      </w:divBdr>
    </w:div>
    <w:div w:id="1840078977">
      <w:bodyDiv w:val="1"/>
      <w:marLeft w:val="0"/>
      <w:marRight w:val="0"/>
      <w:marTop w:val="0"/>
      <w:marBottom w:val="0"/>
      <w:divBdr>
        <w:top w:val="none" w:sz="0" w:space="0" w:color="auto"/>
        <w:left w:val="none" w:sz="0" w:space="0" w:color="auto"/>
        <w:bottom w:val="none" w:sz="0" w:space="0" w:color="auto"/>
        <w:right w:val="none" w:sz="0" w:space="0" w:color="auto"/>
      </w:divBdr>
    </w:div>
    <w:div w:id="2023162352">
      <w:bodyDiv w:val="1"/>
      <w:marLeft w:val="0"/>
      <w:marRight w:val="0"/>
      <w:marTop w:val="0"/>
      <w:marBottom w:val="0"/>
      <w:divBdr>
        <w:top w:val="none" w:sz="0" w:space="0" w:color="auto"/>
        <w:left w:val="none" w:sz="0" w:space="0" w:color="auto"/>
        <w:bottom w:val="none" w:sz="0" w:space="0" w:color="auto"/>
        <w:right w:val="none" w:sz="0" w:space="0" w:color="auto"/>
      </w:divBdr>
    </w:div>
    <w:div w:id="20400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igalz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3459</Words>
  <Characters>21517</Characters>
  <Application>Microsoft Office Word</Application>
  <DocSecurity>0</DocSecurity>
  <Lines>524</Lines>
  <Paragraphs>268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Sigal Zilcha-Mano</dc:creator>
  <cp:keywords/>
  <dc:description/>
  <cp:lastModifiedBy>Sigal Zilcha-Mano</cp:lastModifiedBy>
  <cp:revision>6</cp:revision>
  <dcterms:created xsi:type="dcterms:W3CDTF">2025-06-27T13:42:00Z</dcterms:created>
  <dcterms:modified xsi:type="dcterms:W3CDTF">2025-07-01T06:51:00Z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4ca23368-4c50-4411-b29a-25efb1bb1bfb</vt:lpwstr>
  </property>
</Properties>
</file>