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6D74" w14:textId="1851927B" w:rsidR="006D0BDD" w:rsidRPr="00012F08" w:rsidRDefault="006D0BDD" w:rsidP="006D0BDD">
      <w:pPr>
        <w:bidi w:val="0"/>
        <w:spacing w:line="360" w:lineRule="auto"/>
        <w:jc w:val="center"/>
        <w:rPr>
          <w:rFonts w:asciiTheme="majorBidi" w:hAnsiTheme="majorBidi" w:cstheme="majorBidi"/>
          <w:b/>
          <w:bCs/>
          <w:sz w:val="32"/>
          <w:szCs w:val="32"/>
        </w:rPr>
      </w:pPr>
      <w:r w:rsidRPr="00012F08">
        <w:rPr>
          <w:rFonts w:asciiTheme="majorBidi" w:hAnsiTheme="majorBidi" w:cstheme="majorBidi"/>
          <w:b/>
          <w:bCs/>
          <w:sz w:val="32"/>
          <w:szCs w:val="32"/>
        </w:rPr>
        <w:t>Shaken or Stirred? Financial Stability Under U.S.-China Tensions</w:t>
      </w:r>
    </w:p>
    <w:p w14:paraId="11850A77" w14:textId="66062263" w:rsidR="006D0BDD" w:rsidRPr="00012F08" w:rsidRDefault="006D0BDD" w:rsidP="006D0BDD">
      <w:pPr>
        <w:pStyle w:val="Default"/>
        <w:pBdr>
          <w:bottom w:val="single" w:sz="4" w:space="1" w:color="auto"/>
        </w:pBdr>
        <w:spacing w:line="276" w:lineRule="auto"/>
        <w:jc w:val="center"/>
        <w:rPr>
          <w:i/>
          <w:sz w:val="22"/>
          <w:szCs w:val="22"/>
          <w:vertAlign w:val="superscript"/>
          <w:lang w:val="en-US"/>
        </w:rPr>
      </w:pPr>
      <w:r w:rsidRPr="00012F08">
        <w:rPr>
          <w:i/>
          <w:sz w:val="22"/>
          <w:szCs w:val="22"/>
          <w:lang w:val="en-US"/>
        </w:rPr>
        <w:t>David Y. Aharon</w:t>
      </w:r>
      <w:r w:rsidRPr="00012F08">
        <w:rPr>
          <w:i/>
          <w:sz w:val="22"/>
          <w:szCs w:val="22"/>
          <w:vertAlign w:val="superscript"/>
          <w:lang w:val="en-US"/>
        </w:rPr>
        <w:t>*</w:t>
      </w:r>
      <w:r w:rsidRPr="00012F08">
        <w:rPr>
          <w:vertAlign w:val="superscript"/>
          <w:lang w:val="en-US"/>
        </w:rPr>
        <w:t>₰</w:t>
      </w:r>
      <w:r w:rsidRPr="00012F08">
        <w:rPr>
          <w:i/>
          <w:sz w:val="22"/>
          <w:szCs w:val="22"/>
          <w:lang w:val="en-US"/>
        </w:rPr>
        <w:t>, Martin</w:t>
      </w:r>
      <w:r w:rsidR="00B419FE" w:rsidRPr="00012F08">
        <w:rPr>
          <w:i/>
          <w:sz w:val="22"/>
          <w:szCs w:val="22"/>
          <w:lang w:val="en-US"/>
        </w:rPr>
        <w:t xml:space="preserve"> M.</w:t>
      </w:r>
      <w:r w:rsidRPr="00012F08">
        <w:rPr>
          <w:i/>
          <w:sz w:val="22"/>
          <w:szCs w:val="22"/>
          <w:lang w:val="en-US"/>
        </w:rPr>
        <w:t xml:space="preserve"> Bojaj</w:t>
      </w:r>
      <w:r w:rsidRPr="00012F08">
        <w:rPr>
          <w:vertAlign w:val="superscript"/>
          <w:lang w:val="en-US"/>
        </w:rPr>
        <w:t>§</w:t>
      </w:r>
      <w:r w:rsidRPr="00012F08">
        <w:rPr>
          <w:i/>
          <w:sz w:val="22"/>
          <w:szCs w:val="22"/>
          <w:lang w:val="en-US"/>
        </w:rPr>
        <w:t xml:space="preserve">, </w:t>
      </w:r>
      <w:r w:rsidRPr="00012F08">
        <w:rPr>
          <w:i/>
          <w:sz w:val="22"/>
          <w:szCs w:val="22"/>
          <w:lang w:val="en-US" w:bidi="he-IL"/>
        </w:rPr>
        <w:t>Arie Jacobi</w:t>
      </w:r>
      <w:r w:rsidRPr="00012F08">
        <w:rPr>
          <w:i/>
          <w:sz w:val="22"/>
          <w:szCs w:val="22"/>
          <w:vertAlign w:val="superscript"/>
          <w:lang w:val="en-US" w:bidi="he-IL"/>
        </w:rPr>
        <w:t>¥</w:t>
      </w:r>
      <w:r w:rsidRPr="00012F08">
        <w:rPr>
          <w:i/>
          <w:sz w:val="22"/>
          <w:szCs w:val="22"/>
          <w:vertAlign w:val="superscript"/>
          <w:lang w:val="en-US"/>
        </w:rPr>
        <w:t xml:space="preserve"> </w:t>
      </w:r>
    </w:p>
    <w:p w14:paraId="37EF3619" w14:textId="77777777" w:rsidR="006D0BDD" w:rsidRPr="00012F08" w:rsidRDefault="006D0BDD" w:rsidP="006D0BDD">
      <w:pPr>
        <w:spacing w:after="0" w:line="360" w:lineRule="auto"/>
        <w:jc w:val="center"/>
        <w:rPr>
          <w:rFonts w:ascii="Times New Roman" w:hAnsi="Times New Roman" w:cs="Times New Roman"/>
          <w:b/>
          <w:bCs/>
          <w:sz w:val="24"/>
          <w:szCs w:val="24"/>
        </w:rPr>
      </w:pPr>
    </w:p>
    <w:p w14:paraId="6EFB1FC4" w14:textId="77777777" w:rsidR="006D0BDD" w:rsidRPr="00012F08" w:rsidRDefault="006D0BDD" w:rsidP="006D0BDD">
      <w:pPr>
        <w:spacing w:after="0" w:line="360" w:lineRule="auto"/>
        <w:jc w:val="center"/>
        <w:rPr>
          <w:rFonts w:ascii="Times New Roman" w:hAnsi="Times New Roman" w:cs="Times New Roman"/>
          <w:b/>
          <w:bCs/>
        </w:rPr>
      </w:pPr>
      <w:r w:rsidRPr="00012F08">
        <w:rPr>
          <w:rFonts w:ascii="Times New Roman" w:hAnsi="Times New Roman" w:cs="Times New Roman"/>
          <w:b/>
          <w:bCs/>
        </w:rPr>
        <w:t>Abstract</w:t>
      </w:r>
      <w:r w:rsidRPr="00012F08">
        <w:rPr>
          <w:rFonts w:ascii="Times New Roman" w:hAnsi="Times New Roman" w:cs="Times New Roman"/>
          <w:b/>
          <w:bCs/>
          <w:rtl/>
        </w:rPr>
        <w:t xml:space="preserve"> </w:t>
      </w:r>
    </w:p>
    <w:p w14:paraId="2A79F82D" w14:textId="66C6DD63" w:rsidR="006D0BDD" w:rsidRPr="00012F08" w:rsidRDefault="006D0BDD" w:rsidP="00654F57">
      <w:pPr>
        <w:bidi w:val="0"/>
        <w:spacing w:line="240" w:lineRule="auto"/>
        <w:jc w:val="both"/>
        <w:rPr>
          <w:rFonts w:ascii="Times New Roman" w:hAnsi="Times New Roman" w:cs="Times New Roman"/>
        </w:rPr>
      </w:pPr>
      <w:r w:rsidRPr="00012F08">
        <w:rPr>
          <w:rFonts w:ascii="Times New Roman" w:hAnsi="Times New Roman" w:cs="Times New Roman"/>
        </w:rPr>
        <w:t>This study investigates how U.S.-China geopolitical tensions spread through global financial markets, commodities, and volatility channels, using a dynamic connectedness approach based on the time-varying parameter vector autoregressive (TVP-VAR) model. Results reveal that during the pre-trade war globalization period, systemic risk transmission was primarily market-driven, with the S&amp;P 500 and VIX leading spillovers</w:t>
      </w:r>
      <w:r w:rsidR="002646EB">
        <w:rPr>
          <w:rFonts w:ascii="Times New Roman" w:hAnsi="Times New Roman" w:cs="Times New Roman"/>
        </w:rPr>
        <w:t>,</w:t>
      </w:r>
      <w:r w:rsidRPr="00012F08">
        <w:rPr>
          <w:rFonts w:ascii="Times New Roman" w:hAnsi="Times New Roman" w:cs="Times New Roman"/>
        </w:rPr>
        <w:t xml:space="preserve"> while geopolitical tensions remained passive. In contrast, the post-2018 period exhibits heightened interconnectedness, with volatility (</w:t>
      </w:r>
      <w:r w:rsidR="00012F08">
        <w:rPr>
          <w:rFonts w:ascii="Times New Roman" w:hAnsi="Times New Roman" w:cs="Times New Roman"/>
        </w:rPr>
        <w:t xml:space="preserve">the </w:t>
      </w:r>
      <w:r w:rsidRPr="00012F08">
        <w:rPr>
          <w:rFonts w:ascii="Times New Roman" w:hAnsi="Times New Roman" w:cs="Times New Roman"/>
        </w:rPr>
        <w:t>VIX) and geopolitical tensions (</w:t>
      </w:r>
      <w:r w:rsidR="00012F08">
        <w:rPr>
          <w:rFonts w:ascii="Times New Roman" w:hAnsi="Times New Roman" w:cs="Times New Roman"/>
        </w:rPr>
        <w:t xml:space="preserve">the </w:t>
      </w:r>
      <w:r w:rsidRPr="00012F08">
        <w:rPr>
          <w:rFonts w:ascii="Times New Roman" w:hAnsi="Times New Roman" w:cs="Times New Roman"/>
        </w:rPr>
        <w:t>UCT) emerging as active transmitters of systemic risk, while commodities and exchange rates become critical transmission channels during crises. These findings highlight a structural shift from market-led stability to volatility- and tension-driven systemic spillovers under global stress</w:t>
      </w:r>
      <w:r w:rsidR="00012F08">
        <w:rPr>
          <w:rFonts w:ascii="Times New Roman" w:hAnsi="Times New Roman" w:cs="Times New Roman"/>
        </w:rPr>
        <w:t>. They provide</w:t>
      </w:r>
      <w:r w:rsidR="00012F08" w:rsidRPr="00012F08">
        <w:rPr>
          <w:rFonts w:ascii="Times New Roman" w:hAnsi="Times New Roman" w:cs="Times New Roman"/>
        </w:rPr>
        <w:t xml:space="preserve"> </w:t>
      </w:r>
      <w:r w:rsidRPr="00012F08">
        <w:rPr>
          <w:rFonts w:ascii="Times New Roman" w:hAnsi="Times New Roman" w:cs="Times New Roman"/>
        </w:rPr>
        <w:t>valuable insights for policymakers and investors operating in an increasingly fragile financial landscape.</w:t>
      </w:r>
    </w:p>
    <w:p w14:paraId="6BB51807" w14:textId="77777777" w:rsidR="006D0BDD" w:rsidRPr="00012F08" w:rsidRDefault="006D0BDD" w:rsidP="006D0BDD">
      <w:pPr>
        <w:spacing w:line="360" w:lineRule="auto"/>
        <w:ind w:right="-426"/>
        <w:jc w:val="both"/>
        <w:rPr>
          <w:rFonts w:ascii="Times New Roman" w:hAnsi="Times New Roman" w:cs="Times New Roman"/>
        </w:rPr>
      </w:pPr>
    </w:p>
    <w:p w14:paraId="1D67BF6E" w14:textId="77777777" w:rsidR="006D0BDD" w:rsidRPr="00012F08" w:rsidRDefault="006D0BDD" w:rsidP="006D0BDD">
      <w:pPr>
        <w:spacing w:line="360" w:lineRule="auto"/>
        <w:ind w:right="-426"/>
        <w:jc w:val="both"/>
        <w:rPr>
          <w:rFonts w:ascii="Times New Roman" w:hAnsi="Times New Roman" w:cs="Times New Roman"/>
        </w:rPr>
      </w:pPr>
    </w:p>
    <w:p w14:paraId="30278E3E" w14:textId="77777777" w:rsidR="006D0BDD" w:rsidRPr="00012F08" w:rsidRDefault="006D0BDD" w:rsidP="006D0BDD">
      <w:pPr>
        <w:jc w:val="both"/>
        <w:rPr>
          <w:rFonts w:ascii="Times New Roman" w:hAnsi="Times New Roman" w:cs="Times New Roman"/>
          <w:b/>
          <w:bCs/>
          <w:sz w:val="24"/>
          <w:szCs w:val="24"/>
        </w:rPr>
      </w:pPr>
    </w:p>
    <w:p w14:paraId="7888AB99" w14:textId="0A41938F" w:rsidR="006D0BDD" w:rsidRPr="00012F08" w:rsidRDefault="006D0BDD" w:rsidP="006D0BDD">
      <w:pPr>
        <w:bidi w:val="0"/>
        <w:spacing w:after="0" w:line="360" w:lineRule="auto"/>
        <w:ind w:right="-472"/>
        <w:jc w:val="both"/>
        <w:rPr>
          <w:rFonts w:ascii="Times New Roman" w:hAnsi="Times New Roman" w:cs="Times New Roman"/>
        </w:rPr>
      </w:pPr>
      <w:r w:rsidRPr="00012F08">
        <w:rPr>
          <w:rFonts w:ascii="Times New Roman" w:hAnsi="Times New Roman" w:cs="Times New Roman"/>
          <w:i/>
        </w:rPr>
        <w:t>Keywords</w:t>
      </w:r>
      <w:r w:rsidRPr="00012F08">
        <w:rPr>
          <w:rFonts w:ascii="Times New Roman" w:hAnsi="Times New Roman" w:cs="Times New Roman"/>
        </w:rPr>
        <w:t>: Connectedness, TVP-VAR, US-CHINA, Tension, Gold, Oil</w:t>
      </w:r>
    </w:p>
    <w:p w14:paraId="2E2C0CF0" w14:textId="77777777" w:rsidR="006D0BDD" w:rsidRPr="00012F08" w:rsidRDefault="006D0BDD" w:rsidP="006D0BDD">
      <w:pPr>
        <w:bidi w:val="0"/>
        <w:spacing w:after="0" w:line="432" w:lineRule="auto"/>
        <w:jc w:val="both"/>
        <w:rPr>
          <w:rFonts w:ascii="Times New Roman" w:hAnsi="Times New Roman" w:cs="Times New Roman"/>
        </w:rPr>
      </w:pPr>
      <w:r w:rsidRPr="00012F08">
        <w:rPr>
          <w:rFonts w:ascii="Times New Roman" w:hAnsi="Times New Roman" w:cs="Times New Roman"/>
          <w:i/>
        </w:rPr>
        <w:t>JEL classifications</w:t>
      </w:r>
      <w:r w:rsidRPr="00012F08">
        <w:rPr>
          <w:rFonts w:ascii="Times New Roman" w:hAnsi="Times New Roman" w:cs="Times New Roman"/>
        </w:rPr>
        <w:t xml:space="preserve">: </w:t>
      </w:r>
    </w:p>
    <w:p w14:paraId="6AF90C81" w14:textId="77777777" w:rsidR="006D0BDD" w:rsidRPr="00012F08" w:rsidRDefault="006D0BDD" w:rsidP="006D0BDD">
      <w:pPr>
        <w:pBdr>
          <w:bottom w:val="single" w:sz="6" w:space="1" w:color="auto"/>
        </w:pBdr>
        <w:spacing w:after="0" w:line="360" w:lineRule="auto"/>
        <w:contextualSpacing/>
        <w:jc w:val="center"/>
        <w:rPr>
          <w:rFonts w:ascii="Times New Roman" w:hAnsi="Times New Roman" w:cs="Times New Roman"/>
        </w:rPr>
      </w:pPr>
    </w:p>
    <w:p w14:paraId="6F61AF57" w14:textId="77777777" w:rsidR="006D0BDD" w:rsidRPr="00012F08" w:rsidRDefault="006D0BDD" w:rsidP="006D0BDD">
      <w:pPr>
        <w:pBdr>
          <w:bottom w:val="single" w:sz="6" w:space="1" w:color="auto"/>
        </w:pBdr>
        <w:spacing w:after="0" w:line="360" w:lineRule="auto"/>
        <w:contextualSpacing/>
        <w:jc w:val="center"/>
        <w:rPr>
          <w:rFonts w:ascii="Times New Roman" w:hAnsi="Times New Roman" w:cs="Times New Roman"/>
          <w:rtl/>
        </w:rPr>
      </w:pPr>
      <w:r w:rsidRPr="00012F08">
        <w:rPr>
          <w:rFonts w:ascii="Times New Roman" w:hAnsi="Times New Roman" w:cs="Times New Roman"/>
          <w:rtl/>
        </w:rPr>
        <w:t xml:space="preserve"> </w:t>
      </w:r>
    </w:p>
    <w:p w14:paraId="11908DD3" w14:textId="77777777" w:rsidR="006D0BDD" w:rsidRPr="00012F08" w:rsidRDefault="006D0BDD" w:rsidP="006D0BDD">
      <w:pPr>
        <w:pBdr>
          <w:bottom w:val="single" w:sz="6" w:space="1" w:color="auto"/>
        </w:pBdr>
        <w:spacing w:after="0" w:line="360" w:lineRule="auto"/>
        <w:contextualSpacing/>
        <w:jc w:val="center"/>
        <w:rPr>
          <w:rFonts w:ascii="Times New Roman" w:hAnsi="Times New Roman" w:cs="Times New Roman"/>
        </w:rPr>
      </w:pPr>
    </w:p>
    <w:p w14:paraId="719D9CCF" w14:textId="77777777" w:rsidR="006D0BDD" w:rsidRPr="00012F08" w:rsidRDefault="006D0BDD" w:rsidP="006D0BDD">
      <w:pPr>
        <w:bidi w:val="0"/>
        <w:spacing w:after="0" w:line="240" w:lineRule="auto"/>
        <w:contextualSpacing/>
        <w:jc w:val="both"/>
        <w:rPr>
          <w:rFonts w:ascii="Times New Roman" w:hAnsi="Times New Roman" w:cs="Times New Roman"/>
          <w:sz w:val="20"/>
          <w:szCs w:val="20"/>
        </w:rPr>
      </w:pPr>
      <w:r w:rsidRPr="00012F08">
        <w:rPr>
          <w:rFonts w:ascii="Times New Roman" w:hAnsi="Times New Roman" w:cs="Times New Roman"/>
          <w:sz w:val="20"/>
          <w:szCs w:val="20"/>
          <w:vertAlign w:val="superscript"/>
        </w:rPr>
        <w:t xml:space="preserve">* </w:t>
      </w:r>
      <w:r w:rsidRPr="00012F08">
        <w:rPr>
          <w:rFonts w:ascii="Times New Roman" w:hAnsi="Times New Roman" w:cs="Times New Roman"/>
          <w:sz w:val="20"/>
          <w:szCs w:val="20"/>
        </w:rPr>
        <w:t>Corresponding author.</w:t>
      </w:r>
    </w:p>
    <w:p w14:paraId="4695A424" w14:textId="303304CB" w:rsidR="006D0BDD" w:rsidRPr="00012F08" w:rsidRDefault="006D0BDD" w:rsidP="006D0BDD">
      <w:pPr>
        <w:bidi w:val="0"/>
        <w:spacing w:after="0"/>
        <w:jc w:val="both"/>
        <w:rPr>
          <w:rFonts w:ascii="Times New Roman" w:hAnsi="Times New Roman" w:cs="Times New Roman"/>
          <w:sz w:val="20"/>
          <w:szCs w:val="20"/>
        </w:rPr>
      </w:pPr>
      <w:r w:rsidRPr="00012F08">
        <w:rPr>
          <w:rFonts w:ascii="Times New Roman" w:hAnsi="Times New Roman" w:cs="Times New Roman"/>
          <w:sz w:val="20"/>
          <w:szCs w:val="20"/>
          <w:vertAlign w:val="superscript"/>
        </w:rPr>
        <w:t>₰</w:t>
      </w:r>
      <w:r w:rsidRPr="00012F08">
        <w:rPr>
          <w:rFonts w:ascii="Times New Roman" w:hAnsi="Times New Roman" w:cs="Times New Roman"/>
          <w:i/>
          <w:sz w:val="20"/>
          <w:szCs w:val="20"/>
          <w:vertAlign w:val="superscript"/>
        </w:rPr>
        <w:t xml:space="preserve"> </w:t>
      </w:r>
      <w:r w:rsidRPr="00012F08">
        <w:rPr>
          <w:rFonts w:ascii="Times New Roman" w:hAnsi="Times New Roman" w:cs="Times New Roman"/>
          <w:sz w:val="20"/>
          <w:szCs w:val="20"/>
        </w:rPr>
        <w:t xml:space="preserve">David Y. Aharon, Faculty of Business Administration, Ono Academic College, </w:t>
      </w:r>
      <w:r w:rsidR="006B5DC5" w:rsidRPr="00012F08">
        <w:rPr>
          <w:rFonts w:ascii="Times New Roman" w:hAnsi="Times New Roman" w:cs="Times New Roman"/>
          <w:sz w:val="20"/>
          <w:szCs w:val="20"/>
        </w:rPr>
        <w:t>Academic Boulevard</w:t>
      </w:r>
      <w:r w:rsidRPr="00012F08">
        <w:rPr>
          <w:rFonts w:ascii="Times New Roman" w:hAnsi="Times New Roman" w:cs="Times New Roman"/>
          <w:sz w:val="20"/>
          <w:szCs w:val="20"/>
        </w:rPr>
        <w:t xml:space="preserve"> </w:t>
      </w:r>
      <w:r w:rsidR="006B5DC5" w:rsidRPr="00012F08">
        <w:rPr>
          <w:rFonts w:ascii="Times New Roman" w:hAnsi="Times New Roman" w:cs="Times New Roman"/>
          <w:sz w:val="20"/>
          <w:szCs w:val="20"/>
        </w:rPr>
        <w:t>1</w:t>
      </w:r>
      <w:r w:rsidRPr="00012F08">
        <w:rPr>
          <w:rFonts w:ascii="Times New Roman" w:hAnsi="Times New Roman" w:cs="Times New Roman"/>
          <w:sz w:val="20"/>
          <w:szCs w:val="20"/>
        </w:rPr>
        <w:t xml:space="preserve">, Kiryat Ono, Israel, </w:t>
      </w:r>
      <w:hyperlink r:id="rId8" w:history="1">
        <w:r w:rsidRPr="00012F08">
          <w:rPr>
            <w:rStyle w:val="Hyperlink"/>
            <w:rFonts w:ascii="Times New Roman" w:hAnsi="Times New Roman" w:cs="Times New Roman"/>
            <w:sz w:val="20"/>
            <w:szCs w:val="20"/>
          </w:rPr>
          <w:t>dudi.ah@ono.ac.il</w:t>
        </w:r>
      </w:hyperlink>
      <w:r w:rsidRPr="00012F08">
        <w:rPr>
          <w:rFonts w:ascii="Times New Roman" w:hAnsi="Times New Roman" w:cs="Times New Roman"/>
          <w:sz w:val="20"/>
          <w:szCs w:val="20"/>
        </w:rPr>
        <w:t>.</w:t>
      </w:r>
    </w:p>
    <w:p w14:paraId="75C6C521" w14:textId="7C7FA312" w:rsidR="006D0BDD" w:rsidRPr="00012F08" w:rsidRDefault="006D0BDD" w:rsidP="006D0BDD">
      <w:pPr>
        <w:bidi w:val="0"/>
        <w:spacing w:after="0" w:line="240" w:lineRule="auto"/>
        <w:ind w:right="-199"/>
        <w:contextualSpacing/>
        <w:jc w:val="both"/>
        <w:rPr>
          <w:rStyle w:val="Hyperlink"/>
          <w:rFonts w:ascii="Times New Roman" w:hAnsi="Times New Roman" w:cs="Times New Roman"/>
          <w:sz w:val="20"/>
          <w:szCs w:val="20"/>
        </w:rPr>
      </w:pPr>
      <w:r w:rsidRPr="00012F08">
        <w:rPr>
          <w:rFonts w:ascii="Times New Roman" w:hAnsi="Times New Roman" w:cs="Times New Roman"/>
          <w:sz w:val="20"/>
          <w:szCs w:val="20"/>
          <w:vertAlign w:val="superscript"/>
        </w:rPr>
        <w:t>₰</w:t>
      </w:r>
      <w:r w:rsidRPr="00012F08">
        <w:rPr>
          <w:rFonts w:ascii="Times New Roman" w:hAnsi="Times New Roman" w:cs="Times New Roman"/>
          <w:sz w:val="20"/>
          <w:szCs w:val="20"/>
        </w:rPr>
        <w:t xml:space="preserve">Martin Bojaj, </w:t>
      </w:r>
      <w:r w:rsidR="007E5BE7" w:rsidRPr="00012F08">
        <w:rPr>
          <w:rFonts w:ascii="Times New Roman" w:hAnsi="Times New Roman" w:cs="Times New Roman"/>
          <w:sz w:val="20"/>
          <w:szCs w:val="20"/>
        </w:rPr>
        <w:t xml:space="preserve">Center for Macroeconomic and Financial Research and Forecasting, Central Bank of Montenegro, Blvd. </w:t>
      </w:r>
      <w:proofErr w:type="spellStart"/>
      <w:r w:rsidR="007E5BE7" w:rsidRPr="00012F08">
        <w:rPr>
          <w:rFonts w:ascii="Times New Roman" w:hAnsi="Times New Roman" w:cs="Times New Roman"/>
          <w:sz w:val="20"/>
          <w:szCs w:val="20"/>
        </w:rPr>
        <w:t>Sv</w:t>
      </w:r>
      <w:proofErr w:type="spellEnd"/>
      <w:r w:rsidR="007E5BE7" w:rsidRPr="00012F08">
        <w:rPr>
          <w:rFonts w:ascii="Times New Roman" w:hAnsi="Times New Roman" w:cs="Times New Roman"/>
          <w:sz w:val="20"/>
          <w:szCs w:val="20"/>
        </w:rPr>
        <w:t xml:space="preserve">. Petra </w:t>
      </w:r>
      <w:proofErr w:type="spellStart"/>
      <w:r w:rsidR="007E5BE7" w:rsidRPr="00012F08">
        <w:rPr>
          <w:rFonts w:ascii="Times New Roman" w:hAnsi="Times New Roman" w:cs="Times New Roman"/>
          <w:sz w:val="20"/>
          <w:szCs w:val="20"/>
        </w:rPr>
        <w:t>Cetinjskog</w:t>
      </w:r>
      <w:proofErr w:type="spellEnd"/>
      <w:r w:rsidR="007E5BE7" w:rsidRPr="00012F08">
        <w:rPr>
          <w:rFonts w:ascii="Times New Roman" w:hAnsi="Times New Roman" w:cs="Times New Roman"/>
          <w:sz w:val="20"/>
          <w:szCs w:val="20"/>
        </w:rPr>
        <w:t xml:space="preserve"> 6, Montenegro.</w:t>
      </w:r>
    </w:p>
    <w:p w14:paraId="65856AD6" w14:textId="5F5E77BD" w:rsidR="006D0BDD" w:rsidRPr="00012F08" w:rsidRDefault="006D0BDD" w:rsidP="006D0BDD">
      <w:pPr>
        <w:bidi w:val="0"/>
        <w:spacing w:after="0" w:line="240" w:lineRule="auto"/>
        <w:ind w:right="-199"/>
        <w:contextualSpacing/>
        <w:jc w:val="both"/>
        <w:rPr>
          <w:rFonts w:ascii="Times New Roman" w:hAnsi="Times New Roman" w:cs="Times New Roman"/>
          <w:sz w:val="20"/>
          <w:szCs w:val="20"/>
        </w:rPr>
      </w:pPr>
      <w:r w:rsidRPr="00012F08">
        <w:rPr>
          <w:i/>
          <w:vertAlign w:val="superscript"/>
        </w:rPr>
        <w:t>¥</w:t>
      </w:r>
      <w:r w:rsidRPr="00012F08">
        <w:rPr>
          <w:rFonts w:ascii="Times New Roman" w:hAnsi="Times New Roman" w:cs="Times New Roman"/>
          <w:sz w:val="20"/>
          <w:szCs w:val="20"/>
        </w:rPr>
        <w:t xml:space="preserve">Arie Jacobi, </w:t>
      </w:r>
      <w:r w:rsidR="006B5DC5" w:rsidRPr="00012F08">
        <w:rPr>
          <w:rFonts w:ascii="Times New Roman" w:hAnsi="Times New Roman" w:cs="Times New Roman"/>
          <w:sz w:val="20"/>
          <w:szCs w:val="20"/>
        </w:rPr>
        <w:t>Faculty of Business Administration, Ono Academic College, Academic Boulevard 1, Kiryat Ono, Israel</w:t>
      </w:r>
    </w:p>
    <w:p w14:paraId="435CF1D5" w14:textId="4A608AA7" w:rsidR="006D0BDD" w:rsidRPr="00012F08" w:rsidRDefault="006D0BDD">
      <w:pPr>
        <w:bidi w:val="0"/>
        <w:rPr>
          <w:rFonts w:asciiTheme="majorBidi" w:hAnsiTheme="majorBidi" w:cstheme="majorBidi"/>
          <w:b/>
          <w:bCs/>
          <w:sz w:val="30"/>
          <w:szCs w:val="30"/>
        </w:rPr>
      </w:pPr>
    </w:p>
    <w:p w14:paraId="4BB6A4B9" w14:textId="77777777" w:rsidR="009A1F8C" w:rsidRPr="00012F08" w:rsidRDefault="009A1F8C" w:rsidP="006D0BDD">
      <w:pPr>
        <w:bidi w:val="0"/>
        <w:spacing w:line="360" w:lineRule="auto"/>
        <w:jc w:val="center"/>
        <w:rPr>
          <w:rFonts w:asciiTheme="majorBidi" w:hAnsiTheme="majorBidi" w:cstheme="majorBidi"/>
          <w:b/>
          <w:bCs/>
          <w:sz w:val="30"/>
          <w:szCs w:val="30"/>
        </w:rPr>
      </w:pPr>
    </w:p>
    <w:p w14:paraId="26F2E82F" w14:textId="77777777" w:rsidR="009A1F8C" w:rsidRPr="00012F08" w:rsidRDefault="009A1F8C" w:rsidP="009A1F8C">
      <w:pPr>
        <w:bidi w:val="0"/>
        <w:spacing w:line="360" w:lineRule="auto"/>
        <w:jc w:val="center"/>
        <w:rPr>
          <w:rFonts w:asciiTheme="majorBidi" w:hAnsiTheme="majorBidi" w:cstheme="majorBidi"/>
          <w:b/>
          <w:bCs/>
          <w:sz w:val="30"/>
          <w:szCs w:val="30"/>
        </w:rPr>
      </w:pPr>
    </w:p>
    <w:p w14:paraId="19411A92" w14:textId="77777777" w:rsidR="003A65B9" w:rsidRPr="00012F08" w:rsidRDefault="003A65B9" w:rsidP="009A1F8C">
      <w:pPr>
        <w:bidi w:val="0"/>
        <w:spacing w:line="360" w:lineRule="auto"/>
        <w:jc w:val="center"/>
        <w:rPr>
          <w:rFonts w:asciiTheme="majorBidi" w:hAnsiTheme="majorBidi" w:cstheme="majorBidi"/>
          <w:b/>
          <w:bCs/>
          <w:sz w:val="30"/>
          <w:szCs w:val="30"/>
        </w:rPr>
      </w:pPr>
    </w:p>
    <w:p w14:paraId="1F2E57BF" w14:textId="77777777" w:rsidR="007B6C5A" w:rsidRPr="00012F08" w:rsidRDefault="007B6C5A" w:rsidP="007B6C5A">
      <w:pPr>
        <w:bidi w:val="0"/>
        <w:spacing w:line="360" w:lineRule="auto"/>
        <w:jc w:val="center"/>
        <w:rPr>
          <w:rFonts w:asciiTheme="majorBidi" w:hAnsiTheme="majorBidi" w:cstheme="majorBidi"/>
          <w:b/>
          <w:bCs/>
          <w:sz w:val="30"/>
          <w:szCs w:val="30"/>
        </w:rPr>
      </w:pPr>
    </w:p>
    <w:p w14:paraId="370DFC8B" w14:textId="77777777" w:rsidR="007B6C5A" w:rsidRPr="00012F08" w:rsidRDefault="007B6C5A" w:rsidP="007B6C5A">
      <w:pPr>
        <w:bidi w:val="0"/>
        <w:spacing w:line="360" w:lineRule="auto"/>
        <w:jc w:val="center"/>
        <w:rPr>
          <w:rFonts w:asciiTheme="majorBidi" w:hAnsiTheme="majorBidi" w:cstheme="majorBidi"/>
          <w:b/>
          <w:bCs/>
          <w:sz w:val="30"/>
          <w:szCs w:val="30"/>
        </w:rPr>
      </w:pPr>
    </w:p>
    <w:p w14:paraId="0A363E79" w14:textId="56256B57" w:rsidR="003F05EE" w:rsidRPr="00012F08" w:rsidRDefault="003F05EE" w:rsidP="003A65B9">
      <w:pPr>
        <w:bidi w:val="0"/>
        <w:spacing w:line="360" w:lineRule="auto"/>
        <w:jc w:val="center"/>
        <w:rPr>
          <w:rFonts w:asciiTheme="majorBidi" w:hAnsiTheme="majorBidi" w:cstheme="majorBidi"/>
          <w:b/>
          <w:bCs/>
          <w:sz w:val="30"/>
          <w:szCs w:val="30"/>
        </w:rPr>
      </w:pPr>
      <w:r w:rsidRPr="00012F08">
        <w:rPr>
          <w:rFonts w:asciiTheme="majorBidi" w:hAnsiTheme="majorBidi" w:cstheme="majorBidi"/>
          <w:b/>
          <w:bCs/>
          <w:sz w:val="30"/>
          <w:szCs w:val="30"/>
        </w:rPr>
        <w:t>Shaken, or Stirred? Financial Stability Under U.S.-China Tensions</w:t>
      </w:r>
    </w:p>
    <w:p w14:paraId="2D8D4A08" w14:textId="789A7275" w:rsidR="00E14CA2" w:rsidRPr="00012F08" w:rsidRDefault="00E14CA2" w:rsidP="00A8769A">
      <w:pPr>
        <w:pStyle w:val="ListParagraph"/>
        <w:numPr>
          <w:ilvl w:val="0"/>
          <w:numId w:val="19"/>
        </w:numPr>
        <w:bidi w:val="0"/>
        <w:spacing w:line="360" w:lineRule="auto"/>
        <w:rPr>
          <w:rFonts w:asciiTheme="majorBidi" w:hAnsiTheme="majorBidi" w:cstheme="majorBidi"/>
          <w:b/>
          <w:bCs/>
          <w:sz w:val="24"/>
          <w:szCs w:val="24"/>
        </w:rPr>
      </w:pPr>
      <w:r w:rsidRPr="00012F08">
        <w:rPr>
          <w:rFonts w:asciiTheme="majorBidi" w:hAnsiTheme="majorBidi" w:cstheme="majorBidi"/>
          <w:b/>
          <w:bCs/>
          <w:sz w:val="24"/>
          <w:szCs w:val="24"/>
        </w:rPr>
        <w:t xml:space="preserve">Introduction </w:t>
      </w:r>
    </w:p>
    <w:p w14:paraId="531112A3" w14:textId="671DA4CC" w:rsidR="00654F57" w:rsidRPr="00012F08" w:rsidRDefault="00654F57" w:rsidP="00654F57">
      <w:pPr>
        <w:bidi w:val="0"/>
        <w:jc w:val="both"/>
        <w:rPr>
          <w:rFonts w:ascii="Times New Roman" w:hAnsi="Times New Roman" w:cs="Times New Roman"/>
          <w:sz w:val="24"/>
          <w:szCs w:val="24"/>
        </w:rPr>
      </w:pPr>
      <w:r w:rsidRPr="00012F08">
        <w:rPr>
          <w:rFonts w:ascii="Times New Roman" w:hAnsi="Times New Roman" w:cs="Times New Roman"/>
          <w:sz w:val="24"/>
          <w:szCs w:val="24"/>
        </w:rPr>
        <w:t>The geopolitical rivalry between the United States and China has emerged as one of the defining risks to global financial stability. Once bound</w:t>
      </w:r>
      <w:r w:rsidR="00171750">
        <w:rPr>
          <w:rFonts w:ascii="Times New Roman" w:hAnsi="Times New Roman" w:cs="Times New Roman"/>
          <w:sz w:val="24"/>
          <w:szCs w:val="24"/>
        </w:rPr>
        <w:t xml:space="preserve"> together</w:t>
      </w:r>
      <w:r w:rsidRPr="00012F08">
        <w:rPr>
          <w:rFonts w:ascii="Times New Roman" w:hAnsi="Times New Roman" w:cs="Times New Roman"/>
          <w:sz w:val="24"/>
          <w:szCs w:val="24"/>
        </w:rPr>
        <w:t xml:space="preserve"> by deepening economic ties, the two powers are now locked in strategic competition, with escalating tensions around trade, technology, national security, and global influence. These persistent frictions have not only upended global supply chains and foreign policy </w:t>
      </w:r>
      <w:proofErr w:type="gramStart"/>
      <w:r w:rsidRPr="00012F08">
        <w:rPr>
          <w:rFonts w:ascii="Times New Roman" w:hAnsi="Times New Roman" w:cs="Times New Roman"/>
          <w:sz w:val="24"/>
          <w:szCs w:val="24"/>
        </w:rPr>
        <w:t xml:space="preserve">dynamics, </w:t>
      </w:r>
      <w:r w:rsidR="00171750">
        <w:rPr>
          <w:rFonts w:ascii="Times New Roman" w:hAnsi="Times New Roman" w:cs="Times New Roman"/>
          <w:sz w:val="24"/>
          <w:szCs w:val="24"/>
        </w:rPr>
        <w:t>but</w:t>
      </w:r>
      <w:proofErr w:type="gramEnd"/>
      <w:r w:rsidR="00171750" w:rsidRPr="00012F08">
        <w:rPr>
          <w:rFonts w:ascii="Times New Roman" w:hAnsi="Times New Roman" w:cs="Times New Roman"/>
          <w:sz w:val="24"/>
          <w:szCs w:val="24"/>
        </w:rPr>
        <w:t xml:space="preserve"> </w:t>
      </w:r>
      <w:r w:rsidRPr="00012F08">
        <w:rPr>
          <w:rFonts w:ascii="Times New Roman" w:hAnsi="Times New Roman" w:cs="Times New Roman"/>
          <w:sz w:val="24"/>
          <w:szCs w:val="24"/>
        </w:rPr>
        <w:t>have also become a systemic driver of financial market uncertainty.</w:t>
      </w:r>
    </w:p>
    <w:p w14:paraId="5104E07D" w14:textId="4D7690BD" w:rsidR="00654F57" w:rsidRPr="00012F08" w:rsidRDefault="00171750" w:rsidP="00654F57">
      <w:pPr>
        <w:bidi w:val="0"/>
        <w:jc w:val="both"/>
        <w:rPr>
          <w:rFonts w:ascii="Times New Roman" w:hAnsi="Times New Roman" w:cs="Times New Roman"/>
          <w:sz w:val="24"/>
          <w:szCs w:val="24"/>
        </w:rPr>
      </w:pPr>
      <w:r>
        <w:rPr>
          <w:rFonts w:ascii="Times New Roman" w:hAnsi="Times New Roman" w:cs="Times New Roman"/>
          <w:sz w:val="24"/>
          <w:szCs w:val="24"/>
        </w:rPr>
        <w:t>Nevertheless</w:t>
      </w:r>
      <w:r w:rsidR="00654F57" w:rsidRPr="00012F08">
        <w:rPr>
          <w:rFonts w:ascii="Times New Roman" w:hAnsi="Times New Roman" w:cs="Times New Roman"/>
          <w:sz w:val="24"/>
          <w:szCs w:val="24"/>
        </w:rPr>
        <w:t>, the transmission mechanisms through which U.S.-China tensions spill over into global financial systems remain underexplored. Most existing studies focus on isolated geopolitical events or rely on broad indices such as the Geopolitical Risk Index (GPR), offering limited insight into the evolving role of bilateral tensions. Moreover, foundational work by Jurado et al. (2015) has shown that uncertainty, when properly measured, has distinct and powerful effects on asset prices. What is missing is a dynamic, multi-asset analysis of how these geopolitical shocks interact with equity markets, currencies, commodities, and volatility, especially over time and across distinct geopolitical regimes.</w:t>
      </w:r>
    </w:p>
    <w:p w14:paraId="1DF104F4" w14:textId="7EAAF984" w:rsidR="006523AF" w:rsidRPr="00012F08" w:rsidRDefault="006523AF" w:rsidP="006523AF">
      <w:pPr>
        <w:bidi w:val="0"/>
        <w:jc w:val="both"/>
        <w:rPr>
          <w:rFonts w:ascii="Times New Roman" w:hAnsi="Times New Roman" w:cs="Times New Roman"/>
          <w:sz w:val="24"/>
          <w:szCs w:val="24"/>
        </w:rPr>
      </w:pPr>
      <w:r w:rsidRPr="00012F08">
        <w:rPr>
          <w:rFonts w:ascii="Times New Roman" w:hAnsi="Times New Roman" w:cs="Times New Roman"/>
          <w:sz w:val="24"/>
          <w:szCs w:val="24"/>
        </w:rPr>
        <w:t>While recent studies have begun examining U.S.-China tensions in financial contexts, they remain largely segmented.</w:t>
      </w:r>
      <w:r w:rsidR="00066322" w:rsidRPr="00012F08">
        <w:rPr>
          <w:rStyle w:val="FootnoteReference"/>
          <w:rFonts w:ascii="Times New Roman" w:hAnsi="Times New Roman" w:cs="Times New Roman"/>
          <w:sz w:val="24"/>
          <w:szCs w:val="24"/>
        </w:rPr>
        <w:footnoteReference w:id="1"/>
      </w:r>
      <w:r w:rsidRPr="00012F08">
        <w:rPr>
          <w:rFonts w:ascii="Times New Roman" w:hAnsi="Times New Roman" w:cs="Times New Roman"/>
          <w:sz w:val="24"/>
          <w:szCs w:val="24"/>
        </w:rPr>
        <w:t xml:space="preserve"> Peng et al. (2025) assess the impact of U.S.-China tensions on stock market performance using a time-varying quantile causality framework, while Sha et al. (2025) document how geopolitical frictions influence corporate ESG outcomes.</w:t>
      </w:r>
      <w:r w:rsidR="00BE41C5" w:rsidRPr="00012F08">
        <w:rPr>
          <w:rFonts w:ascii="Times New Roman" w:hAnsi="Times New Roman" w:cs="Times New Roman"/>
          <w:sz w:val="24"/>
          <w:szCs w:val="24"/>
        </w:rPr>
        <w:t xml:space="preserve"> Cai (2025) highlights the consequences of U.S.-China tensions </w:t>
      </w:r>
      <w:r w:rsidR="00171750">
        <w:rPr>
          <w:rFonts w:ascii="Times New Roman" w:hAnsi="Times New Roman" w:cs="Times New Roman"/>
          <w:sz w:val="24"/>
          <w:szCs w:val="24"/>
        </w:rPr>
        <w:t>for</w:t>
      </w:r>
      <w:r w:rsidR="00171750" w:rsidRPr="00012F08">
        <w:rPr>
          <w:rFonts w:ascii="Times New Roman" w:hAnsi="Times New Roman" w:cs="Times New Roman"/>
          <w:sz w:val="24"/>
          <w:szCs w:val="24"/>
        </w:rPr>
        <w:t xml:space="preserve"> </w:t>
      </w:r>
      <w:r w:rsidR="00BE41C5" w:rsidRPr="00012F08">
        <w:rPr>
          <w:rFonts w:ascii="Times New Roman" w:hAnsi="Times New Roman" w:cs="Times New Roman"/>
          <w:sz w:val="24"/>
          <w:szCs w:val="24"/>
        </w:rPr>
        <w:t xml:space="preserve">global supply chains and macroeconomic outcomes, while Liu et al. (2025) </w:t>
      </w:r>
      <w:r w:rsidR="00171750">
        <w:rPr>
          <w:rFonts w:ascii="Times New Roman" w:hAnsi="Times New Roman" w:cs="Times New Roman"/>
          <w:sz w:val="24"/>
          <w:szCs w:val="24"/>
        </w:rPr>
        <w:t>demonstrate the</w:t>
      </w:r>
      <w:r w:rsidR="00BE41C5" w:rsidRPr="00012F08">
        <w:rPr>
          <w:rFonts w:ascii="Times New Roman" w:hAnsi="Times New Roman" w:cs="Times New Roman"/>
          <w:sz w:val="24"/>
          <w:szCs w:val="24"/>
        </w:rPr>
        <w:t xml:space="preserve"> effects </w:t>
      </w:r>
      <w:r w:rsidR="006704D5">
        <w:rPr>
          <w:rFonts w:ascii="Times New Roman" w:hAnsi="Times New Roman" w:cs="Times New Roman"/>
          <w:sz w:val="24"/>
          <w:szCs w:val="24"/>
        </w:rPr>
        <w:t xml:space="preserve">of these tensions </w:t>
      </w:r>
      <w:r w:rsidR="00BE41C5" w:rsidRPr="00012F08">
        <w:rPr>
          <w:rFonts w:ascii="Times New Roman" w:hAnsi="Times New Roman" w:cs="Times New Roman"/>
          <w:sz w:val="24"/>
          <w:szCs w:val="24"/>
        </w:rPr>
        <w:t xml:space="preserve">on </w:t>
      </w:r>
      <w:r w:rsidR="00171750">
        <w:rPr>
          <w:rFonts w:ascii="Times New Roman" w:hAnsi="Times New Roman" w:cs="Times New Roman"/>
          <w:sz w:val="24"/>
          <w:szCs w:val="24"/>
        </w:rPr>
        <w:t>foreign direct investment</w:t>
      </w:r>
      <w:r w:rsidR="00BE41C5" w:rsidRPr="00012F08">
        <w:rPr>
          <w:rFonts w:ascii="Times New Roman" w:hAnsi="Times New Roman" w:cs="Times New Roman"/>
          <w:sz w:val="24"/>
          <w:szCs w:val="24"/>
        </w:rPr>
        <w:t xml:space="preserve"> </w:t>
      </w:r>
      <w:r w:rsidR="00171750">
        <w:rPr>
          <w:rFonts w:ascii="Times New Roman" w:hAnsi="Times New Roman" w:cs="Times New Roman"/>
          <w:sz w:val="24"/>
          <w:szCs w:val="24"/>
        </w:rPr>
        <w:t xml:space="preserve">(FDI) </w:t>
      </w:r>
      <w:r w:rsidR="00BE41C5" w:rsidRPr="00012F08">
        <w:rPr>
          <w:rFonts w:ascii="Times New Roman" w:hAnsi="Times New Roman" w:cs="Times New Roman"/>
          <w:sz w:val="24"/>
          <w:szCs w:val="24"/>
        </w:rPr>
        <w:t>and volatility</w:t>
      </w:r>
      <w:r w:rsidR="00171750">
        <w:rPr>
          <w:rFonts w:ascii="Times New Roman" w:hAnsi="Times New Roman" w:cs="Times New Roman"/>
          <w:sz w:val="24"/>
          <w:szCs w:val="24"/>
        </w:rPr>
        <w:t xml:space="preserve"> in </w:t>
      </w:r>
      <w:r w:rsidR="00171750" w:rsidRPr="00012F08">
        <w:rPr>
          <w:rFonts w:ascii="Times New Roman" w:hAnsi="Times New Roman" w:cs="Times New Roman"/>
          <w:sz w:val="24"/>
          <w:szCs w:val="24"/>
        </w:rPr>
        <w:t>fossil fuel price</w:t>
      </w:r>
      <w:r w:rsidR="00171750">
        <w:rPr>
          <w:rFonts w:ascii="Times New Roman" w:hAnsi="Times New Roman" w:cs="Times New Roman"/>
          <w:sz w:val="24"/>
          <w:szCs w:val="24"/>
        </w:rPr>
        <w:t>s</w:t>
      </w:r>
      <w:r w:rsidR="00BE41C5" w:rsidRPr="00012F08">
        <w:rPr>
          <w:rFonts w:ascii="Times New Roman" w:hAnsi="Times New Roman" w:cs="Times New Roman"/>
          <w:sz w:val="24"/>
          <w:szCs w:val="24"/>
        </w:rPr>
        <w:t xml:space="preserve">. </w:t>
      </w:r>
      <w:r w:rsidRPr="00012F08">
        <w:rPr>
          <w:rFonts w:ascii="Times New Roman" w:hAnsi="Times New Roman" w:cs="Times New Roman"/>
          <w:sz w:val="24"/>
          <w:szCs w:val="24"/>
        </w:rPr>
        <w:t xml:space="preserve">These studies offer valuable </w:t>
      </w:r>
      <w:proofErr w:type="gramStart"/>
      <w:r w:rsidRPr="00012F08">
        <w:rPr>
          <w:rFonts w:ascii="Times New Roman" w:hAnsi="Times New Roman" w:cs="Times New Roman"/>
          <w:sz w:val="24"/>
          <w:szCs w:val="24"/>
        </w:rPr>
        <w:t>perspectives, but</w:t>
      </w:r>
      <w:proofErr w:type="gramEnd"/>
      <w:r w:rsidRPr="00012F08">
        <w:rPr>
          <w:rFonts w:ascii="Times New Roman" w:hAnsi="Times New Roman" w:cs="Times New Roman"/>
          <w:sz w:val="24"/>
          <w:szCs w:val="24"/>
        </w:rPr>
        <w:t xml:space="preserve"> tend to focus on specific themes or narrow market segments. Our study complements and extends this work by adopting a broader macro-financial lens, mapping how bilateral tensions propagate systemically through key global asset classes.</w:t>
      </w:r>
    </w:p>
    <w:p w14:paraId="4324FD1E" w14:textId="2D4EDF8A" w:rsidR="00654F57" w:rsidRPr="00012F08" w:rsidRDefault="00654F57" w:rsidP="00654F57">
      <w:pPr>
        <w:bidi w:val="0"/>
        <w:jc w:val="both"/>
        <w:rPr>
          <w:rFonts w:ascii="Times New Roman" w:hAnsi="Times New Roman" w:cs="Times New Roman"/>
          <w:sz w:val="24"/>
          <w:szCs w:val="24"/>
        </w:rPr>
      </w:pPr>
      <w:r w:rsidRPr="00012F08">
        <w:rPr>
          <w:rFonts w:ascii="Times New Roman" w:hAnsi="Times New Roman" w:cs="Times New Roman"/>
          <w:sz w:val="24"/>
          <w:szCs w:val="24"/>
        </w:rPr>
        <w:t xml:space="preserve">Specifically, we explore whether </w:t>
      </w:r>
      <w:r w:rsidR="00171750">
        <w:rPr>
          <w:rFonts w:ascii="Times New Roman" w:hAnsi="Times New Roman" w:cs="Times New Roman"/>
          <w:sz w:val="24"/>
          <w:szCs w:val="24"/>
        </w:rPr>
        <w:t>U.S.-China</w:t>
      </w:r>
      <w:r w:rsidR="00171750" w:rsidRPr="00012F08">
        <w:rPr>
          <w:rFonts w:ascii="Times New Roman" w:hAnsi="Times New Roman" w:cs="Times New Roman"/>
          <w:sz w:val="24"/>
          <w:szCs w:val="24"/>
        </w:rPr>
        <w:t xml:space="preserve"> </w:t>
      </w:r>
      <w:r w:rsidRPr="00012F08">
        <w:rPr>
          <w:rFonts w:ascii="Times New Roman" w:hAnsi="Times New Roman" w:cs="Times New Roman"/>
          <w:sz w:val="24"/>
          <w:szCs w:val="24"/>
        </w:rPr>
        <w:t>tensions influence systemic connectedness differently during stable versus crisis periods</w:t>
      </w:r>
      <w:r w:rsidR="00171750">
        <w:rPr>
          <w:rFonts w:ascii="Times New Roman" w:hAnsi="Times New Roman" w:cs="Times New Roman"/>
          <w:sz w:val="24"/>
          <w:szCs w:val="24"/>
        </w:rPr>
        <w:t>. In addition, we investigate</w:t>
      </w:r>
      <w:r w:rsidR="00171750" w:rsidRPr="00012F08">
        <w:rPr>
          <w:rFonts w:ascii="Times New Roman" w:hAnsi="Times New Roman" w:cs="Times New Roman"/>
          <w:sz w:val="24"/>
          <w:szCs w:val="24"/>
        </w:rPr>
        <w:t xml:space="preserve"> </w:t>
      </w:r>
      <w:r w:rsidRPr="00012F08">
        <w:rPr>
          <w:rFonts w:ascii="Times New Roman" w:hAnsi="Times New Roman" w:cs="Times New Roman"/>
          <w:sz w:val="24"/>
          <w:szCs w:val="24"/>
        </w:rPr>
        <w:t>how their role has evolved</w:t>
      </w:r>
      <w:r w:rsidR="002646EB">
        <w:rPr>
          <w:rFonts w:ascii="Times New Roman" w:hAnsi="Times New Roman" w:cs="Times New Roman"/>
          <w:sz w:val="24"/>
          <w:szCs w:val="24"/>
        </w:rPr>
        <w:t xml:space="preserve"> </w:t>
      </w:r>
      <w:r w:rsidRPr="00012F08">
        <w:rPr>
          <w:rFonts w:ascii="Times New Roman" w:hAnsi="Times New Roman" w:cs="Times New Roman"/>
          <w:sz w:val="24"/>
          <w:szCs w:val="24"/>
        </w:rPr>
        <w:t>from passive receiver</w:t>
      </w:r>
      <w:r w:rsidR="00171750">
        <w:rPr>
          <w:rFonts w:ascii="Times New Roman" w:hAnsi="Times New Roman" w:cs="Times New Roman"/>
          <w:sz w:val="24"/>
          <w:szCs w:val="24"/>
        </w:rPr>
        <w:t>s</w:t>
      </w:r>
      <w:r w:rsidRPr="00012F08">
        <w:rPr>
          <w:rFonts w:ascii="Times New Roman" w:hAnsi="Times New Roman" w:cs="Times New Roman"/>
          <w:sz w:val="24"/>
          <w:szCs w:val="24"/>
        </w:rPr>
        <w:t xml:space="preserve"> to active transmitter</w:t>
      </w:r>
      <w:r w:rsidR="00171750">
        <w:rPr>
          <w:rFonts w:ascii="Times New Roman" w:hAnsi="Times New Roman" w:cs="Times New Roman"/>
          <w:sz w:val="24"/>
          <w:szCs w:val="24"/>
        </w:rPr>
        <w:t>s</w:t>
      </w:r>
      <w:r w:rsidRPr="00012F08">
        <w:rPr>
          <w:rFonts w:ascii="Times New Roman" w:hAnsi="Times New Roman" w:cs="Times New Roman"/>
          <w:sz w:val="24"/>
          <w:szCs w:val="24"/>
        </w:rPr>
        <w:t xml:space="preserve"> of risk</w:t>
      </w:r>
      <w:r w:rsidR="002646EB">
        <w:rPr>
          <w:rFonts w:ascii="Times New Roman" w:hAnsi="Times New Roman" w:cs="Times New Roman"/>
          <w:sz w:val="24"/>
          <w:szCs w:val="24"/>
        </w:rPr>
        <w:t xml:space="preserve"> </w:t>
      </w:r>
      <w:r w:rsidRPr="00012F08">
        <w:rPr>
          <w:rFonts w:ascii="Times New Roman" w:hAnsi="Times New Roman" w:cs="Times New Roman"/>
          <w:sz w:val="24"/>
          <w:szCs w:val="24"/>
        </w:rPr>
        <w:t xml:space="preserve">and whether traditionally safe-haven assets like gold and oil mitigate or amplify geopolitical shocks. </w:t>
      </w:r>
      <w:r w:rsidR="00171750">
        <w:rPr>
          <w:rFonts w:ascii="Times New Roman" w:hAnsi="Times New Roman" w:cs="Times New Roman"/>
          <w:sz w:val="24"/>
          <w:szCs w:val="24"/>
        </w:rPr>
        <w:t xml:space="preserve">Finally, </w:t>
      </w:r>
      <w:r w:rsidR="00171750" w:rsidRPr="00012F08">
        <w:rPr>
          <w:rFonts w:ascii="Times New Roman" w:hAnsi="Times New Roman" w:cs="Times New Roman"/>
          <w:sz w:val="24"/>
          <w:szCs w:val="24"/>
        </w:rPr>
        <w:t xml:space="preserve"> </w:t>
      </w:r>
      <w:r w:rsidR="00171750">
        <w:rPr>
          <w:rFonts w:ascii="Times New Roman" w:hAnsi="Times New Roman" w:cs="Times New Roman"/>
          <w:sz w:val="24"/>
          <w:szCs w:val="24"/>
        </w:rPr>
        <w:t xml:space="preserve">we </w:t>
      </w:r>
      <w:r w:rsidRPr="00012F08">
        <w:rPr>
          <w:rFonts w:ascii="Times New Roman" w:hAnsi="Times New Roman" w:cs="Times New Roman"/>
          <w:sz w:val="24"/>
          <w:szCs w:val="24"/>
        </w:rPr>
        <w:t xml:space="preserve">also </w:t>
      </w:r>
      <w:r w:rsidR="002646EB">
        <w:rPr>
          <w:rFonts w:ascii="Times New Roman" w:hAnsi="Times New Roman" w:cs="Times New Roman"/>
          <w:sz w:val="24"/>
          <w:szCs w:val="24"/>
        </w:rPr>
        <w:t>examine</w:t>
      </w:r>
      <w:r w:rsidR="002646EB" w:rsidRPr="00012F08">
        <w:rPr>
          <w:rFonts w:ascii="Times New Roman" w:hAnsi="Times New Roman" w:cs="Times New Roman"/>
          <w:sz w:val="24"/>
          <w:szCs w:val="24"/>
        </w:rPr>
        <w:t xml:space="preserve"> </w:t>
      </w:r>
      <w:r w:rsidRPr="00012F08">
        <w:rPr>
          <w:rFonts w:ascii="Times New Roman" w:hAnsi="Times New Roman" w:cs="Times New Roman"/>
          <w:sz w:val="24"/>
          <w:szCs w:val="24"/>
        </w:rPr>
        <w:t>whether volatility, as measured by the VIX, mediates or intensifies the impact of geopolitical uncertainty.</w:t>
      </w:r>
    </w:p>
    <w:p w14:paraId="7D0F3C57" w14:textId="0A2D0C75" w:rsidR="00654F57" w:rsidRPr="00012F08" w:rsidRDefault="00654F57" w:rsidP="00654F57">
      <w:pPr>
        <w:bidi w:val="0"/>
        <w:jc w:val="both"/>
        <w:rPr>
          <w:rFonts w:ascii="Times New Roman" w:hAnsi="Times New Roman" w:cs="Times New Roman"/>
          <w:sz w:val="24"/>
          <w:szCs w:val="24"/>
        </w:rPr>
      </w:pPr>
      <w:r w:rsidRPr="00012F08">
        <w:rPr>
          <w:rFonts w:ascii="Times New Roman" w:hAnsi="Times New Roman" w:cs="Times New Roman"/>
          <w:sz w:val="24"/>
          <w:szCs w:val="24"/>
        </w:rPr>
        <w:t xml:space="preserve">We contribute to the literature by integrating </w:t>
      </w:r>
      <w:r w:rsidR="00171750">
        <w:rPr>
          <w:rFonts w:ascii="Times New Roman" w:hAnsi="Times New Roman" w:cs="Times New Roman"/>
          <w:sz w:val="24"/>
          <w:szCs w:val="24"/>
        </w:rPr>
        <w:t>the</w:t>
      </w:r>
      <w:r w:rsidR="00171750" w:rsidRPr="00012F08">
        <w:rPr>
          <w:rFonts w:ascii="Times New Roman" w:hAnsi="Times New Roman" w:cs="Times New Roman"/>
          <w:sz w:val="24"/>
          <w:szCs w:val="24"/>
        </w:rPr>
        <w:t xml:space="preserve"> </w:t>
      </w:r>
      <w:r w:rsidRPr="00012F08">
        <w:rPr>
          <w:rFonts w:ascii="Times New Roman" w:hAnsi="Times New Roman" w:cs="Times New Roman"/>
          <w:sz w:val="24"/>
          <w:szCs w:val="24"/>
        </w:rPr>
        <w:t>newly developed U.S.-China Tension Index (UCT)—a monthly, text-based measure of bilateral geopolitical stress—into a TVP-VAR connectedness framework. This methodology, pioneered by Antonakakis and Gabauer (2017), allows for time-varying estimation</w:t>
      </w:r>
      <w:r w:rsidR="00171750">
        <w:rPr>
          <w:rFonts w:ascii="Times New Roman" w:hAnsi="Times New Roman" w:cs="Times New Roman"/>
          <w:sz w:val="24"/>
          <w:szCs w:val="24"/>
        </w:rPr>
        <w:t>s</w:t>
      </w:r>
      <w:r w:rsidRPr="00012F08">
        <w:rPr>
          <w:rFonts w:ascii="Times New Roman" w:hAnsi="Times New Roman" w:cs="Times New Roman"/>
          <w:sz w:val="24"/>
          <w:szCs w:val="24"/>
        </w:rPr>
        <w:t xml:space="preserve"> without relying on arbitrary rolling windows</w:t>
      </w:r>
      <w:r w:rsidR="002646EB">
        <w:rPr>
          <w:rFonts w:ascii="Times New Roman" w:hAnsi="Times New Roman" w:cs="Times New Roman"/>
          <w:sz w:val="24"/>
          <w:szCs w:val="24"/>
        </w:rPr>
        <w:t>. Thus, it is</w:t>
      </w:r>
      <w:r w:rsidR="002646EB" w:rsidRPr="00012F08">
        <w:rPr>
          <w:rFonts w:ascii="Times New Roman" w:hAnsi="Times New Roman" w:cs="Times New Roman"/>
          <w:sz w:val="24"/>
          <w:szCs w:val="24"/>
        </w:rPr>
        <w:t xml:space="preserve"> </w:t>
      </w:r>
      <w:r w:rsidRPr="00012F08">
        <w:rPr>
          <w:rFonts w:ascii="Times New Roman" w:hAnsi="Times New Roman" w:cs="Times New Roman"/>
          <w:sz w:val="24"/>
          <w:szCs w:val="24"/>
        </w:rPr>
        <w:t xml:space="preserve">especially well-suited </w:t>
      </w:r>
      <w:r w:rsidR="002646EB">
        <w:rPr>
          <w:rFonts w:ascii="Times New Roman" w:hAnsi="Times New Roman" w:cs="Times New Roman"/>
          <w:sz w:val="24"/>
          <w:szCs w:val="24"/>
        </w:rPr>
        <w:t>for</w:t>
      </w:r>
      <w:r w:rsidR="002646EB" w:rsidRPr="00012F08">
        <w:rPr>
          <w:rFonts w:ascii="Times New Roman" w:hAnsi="Times New Roman" w:cs="Times New Roman"/>
          <w:sz w:val="24"/>
          <w:szCs w:val="24"/>
        </w:rPr>
        <w:t xml:space="preserve"> </w:t>
      </w:r>
      <w:r w:rsidRPr="00012F08">
        <w:rPr>
          <w:rFonts w:ascii="Times New Roman" w:hAnsi="Times New Roman" w:cs="Times New Roman"/>
          <w:sz w:val="24"/>
          <w:szCs w:val="24"/>
        </w:rPr>
        <w:t>analyzing long-term structural shifts and market fragility under uncertainty.</w:t>
      </w:r>
    </w:p>
    <w:p w14:paraId="4C8ACAA5" w14:textId="273BF968" w:rsidR="00654F57" w:rsidRPr="00012F08" w:rsidRDefault="00654F57" w:rsidP="00654F57">
      <w:pPr>
        <w:bidi w:val="0"/>
        <w:jc w:val="both"/>
        <w:rPr>
          <w:rFonts w:ascii="Times New Roman" w:hAnsi="Times New Roman" w:cs="Times New Roman"/>
          <w:sz w:val="24"/>
          <w:szCs w:val="24"/>
        </w:rPr>
      </w:pPr>
      <w:r w:rsidRPr="00012F08">
        <w:rPr>
          <w:rFonts w:ascii="Times New Roman" w:hAnsi="Times New Roman" w:cs="Times New Roman"/>
          <w:sz w:val="24"/>
          <w:szCs w:val="24"/>
        </w:rPr>
        <w:t xml:space="preserve">Recent literature has underscored the financial consequences of geopolitical shocks. Caldara and Iacoviello (2022) </w:t>
      </w:r>
      <w:r w:rsidR="006704D5">
        <w:rPr>
          <w:rFonts w:ascii="Times New Roman" w:hAnsi="Times New Roman" w:cs="Times New Roman"/>
          <w:sz w:val="24"/>
          <w:szCs w:val="24"/>
        </w:rPr>
        <w:t>report</w:t>
      </w:r>
      <w:r w:rsidR="006704D5" w:rsidRPr="00012F08">
        <w:rPr>
          <w:rFonts w:ascii="Times New Roman" w:hAnsi="Times New Roman" w:cs="Times New Roman"/>
          <w:sz w:val="24"/>
          <w:szCs w:val="24"/>
        </w:rPr>
        <w:t xml:space="preserve"> </w:t>
      </w:r>
      <w:r w:rsidRPr="00012F08">
        <w:rPr>
          <w:rFonts w:ascii="Times New Roman" w:hAnsi="Times New Roman" w:cs="Times New Roman"/>
          <w:sz w:val="24"/>
          <w:szCs w:val="24"/>
        </w:rPr>
        <w:t>that geopolitical risk</w:t>
      </w:r>
      <w:r w:rsidR="006704D5">
        <w:rPr>
          <w:rFonts w:ascii="Times New Roman" w:hAnsi="Times New Roman" w:cs="Times New Roman"/>
          <w:sz w:val="24"/>
          <w:szCs w:val="24"/>
        </w:rPr>
        <w:t>s</w:t>
      </w:r>
      <w:r w:rsidRPr="00012F08">
        <w:rPr>
          <w:rFonts w:ascii="Times New Roman" w:hAnsi="Times New Roman" w:cs="Times New Roman"/>
          <w:sz w:val="24"/>
          <w:szCs w:val="24"/>
        </w:rPr>
        <w:t xml:space="preserve"> depress equity returns and boost global volatility</w:t>
      </w:r>
      <w:r w:rsidR="006704D5">
        <w:rPr>
          <w:rFonts w:ascii="Times New Roman" w:hAnsi="Times New Roman" w:cs="Times New Roman"/>
          <w:sz w:val="24"/>
          <w:szCs w:val="24"/>
        </w:rPr>
        <w:t>. Similarly</w:t>
      </w:r>
      <w:r w:rsidR="002646EB">
        <w:rPr>
          <w:rFonts w:ascii="Times New Roman" w:hAnsi="Times New Roman" w:cs="Times New Roman"/>
          <w:sz w:val="24"/>
          <w:szCs w:val="24"/>
        </w:rPr>
        <w:t>,</w:t>
      </w:r>
      <w:r w:rsidR="006704D5" w:rsidRPr="00012F08">
        <w:rPr>
          <w:rFonts w:ascii="Times New Roman" w:hAnsi="Times New Roman" w:cs="Times New Roman"/>
          <w:sz w:val="24"/>
          <w:szCs w:val="24"/>
        </w:rPr>
        <w:t xml:space="preserve"> </w:t>
      </w:r>
      <w:r w:rsidRPr="00012F08">
        <w:rPr>
          <w:rFonts w:ascii="Times New Roman" w:hAnsi="Times New Roman" w:cs="Times New Roman"/>
          <w:sz w:val="24"/>
          <w:szCs w:val="24"/>
        </w:rPr>
        <w:t>Liu and Zhang (2024) show that geopolitical uncertainty significantly affects excess returns</w:t>
      </w:r>
      <w:r w:rsidR="006704D5">
        <w:rPr>
          <w:rFonts w:ascii="Times New Roman" w:hAnsi="Times New Roman" w:cs="Times New Roman"/>
          <w:sz w:val="24"/>
          <w:szCs w:val="24"/>
        </w:rPr>
        <w:t xml:space="preserve"> on </w:t>
      </w:r>
      <w:r w:rsidR="006704D5" w:rsidRPr="00012F08">
        <w:rPr>
          <w:rFonts w:ascii="Times New Roman" w:hAnsi="Times New Roman" w:cs="Times New Roman"/>
          <w:sz w:val="24"/>
          <w:szCs w:val="24"/>
        </w:rPr>
        <w:t>currency</w:t>
      </w:r>
      <w:r w:rsidRPr="00012F08">
        <w:rPr>
          <w:rFonts w:ascii="Times New Roman" w:hAnsi="Times New Roman" w:cs="Times New Roman"/>
          <w:sz w:val="24"/>
          <w:szCs w:val="24"/>
        </w:rPr>
        <w:t xml:space="preserve">, highlighting its broader impact on cross-asset pricing, particularly through regional and country-specific risk components. </w:t>
      </w:r>
      <w:r w:rsidR="006704D5">
        <w:rPr>
          <w:rFonts w:ascii="Times New Roman" w:hAnsi="Times New Roman" w:cs="Times New Roman"/>
          <w:sz w:val="24"/>
          <w:szCs w:val="24"/>
        </w:rPr>
        <w:t>In addition,</w:t>
      </w:r>
      <w:r w:rsidRPr="00012F08">
        <w:rPr>
          <w:rFonts w:ascii="Times New Roman" w:hAnsi="Times New Roman" w:cs="Times New Roman"/>
          <w:sz w:val="24"/>
          <w:szCs w:val="24"/>
        </w:rPr>
        <w:t xml:space="preserve"> Pastor and Veronesi (2013) demonstrate that political uncertainty raises equity risk premia and suppresses investment, highlighting the broader implications of policy-driven shocks for financial markets. However, most studies rely on static or linear models</w:t>
      </w:r>
      <w:r w:rsidR="006704D5">
        <w:rPr>
          <w:rFonts w:ascii="Times New Roman" w:hAnsi="Times New Roman" w:cs="Times New Roman"/>
          <w:sz w:val="24"/>
          <w:szCs w:val="24"/>
        </w:rPr>
        <w:t>. They</w:t>
      </w:r>
      <w:r w:rsidRPr="00012F08">
        <w:rPr>
          <w:rFonts w:ascii="Times New Roman" w:hAnsi="Times New Roman" w:cs="Times New Roman"/>
          <w:sz w:val="24"/>
          <w:szCs w:val="24"/>
        </w:rPr>
        <w:t xml:space="preserve"> seldom isolate the effects of sustained bilateral tensions </w:t>
      </w:r>
      <w:r w:rsidR="006704D5">
        <w:rPr>
          <w:rFonts w:ascii="Times New Roman" w:hAnsi="Times New Roman" w:cs="Times New Roman"/>
          <w:sz w:val="24"/>
          <w:szCs w:val="24"/>
        </w:rPr>
        <w:t>such as</w:t>
      </w:r>
      <w:r w:rsidR="006704D5" w:rsidRPr="00012F08">
        <w:rPr>
          <w:rFonts w:ascii="Times New Roman" w:hAnsi="Times New Roman" w:cs="Times New Roman"/>
          <w:sz w:val="24"/>
          <w:szCs w:val="24"/>
        </w:rPr>
        <w:t xml:space="preserve"> </w:t>
      </w:r>
      <w:r w:rsidRPr="00012F08">
        <w:rPr>
          <w:rFonts w:ascii="Times New Roman" w:hAnsi="Times New Roman" w:cs="Times New Roman"/>
          <w:sz w:val="24"/>
          <w:szCs w:val="24"/>
        </w:rPr>
        <w:t>those between the U.S. and China.</w:t>
      </w:r>
    </w:p>
    <w:p w14:paraId="038CEB4B" w14:textId="539AF37B" w:rsidR="00654F57" w:rsidRPr="00012F08" w:rsidRDefault="00654F57" w:rsidP="00654F57">
      <w:pPr>
        <w:bidi w:val="0"/>
        <w:jc w:val="both"/>
        <w:rPr>
          <w:rFonts w:ascii="Times New Roman" w:hAnsi="Times New Roman" w:cs="Times New Roman"/>
          <w:sz w:val="24"/>
          <w:szCs w:val="24"/>
        </w:rPr>
      </w:pPr>
      <w:r w:rsidRPr="00012F08">
        <w:rPr>
          <w:rFonts w:ascii="Times New Roman" w:hAnsi="Times New Roman" w:cs="Times New Roman"/>
          <w:sz w:val="24"/>
          <w:szCs w:val="24"/>
        </w:rPr>
        <w:t xml:space="preserve">A smaller strand of research has applied dynamic models to </w:t>
      </w:r>
      <w:r w:rsidR="00E75AC3">
        <w:rPr>
          <w:rFonts w:ascii="Times New Roman" w:hAnsi="Times New Roman" w:cs="Times New Roman"/>
          <w:sz w:val="24"/>
          <w:szCs w:val="24"/>
        </w:rPr>
        <w:t xml:space="preserve">the examination of </w:t>
      </w:r>
      <w:r w:rsidRPr="00012F08">
        <w:rPr>
          <w:rFonts w:ascii="Times New Roman" w:hAnsi="Times New Roman" w:cs="Times New Roman"/>
          <w:sz w:val="24"/>
          <w:szCs w:val="24"/>
        </w:rPr>
        <w:t>financial contagion and volatility. Antonakakis and Gabauer</w:t>
      </w:r>
      <w:r w:rsidR="00E75AC3">
        <w:rPr>
          <w:rFonts w:ascii="Times New Roman" w:hAnsi="Times New Roman" w:cs="Times New Roman"/>
          <w:sz w:val="24"/>
          <w:szCs w:val="24"/>
        </w:rPr>
        <w:t>’s</w:t>
      </w:r>
      <w:r w:rsidRPr="00012F08">
        <w:rPr>
          <w:rFonts w:ascii="Times New Roman" w:hAnsi="Times New Roman" w:cs="Times New Roman"/>
          <w:sz w:val="24"/>
          <w:szCs w:val="24"/>
        </w:rPr>
        <w:t xml:space="preserve"> (2017) </w:t>
      </w:r>
      <w:r w:rsidR="00E75AC3" w:rsidRPr="00012F08">
        <w:rPr>
          <w:rFonts w:ascii="Times New Roman" w:hAnsi="Times New Roman" w:cs="Times New Roman"/>
          <w:sz w:val="24"/>
          <w:szCs w:val="24"/>
        </w:rPr>
        <w:t xml:space="preserve">TVP-VAR model </w:t>
      </w:r>
      <w:r w:rsidRPr="00012F08">
        <w:rPr>
          <w:rFonts w:ascii="Times New Roman" w:hAnsi="Times New Roman" w:cs="Times New Roman"/>
          <w:sz w:val="24"/>
          <w:szCs w:val="24"/>
        </w:rPr>
        <w:t xml:space="preserve">offers a flexible framework </w:t>
      </w:r>
      <w:r w:rsidR="00E75AC3">
        <w:rPr>
          <w:rFonts w:ascii="Times New Roman" w:hAnsi="Times New Roman" w:cs="Times New Roman"/>
          <w:sz w:val="24"/>
          <w:szCs w:val="24"/>
        </w:rPr>
        <w:t>for capturing</w:t>
      </w:r>
      <w:r w:rsidRPr="00012F08">
        <w:rPr>
          <w:rFonts w:ascii="Times New Roman" w:hAnsi="Times New Roman" w:cs="Times New Roman"/>
          <w:sz w:val="24"/>
          <w:szCs w:val="24"/>
        </w:rPr>
        <w:t xml:space="preserve"> evolving </w:t>
      </w:r>
      <w:proofErr w:type="gramStart"/>
      <w:r w:rsidRPr="00012F08">
        <w:rPr>
          <w:rFonts w:ascii="Times New Roman" w:hAnsi="Times New Roman" w:cs="Times New Roman"/>
          <w:sz w:val="24"/>
          <w:szCs w:val="24"/>
        </w:rPr>
        <w:t>spillovers, and</w:t>
      </w:r>
      <w:proofErr w:type="gramEnd"/>
      <w:r w:rsidRPr="00012F08">
        <w:rPr>
          <w:rFonts w:ascii="Times New Roman" w:hAnsi="Times New Roman" w:cs="Times New Roman"/>
          <w:sz w:val="24"/>
          <w:szCs w:val="24"/>
        </w:rPr>
        <w:t xml:space="preserve"> has been adopted in </w:t>
      </w:r>
      <w:r w:rsidR="00066322" w:rsidRPr="00012F08">
        <w:rPr>
          <w:rFonts w:ascii="Times New Roman" w:hAnsi="Times New Roman" w:cs="Times New Roman"/>
          <w:sz w:val="24"/>
          <w:szCs w:val="24"/>
        </w:rPr>
        <w:t>the financial connectedness literature</w:t>
      </w:r>
      <w:r w:rsidRPr="00012F08">
        <w:rPr>
          <w:rFonts w:ascii="Times New Roman" w:hAnsi="Times New Roman" w:cs="Times New Roman"/>
          <w:sz w:val="24"/>
          <w:szCs w:val="24"/>
        </w:rPr>
        <w:t xml:space="preserve"> (</w:t>
      </w:r>
      <w:r w:rsidR="00066322" w:rsidRPr="00012F08">
        <w:rPr>
          <w:rFonts w:ascii="Times New Roman" w:hAnsi="Times New Roman" w:cs="Times New Roman"/>
          <w:sz w:val="24"/>
          <w:szCs w:val="24"/>
        </w:rPr>
        <w:t xml:space="preserve">e.g., </w:t>
      </w:r>
      <w:r w:rsidRPr="00012F08">
        <w:rPr>
          <w:rFonts w:ascii="Times New Roman" w:hAnsi="Times New Roman" w:cs="Times New Roman"/>
          <w:sz w:val="24"/>
          <w:szCs w:val="24"/>
        </w:rPr>
        <w:t xml:space="preserve">Umar </w:t>
      </w:r>
      <w:r w:rsidR="00E75AC3">
        <w:rPr>
          <w:rFonts w:ascii="Times New Roman" w:hAnsi="Times New Roman" w:cs="Times New Roman"/>
          <w:sz w:val="24"/>
          <w:szCs w:val="24"/>
        </w:rPr>
        <w:t>&amp;</w:t>
      </w:r>
      <w:r w:rsidR="00E75AC3" w:rsidRPr="00012F08">
        <w:rPr>
          <w:rFonts w:ascii="Times New Roman" w:hAnsi="Times New Roman" w:cs="Times New Roman"/>
          <w:sz w:val="24"/>
          <w:szCs w:val="24"/>
        </w:rPr>
        <w:t xml:space="preserve"> </w:t>
      </w:r>
      <w:proofErr w:type="spellStart"/>
      <w:r w:rsidRPr="00012F08">
        <w:rPr>
          <w:rFonts w:ascii="Times New Roman" w:hAnsi="Times New Roman" w:cs="Times New Roman"/>
          <w:sz w:val="24"/>
          <w:szCs w:val="24"/>
        </w:rPr>
        <w:t>Gubareva</w:t>
      </w:r>
      <w:proofErr w:type="spellEnd"/>
      <w:r w:rsidRPr="00012F08">
        <w:rPr>
          <w:rFonts w:ascii="Times New Roman" w:hAnsi="Times New Roman" w:cs="Times New Roman"/>
          <w:sz w:val="24"/>
          <w:szCs w:val="24"/>
        </w:rPr>
        <w:t xml:space="preserve">, 2020). </w:t>
      </w:r>
      <w:r w:rsidR="00E75AC3">
        <w:rPr>
          <w:rFonts w:ascii="Times New Roman" w:hAnsi="Times New Roman" w:cs="Times New Roman"/>
          <w:sz w:val="24"/>
          <w:szCs w:val="24"/>
        </w:rPr>
        <w:t>However</w:t>
      </w:r>
      <w:r w:rsidRPr="00012F08">
        <w:rPr>
          <w:rFonts w:ascii="Times New Roman" w:hAnsi="Times New Roman" w:cs="Times New Roman"/>
          <w:sz w:val="24"/>
          <w:szCs w:val="24"/>
        </w:rPr>
        <w:t>, to our knowledge, no study has applied this model to assess the financial impact of sustained U.S.-China geopolitical risk</w:t>
      </w:r>
      <w:r w:rsidR="002646EB">
        <w:rPr>
          <w:rFonts w:ascii="Times New Roman" w:hAnsi="Times New Roman" w:cs="Times New Roman"/>
          <w:sz w:val="24"/>
          <w:szCs w:val="24"/>
        </w:rPr>
        <w:t>s</w:t>
      </w:r>
      <w:r w:rsidRPr="00012F08">
        <w:rPr>
          <w:rFonts w:ascii="Times New Roman" w:hAnsi="Times New Roman" w:cs="Times New Roman"/>
          <w:sz w:val="24"/>
          <w:szCs w:val="24"/>
        </w:rPr>
        <w:t>.</w:t>
      </w:r>
    </w:p>
    <w:p w14:paraId="502B5D6F" w14:textId="6BA8EA0F" w:rsidR="00654F57" w:rsidRPr="00012F08" w:rsidRDefault="00654F57" w:rsidP="00654F57">
      <w:pPr>
        <w:bidi w:val="0"/>
        <w:spacing w:line="276" w:lineRule="auto"/>
        <w:jc w:val="both"/>
        <w:rPr>
          <w:rFonts w:ascii="Times New Roman" w:hAnsi="Times New Roman" w:cs="Times New Roman"/>
          <w:sz w:val="24"/>
          <w:szCs w:val="24"/>
        </w:rPr>
      </w:pPr>
      <w:r w:rsidRPr="00012F08">
        <w:rPr>
          <w:rFonts w:ascii="Times New Roman" w:hAnsi="Times New Roman" w:cs="Times New Roman"/>
          <w:sz w:val="24"/>
          <w:szCs w:val="24"/>
        </w:rPr>
        <w:t xml:space="preserve">Another unresolved debate concerns the role of commodities during crises. While gold is typically considered </w:t>
      </w:r>
      <w:proofErr w:type="gramStart"/>
      <w:r w:rsidRPr="00012F08">
        <w:rPr>
          <w:rFonts w:ascii="Times New Roman" w:hAnsi="Times New Roman" w:cs="Times New Roman"/>
          <w:sz w:val="24"/>
          <w:szCs w:val="24"/>
        </w:rPr>
        <w:t>a safe haven</w:t>
      </w:r>
      <w:proofErr w:type="gramEnd"/>
      <w:r w:rsidRPr="00012F08">
        <w:rPr>
          <w:rFonts w:ascii="Times New Roman" w:hAnsi="Times New Roman" w:cs="Times New Roman"/>
          <w:sz w:val="24"/>
          <w:szCs w:val="24"/>
        </w:rPr>
        <w:t xml:space="preserve"> (Baur &amp; McDermott, 2010), its behavior under structural geopolitical stress</w:t>
      </w:r>
      <w:r w:rsidR="00066322" w:rsidRPr="00012F08">
        <w:rPr>
          <w:rFonts w:ascii="Times New Roman" w:hAnsi="Times New Roman" w:cs="Times New Roman"/>
          <w:sz w:val="24"/>
          <w:szCs w:val="24"/>
        </w:rPr>
        <w:t xml:space="preserve">, </w:t>
      </w:r>
      <w:r w:rsidRPr="00012F08">
        <w:rPr>
          <w:rFonts w:ascii="Times New Roman" w:hAnsi="Times New Roman" w:cs="Times New Roman"/>
          <w:sz w:val="24"/>
          <w:szCs w:val="24"/>
        </w:rPr>
        <w:t>such as a prolonged U.S.-China conflict</w:t>
      </w:r>
      <w:r w:rsidR="00066322" w:rsidRPr="00012F08">
        <w:rPr>
          <w:rFonts w:ascii="Times New Roman" w:hAnsi="Times New Roman" w:cs="Times New Roman"/>
          <w:sz w:val="24"/>
          <w:szCs w:val="24"/>
        </w:rPr>
        <w:t xml:space="preserve">, </w:t>
      </w:r>
      <w:r w:rsidRPr="00012F08">
        <w:rPr>
          <w:rFonts w:ascii="Times New Roman" w:hAnsi="Times New Roman" w:cs="Times New Roman"/>
          <w:sz w:val="24"/>
          <w:szCs w:val="24"/>
        </w:rPr>
        <w:t xml:space="preserve">remains ambiguous. Similarly, oil is often treated as an amplifier of risk due to its sensitivity to global supply </w:t>
      </w:r>
      <w:r w:rsidR="00E75AC3">
        <w:rPr>
          <w:rFonts w:ascii="Times New Roman" w:hAnsi="Times New Roman" w:cs="Times New Roman"/>
          <w:sz w:val="24"/>
          <w:szCs w:val="24"/>
        </w:rPr>
        <w:t xml:space="preserve">and demand </w:t>
      </w:r>
      <w:r w:rsidRPr="00012F08">
        <w:rPr>
          <w:rFonts w:ascii="Times New Roman" w:hAnsi="Times New Roman" w:cs="Times New Roman"/>
          <w:sz w:val="24"/>
          <w:szCs w:val="24"/>
        </w:rPr>
        <w:t xml:space="preserve">shocks. By placing these assets within a </w:t>
      </w:r>
      <w:r w:rsidR="00066322" w:rsidRPr="00012F08">
        <w:rPr>
          <w:rFonts w:ascii="Times New Roman" w:hAnsi="Times New Roman" w:cs="Times New Roman"/>
          <w:sz w:val="24"/>
          <w:szCs w:val="24"/>
        </w:rPr>
        <w:t>connected</w:t>
      </w:r>
      <w:r w:rsidRPr="00012F08">
        <w:rPr>
          <w:rFonts w:ascii="Times New Roman" w:hAnsi="Times New Roman" w:cs="Times New Roman"/>
          <w:sz w:val="24"/>
          <w:szCs w:val="24"/>
        </w:rPr>
        <w:t xml:space="preserve"> network, we offer new insights into their systemic roles.</w:t>
      </w:r>
    </w:p>
    <w:p w14:paraId="2AAC4637" w14:textId="344CAB3E" w:rsidR="00654F57" w:rsidRPr="00012F08" w:rsidRDefault="00654F57" w:rsidP="00654F57">
      <w:pPr>
        <w:bidi w:val="0"/>
        <w:jc w:val="both"/>
        <w:rPr>
          <w:rFonts w:ascii="Times New Roman" w:hAnsi="Times New Roman" w:cs="Times New Roman"/>
          <w:sz w:val="24"/>
          <w:szCs w:val="24"/>
        </w:rPr>
      </w:pPr>
      <w:r w:rsidRPr="00012F08">
        <w:rPr>
          <w:rFonts w:ascii="Times New Roman" w:hAnsi="Times New Roman" w:cs="Times New Roman"/>
          <w:sz w:val="24"/>
          <w:szCs w:val="24"/>
        </w:rPr>
        <w:t xml:space="preserve">Our empirical analysis </w:t>
      </w:r>
      <w:r w:rsidR="00E75AC3">
        <w:rPr>
          <w:rFonts w:ascii="Times New Roman" w:hAnsi="Times New Roman" w:cs="Times New Roman"/>
          <w:sz w:val="24"/>
          <w:szCs w:val="24"/>
        </w:rPr>
        <w:t>uses</w:t>
      </w:r>
      <w:r w:rsidR="00E75AC3" w:rsidRPr="00012F08">
        <w:rPr>
          <w:rFonts w:ascii="Times New Roman" w:hAnsi="Times New Roman" w:cs="Times New Roman"/>
          <w:sz w:val="24"/>
          <w:szCs w:val="24"/>
        </w:rPr>
        <w:t xml:space="preserve"> </w:t>
      </w:r>
      <w:r w:rsidRPr="00012F08">
        <w:rPr>
          <w:rFonts w:ascii="Times New Roman" w:hAnsi="Times New Roman" w:cs="Times New Roman"/>
          <w:sz w:val="24"/>
          <w:szCs w:val="24"/>
        </w:rPr>
        <w:t>monthly data from 1993 to 2024</w:t>
      </w:r>
      <w:r w:rsidR="00E75AC3">
        <w:rPr>
          <w:rFonts w:ascii="Times New Roman" w:hAnsi="Times New Roman" w:cs="Times New Roman"/>
          <w:sz w:val="24"/>
          <w:szCs w:val="24"/>
        </w:rPr>
        <w:t xml:space="preserve">. We chose this </w:t>
      </w:r>
      <w:proofErr w:type="gramStart"/>
      <w:r w:rsidR="00E75AC3">
        <w:rPr>
          <w:rFonts w:ascii="Times New Roman" w:hAnsi="Times New Roman" w:cs="Times New Roman"/>
          <w:sz w:val="24"/>
          <w:szCs w:val="24"/>
        </w:rPr>
        <w:t>time period</w:t>
      </w:r>
      <w:proofErr w:type="gramEnd"/>
      <w:r w:rsidR="00E75AC3">
        <w:rPr>
          <w:rFonts w:ascii="Times New Roman" w:hAnsi="Times New Roman" w:cs="Times New Roman"/>
          <w:sz w:val="24"/>
          <w:szCs w:val="24"/>
        </w:rPr>
        <w:t xml:space="preserve"> to cover</w:t>
      </w:r>
      <w:r w:rsidR="00E75AC3" w:rsidRPr="00012F08">
        <w:rPr>
          <w:rFonts w:ascii="Times New Roman" w:hAnsi="Times New Roman" w:cs="Times New Roman"/>
          <w:sz w:val="24"/>
          <w:szCs w:val="24"/>
        </w:rPr>
        <w:t xml:space="preserve"> </w:t>
      </w:r>
      <w:r w:rsidRPr="00012F08">
        <w:rPr>
          <w:rFonts w:ascii="Times New Roman" w:hAnsi="Times New Roman" w:cs="Times New Roman"/>
          <w:sz w:val="24"/>
          <w:szCs w:val="24"/>
        </w:rPr>
        <w:t xml:space="preserve">two distinct periods: </w:t>
      </w:r>
      <w:r w:rsidR="00E75AC3">
        <w:rPr>
          <w:rFonts w:ascii="Times New Roman" w:hAnsi="Times New Roman" w:cs="Times New Roman"/>
          <w:sz w:val="24"/>
          <w:szCs w:val="24"/>
        </w:rPr>
        <w:t>the</w:t>
      </w:r>
      <w:r w:rsidR="00E75AC3" w:rsidRPr="00012F08">
        <w:rPr>
          <w:rFonts w:ascii="Times New Roman" w:hAnsi="Times New Roman" w:cs="Times New Roman"/>
          <w:sz w:val="24"/>
          <w:szCs w:val="24"/>
        </w:rPr>
        <w:t xml:space="preserve"> </w:t>
      </w:r>
      <w:r w:rsidRPr="00012F08">
        <w:rPr>
          <w:rFonts w:ascii="Times New Roman" w:hAnsi="Times New Roman" w:cs="Times New Roman"/>
          <w:sz w:val="24"/>
          <w:szCs w:val="24"/>
        </w:rPr>
        <w:t xml:space="preserve">pre-2018 era defined by market-led globalization, and </w:t>
      </w:r>
      <w:r w:rsidR="00E75AC3">
        <w:rPr>
          <w:rFonts w:ascii="Times New Roman" w:hAnsi="Times New Roman" w:cs="Times New Roman"/>
          <w:sz w:val="24"/>
          <w:szCs w:val="24"/>
        </w:rPr>
        <w:t>the</w:t>
      </w:r>
      <w:r w:rsidR="00E75AC3" w:rsidRPr="00012F08">
        <w:rPr>
          <w:rFonts w:ascii="Times New Roman" w:hAnsi="Times New Roman" w:cs="Times New Roman"/>
          <w:sz w:val="24"/>
          <w:szCs w:val="24"/>
        </w:rPr>
        <w:t xml:space="preserve"> </w:t>
      </w:r>
      <w:r w:rsidRPr="00012F08">
        <w:rPr>
          <w:rFonts w:ascii="Times New Roman" w:hAnsi="Times New Roman" w:cs="Times New Roman"/>
          <w:sz w:val="24"/>
          <w:szCs w:val="24"/>
        </w:rPr>
        <w:t>post-2018 regime marked by trade war</w:t>
      </w:r>
      <w:r w:rsidR="00E75AC3">
        <w:rPr>
          <w:rFonts w:ascii="Times New Roman" w:hAnsi="Times New Roman" w:cs="Times New Roman"/>
          <w:sz w:val="24"/>
          <w:szCs w:val="24"/>
        </w:rPr>
        <w:t>s</w:t>
      </w:r>
      <w:r w:rsidRPr="00012F08">
        <w:rPr>
          <w:rFonts w:ascii="Times New Roman" w:hAnsi="Times New Roman" w:cs="Times New Roman"/>
          <w:sz w:val="24"/>
          <w:szCs w:val="24"/>
        </w:rPr>
        <w:t>, uncertainty</w:t>
      </w:r>
      <w:r w:rsidR="00E75AC3">
        <w:rPr>
          <w:rFonts w:ascii="Times New Roman" w:hAnsi="Times New Roman" w:cs="Times New Roman"/>
          <w:sz w:val="24"/>
          <w:szCs w:val="24"/>
        </w:rPr>
        <w:t xml:space="preserve"> resulting from the </w:t>
      </w:r>
      <w:r w:rsidR="00E75AC3" w:rsidRPr="00012F08">
        <w:rPr>
          <w:rFonts w:ascii="Times New Roman" w:hAnsi="Times New Roman" w:cs="Times New Roman"/>
          <w:sz w:val="24"/>
          <w:szCs w:val="24"/>
        </w:rPr>
        <w:t>pandemic</w:t>
      </w:r>
      <w:r w:rsidRPr="00012F08">
        <w:rPr>
          <w:rFonts w:ascii="Times New Roman" w:hAnsi="Times New Roman" w:cs="Times New Roman"/>
          <w:sz w:val="24"/>
          <w:szCs w:val="24"/>
        </w:rPr>
        <w:t>, and renewed geopolitical conflict</w:t>
      </w:r>
      <w:r w:rsidR="00E75AC3">
        <w:rPr>
          <w:rFonts w:ascii="Times New Roman" w:hAnsi="Times New Roman" w:cs="Times New Roman"/>
          <w:sz w:val="24"/>
          <w:szCs w:val="24"/>
        </w:rPr>
        <w:t>s</w:t>
      </w:r>
      <w:r w:rsidRPr="00012F08">
        <w:rPr>
          <w:rFonts w:ascii="Times New Roman" w:hAnsi="Times New Roman" w:cs="Times New Roman"/>
          <w:sz w:val="24"/>
          <w:szCs w:val="24"/>
        </w:rPr>
        <w:t xml:space="preserve">. </w:t>
      </w:r>
      <w:r w:rsidR="00E75AC3">
        <w:rPr>
          <w:rFonts w:ascii="Times New Roman" w:hAnsi="Times New Roman" w:cs="Times New Roman"/>
          <w:sz w:val="24"/>
          <w:szCs w:val="24"/>
        </w:rPr>
        <w:t>Using</w:t>
      </w:r>
      <w:r w:rsidRPr="00012F08">
        <w:rPr>
          <w:rFonts w:ascii="Times New Roman" w:hAnsi="Times New Roman" w:cs="Times New Roman"/>
          <w:sz w:val="24"/>
          <w:szCs w:val="24"/>
        </w:rPr>
        <w:t xml:space="preserve"> a time-varying parameter VAR with generalized forecast error variance decomposition</w:t>
      </w:r>
      <w:r w:rsidR="00E75AC3">
        <w:rPr>
          <w:rFonts w:ascii="Times New Roman" w:hAnsi="Times New Roman" w:cs="Times New Roman"/>
          <w:sz w:val="24"/>
          <w:szCs w:val="24"/>
        </w:rPr>
        <w:t xml:space="preserve"> allows us to</w:t>
      </w:r>
      <w:r w:rsidR="00E75AC3" w:rsidRPr="00012F08">
        <w:rPr>
          <w:rFonts w:ascii="Times New Roman" w:hAnsi="Times New Roman" w:cs="Times New Roman"/>
          <w:sz w:val="24"/>
          <w:szCs w:val="24"/>
        </w:rPr>
        <w:t xml:space="preserve"> </w:t>
      </w:r>
      <w:r w:rsidRPr="00012F08">
        <w:rPr>
          <w:rFonts w:ascii="Times New Roman" w:hAnsi="Times New Roman" w:cs="Times New Roman"/>
          <w:sz w:val="24"/>
          <w:szCs w:val="24"/>
        </w:rPr>
        <w:t>trace how tensions flow through financial markets and how the system itself evolves in response to global shocks. In doing so, we present the first dynamic, multi-asset connectedness study focused on U.S.-China geopolitical tensions</w:t>
      </w:r>
      <w:r w:rsidR="00E75AC3">
        <w:rPr>
          <w:rFonts w:ascii="Times New Roman" w:hAnsi="Times New Roman" w:cs="Times New Roman"/>
          <w:sz w:val="24"/>
          <w:szCs w:val="24"/>
        </w:rPr>
        <w:t xml:space="preserve">. Our findings provide </w:t>
      </w:r>
      <w:r w:rsidRPr="00012F08">
        <w:rPr>
          <w:rFonts w:ascii="Times New Roman" w:hAnsi="Times New Roman" w:cs="Times New Roman"/>
          <w:sz w:val="24"/>
          <w:szCs w:val="24"/>
        </w:rPr>
        <w:t xml:space="preserve">academics, investors, and policymakers </w:t>
      </w:r>
      <w:r w:rsidR="00E75AC3">
        <w:rPr>
          <w:rFonts w:ascii="Times New Roman" w:hAnsi="Times New Roman" w:cs="Times New Roman"/>
          <w:sz w:val="24"/>
          <w:szCs w:val="24"/>
        </w:rPr>
        <w:t xml:space="preserve">with </w:t>
      </w:r>
      <w:r w:rsidR="00E75AC3" w:rsidRPr="00012F08">
        <w:rPr>
          <w:rFonts w:ascii="Times New Roman" w:hAnsi="Times New Roman" w:cs="Times New Roman"/>
          <w:sz w:val="24"/>
          <w:szCs w:val="24"/>
        </w:rPr>
        <w:t xml:space="preserve">new perspectives </w:t>
      </w:r>
      <w:r w:rsidR="00E75AC3">
        <w:rPr>
          <w:rFonts w:ascii="Times New Roman" w:hAnsi="Times New Roman" w:cs="Times New Roman"/>
          <w:sz w:val="24"/>
          <w:szCs w:val="24"/>
        </w:rPr>
        <w:t xml:space="preserve">for </w:t>
      </w:r>
      <w:r w:rsidRPr="00012F08">
        <w:rPr>
          <w:rFonts w:ascii="Times New Roman" w:hAnsi="Times New Roman" w:cs="Times New Roman"/>
          <w:sz w:val="24"/>
          <w:szCs w:val="24"/>
        </w:rPr>
        <w:t>navigating a more fragile and politically charged financial landscape.</w:t>
      </w:r>
    </w:p>
    <w:p w14:paraId="0851F93A" w14:textId="77777777" w:rsidR="00654F57" w:rsidRPr="00012F08" w:rsidRDefault="00654F57" w:rsidP="00654F57">
      <w:pPr>
        <w:pStyle w:val="ListParagraph"/>
        <w:bidi w:val="0"/>
        <w:spacing w:line="360" w:lineRule="auto"/>
        <w:ind w:left="360"/>
        <w:jc w:val="both"/>
        <w:rPr>
          <w:rFonts w:asciiTheme="majorBidi" w:hAnsiTheme="majorBidi" w:cstheme="majorBidi"/>
          <w:b/>
          <w:bCs/>
          <w:sz w:val="24"/>
          <w:szCs w:val="24"/>
        </w:rPr>
      </w:pPr>
    </w:p>
    <w:p w14:paraId="4312C0C5" w14:textId="10C69BFC" w:rsidR="00A8769A" w:rsidRPr="00012F08" w:rsidRDefault="00A8769A" w:rsidP="00A8769A">
      <w:pPr>
        <w:pStyle w:val="ListParagraph"/>
        <w:numPr>
          <w:ilvl w:val="0"/>
          <w:numId w:val="19"/>
        </w:numPr>
        <w:bidi w:val="0"/>
        <w:spacing w:line="360" w:lineRule="auto"/>
        <w:jc w:val="both"/>
        <w:rPr>
          <w:rFonts w:asciiTheme="majorBidi" w:hAnsiTheme="majorBidi" w:cstheme="majorBidi"/>
          <w:b/>
          <w:bCs/>
          <w:sz w:val="24"/>
          <w:szCs w:val="24"/>
        </w:rPr>
      </w:pPr>
      <w:r w:rsidRPr="00012F08">
        <w:rPr>
          <w:rFonts w:asciiTheme="majorBidi" w:hAnsiTheme="majorBidi" w:cstheme="majorBidi"/>
          <w:b/>
          <w:bCs/>
          <w:sz w:val="24"/>
          <w:szCs w:val="24"/>
        </w:rPr>
        <w:t xml:space="preserve">Data </w:t>
      </w:r>
    </w:p>
    <w:p w14:paraId="1D32CA0D" w14:textId="6571FF8F" w:rsidR="00A8769A" w:rsidRPr="00012F08" w:rsidRDefault="00A8769A" w:rsidP="00654F57">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The U.S.-China Tension Index (</w:t>
      </w:r>
      <w:r w:rsidR="001C3579">
        <w:rPr>
          <w:rFonts w:asciiTheme="majorBidi" w:hAnsiTheme="majorBidi" w:cstheme="majorBidi"/>
          <w:sz w:val="24"/>
          <w:szCs w:val="24"/>
        </w:rPr>
        <w:t xml:space="preserve">the UCT; </w:t>
      </w:r>
      <w:r w:rsidR="00185839" w:rsidRPr="00012F08">
        <w:rPr>
          <w:rFonts w:asciiTheme="majorBidi" w:hAnsiTheme="majorBidi" w:cstheme="majorBidi"/>
          <w:sz w:val="24"/>
          <w:szCs w:val="24"/>
        </w:rPr>
        <w:t xml:space="preserve">Rogers, Sun, </w:t>
      </w:r>
      <w:r w:rsidR="001C3579">
        <w:rPr>
          <w:rFonts w:asciiTheme="majorBidi" w:hAnsiTheme="majorBidi" w:cstheme="majorBidi"/>
          <w:sz w:val="24"/>
          <w:szCs w:val="24"/>
        </w:rPr>
        <w:t>&amp;</w:t>
      </w:r>
      <w:r w:rsidR="001C3579" w:rsidRPr="00012F08">
        <w:rPr>
          <w:rFonts w:asciiTheme="majorBidi" w:hAnsiTheme="majorBidi" w:cstheme="majorBidi"/>
          <w:sz w:val="24"/>
          <w:szCs w:val="24"/>
        </w:rPr>
        <w:t xml:space="preserve"> </w:t>
      </w:r>
      <w:r w:rsidR="00185839" w:rsidRPr="00012F08">
        <w:rPr>
          <w:rFonts w:asciiTheme="majorBidi" w:hAnsiTheme="majorBidi" w:cstheme="majorBidi"/>
          <w:sz w:val="24"/>
          <w:szCs w:val="24"/>
        </w:rPr>
        <w:t>Sun, 2024</w:t>
      </w:r>
      <w:r w:rsidRPr="00012F08">
        <w:rPr>
          <w:rFonts w:asciiTheme="majorBidi" w:hAnsiTheme="majorBidi" w:cstheme="majorBidi"/>
          <w:sz w:val="24"/>
          <w:szCs w:val="24"/>
        </w:rPr>
        <w:t>) is a monthly measure capturing the intensity of geopolitical frictions between the United States and China</w:t>
      </w:r>
      <w:r w:rsidR="001C3579">
        <w:rPr>
          <w:rFonts w:asciiTheme="majorBidi" w:hAnsiTheme="majorBidi" w:cstheme="majorBidi"/>
          <w:sz w:val="24"/>
          <w:szCs w:val="24"/>
        </w:rPr>
        <w:t>. It is</w:t>
      </w:r>
      <w:r w:rsidR="001C3579"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constructed using </w:t>
      </w:r>
      <w:r w:rsidR="002646EB">
        <w:rPr>
          <w:rFonts w:asciiTheme="majorBidi" w:hAnsiTheme="majorBidi" w:cstheme="majorBidi"/>
          <w:sz w:val="24"/>
          <w:szCs w:val="24"/>
        </w:rPr>
        <w:t>analyses of</w:t>
      </w:r>
      <w:r w:rsidR="002646EB" w:rsidRPr="00012F08">
        <w:rPr>
          <w:rFonts w:asciiTheme="majorBidi" w:hAnsiTheme="majorBidi" w:cstheme="majorBidi"/>
          <w:sz w:val="24"/>
          <w:szCs w:val="24"/>
        </w:rPr>
        <w:t xml:space="preserve"> </w:t>
      </w:r>
      <w:r w:rsidRPr="00012F08">
        <w:rPr>
          <w:rFonts w:asciiTheme="majorBidi" w:hAnsiTheme="majorBidi" w:cstheme="majorBidi"/>
          <w:sz w:val="24"/>
          <w:szCs w:val="24"/>
        </w:rPr>
        <w:t>newspaper text</w:t>
      </w:r>
      <w:r w:rsidR="002646EB">
        <w:rPr>
          <w:rFonts w:asciiTheme="majorBidi" w:hAnsiTheme="majorBidi" w:cstheme="majorBidi"/>
          <w:sz w:val="24"/>
          <w:szCs w:val="24"/>
        </w:rPr>
        <w:t>s</w:t>
      </w:r>
      <w:r w:rsidRPr="00012F08">
        <w:rPr>
          <w:rFonts w:asciiTheme="majorBidi" w:hAnsiTheme="majorBidi" w:cstheme="majorBidi"/>
          <w:sz w:val="24"/>
          <w:szCs w:val="24"/>
        </w:rPr>
        <w:t xml:space="preserve">. The index quantifies the frequency of articles </w:t>
      </w:r>
      <w:r w:rsidR="001C3579">
        <w:rPr>
          <w:rFonts w:asciiTheme="majorBidi" w:hAnsiTheme="majorBidi" w:cstheme="majorBidi"/>
          <w:sz w:val="24"/>
          <w:szCs w:val="24"/>
        </w:rPr>
        <w:t xml:space="preserve">that talk about contentious issues in </w:t>
      </w:r>
      <w:r w:rsidRPr="00012F08">
        <w:rPr>
          <w:rFonts w:asciiTheme="majorBidi" w:hAnsiTheme="majorBidi" w:cstheme="majorBidi"/>
          <w:sz w:val="24"/>
          <w:szCs w:val="24"/>
        </w:rPr>
        <w:t xml:space="preserve">bilateral relations </w:t>
      </w:r>
      <w:r w:rsidR="001C3579">
        <w:rPr>
          <w:rFonts w:asciiTheme="majorBidi" w:hAnsiTheme="majorBidi" w:cstheme="majorBidi"/>
          <w:sz w:val="24"/>
          <w:szCs w:val="24"/>
        </w:rPr>
        <w:t>using language that signals tensions.</w:t>
      </w:r>
      <w:r w:rsidR="002646EB">
        <w:rPr>
          <w:rFonts w:asciiTheme="majorBidi" w:hAnsiTheme="majorBidi" w:cstheme="majorBidi"/>
          <w:sz w:val="24"/>
          <w:szCs w:val="24"/>
        </w:rPr>
        <w:t xml:space="preserve"> </w:t>
      </w:r>
      <w:r w:rsidR="001C3579">
        <w:rPr>
          <w:rFonts w:asciiTheme="majorBidi" w:hAnsiTheme="majorBidi" w:cstheme="majorBidi"/>
          <w:sz w:val="24"/>
          <w:szCs w:val="24"/>
        </w:rPr>
        <w:t xml:space="preserve">The result is an index that provides </w:t>
      </w:r>
      <w:r w:rsidRPr="00012F08">
        <w:rPr>
          <w:rFonts w:asciiTheme="majorBidi" w:hAnsiTheme="majorBidi" w:cstheme="majorBidi"/>
          <w:sz w:val="24"/>
          <w:szCs w:val="24"/>
        </w:rPr>
        <w:t>a consistent, time-series indicator of geopolitical strain</w:t>
      </w:r>
      <w:r w:rsidR="001C3579">
        <w:rPr>
          <w:rFonts w:asciiTheme="majorBidi" w:hAnsiTheme="majorBidi" w:cstheme="majorBidi"/>
          <w:sz w:val="24"/>
          <w:szCs w:val="24"/>
        </w:rPr>
        <w:t>s</w:t>
      </w:r>
      <w:r w:rsidRPr="00012F08">
        <w:rPr>
          <w:rFonts w:asciiTheme="majorBidi" w:hAnsiTheme="majorBidi" w:cstheme="majorBidi"/>
          <w:sz w:val="24"/>
          <w:szCs w:val="24"/>
        </w:rPr>
        <w:t xml:space="preserve"> from 1993 onward. The UCT has been shown to align with periods of heightened diplomatic conflict and policy uncertainty, making it a suitable proxy for examining how geopolitical tensions influence financial markets and systemic connectedness.</w:t>
      </w:r>
    </w:p>
    <w:p w14:paraId="5BE94315" w14:textId="074FDCD4" w:rsidR="00136DAF" w:rsidRPr="00012F08" w:rsidRDefault="00136DAF" w:rsidP="00C15056">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The network analysis in this study incorporates </w:t>
      </w:r>
      <w:r w:rsidR="00F049ED" w:rsidRPr="00012F08">
        <w:rPr>
          <w:rFonts w:asciiTheme="majorBidi" w:hAnsiTheme="majorBidi" w:cstheme="majorBidi"/>
          <w:sz w:val="24"/>
          <w:szCs w:val="24"/>
        </w:rPr>
        <w:t xml:space="preserve">the rate of change (returns) of </w:t>
      </w:r>
      <w:r w:rsidRPr="00012F08">
        <w:rPr>
          <w:rFonts w:asciiTheme="majorBidi" w:hAnsiTheme="majorBidi" w:cstheme="majorBidi"/>
          <w:sz w:val="24"/>
          <w:szCs w:val="24"/>
        </w:rPr>
        <w:t xml:space="preserve">seven key variables to capture the interplay between geopolitical tensions, </w:t>
      </w:r>
      <w:r w:rsidR="00C15056" w:rsidRPr="00012F08">
        <w:rPr>
          <w:rFonts w:asciiTheme="majorBidi" w:hAnsiTheme="majorBidi" w:cstheme="majorBidi"/>
          <w:sz w:val="24"/>
          <w:szCs w:val="24"/>
        </w:rPr>
        <w:t xml:space="preserve">US and China </w:t>
      </w:r>
      <w:r w:rsidRPr="00012F08">
        <w:rPr>
          <w:rFonts w:asciiTheme="majorBidi" w:hAnsiTheme="majorBidi" w:cstheme="majorBidi"/>
          <w:sz w:val="24"/>
          <w:szCs w:val="24"/>
        </w:rPr>
        <w:t xml:space="preserve">financial markets, </w:t>
      </w:r>
      <w:r w:rsidR="00C15056" w:rsidRPr="00012F08">
        <w:rPr>
          <w:rFonts w:asciiTheme="majorBidi" w:hAnsiTheme="majorBidi" w:cstheme="majorBidi"/>
          <w:sz w:val="24"/>
          <w:szCs w:val="24"/>
        </w:rPr>
        <w:t xml:space="preserve">implied </w:t>
      </w:r>
      <w:r w:rsidRPr="00012F08">
        <w:rPr>
          <w:rFonts w:asciiTheme="majorBidi" w:hAnsiTheme="majorBidi" w:cstheme="majorBidi"/>
          <w:sz w:val="24"/>
          <w:szCs w:val="24"/>
        </w:rPr>
        <w:t xml:space="preserve">volatility, exchange rate, and </w:t>
      </w:r>
      <w:r w:rsidR="00C15056" w:rsidRPr="00012F08">
        <w:rPr>
          <w:rFonts w:asciiTheme="majorBidi" w:hAnsiTheme="majorBidi" w:cstheme="majorBidi"/>
          <w:sz w:val="24"/>
          <w:szCs w:val="24"/>
        </w:rPr>
        <w:t>oil and gold</w:t>
      </w:r>
      <w:r w:rsidRPr="00012F08">
        <w:rPr>
          <w:rFonts w:asciiTheme="majorBidi" w:hAnsiTheme="majorBidi" w:cstheme="majorBidi"/>
          <w:sz w:val="24"/>
          <w:szCs w:val="24"/>
        </w:rPr>
        <w:t>. The U.S.-China Tension Index (UCT) proxies for risk and bilateral tensions between the United States and China. The S&amp;P 500 Index (S&amp;P) and the CSI 300 Index (CHINA) represent major equity markets in the U.S. and China, respectively. The VIX Index (VIX) serves as a gauge of implied volatility and investor uncertainty in U.S. markets. The USD/CNY exchange rate</w:t>
      </w:r>
      <w:r w:rsidR="00C15056" w:rsidRPr="00012F08">
        <w:rPr>
          <w:rStyle w:val="FootnoteReference"/>
          <w:rFonts w:asciiTheme="majorBidi" w:hAnsiTheme="majorBidi" w:cstheme="majorBidi"/>
          <w:sz w:val="24"/>
          <w:szCs w:val="24"/>
        </w:rPr>
        <w:footnoteReference w:id="2"/>
      </w:r>
      <w:r w:rsidRPr="00012F08">
        <w:rPr>
          <w:rFonts w:asciiTheme="majorBidi" w:hAnsiTheme="majorBidi" w:cstheme="majorBidi"/>
          <w:sz w:val="24"/>
          <w:szCs w:val="24"/>
        </w:rPr>
        <w:t xml:space="preserve"> reflects the dynamics of the Chinese yuan against the U.S. dollar, capturing exchange rate pressures during </w:t>
      </w:r>
      <w:r w:rsidR="00C15056" w:rsidRPr="00012F08">
        <w:rPr>
          <w:rFonts w:asciiTheme="majorBidi" w:hAnsiTheme="majorBidi" w:cstheme="majorBidi"/>
          <w:sz w:val="24"/>
          <w:szCs w:val="24"/>
        </w:rPr>
        <w:t>tensions</w:t>
      </w:r>
      <w:r w:rsidRPr="00012F08">
        <w:rPr>
          <w:rFonts w:asciiTheme="majorBidi" w:hAnsiTheme="majorBidi" w:cstheme="majorBidi"/>
          <w:sz w:val="24"/>
          <w:szCs w:val="24"/>
        </w:rPr>
        <w:t xml:space="preserve"> and financial events. </w:t>
      </w:r>
    </w:p>
    <w:p w14:paraId="744B7ED9" w14:textId="5F76B4DD" w:rsidR="00136DAF" w:rsidRPr="00012F08" w:rsidRDefault="00136DAF" w:rsidP="00654F57">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Finally, Gold and crude Oil prices are included to represent key commodities that often respond to shifts in risk sentiment and global economic conditions. Gold</w:t>
      </w:r>
      <w:proofErr w:type="gramStart"/>
      <w:r w:rsidRPr="00012F08">
        <w:rPr>
          <w:rFonts w:asciiTheme="majorBidi" w:hAnsiTheme="majorBidi" w:cstheme="majorBidi"/>
          <w:sz w:val="24"/>
          <w:szCs w:val="24"/>
        </w:rPr>
        <w:t>, in particular, is</w:t>
      </w:r>
      <w:proofErr w:type="gramEnd"/>
      <w:r w:rsidRPr="00012F08">
        <w:rPr>
          <w:rFonts w:asciiTheme="majorBidi" w:hAnsiTheme="majorBidi" w:cstheme="majorBidi"/>
          <w:sz w:val="24"/>
          <w:szCs w:val="24"/>
        </w:rPr>
        <w:t xml:space="preserve"> widely regarded as a safe-haven asset and a hedge during periods of heightened uncertainty, while Oil prices reflect supply shocks and global demand dynamics. Both commodities thus provide additional pathways through which geopolitical tensions may propagate and interact with financial markets within the global financial system.</w:t>
      </w:r>
    </w:p>
    <w:p w14:paraId="020BA7FB" w14:textId="12C1493B" w:rsidR="00A8769A" w:rsidRPr="00012F08" w:rsidRDefault="00A8769A" w:rsidP="00654F57">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The analysis utilizes monthly data starting from January 1993 (matching the start of the UCT index) through the most recent available observations, covering the period until February 2024. To balance the theoretical needs of the research and the sample size constraints, we divide the data into two primary periods: (1) a pre-trade war globalization period from January 1993 to December 2017, characterized by accelerated globalization and lower systemic geopolitical tensions, and (2) a trade war and post-pandemic tension period from January 2018 to December 2024, marked by the U.S.-China trade war, the COVID-19 pandemic, and heightened geopolitical frictions. This division allows us to capture structural shifts in the connectedness structure under different geopolitical environments while maintaining sufficient observations for reliable VAR and TVP-VAR estimation in each subperiod</w:t>
      </w:r>
      <w:r w:rsidR="00136DAF" w:rsidRPr="00012F08">
        <w:rPr>
          <w:rFonts w:asciiTheme="majorBidi" w:hAnsiTheme="majorBidi" w:cstheme="majorBidi"/>
          <w:sz w:val="24"/>
          <w:szCs w:val="24"/>
        </w:rPr>
        <w:t>.</w:t>
      </w:r>
    </w:p>
    <w:p w14:paraId="24E0A9FD" w14:textId="2257C327" w:rsidR="00DE1045" w:rsidRPr="00012F08" w:rsidRDefault="00A8769A" w:rsidP="00654F57">
      <w:pPr>
        <w:bidi w:val="0"/>
        <w:spacing w:line="276" w:lineRule="auto"/>
        <w:jc w:val="both"/>
        <w:rPr>
          <w:rFonts w:asciiTheme="majorBidi" w:hAnsiTheme="majorBidi" w:cstheme="majorBidi"/>
          <w:sz w:val="24"/>
          <w:szCs w:val="24"/>
        </w:rPr>
      </w:pPr>
      <w:r w:rsidRPr="00674425">
        <w:rPr>
          <w:rFonts w:asciiTheme="majorBidi" w:hAnsiTheme="majorBidi" w:cstheme="majorBidi"/>
          <w:b/>
          <w:bCs/>
          <w:sz w:val="24"/>
          <w:szCs w:val="24"/>
        </w:rPr>
        <w:t>Table 1</w:t>
      </w:r>
      <w:r w:rsidRPr="00012F08">
        <w:rPr>
          <w:rFonts w:asciiTheme="majorBidi" w:hAnsiTheme="majorBidi" w:cstheme="majorBidi"/>
          <w:sz w:val="24"/>
          <w:szCs w:val="24"/>
        </w:rPr>
        <w:t xml:space="preserve"> reports the descriptive statistics of the variables under examination, including the U.S.-China Tension Index (UCT), the S&amp;P 500, CSI 300, VIX, USD/CNY exchange rate, Gold, and Oil prices. Across the full sample and within subperiods, the UCT and VIX exhibit the highest </w:t>
      </w:r>
      <w:r w:rsidR="003F5A67" w:rsidRPr="00012F08">
        <w:rPr>
          <w:rFonts w:asciiTheme="majorBidi" w:hAnsiTheme="majorBidi" w:cstheme="majorBidi"/>
          <w:sz w:val="24"/>
          <w:szCs w:val="24"/>
        </w:rPr>
        <w:t>standard deviation</w:t>
      </w:r>
      <w:r w:rsidRPr="00012F08">
        <w:rPr>
          <w:rFonts w:asciiTheme="majorBidi" w:hAnsiTheme="majorBidi" w:cstheme="majorBidi"/>
          <w:sz w:val="24"/>
          <w:szCs w:val="24"/>
        </w:rPr>
        <w:t xml:space="preserve">, consistent with spikes during periods of financial and geopolitical stress, such as the 1997 </w:t>
      </w:r>
      <w:r w:rsidR="005B087A" w:rsidRPr="00012F08">
        <w:rPr>
          <w:rFonts w:asciiTheme="majorBidi" w:hAnsiTheme="majorBidi" w:cstheme="majorBidi"/>
          <w:sz w:val="24"/>
          <w:szCs w:val="24"/>
        </w:rPr>
        <w:t xml:space="preserve">financial crisis, the 2008 global financial crisis, </w:t>
      </w:r>
      <w:r w:rsidRPr="00012F08">
        <w:rPr>
          <w:rFonts w:asciiTheme="majorBidi" w:hAnsiTheme="majorBidi" w:cstheme="majorBidi"/>
          <w:sz w:val="24"/>
          <w:szCs w:val="24"/>
        </w:rPr>
        <w:t xml:space="preserve">the escalation of U.S.-China trade tensions in 2018, and the COVID-19 pandemic in 2020. </w:t>
      </w:r>
      <w:r w:rsidR="003F5A67" w:rsidRPr="00012F08">
        <w:rPr>
          <w:rFonts w:asciiTheme="majorBidi" w:hAnsiTheme="majorBidi" w:cstheme="majorBidi"/>
          <w:sz w:val="24"/>
          <w:szCs w:val="24"/>
        </w:rPr>
        <w:t xml:space="preserve">For example, the UCT exhibits a standard deviation of 0.197 in the full period and </w:t>
      </w:r>
      <w:r w:rsidR="00EB3F94" w:rsidRPr="00012F08">
        <w:rPr>
          <w:rFonts w:asciiTheme="majorBidi" w:hAnsiTheme="majorBidi" w:cstheme="majorBidi"/>
          <w:sz w:val="24"/>
          <w:szCs w:val="24"/>
        </w:rPr>
        <w:t xml:space="preserve">(0.200) </w:t>
      </w:r>
      <w:r w:rsidR="003F5A67" w:rsidRPr="00012F08">
        <w:rPr>
          <w:rFonts w:asciiTheme="majorBidi" w:hAnsiTheme="majorBidi" w:cstheme="majorBidi"/>
          <w:sz w:val="24"/>
          <w:szCs w:val="24"/>
        </w:rPr>
        <w:t xml:space="preserve">0.185 </w:t>
      </w:r>
      <w:r w:rsidR="00EB3F94" w:rsidRPr="00012F08">
        <w:rPr>
          <w:rFonts w:asciiTheme="majorBidi" w:hAnsiTheme="majorBidi" w:cstheme="majorBidi"/>
          <w:sz w:val="24"/>
          <w:szCs w:val="24"/>
        </w:rPr>
        <w:t xml:space="preserve">(pre) </w:t>
      </w:r>
      <w:r w:rsidR="003F5A67" w:rsidRPr="00012F08">
        <w:rPr>
          <w:rFonts w:asciiTheme="majorBidi" w:hAnsiTheme="majorBidi" w:cstheme="majorBidi"/>
          <w:sz w:val="24"/>
          <w:szCs w:val="24"/>
        </w:rPr>
        <w:t xml:space="preserve">post-2018, </w:t>
      </w:r>
      <w:r w:rsidR="00DA1A43">
        <w:rPr>
          <w:rFonts w:asciiTheme="majorBidi" w:hAnsiTheme="majorBidi" w:cstheme="majorBidi"/>
          <w:sz w:val="24"/>
          <w:szCs w:val="24"/>
        </w:rPr>
        <w:t>The</w:t>
      </w:r>
      <w:r w:rsidR="003F5A67" w:rsidRPr="00012F08">
        <w:rPr>
          <w:rFonts w:asciiTheme="majorBidi" w:hAnsiTheme="majorBidi" w:cstheme="majorBidi"/>
          <w:sz w:val="24"/>
          <w:szCs w:val="24"/>
        </w:rPr>
        <w:t xml:space="preserve"> </w:t>
      </w:r>
      <w:r w:rsidR="00EB3F94" w:rsidRPr="00012F08">
        <w:rPr>
          <w:rFonts w:asciiTheme="majorBidi" w:hAnsiTheme="majorBidi" w:cstheme="majorBidi"/>
          <w:sz w:val="24"/>
          <w:szCs w:val="24"/>
        </w:rPr>
        <w:t>VIX</w:t>
      </w:r>
      <w:r w:rsidR="003F5A67" w:rsidRPr="00012F08">
        <w:rPr>
          <w:rFonts w:asciiTheme="majorBidi" w:hAnsiTheme="majorBidi" w:cstheme="majorBidi"/>
          <w:sz w:val="24"/>
          <w:szCs w:val="24"/>
        </w:rPr>
        <w:t xml:space="preserve"> shows a standard deviation of 0.</w:t>
      </w:r>
      <w:r w:rsidR="00EB3F94" w:rsidRPr="00012F08">
        <w:rPr>
          <w:rFonts w:asciiTheme="majorBidi" w:hAnsiTheme="majorBidi" w:cstheme="majorBidi"/>
          <w:sz w:val="24"/>
          <w:szCs w:val="24"/>
        </w:rPr>
        <w:t>223</w:t>
      </w:r>
      <w:r w:rsidR="003F5A67" w:rsidRPr="00012F08">
        <w:rPr>
          <w:rFonts w:asciiTheme="majorBidi" w:hAnsiTheme="majorBidi" w:cstheme="majorBidi"/>
          <w:sz w:val="24"/>
          <w:szCs w:val="24"/>
        </w:rPr>
        <w:t xml:space="preserve"> in the </w:t>
      </w:r>
      <w:r w:rsidR="005B087A">
        <w:rPr>
          <w:rFonts w:asciiTheme="majorBidi" w:hAnsiTheme="majorBidi" w:cstheme="majorBidi"/>
          <w:sz w:val="24"/>
          <w:szCs w:val="24"/>
        </w:rPr>
        <w:t>entire</w:t>
      </w:r>
      <w:r w:rsidR="005B087A" w:rsidRPr="00012F08">
        <w:rPr>
          <w:rFonts w:asciiTheme="majorBidi" w:hAnsiTheme="majorBidi" w:cstheme="majorBidi"/>
          <w:sz w:val="24"/>
          <w:szCs w:val="24"/>
        </w:rPr>
        <w:t xml:space="preserve"> </w:t>
      </w:r>
      <w:r w:rsidR="003F5A67" w:rsidRPr="00012F08">
        <w:rPr>
          <w:rFonts w:asciiTheme="majorBidi" w:hAnsiTheme="majorBidi" w:cstheme="majorBidi"/>
          <w:sz w:val="24"/>
          <w:szCs w:val="24"/>
        </w:rPr>
        <w:t xml:space="preserve">period, underscoring its </w:t>
      </w:r>
      <w:r w:rsidR="000F752B">
        <w:rPr>
          <w:rFonts w:asciiTheme="majorBidi" w:hAnsiTheme="majorBidi" w:cstheme="majorBidi"/>
          <w:sz w:val="24"/>
          <w:szCs w:val="24"/>
        </w:rPr>
        <w:t xml:space="preserve">role in representing </w:t>
      </w:r>
      <w:r w:rsidR="003F5A67" w:rsidRPr="00012F08">
        <w:rPr>
          <w:rFonts w:asciiTheme="majorBidi" w:hAnsiTheme="majorBidi" w:cstheme="majorBidi"/>
          <w:sz w:val="24"/>
          <w:szCs w:val="24"/>
        </w:rPr>
        <w:t xml:space="preserve">episodic stress. </w:t>
      </w:r>
      <w:r w:rsidRPr="00012F08">
        <w:rPr>
          <w:rFonts w:asciiTheme="majorBidi" w:hAnsiTheme="majorBidi" w:cstheme="majorBidi"/>
          <w:sz w:val="24"/>
          <w:szCs w:val="24"/>
        </w:rPr>
        <w:t xml:space="preserve">The equity indices and commodity prices exhibit </w:t>
      </w:r>
      <w:r w:rsidR="000F752B">
        <w:rPr>
          <w:rFonts w:asciiTheme="majorBidi" w:hAnsiTheme="majorBidi" w:cstheme="majorBidi"/>
          <w:sz w:val="24"/>
          <w:szCs w:val="24"/>
        </w:rPr>
        <w:t>less</w:t>
      </w:r>
      <w:r w:rsidR="000F752B"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volatility on average but display periods of heightened fluctuations around key events. Skewness and kurtosis measures, along with significant Jarque-Bera test statistics, indicate departures from normality across most series, underscoring the appropriateness of </w:t>
      </w:r>
      <w:r w:rsidR="000F752B">
        <w:rPr>
          <w:rFonts w:asciiTheme="majorBidi" w:hAnsiTheme="majorBidi" w:cstheme="majorBidi"/>
          <w:sz w:val="24"/>
          <w:szCs w:val="24"/>
        </w:rPr>
        <w:t>using</w:t>
      </w:r>
      <w:r w:rsidR="000F752B" w:rsidRPr="00012F08">
        <w:rPr>
          <w:rFonts w:asciiTheme="majorBidi" w:hAnsiTheme="majorBidi" w:cstheme="majorBidi"/>
          <w:sz w:val="24"/>
          <w:szCs w:val="24"/>
        </w:rPr>
        <w:t xml:space="preserve"> </w:t>
      </w:r>
      <w:r w:rsidRPr="00012F08">
        <w:rPr>
          <w:rFonts w:asciiTheme="majorBidi" w:hAnsiTheme="majorBidi" w:cstheme="majorBidi"/>
          <w:sz w:val="24"/>
          <w:szCs w:val="24"/>
        </w:rPr>
        <w:t>VAR-based connectedness frameworks in the subsequent analysis.</w:t>
      </w:r>
    </w:p>
    <w:p w14:paraId="1F9D5341" w14:textId="5E6E6510" w:rsidR="00F049ED" w:rsidRPr="00012F08" w:rsidRDefault="00F049ED" w:rsidP="00F049ED">
      <w:pPr>
        <w:pStyle w:val="ListParagraph"/>
        <w:numPr>
          <w:ilvl w:val="0"/>
          <w:numId w:val="19"/>
        </w:numPr>
        <w:bidi w:val="0"/>
        <w:spacing w:line="360" w:lineRule="auto"/>
        <w:jc w:val="both"/>
        <w:rPr>
          <w:rFonts w:asciiTheme="majorBidi" w:hAnsiTheme="majorBidi" w:cstheme="majorBidi"/>
          <w:sz w:val="24"/>
          <w:szCs w:val="24"/>
        </w:rPr>
      </w:pPr>
      <w:r w:rsidRPr="00012F08">
        <w:rPr>
          <w:rFonts w:asciiTheme="majorBidi" w:hAnsiTheme="majorBidi" w:cstheme="majorBidi"/>
          <w:b/>
          <w:bCs/>
          <w:sz w:val="24"/>
          <w:szCs w:val="24"/>
        </w:rPr>
        <w:t>Method</w:t>
      </w:r>
    </w:p>
    <w:p w14:paraId="5BC793AE" w14:textId="659020D7" w:rsidR="00990924" w:rsidRPr="00012F08" w:rsidRDefault="00990924" w:rsidP="00654F57">
      <w:pPr>
        <w:autoSpaceDE w:val="0"/>
        <w:autoSpaceDN w:val="0"/>
        <w:bidi w:val="0"/>
        <w:adjustRightInd w:val="0"/>
        <w:spacing w:before="120" w:after="120" w:line="276"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We </w:t>
      </w:r>
      <w:r w:rsidR="00F97A19">
        <w:rPr>
          <w:rFonts w:asciiTheme="majorBidi" w:eastAsia="Calibri" w:hAnsiTheme="majorBidi" w:cstheme="majorBidi"/>
          <w:color w:val="000000"/>
          <w:sz w:val="24"/>
          <w:szCs w:val="24"/>
        </w:rPr>
        <w:t>utilized</w:t>
      </w:r>
      <w:r w:rsidR="00F97A19" w:rsidRPr="00012F08">
        <w:rPr>
          <w:rFonts w:asciiTheme="majorBidi" w:eastAsia="Calibri" w:hAnsiTheme="majorBidi" w:cstheme="majorBidi"/>
          <w:color w:val="000000"/>
          <w:sz w:val="24"/>
          <w:szCs w:val="24"/>
        </w:rPr>
        <w:t xml:space="preserve"> </w:t>
      </w:r>
      <w:r w:rsidR="00061E30" w:rsidRPr="00012F08">
        <w:rPr>
          <w:rFonts w:asciiTheme="majorBidi" w:eastAsia="Calibri" w:hAnsiTheme="majorBidi" w:cstheme="majorBidi"/>
          <w:color w:val="000000"/>
          <w:sz w:val="24"/>
          <w:szCs w:val="24"/>
        </w:rPr>
        <w:t xml:space="preserve">a TVP-VAR (1) model using the </w:t>
      </w:r>
      <w:r w:rsidRPr="00012F08">
        <w:rPr>
          <w:rFonts w:asciiTheme="majorBidi" w:eastAsia="Calibri" w:hAnsiTheme="majorBidi" w:cstheme="majorBidi"/>
          <w:color w:val="000000"/>
          <w:sz w:val="24"/>
          <w:szCs w:val="24"/>
        </w:rPr>
        <w:t>framework of Antonakakis and Gabauer (2017</w:t>
      </w:r>
      <w:r w:rsidR="00FD125A" w:rsidRPr="00012F08">
        <w:rPr>
          <w:rFonts w:asciiTheme="majorBidi" w:eastAsia="Calibri" w:hAnsiTheme="majorBidi" w:cstheme="majorBidi"/>
          <w:color w:val="000000"/>
          <w:sz w:val="24"/>
          <w:szCs w:val="24"/>
        </w:rPr>
        <w:t>) and</w:t>
      </w:r>
      <w:r w:rsidR="00061E30"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building on the connectedness measures of Diebold and Yilmaz (2009, 2012, 2014).</w:t>
      </w:r>
      <w:r w:rsidR="00C15056" w:rsidRPr="00012F08">
        <w:rPr>
          <w:rStyle w:val="FootnoteReference"/>
          <w:rFonts w:asciiTheme="majorBidi" w:eastAsia="Calibri" w:hAnsiTheme="majorBidi" w:cstheme="majorBidi"/>
          <w:color w:val="000000"/>
          <w:sz w:val="24"/>
          <w:szCs w:val="24"/>
        </w:rPr>
        <w:footnoteReference w:id="3"/>
      </w:r>
      <w:r w:rsidRPr="00012F08">
        <w:rPr>
          <w:rFonts w:asciiTheme="majorBidi" w:eastAsia="Calibri" w:hAnsiTheme="majorBidi" w:cstheme="majorBidi"/>
          <w:color w:val="000000"/>
          <w:sz w:val="24"/>
          <w:szCs w:val="24"/>
        </w:rPr>
        <w:t xml:space="preserve"> Diebold and Yilmaz employed rolling-window VAR models to track </w:t>
      </w:r>
      <w:r w:rsidR="000F752B">
        <w:rPr>
          <w:rFonts w:asciiTheme="majorBidi" w:eastAsia="Calibri" w:hAnsiTheme="majorBidi" w:cstheme="majorBidi"/>
          <w:color w:val="000000"/>
          <w:sz w:val="24"/>
          <w:szCs w:val="24"/>
        </w:rPr>
        <w:t xml:space="preserve">the </w:t>
      </w:r>
      <w:r w:rsidRPr="00012F08">
        <w:rPr>
          <w:rFonts w:asciiTheme="majorBidi" w:eastAsia="Calibri" w:hAnsiTheme="majorBidi" w:cstheme="majorBidi"/>
          <w:color w:val="000000"/>
          <w:sz w:val="24"/>
          <w:szCs w:val="24"/>
        </w:rPr>
        <w:t xml:space="preserve">transmission </w:t>
      </w:r>
      <w:r w:rsidR="000F752B">
        <w:rPr>
          <w:rFonts w:asciiTheme="majorBidi" w:eastAsia="Calibri" w:hAnsiTheme="majorBidi" w:cstheme="majorBidi"/>
          <w:color w:val="000000"/>
          <w:sz w:val="24"/>
          <w:szCs w:val="24"/>
        </w:rPr>
        <w:t xml:space="preserve">of shocks </w:t>
      </w:r>
      <w:r w:rsidRPr="00012F08">
        <w:rPr>
          <w:rFonts w:asciiTheme="majorBidi" w:eastAsia="Calibri" w:hAnsiTheme="majorBidi" w:cstheme="majorBidi"/>
          <w:color w:val="000000"/>
          <w:sz w:val="24"/>
          <w:szCs w:val="24"/>
        </w:rPr>
        <w:t>in financial systems</w:t>
      </w:r>
      <w:r w:rsidR="000F752B">
        <w:rPr>
          <w:rFonts w:asciiTheme="majorBidi" w:eastAsia="Calibri" w:hAnsiTheme="majorBidi" w:cstheme="majorBidi"/>
          <w:color w:val="000000"/>
          <w:sz w:val="24"/>
          <w:szCs w:val="24"/>
        </w:rPr>
        <w:t>.</w:t>
      </w:r>
      <w:r w:rsidR="000F752B"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 xml:space="preserve">Antonakakis and Gabauer extended this </w:t>
      </w:r>
      <w:r w:rsidR="000F752B">
        <w:rPr>
          <w:rFonts w:asciiTheme="majorBidi" w:eastAsia="Calibri" w:hAnsiTheme="majorBidi" w:cstheme="majorBidi"/>
          <w:color w:val="000000"/>
          <w:sz w:val="24"/>
          <w:szCs w:val="24"/>
        </w:rPr>
        <w:t xml:space="preserve">investigation </w:t>
      </w:r>
      <w:r w:rsidRPr="00012F08">
        <w:rPr>
          <w:rFonts w:asciiTheme="majorBidi" w:eastAsia="Calibri" w:hAnsiTheme="majorBidi" w:cstheme="majorBidi"/>
          <w:color w:val="000000"/>
          <w:sz w:val="24"/>
          <w:szCs w:val="24"/>
        </w:rPr>
        <w:t>by using a TVP-VAR approach with a time-varying covariance structure (</w:t>
      </w:r>
      <w:proofErr w:type="spellStart"/>
      <w:r w:rsidRPr="00012F08">
        <w:rPr>
          <w:rFonts w:asciiTheme="majorBidi" w:eastAsia="Calibri" w:hAnsiTheme="majorBidi" w:cstheme="majorBidi"/>
          <w:color w:val="000000"/>
          <w:sz w:val="24"/>
          <w:szCs w:val="24"/>
        </w:rPr>
        <w:t>Primiceri</w:t>
      </w:r>
      <w:proofErr w:type="spellEnd"/>
      <w:r w:rsidRPr="00012F08">
        <w:rPr>
          <w:rFonts w:asciiTheme="majorBidi" w:eastAsia="Calibri" w:hAnsiTheme="majorBidi" w:cstheme="majorBidi"/>
          <w:color w:val="000000"/>
          <w:sz w:val="24"/>
          <w:szCs w:val="24"/>
        </w:rPr>
        <w:t>, 2005</w:t>
      </w:r>
      <w:r w:rsidR="000F752B" w:rsidRPr="00012F08">
        <w:rPr>
          <w:rFonts w:asciiTheme="majorBidi" w:eastAsia="Calibri" w:hAnsiTheme="majorBidi" w:cstheme="majorBidi"/>
          <w:color w:val="000000"/>
          <w:sz w:val="24"/>
          <w:szCs w:val="24"/>
        </w:rPr>
        <w:t>)</w:t>
      </w:r>
      <w:r w:rsidR="000F752B">
        <w:rPr>
          <w:rFonts w:asciiTheme="majorBidi" w:eastAsia="Calibri" w:hAnsiTheme="majorBidi" w:cstheme="majorBidi"/>
          <w:color w:val="000000"/>
          <w:sz w:val="24"/>
          <w:szCs w:val="24"/>
        </w:rPr>
        <w:t>. Doing so allowed the</w:t>
      </w:r>
      <w:r w:rsidR="000F752B"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 xml:space="preserve">measures </w:t>
      </w:r>
      <w:r w:rsidR="000F752B">
        <w:rPr>
          <w:rFonts w:asciiTheme="majorBidi" w:eastAsia="Calibri" w:hAnsiTheme="majorBidi" w:cstheme="majorBidi"/>
          <w:color w:val="000000"/>
          <w:sz w:val="24"/>
          <w:szCs w:val="24"/>
        </w:rPr>
        <w:t xml:space="preserve">of </w:t>
      </w:r>
      <w:r w:rsidR="000F752B" w:rsidRPr="00012F08">
        <w:rPr>
          <w:rFonts w:asciiTheme="majorBidi" w:eastAsia="Calibri" w:hAnsiTheme="majorBidi" w:cstheme="majorBidi"/>
          <w:color w:val="000000"/>
          <w:sz w:val="24"/>
          <w:szCs w:val="24"/>
        </w:rPr>
        <w:t xml:space="preserve">connectedness </w:t>
      </w:r>
      <w:r w:rsidRPr="00012F08">
        <w:rPr>
          <w:rFonts w:asciiTheme="majorBidi" w:eastAsia="Calibri" w:hAnsiTheme="majorBidi" w:cstheme="majorBidi"/>
          <w:color w:val="000000"/>
          <w:sz w:val="24"/>
          <w:szCs w:val="24"/>
        </w:rPr>
        <w:t>to adjust dynamically to structural changes without relying on fixed window lengths.</w:t>
      </w:r>
      <w:r w:rsidRPr="00012F08">
        <w:t xml:space="preserve"> </w:t>
      </w:r>
      <w:r w:rsidRPr="00012F08">
        <w:rPr>
          <w:rFonts w:asciiTheme="majorBidi" w:eastAsia="Calibri" w:hAnsiTheme="majorBidi" w:cstheme="majorBidi"/>
          <w:color w:val="000000"/>
          <w:sz w:val="24"/>
          <w:szCs w:val="24"/>
        </w:rPr>
        <w:t xml:space="preserve">The TVP-VAR approach </w:t>
      </w:r>
      <w:r w:rsidR="00061E30" w:rsidRPr="00012F08">
        <w:rPr>
          <w:rFonts w:asciiTheme="majorBidi" w:eastAsia="Calibri" w:hAnsiTheme="majorBidi" w:cstheme="majorBidi"/>
          <w:color w:val="000000"/>
          <w:sz w:val="24"/>
          <w:szCs w:val="24"/>
        </w:rPr>
        <w:t>has been widely applied (</w:t>
      </w:r>
      <w:r w:rsidR="000F752B" w:rsidRPr="00012F08">
        <w:rPr>
          <w:rFonts w:asciiTheme="majorBidi" w:hAnsiTheme="majorBidi" w:cstheme="majorBidi"/>
          <w:color w:val="000000" w:themeColor="text1"/>
          <w:sz w:val="24"/>
          <w:szCs w:val="24"/>
        </w:rPr>
        <w:t xml:space="preserve">Aharon </w:t>
      </w:r>
      <w:r w:rsidR="000F752B">
        <w:rPr>
          <w:rFonts w:asciiTheme="majorBidi" w:hAnsiTheme="majorBidi" w:cstheme="majorBidi"/>
          <w:color w:val="000000" w:themeColor="text1"/>
          <w:sz w:val="24"/>
          <w:szCs w:val="24"/>
        </w:rPr>
        <w:t>&amp;</w:t>
      </w:r>
      <w:r w:rsidR="000F752B" w:rsidRPr="00012F08">
        <w:rPr>
          <w:rFonts w:asciiTheme="majorBidi" w:hAnsiTheme="majorBidi" w:cstheme="majorBidi"/>
          <w:color w:val="000000" w:themeColor="text1"/>
          <w:sz w:val="24"/>
          <w:szCs w:val="24"/>
        </w:rPr>
        <w:t xml:space="preserve"> Demir, 2021; </w:t>
      </w:r>
      <w:r w:rsidR="00061E30" w:rsidRPr="00012F08">
        <w:rPr>
          <w:rFonts w:asciiTheme="majorBidi" w:hAnsiTheme="majorBidi" w:cstheme="majorBidi"/>
          <w:color w:val="000000" w:themeColor="text1"/>
          <w:sz w:val="24"/>
          <w:szCs w:val="24"/>
        </w:rPr>
        <w:t xml:space="preserve">Aharon, Umar </w:t>
      </w:r>
      <w:r w:rsidR="000F752B">
        <w:rPr>
          <w:rFonts w:asciiTheme="majorBidi" w:hAnsiTheme="majorBidi" w:cstheme="majorBidi"/>
          <w:color w:val="000000" w:themeColor="text1"/>
          <w:sz w:val="24"/>
          <w:szCs w:val="24"/>
        </w:rPr>
        <w:t>&amp;</w:t>
      </w:r>
      <w:r w:rsidR="000F752B" w:rsidRPr="00012F08">
        <w:rPr>
          <w:rFonts w:asciiTheme="majorBidi" w:hAnsiTheme="majorBidi" w:cstheme="majorBidi"/>
          <w:color w:val="000000" w:themeColor="text1"/>
          <w:sz w:val="24"/>
          <w:szCs w:val="24"/>
        </w:rPr>
        <w:t xml:space="preserve"> </w:t>
      </w:r>
      <w:r w:rsidR="00061E30" w:rsidRPr="00012F08">
        <w:rPr>
          <w:rFonts w:asciiTheme="majorBidi" w:hAnsiTheme="majorBidi" w:cstheme="majorBidi"/>
          <w:color w:val="000000" w:themeColor="text1"/>
          <w:sz w:val="24"/>
          <w:szCs w:val="24"/>
        </w:rPr>
        <w:t xml:space="preserve">Vo, 2021; </w:t>
      </w:r>
      <w:r w:rsidR="00061E30" w:rsidRPr="00012F08">
        <w:rPr>
          <w:rFonts w:asciiTheme="majorBidi" w:hAnsiTheme="majorBidi" w:cstheme="majorBidi"/>
          <w:color w:val="222222"/>
          <w:sz w:val="24"/>
          <w:szCs w:val="24"/>
          <w:shd w:val="clear" w:color="auto" w:fill="FFFFFF"/>
        </w:rPr>
        <w:t xml:space="preserve">Umar, Yousaf, </w:t>
      </w:r>
      <w:r w:rsidR="000F752B">
        <w:rPr>
          <w:rFonts w:asciiTheme="majorBidi" w:hAnsiTheme="majorBidi" w:cstheme="majorBidi"/>
          <w:color w:val="222222"/>
          <w:sz w:val="24"/>
          <w:szCs w:val="24"/>
          <w:shd w:val="clear" w:color="auto" w:fill="FFFFFF"/>
        </w:rPr>
        <w:t>&amp;</w:t>
      </w:r>
      <w:r w:rsidR="000F752B" w:rsidRPr="00012F08">
        <w:rPr>
          <w:rFonts w:asciiTheme="majorBidi" w:hAnsiTheme="majorBidi" w:cstheme="majorBidi"/>
          <w:color w:val="222222"/>
          <w:sz w:val="24"/>
          <w:szCs w:val="24"/>
          <w:shd w:val="clear" w:color="auto" w:fill="FFFFFF"/>
        </w:rPr>
        <w:t xml:space="preserve"> </w:t>
      </w:r>
      <w:r w:rsidR="00061E30" w:rsidRPr="00012F08">
        <w:rPr>
          <w:rFonts w:asciiTheme="majorBidi" w:hAnsiTheme="majorBidi" w:cstheme="majorBidi"/>
          <w:color w:val="222222"/>
          <w:sz w:val="24"/>
          <w:szCs w:val="24"/>
          <w:shd w:val="clear" w:color="auto" w:fill="FFFFFF"/>
        </w:rPr>
        <w:t xml:space="preserve">Aharon, 2021; </w:t>
      </w:r>
      <w:r w:rsidR="00061E30" w:rsidRPr="00012F08">
        <w:rPr>
          <w:rFonts w:asciiTheme="majorBidi" w:hAnsiTheme="majorBidi" w:cstheme="majorBidi"/>
          <w:color w:val="000000" w:themeColor="text1"/>
          <w:sz w:val="24"/>
          <w:szCs w:val="24"/>
        </w:rPr>
        <w:t xml:space="preserve">Aharon, Demir, </w:t>
      </w:r>
      <w:r w:rsidR="000F752B">
        <w:rPr>
          <w:rFonts w:asciiTheme="majorBidi" w:hAnsiTheme="majorBidi" w:cstheme="majorBidi"/>
          <w:color w:val="000000" w:themeColor="text1"/>
          <w:sz w:val="24"/>
          <w:szCs w:val="24"/>
        </w:rPr>
        <w:t>&amp;</w:t>
      </w:r>
      <w:r w:rsidR="000F752B" w:rsidRPr="00012F08">
        <w:rPr>
          <w:rFonts w:asciiTheme="majorBidi" w:hAnsiTheme="majorBidi" w:cstheme="majorBidi"/>
          <w:color w:val="000000" w:themeColor="text1"/>
          <w:sz w:val="24"/>
          <w:szCs w:val="24"/>
        </w:rPr>
        <w:t xml:space="preserve"> </w:t>
      </w:r>
      <w:r w:rsidR="00061E30" w:rsidRPr="00012F08">
        <w:rPr>
          <w:rFonts w:asciiTheme="majorBidi" w:hAnsiTheme="majorBidi" w:cstheme="majorBidi"/>
          <w:color w:val="000000" w:themeColor="text1"/>
          <w:sz w:val="24"/>
          <w:szCs w:val="24"/>
        </w:rPr>
        <w:t>Ersan, 2023)</w:t>
      </w:r>
      <w:r w:rsidR="000F752B">
        <w:rPr>
          <w:rFonts w:asciiTheme="majorBidi" w:hAnsiTheme="majorBidi" w:cstheme="majorBidi"/>
          <w:color w:val="000000" w:themeColor="text1"/>
          <w:sz w:val="24"/>
          <w:szCs w:val="24"/>
        </w:rPr>
        <w:t>. It</w:t>
      </w:r>
      <w:r w:rsidR="00061E30" w:rsidRPr="00012F08">
        <w:rPr>
          <w:rFonts w:asciiTheme="majorBidi" w:hAnsiTheme="majorBidi" w:cstheme="majorBidi"/>
          <w:color w:val="000000" w:themeColor="text1"/>
          <w:sz w:val="24"/>
          <w:szCs w:val="24"/>
        </w:rPr>
        <w:t xml:space="preserve"> </w:t>
      </w:r>
      <w:r w:rsidRPr="00012F08">
        <w:rPr>
          <w:rFonts w:asciiTheme="majorBidi" w:eastAsia="Calibri" w:hAnsiTheme="majorBidi" w:cstheme="majorBidi"/>
          <w:color w:val="000000"/>
          <w:sz w:val="24"/>
          <w:szCs w:val="24"/>
        </w:rPr>
        <w:t xml:space="preserve">is particularly appropriate for smaller </w:t>
      </w:r>
      <w:r w:rsidR="000F752B">
        <w:rPr>
          <w:rFonts w:asciiTheme="majorBidi" w:eastAsia="Calibri" w:hAnsiTheme="majorBidi" w:cstheme="majorBidi"/>
          <w:color w:val="000000"/>
          <w:sz w:val="24"/>
          <w:szCs w:val="24"/>
        </w:rPr>
        <w:t xml:space="preserve">size </w:t>
      </w:r>
      <w:r w:rsidRPr="00012F08">
        <w:rPr>
          <w:rFonts w:asciiTheme="majorBidi" w:eastAsia="Calibri" w:hAnsiTheme="majorBidi" w:cstheme="majorBidi"/>
          <w:color w:val="000000"/>
          <w:sz w:val="24"/>
          <w:szCs w:val="24"/>
        </w:rPr>
        <w:t>or volatile samples, as it can capture time-varying dynamics without requiring large subsample windows</w:t>
      </w:r>
      <w:r w:rsidR="000F752B">
        <w:rPr>
          <w:rFonts w:asciiTheme="majorBidi" w:eastAsia="Calibri" w:hAnsiTheme="majorBidi" w:cstheme="majorBidi"/>
          <w:color w:val="000000"/>
          <w:sz w:val="24"/>
          <w:szCs w:val="24"/>
        </w:rPr>
        <w:t xml:space="preserve">. Thus, the </w:t>
      </w:r>
      <w:r w:rsidR="000F752B" w:rsidRPr="00012F08">
        <w:rPr>
          <w:rFonts w:asciiTheme="majorBidi" w:eastAsia="Calibri" w:hAnsiTheme="majorBidi" w:cstheme="majorBidi"/>
          <w:color w:val="000000"/>
          <w:sz w:val="24"/>
          <w:szCs w:val="24"/>
        </w:rPr>
        <w:t>TVP-VAR approach</w:t>
      </w:r>
      <w:r w:rsidR="000F752B">
        <w:rPr>
          <w:rFonts w:asciiTheme="majorBidi" w:eastAsia="Calibri" w:hAnsiTheme="majorBidi" w:cstheme="majorBidi"/>
          <w:color w:val="000000"/>
          <w:sz w:val="24"/>
          <w:szCs w:val="24"/>
        </w:rPr>
        <w:t xml:space="preserve"> is </w:t>
      </w:r>
      <w:r w:rsidRPr="00012F08">
        <w:rPr>
          <w:rFonts w:asciiTheme="majorBidi" w:eastAsia="Calibri" w:hAnsiTheme="majorBidi" w:cstheme="majorBidi"/>
          <w:color w:val="000000"/>
          <w:sz w:val="24"/>
          <w:szCs w:val="24"/>
        </w:rPr>
        <w:t xml:space="preserve">well-suited for </w:t>
      </w:r>
      <w:r w:rsidR="000F752B">
        <w:rPr>
          <w:rFonts w:asciiTheme="majorBidi" w:eastAsia="Calibri" w:hAnsiTheme="majorBidi" w:cstheme="majorBidi"/>
          <w:color w:val="000000"/>
          <w:sz w:val="24"/>
          <w:szCs w:val="24"/>
        </w:rPr>
        <w:t xml:space="preserve">examining </w:t>
      </w:r>
      <w:r w:rsidRPr="00012F08">
        <w:rPr>
          <w:rFonts w:asciiTheme="majorBidi" w:eastAsia="Calibri" w:hAnsiTheme="majorBidi" w:cstheme="majorBidi"/>
          <w:color w:val="000000"/>
          <w:sz w:val="24"/>
          <w:szCs w:val="24"/>
        </w:rPr>
        <w:t>periods of structural change and heightened market uncertainty</w:t>
      </w:r>
      <w:r w:rsidR="000F752B">
        <w:rPr>
          <w:rFonts w:asciiTheme="majorBidi" w:eastAsia="Calibri" w:hAnsiTheme="majorBidi" w:cstheme="majorBidi"/>
          <w:color w:val="000000"/>
          <w:sz w:val="24"/>
          <w:szCs w:val="24"/>
        </w:rPr>
        <w:t>.</w:t>
      </w:r>
    </w:p>
    <w:p w14:paraId="25B242D3" w14:textId="632FBD40" w:rsidR="009E6727" w:rsidRPr="00012F08" w:rsidRDefault="009E6727" w:rsidP="009E6727">
      <w:pPr>
        <w:autoSpaceDE w:val="0"/>
        <w:autoSpaceDN w:val="0"/>
        <w:bidi w:val="0"/>
        <w:adjustRightInd w:val="0"/>
        <w:spacing w:before="120" w:after="120" w:line="360"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Formally, the TVP-VAR(</w:t>
      </w:r>
      <w:r w:rsidR="003B30E2" w:rsidRPr="00012F08">
        <w:rPr>
          <w:rFonts w:asciiTheme="majorBidi" w:eastAsia="Calibri" w:hAnsiTheme="majorBidi" w:cstheme="majorBidi"/>
          <w:color w:val="000000"/>
          <w:sz w:val="24"/>
          <w:szCs w:val="24"/>
        </w:rPr>
        <w:t>1</w:t>
      </w:r>
      <w:r w:rsidRPr="00012F08">
        <w:rPr>
          <w:rFonts w:asciiTheme="majorBidi" w:eastAsia="Calibri" w:hAnsiTheme="majorBidi" w:cstheme="majorBidi"/>
          <w:color w:val="000000"/>
          <w:sz w:val="24"/>
          <w:szCs w:val="24"/>
        </w:rPr>
        <w:t>) system can be expressed as:</w:t>
      </w:r>
    </w:p>
    <w:p w14:paraId="142B0CAD" w14:textId="299186EE" w:rsidR="009E6727" w:rsidRPr="00012F08" w:rsidRDefault="00990924" w:rsidP="00990924">
      <w:pPr>
        <w:autoSpaceDE w:val="0"/>
        <w:autoSpaceDN w:val="0"/>
        <w:bidi w:val="0"/>
        <w:adjustRightInd w:val="0"/>
        <w:spacing w:before="120" w:after="120" w:line="360" w:lineRule="auto"/>
        <w:jc w:val="center"/>
        <w:rPr>
          <w:rFonts w:ascii="AdvOT1ef757c0" w:eastAsia="Calibri" w:hAnsi="AdvOT1ef757c0" w:cs="AdvOT1ef757c0"/>
          <w:color w:val="000000"/>
          <w:sz w:val="24"/>
          <w:szCs w:val="24"/>
        </w:rPr>
      </w:pPr>
      <w:r w:rsidRPr="00012F08">
        <w:rPr>
          <w:rFonts w:asciiTheme="majorBidi" w:eastAsia="Calibri" w:hAnsiTheme="majorBidi" w:cstheme="majorBidi"/>
          <w:color w:val="000000"/>
          <w:sz w:val="24"/>
          <w:szCs w:val="24"/>
        </w:rPr>
        <w:t xml:space="preserve">                           </w:t>
      </w:r>
      <m:oMath>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Y</m:t>
            </m:r>
          </m:e>
          <m:sub>
            <m:r>
              <w:rPr>
                <w:rFonts w:ascii="Cambria Math" w:eastAsia="Calibri" w:hAnsi="Cambria Math" w:cs="AdvOT1ef757c0"/>
                <w:color w:val="000000"/>
                <w:sz w:val="24"/>
                <w:szCs w:val="24"/>
              </w:rPr>
              <m:t>t</m:t>
            </m:r>
          </m:sub>
        </m:sSub>
        <m:r>
          <w:rPr>
            <w:rFonts w:ascii="Cambria Math" w:eastAsia="Calibri" w:hAnsi="Cambria Math" w:cs="AdvOT1ef757c0"/>
            <w:color w:val="000000"/>
            <w:sz w:val="24"/>
            <w:szCs w:val="24"/>
          </w:rPr>
          <m:t xml:space="preserve">= </m:t>
        </m:r>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β</m:t>
            </m:r>
          </m:e>
          <m:sub>
            <m:r>
              <w:rPr>
                <w:rFonts w:ascii="Cambria Math" w:eastAsia="Calibri" w:hAnsi="Cambria Math" w:cs="AdvOT1ef757c0"/>
                <w:color w:val="000000"/>
                <w:sz w:val="24"/>
                <w:szCs w:val="24"/>
              </w:rPr>
              <m:t>t</m:t>
            </m:r>
          </m:sub>
        </m:sSub>
        <m:r>
          <w:rPr>
            <w:rFonts w:ascii="Cambria Math" w:eastAsia="Calibri" w:hAnsi="Cambria Math" w:cs="AdvOT1ef757c0"/>
            <w:color w:val="000000"/>
            <w:sz w:val="24"/>
            <w:szCs w:val="24"/>
          </w:rPr>
          <m:t xml:space="preserve"> </m:t>
        </m:r>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Z</m:t>
            </m:r>
          </m:e>
          <m:sub>
            <m:r>
              <w:rPr>
                <w:rFonts w:ascii="Cambria Math" w:eastAsia="Calibri" w:hAnsi="Cambria Math" w:cs="AdvOT1ef757c0"/>
                <w:color w:val="000000"/>
                <w:sz w:val="24"/>
                <w:szCs w:val="24"/>
              </w:rPr>
              <m:t>t-1</m:t>
            </m:r>
          </m:sub>
        </m:sSub>
        <m:r>
          <w:rPr>
            <w:rFonts w:ascii="Cambria Math" w:eastAsia="Calibri" w:hAnsi="Cambria Math" w:cs="AdvOT1ef757c0"/>
            <w:color w:val="000000"/>
            <w:sz w:val="24"/>
            <w:szCs w:val="24"/>
          </w:rPr>
          <m:t xml:space="preserve">+ </m:t>
        </m:r>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ε</m:t>
            </m:r>
          </m:e>
          <m:sub>
            <m:r>
              <w:rPr>
                <w:rFonts w:ascii="Cambria Math" w:eastAsia="Calibri" w:hAnsi="Cambria Math" w:cs="AdvOT1ef757c0"/>
                <w:color w:val="000000"/>
                <w:sz w:val="24"/>
                <w:szCs w:val="24"/>
              </w:rPr>
              <m:t>t</m:t>
            </m:r>
          </m:sub>
        </m:sSub>
        <m:r>
          <w:rPr>
            <w:rFonts w:ascii="Cambria Math" w:eastAsia="Calibri" w:hAnsi="Cambria Math" w:cs="AdvOT1ef757c0"/>
            <w:color w:val="000000"/>
            <w:sz w:val="24"/>
            <w:szCs w:val="24"/>
          </w:rPr>
          <m:t xml:space="preserve">,  </m:t>
        </m:r>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ε</m:t>
            </m:r>
          </m:e>
          <m:sub>
            <m:r>
              <w:rPr>
                <w:rFonts w:ascii="Cambria Math" w:eastAsia="Calibri" w:hAnsi="Cambria Math" w:cs="AdvOT1ef757c0"/>
                <w:color w:val="000000"/>
                <w:sz w:val="24"/>
                <w:szCs w:val="24"/>
              </w:rPr>
              <m:t>t</m:t>
            </m:r>
          </m:sub>
        </m:sSub>
        <m:r>
          <w:rPr>
            <w:rFonts w:ascii="Cambria Math" w:eastAsia="Calibri" w:hAnsi="Cambria Math" w:cs="AdvOT1ef757c0"/>
            <w:color w:val="000000"/>
            <w:sz w:val="24"/>
            <w:szCs w:val="24"/>
          </w:rPr>
          <m:t xml:space="preserve"> | </m:t>
        </m:r>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Ω</m:t>
            </m:r>
          </m:e>
          <m:sub>
            <m:r>
              <w:rPr>
                <w:rFonts w:ascii="Cambria Math" w:eastAsia="Calibri" w:hAnsi="Cambria Math" w:cs="AdvOT1ef757c0"/>
                <w:color w:val="000000"/>
                <w:sz w:val="24"/>
                <w:szCs w:val="24"/>
              </w:rPr>
              <m:t>t-1</m:t>
            </m:r>
          </m:sub>
        </m:sSub>
        <m:r>
          <w:rPr>
            <w:rFonts w:ascii="Cambria Math" w:eastAsia="Calibri" w:hAnsi="Cambria Math" w:cs="AdvOT1ef757c0"/>
            <w:color w:val="000000"/>
            <w:sz w:val="24"/>
            <w:szCs w:val="24"/>
          </w:rPr>
          <m:t xml:space="preserve"> ~ N(0, </m:t>
        </m:r>
        <m:sSub>
          <m:sSubPr>
            <m:ctrlPr>
              <w:rPr>
                <w:rFonts w:ascii="Cambria Math" w:eastAsia="Calibri" w:hAnsi="Cambria Math" w:cs="AdvOT1ef757c0"/>
                <w:i/>
                <w:color w:val="000000"/>
                <w:sz w:val="24"/>
                <w:szCs w:val="24"/>
              </w:rPr>
            </m:ctrlPr>
          </m:sSubPr>
          <m:e>
            <m:r>
              <w:rPr>
                <w:rFonts w:ascii="Cambria Math" w:eastAsia="Calibri" w:hAnsi="Cambria Math" w:cs="AdvOT1ef757c0"/>
                <w:i/>
                <w:color w:val="000000"/>
                <w:sz w:val="24"/>
                <w:szCs w:val="24"/>
              </w:rPr>
              <w:sym w:font="Symbol" w:char="F053"/>
            </m:r>
          </m:e>
          <m:sub>
            <m:r>
              <w:rPr>
                <w:rFonts w:ascii="Cambria Math" w:eastAsia="Calibri" w:hAnsi="Cambria Math" w:cs="AdvOT1ef757c0"/>
                <w:color w:val="000000"/>
                <w:sz w:val="24"/>
                <w:szCs w:val="24"/>
              </w:rPr>
              <m:t>t</m:t>
            </m:r>
          </m:sub>
        </m:sSub>
        <m:r>
          <w:rPr>
            <w:rFonts w:ascii="Cambria Math" w:eastAsia="Calibri" w:hAnsi="Cambria Math" w:cs="AdvOT1ef757c0"/>
            <w:color w:val="000000"/>
            <w:sz w:val="24"/>
            <w:szCs w:val="24"/>
          </w:rPr>
          <m:t>)</m:t>
        </m:r>
      </m:oMath>
      <w:r w:rsidR="009E6727" w:rsidRPr="00012F08">
        <w:rPr>
          <w:rFonts w:ascii="AdvOT1ef757c0" w:eastAsia="Calibri" w:hAnsi="AdvOT1ef757c0" w:cs="AdvOT1ef757c0"/>
          <w:color w:val="000000"/>
          <w:sz w:val="24"/>
          <w:szCs w:val="24"/>
        </w:rPr>
        <w:t xml:space="preserve">,  </w:t>
      </w:r>
      <w:r w:rsidR="009E6727" w:rsidRPr="00012F08">
        <w:rPr>
          <w:rFonts w:ascii="AdvOT1ef757c0" w:eastAsia="Calibri" w:hAnsi="AdvOT1ef757c0" w:cs="AdvOT1ef757c0"/>
          <w:color w:val="000000"/>
          <w:sz w:val="24"/>
          <w:szCs w:val="24"/>
        </w:rPr>
        <w:tab/>
        <w:t xml:space="preserve">                         </w:t>
      </w:r>
      <w:r w:rsidRPr="00012F08">
        <w:rPr>
          <w:rFonts w:ascii="AdvOT1ef757c0" w:eastAsia="Calibri" w:hAnsi="AdvOT1ef757c0" w:cs="AdvOT1ef757c0"/>
          <w:color w:val="000000"/>
          <w:sz w:val="24"/>
          <w:szCs w:val="24"/>
        </w:rPr>
        <w:t xml:space="preserve">            </w:t>
      </w:r>
      <w:r w:rsidR="009E6727" w:rsidRPr="00012F08">
        <w:rPr>
          <w:rFonts w:ascii="AdvOT1ef757c0" w:eastAsia="Calibri" w:hAnsi="AdvOT1ef757c0" w:cs="AdvOT1ef757c0"/>
          <w:color w:val="000000"/>
          <w:sz w:val="24"/>
          <w:szCs w:val="24"/>
        </w:rPr>
        <w:t xml:space="preserve">  </w:t>
      </w:r>
      <w:r w:rsidRPr="00012F08">
        <w:rPr>
          <w:rFonts w:ascii="AdvOT1ef757c0" w:eastAsia="Calibri" w:hAnsi="AdvOT1ef757c0" w:cs="AdvOT1ef757c0"/>
          <w:color w:val="000000"/>
          <w:sz w:val="24"/>
          <w:szCs w:val="24"/>
        </w:rPr>
        <w:t xml:space="preserve">  </w:t>
      </w:r>
      <w:r w:rsidR="009E6727" w:rsidRPr="00012F08">
        <w:rPr>
          <w:rFonts w:ascii="AdvOT1ef757c0" w:eastAsia="Calibri" w:hAnsi="AdvOT1ef757c0" w:cs="AdvOT1ef757c0"/>
          <w:color w:val="000000"/>
          <w:sz w:val="24"/>
          <w:szCs w:val="24"/>
        </w:rPr>
        <w:t xml:space="preserve"> (1)</w:t>
      </w:r>
    </w:p>
    <w:p w14:paraId="5291FF18" w14:textId="2475FEC2" w:rsidR="009E6727" w:rsidRPr="00012F08" w:rsidRDefault="00990924" w:rsidP="00990924">
      <w:pPr>
        <w:autoSpaceDE w:val="0"/>
        <w:autoSpaceDN w:val="0"/>
        <w:bidi w:val="0"/>
        <w:adjustRightInd w:val="0"/>
        <w:spacing w:before="120" w:after="120" w:line="360" w:lineRule="auto"/>
        <w:jc w:val="center"/>
        <w:rPr>
          <w:rFonts w:ascii="AdvOT1ef757c0" w:eastAsia="Calibri" w:hAnsi="AdvOT1ef757c0" w:cs="AdvOT1ef757c0"/>
          <w:color w:val="000000"/>
          <w:sz w:val="24"/>
          <w:szCs w:val="24"/>
        </w:rPr>
      </w:pPr>
      <w:r w:rsidRPr="00012F08">
        <w:rPr>
          <w:rFonts w:ascii="AdvOT1ef757c0" w:eastAsia="Calibri" w:hAnsi="AdvOT1ef757c0" w:cs="AdvOT1ef757c0"/>
          <w:color w:val="000000"/>
          <w:sz w:val="24"/>
          <w:szCs w:val="24"/>
        </w:rPr>
        <w:t xml:space="preserve">                             </w:t>
      </w:r>
      <m:oMath>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β</m:t>
            </m:r>
          </m:e>
          <m:sub>
            <m:r>
              <w:rPr>
                <w:rFonts w:ascii="Cambria Math" w:eastAsia="Calibri" w:hAnsi="Cambria Math" w:cs="AdvOT1ef757c0"/>
                <w:color w:val="000000"/>
                <w:sz w:val="24"/>
                <w:szCs w:val="24"/>
              </w:rPr>
              <m:t>t</m:t>
            </m:r>
          </m:sub>
        </m:sSub>
        <m:r>
          <w:rPr>
            <w:rFonts w:ascii="Cambria Math" w:eastAsia="Calibri" w:hAnsi="Cambria Math" w:cs="AdvOT1ef757c0"/>
            <w:color w:val="000000"/>
            <w:sz w:val="24"/>
            <w:szCs w:val="24"/>
          </w:rPr>
          <m:t xml:space="preserve">= </m:t>
        </m:r>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β</m:t>
            </m:r>
          </m:e>
          <m:sub>
            <m:r>
              <w:rPr>
                <w:rFonts w:ascii="Cambria Math" w:eastAsia="Calibri" w:hAnsi="Cambria Math" w:cs="AdvOT1ef757c0"/>
                <w:color w:val="000000"/>
                <w:sz w:val="24"/>
                <w:szCs w:val="24"/>
              </w:rPr>
              <m:t>t-1</m:t>
            </m:r>
          </m:sub>
        </m:sSub>
        <m:r>
          <w:rPr>
            <w:rFonts w:ascii="Cambria Math" w:eastAsia="Calibri" w:hAnsi="Cambria Math" w:cs="AdvOT1ef757c0"/>
            <w:color w:val="000000"/>
            <w:sz w:val="24"/>
            <w:szCs w:val="24"/>
          </w:rPr>
          <m:t xml:space="preserve">+ </m:t>
        </m:r>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ϑ</m:t>
            </m:r>
          </m:e>
          <m:sub>
            <m:r>
              <w:rPr>
                <w:rFonts w:ascii="Cambria Math" w:eastAsia="Calibri" w:hAnsi="Cambria Math" w:cs="AdvOT1ef757c0"/>
                <w:color w:val="000000"/>
                <w:sz w:val="24"/>
                <w:szCs w:val="24"/>
              </w:rPr>
              <m:t>t</m:t>
            </m:r>
          </m:sub>
        </m:sSub>
        <m:r>
          <w:rPr>
            <w:rFonts w:ascii="Cambria Math" w:eastAsia="Calibri" w:hAnsi="Cambria Math" w:cs="AdvOT1ef757c0"/>
            <w:color w:val="000000"/>
            <w:sz w:val="24"/>
            <w:szCs w:val="24"/>
          </w:rPr>
          <m:t xml:space="preserve">,   </m:t>
        </m:r>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ϑ</m:t>
            </m:r>
          </m:e>
          <m:sub>
            <m:r>
              <w:rPr>
                <w:rFonts w:ascii="Cambria Math" w:eastAsia="Calibri" w:hAnsi="Cambria Math" w:cs="AdvOT1ef757c0"/>
                <w:color w:val="000000"/>
                <w:sz w:val="24"/>
                <w:szCs w:val="24"/>
              </w:rPr>
              <m:t>t</m:t>
            </m:r>
          </m:sub>
        </m:sSub>
        <m:r>
          <w:rPr>
            <w:rFonts w:ascii="Cambria Math" w:eastAsia="Calibri" w:hAnsi="Cambria Math" w:cs="AdvOT1ef757c0"/>
            <w:color w:val="000000"/>
            <w:sz w:val="24"/>
            <w:szCs w:val="24"/>
          </w:rPr>
          <m:t xml:space="preserve"> | </m:t>
        </m:r>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Ω</m:t>
            </m:r>
          </m:e>
          <m:sub>
            <m:r>
              <w:rPr>
                <w:rFonts w:ascii="Cambria Math" w:eastAsia="Calibri" w:hAnsi="Cambria Math" w:cs="AdvOT1ef757c0"/>
                <w:color w:val="000000"/>
                <w:sz w:val="24"/>
                <w:szCs w:val="24"/>
              </w:rPr>
              <m:t>t-1</m:t>
            </m:r>
          </m:sub>
        </m:sSub>
        <m:r>
          <w:rPr>
            <w:rFonts w:ascii="Cambria Math" w:eastAsia="Calibri" w:hAnsi="Cambria Math" w:cs="AdvOT1ef757c0"/>
            <w:color w:val="000000"/>
            <w:sz w:val="24"/>
            <w:szCs w:val="24"/>
          </w:rPr>
          <m:t xml:space="preserve"> ~ N</m:t>
        </m:r>
        <m:d>
          <m:dPr>
            <m:ctrlPr>
              <w:rPr>
                <w:rFonts w:ascii="Cambria Math" w:eastAsia="Calibri" w:hAnsi="Cambria Math" w:cs="AdvOT1ef757c0"/>
                <w:i/>
                <w:color w:val="000000"/>
                <w:sz w:val="24"/>
                <w:szCs w:val="24"/>
              </w:rPr>
            </m:ctrlPr>
          </m:dPr>
          <m:e>
            <m:r>
              <w:rPr>
                <w:rFonts w:ascii="Cambria Math" w:eastAsia="Calibri" w:hAnsi="Cambria Math" w:cs="AdvOT1ef757c0"/>
                <w:color w:val="000000"/>
                <w:sz w:val="24"/>
                <w:szCs w:val="24"/>
              </w:rPr>
              <m:t xml:space="preserve">0, </m:t>
            </m:r>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R</m:t>
                </m:r>
              </m:e>
              <m:sub>
                <m:r>
                  <w:rPr>
                    <w:rFonts w:ascii="Cambria Math" w:eastAsia="Calibri" w:hAnsi="Cambria Math" w:cs="AdvOT1ef757c0"/>
                    <w:color w:val="000000"/>
                    <w:sz w:val="24"/>
                    <w:szCs w:val="24"/>
                  </w:rPr>
                  <m:t>t</m:t>
                </m:r>
              </m:sub>
            </m:sSub>
          </m:e>
        </m:d>
        <m:r>
          <w:rPr>
            <w:rFonts w:ascii="Cambria Math" w:eastAsia="Calibri" w:hAnsi="Cambria Math" w:cs="AdvOT1ef757c0"/>
            <w:color w:val="000000"/>
            <w:sz w:val="24"/>
            <w:szCs w:val="24"/>
          </w:rPr>
          <m:t>.</m:t>
        </m:r>
      </m:oMath>
      <w:r w:rsidR="009E6727" w:rsidRPr="00012F08">
        <w:rPr>
          <w:rFonts w:ascii="AdvOT1ef757c0" w:eastAsia="Calibri" w:hAnsi="AdvOT1ef757c0" w:cs="AdvOT1ef757c0"/>
          <w:color w:val="000000"/>
          <w:sz w:val="24"/>
          <w:szCs w:val="24"/>
        </w:rPr>
        <w:t xml:space="preserve">             </w:t>
      </w:r>
      <w:r w:rsidRPr="00012F08">
        <w:rPr>
          <w:rFonts w:ascii="AdvOT1ef757c0" w:eastAsia="Calibri" w:hAnsi="AdvOT1ef757c0" w:cs="AdvOT1ef757c0"/>
          <w:color w:val="000000"/>
          <w:sz w:val="24"/>
          <w:szCs w:val="24"/>
        </w:rPr>
        <w:t xml:space="preserve">  </w:t>
      </w:r>
      <w:r w:rsidR="009E6727" w:rsidRPr="00012F08">
        <w:rPr>
          <w:rFonts w:ascii="AdvOT1ef757c0" w:eastAsia="Calibri" w:hAnsi="AdvOT1ef757c0" w:cs="AdvOT1ef757c0"/>
          <w:color w:val="000000"/>
          <w:sz w:val="24"/>
          <w:szCs w:val="24"/>
        </w:rPr>
        <w:t xml:space="preserve">                  </w:t>
      </w:r>
      <w:r w:rsidRPr="00012F08">
        <w:rPr>
          <w:rFonts w:ascii="AdvOT1ef757c0" w:eastAsia="Calibri" w:hAnsi="AdvOT1ef757c0" w:cs="AdvOT1ef757c0"/>
          <w:color w:val="000000"/>
          <w:sz w:val="24"/>
          <w:szCs w:val="24"/>
        </w:rPr>
        <w:t xml:space="preserve">       </w:t>
      </w:r>
      <w:r w:rsidR="009E6727" w:rsidRPr="00012F08">
        <w:rPr>
          <w:rFonts w:ascii="AdvOT1ef757c0" w:eastAsia="Calibri" w:hAnsi="AdvOT1ef757c0" w:cs="AdvOT1ef757c0"/>
          <w:color w:val="000000"/>
          <w:sz w:val="24"/>
          <w:szCs w:val="24"/>
        </w:rPr>
        <w:t xml:space="preserve">         (2)</w:t>
      </w:r>
    </w:p>
    <w:p w14:paraId="5D0EFCBB" w14:textId="09E57296" w:rsidR="00A355F3" w:rsidRPr="00012F08" w:rsidRDefault="009E6727" w:rsidP="00654F57">
      <w:pPr>
        <w:autoSpaceDE w:val="0"/>
        <w:autoSpaceDN w:val="0"/>
        <w:bidi w:val="0"/>
        <w:adjustRightInd w:val="0"/>
        <w:spacing w:before="120" w:after="120" w:line="276"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where </w:t>
      </w:r>
      <m:oMath>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Y</m:t>
            </m:r>
          </m:e>
          <m:sub>
            <m:r>
              <w:rPr>
                <w:rFonts w:ascii="Cambria Math" w:eastAsia="Calibri" w:hAnsi="Cambria Math" w:cs="AdvOT1ef757c0"/>
                <w:color w:val="000000"/>
                <w:sz w:val="24"/>
                <w:szCs w:val="24"/>
              </w:rPr>
              <m:t>t</m:t>
            </m:r>
          </m:sub>
        </m:sSub>
      </m:oMath>
      <w:r w:rsidRPr="00012F08">
        <w:rPr>
          <w:rFonts w:asciiTheme="majorBidi" w:eastAsia="Calibri" w:hAnsiTheme="majorBidi" w:cstheme="majorBidi"/>
          <w:color w:val="000000"/>
          <w:sz w:val="24"/>
          <w:szCs w:val="24"/>
        </w:rPr>
        <w:t xml:space="preserve"> denotes the vector of endogenous variables,</w:t>
      </w:r>
      <w:r w:rsidR="00061E30" w:rsidRPr="00012F08">
        <w:rPr>
          <w:rFonts w:asciiTheme="majorBidi" w:hAnsiTheme="majorBidi" w:cstheme="majorBidi"/>
          <w:color w:val="000000" w:themeColor="text1"/>
          <w:sz w:val="24"/>
          <w:szCs w:val="24"/>
        </w:rPr>
        <w:t xml:space="preserve"> </w:t>
      </w:r>
      <m:oMath>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β</m:t>
            </m:r>
          </m:e>
          <m:sub>
            <m:r>
              <w:rPr>
                <w:rFonts w:ascii="Cambria Math" w:eastAsia="Calibri" w:hAnsi="Cambria Math" w:cs="AdvOT1ef757c0"/>
                <w:color w:val="000000"/>
                <w:sz w:val="24"/>
                <w:szCs w:val="24"/>
              </w:rPr>
              <m:t>t</m:t>
            </m:r>
          </m:sub>
        </m:sSub>
      </m:oMath>
      <w:r w:rsidRPr="00012F08">
        <w:rPr>
          <w:rFonts w:asciiTheme="majorBidi" w:eastAsia="Calibri" w:hAnsiTheme="majorBidi" w:cstheme="majorBidi"/>
          <w:color w:val="000000"/>
          <w:sz w:val="24"/>
          <w:szCs w:val="24"/>
        </w:rPr>
        <w:t xml:space="preserve">​ is the time-varying parameter matrix, </w:t>
      </w:r>
      <w:r w:rsidR="000F752B">
        <w:rPr>
          <w:rFonts w:asciiTheme="majorBidi" w:eastAsia="Calibri" w:hAnsiTheme="majorBidi" w:cstheme="majorBidi"/>
          <w:color w:val="000000"/>
          <w:sz w:val="24"/>
          <w:szCs w:val="24"/>
        </w:rPr>
        <w:t xml:space="preserve">and </w:t>
      </w:r>
      <m:oMath>
        <m:sSub>
          <m:sSubPr>
            <m:ctrlPr>
              <w:rPr>
                <w:rFonts w:ascii="Cambria Math" w:eastAsia="Calibri" w:hAnsi="Cambria Math" w:cs="AdvOT1ef757c0"/>
                <w:i/>
                <w:color w:val="000000"/>
                <w:sz w:val="24"/>
                <w:szCs w:val="24"/>
              </w:rPr>
            </m:ctrlPr>
          </m:sSubPr>
          <m:e>
            <m:r>
              <w:rPr>
                <w:rFonts w:ascii="Cambria Math" w:eastAsia="Calibri" w:hAnsi="Cambria Math" w:cs="AdvOT1ef757c0"/>
                <w:i/>
                <w:color w:val="000000"/>
                <w:sz w:val="24"/>
                <w:szCs w:val="24"/>
              </w:rPr>
              <w:sym w:font="Symbol" w:char="F053"/>
            </m:r>
          </m:e>
          <m:sub>
            <m:r>
              <w:rPr>
                <w:rFonts w:ascii="Cambria Math" w:eastAsia="Calibri" w:hAnsi="Cambria Math" w:cs="AdvOT1ef757c0"/>
                <w:color w:val="000000"/>
                <w:sz w:val="24"/>
                <w:szCs w:val="24"/>
              </w:rPr>
              <m:t>t</m:t>
            </m:r>
          </m:sub>
        </m:sSub>
        <m:r>
          <w:rPr>
            <w:rFonts w:ascii="Cambria Math" w:eastAsia="Calibri" w:hAnsi="Cambria Math" w:cstheme="majorBidi"/>
            <w:color w:val="000000"/>
            <w:sz w:val="24"/>
            <w:szCs w:val="24"/>
          </w:rPr>
          <m:t xml:space="preserve"> </m:t>
        </m:r>
      </m:oMath>
      <w:r w:rsidRPr="00012F08">
        <w:rPr>
          <w:rFonts w:asciiTheme="majorBidi" w:eastAsia="Calibri" w:hAnsiTheme="majorBidi" w:cstheme="majorBidi"/>
          <w:color w:val="000000"/>
          <w:sz w:val="24"/>
          <w:szCs w:val="24"/>
        </w:rPr>
        <w:t>is the time-varying variance-covariance matrix of the error terms.</w:t>
      </w:r>
      <w:r w:rsidR="00061E30" w:rsidRPr="00012F08">
        <w:rPr>
          <w:rFonts w:asciiTheme="majorBidi" w:eastAsia="Calibri" w:hAnsiTheme="majorBidi" w:cstheme="majorBidi"/>
          <w:color w:val="000000"/>
          <w:sz w:val="24"/>
          <w:szCs w:val="24"/>
        </w:rPr>
        <w:t xml:space="preserve"> </w:t>
      </w:r>
      <w:r w:rsidR="00A355F3" w:rsidRPr="00012F08">
        <w:rPr>
          <w:rFonts w:asciiTheme="majorBidi" w:eastAsia="Calibri" w:hAnsiTheme="majorBidi" w:cstheme="majorBidi"/>
          <w:color w:val="000000"/>
          <w:sz w:val="24"/>
          <w:szCs w:val="24"/>
        </w:rPr>
        <w:t xml:space="preserve">Applying the </w:t>
      </w:r>
      <w:proofErr w:type="spellStart"/>
      <w:r w:rsidR="00A355F3" w:rsidRPr="00012F08">
        <w:rPr>
          <w:rFonts w:asciiTheme="majorBidi" w:eastAsia="Calibri" w:hAnsiTheme="majorBidi" w:cstheme="majorBidi"/>
          <w:color w:val="000000"/>
          <w:sz w:val="24"/>
          <w:szCs w:val="24"/>
        </w:rPr>
        <w:t>Wold</w:t>
      </w:r>
      <w:proofErr w:type="spellEnd"/>
      <w:r w:rsidR="00A355F3" w:rsidRPr="00012F08">
        <w:rPr>
          <w:rFonts w:asciiTheme="majorBidi" w:eastAsia="Calibri" w:hAnsiTheme="majorBidi" w:cstheme="majorBidi"/>
          <w:color w:val="000000"/>
          <w:sz w:val="24"/>
          <w:szCs w:val="24"/>
        </w:rPr>
        <w:t xml:space="preserve"> decomposition, the system can be equivalently represented in its infinite-order vector moving average (VMA) form:</w:t>
      </w:r>
    </w:p>
    <w:p w14:paraId="42D73EFF" w14:textId="1068E5FF" w:rsidR="009E6727" w:rsidRPr="00012F08" w:rsidRDefault="00990924" w:rsidP="00990924">
      <w:pPr>
        <w:autoSpaceDE w:val="0"/>
        <w:autoSpaceDN w:val="0"/>
        <w:bidi w:val="0"/>
        <w:adjustRightInd w:val="0"/>
        <w:spacing w:before="120" w:after="120" w:line="360" w:lineRule="auto"/>
        <w:jc w:val="center"/>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                                               </w:t>
      </w:r>
      <m:oMath>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Y</m:t>
            </m:r>
          </m:e>
          <m:sub>
            <m:r>
              <w:rPr>
                <w:rFonts w:ascii="Cambria Math" w:eastAsia="Calibri" w:hAnsi="Cambria Math" w:cs="AdvOT1ef757c0"/>
                <w:color w:val="000000"/>
                <w:sz w:val="24"/>
                <w:szCs w:val="24"/>
              </w:rPr>
              <m:t>t</m:t>
            </m:r>
          </m:sub>
        </m:sSub>
        <m:r>
          <w:rPr>
            <w:rFonts w:ascii="Cambria Math" w:eastAsia="Calibri" w:hAnsi="Cambria Math" w:cs="AdvOT1ef757c0"/>
            <w:color w:val="000000"/>
            <w:sz w:val="24"/>
            <w:szCs w:val="24"/>
          </w:rPr>
          <m:t xml:space="preserve">= </m:t>
        </m:r>
        <m:nary>
          <m:naryPr>
            <m:chr m:val="∑"/>
            <m:limLoc m:val="undOvr"/>
            <m:ctrlPr>
              <w:rPr>
                <w:rFonts w:ascii="Cambria Math" w:eastAsia="Calibri" w:hAnsi="Cambria Math" w:cs="AdvOT1ef757c0"/>
                <w:i/>
                <w:color w:val="000000"/>
                <w:sz w:val="24"/>
                <w:szCs w:val="24"/>
              </w:rPr>
            </m:ctrlPr>
          </m:naryPr>
          <m:sub>
            <m:r>
              <w:rPr>
                <w:rFonts w:ascii="Cambria Math" w:eastAsia="Calibri" w:hAnsi="Cambria Math" w:cs="AdvOT1ef757c0"/>
                <w:color w:val="000000"/>
                <w:sz w:val="24"/>
                <w:szCs w:val="24"/>
              </w:rPr>
              <m:t>j=0</m:t>
            </m:r>
          </m:sub>
          <m:sup>
            <m:r>
              <w:rPr>
                <w:rFonts w:ascii="Cambria Math" w:eastAsia="Calibri" w:hAnsi="Cambria Math" w:cs="AdvOT1ef757c0"/>
                <w:color w:val="000000"/>
                <w:sz w:val="24"/>
                <w:szCs w:val="24"/>
              </w:rPr>
              <m:t>∞</m:t>
            </m:r>
          </m:sup>
          <m:e>
            <m:sSub>
              <m:sSubPr>
                <m:ctrlPr>
                  <w:rPr>
                    <w:rFonts w:ascii="Cambria Math" w:eastAsia="Calibri" w:hAnsi="Cambria Math" w:cs="AdvOT1ef757c0"/>
                    <w:i/>
                    <w:color w:val="000000"/>
                    <w:sz w:val="24"/>
                    <w:szCs w:val="24"/>
                  </w:rPr>
                </m:ctrlPr>
              </m:sSubPr>
              <m:e>
                <m:r>
                  <m:rPr>
                    <m:sty m:val="p"/>
                  </m:rPr>
                  <w:rPr>
                    <w:rFonts w:ascii="Cambria Math" w:eastAsia="Calibri" w:hAnsi="Cambria Math" w:cstheme="majorBidi"/>
                    <w:color w:val="000000"/>
                    <w:sz w:val="24"/>
                    <w:szCs w:val="24"/>
                  </w:rPr>
                  <w:sym w:font="Symbol" w:char="F051"/>
                </m:r>
              </m:e>
              <m:sub>
                <m:r>
                  <w:rPr>
                    <w:rFonts w:ascii="Cambria Math" w:eastAsia="Calibri" w:hAnsi="Cambria Math" w:cs="AdvOT1ef757c0"/>
                    <w:color w:val="000000"/>
                    <w:sz w:val="24"/>
                    <w:szCs w:val="24"/>
                  </w:rPr>
                  <m:t>jt</m:t>
                </m:r>
              </m:sub>
            </m:sSub>
            <m:sSub>
              <m:sSubPr>
                <m:ctrlPr>
                  <w:rPr>
                    <w:rFonts w:ascii="Cambria Math" w:eastAsia="Calibri" w:hAnsi="Cambria Math" w:cs="AdvOT1ef757c0"/>
                    <w:i/>
                    <w:color w:val="000000"/>
                    <w:sz w:val="24"/>
                    <w:szCs w:val="24"/>
                  </w:rPr>
                </m:ctrlPr>
              </m:sSubPr>
              <m:e>
                <m:r>
                  <w:rPr>
                    <w:rFonts w:ascii="Cambria Math" w:eastAsia="Calibri" w:hAnsi="Cambria Math" w:cs="AdvOT1ef757c0"/>
                    <w:color w:val="000000"/>
                    <w:sz w:val="24"/>
                    <w:szCs w:val="24"/>
                  </w:rPr>
                  <m:t>ε</m:t>
                </m:r>
              </m:e>
              <m:sub>
                <m:r>
                  <w:rPr>
                    <w:rFonts w:ascii="Cambria Math" w:eastAsia="Calibri" w:hAnsi="Cambria Math" w:cs="AdvOT1ef757c0"/>
                    <w:color w:val="000000"/>
                    <w:sz w:val="24"/>
                    <w:szCs w:val="24"/>
                  </w:rPr>
                  <m:t>t-j</m:t>
                </m:r>
              </m:sub>
            </m:sSub>
          </m:e>
        </m:nary>
      </m:oMath>
      <w:r w:rsidR="009E6727"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 xml:space="preserve">   </w:t>
      </w:r>
      <w:r w:rsidR="009E6727"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 xml:space="preserve">            </w:t>
      </w:r>
      <w:r w:rsidR="009E6727" w:rsidRPr="00012F08">
        <w:rPr>
          <w:rFonts w:asciiTheme="majorBidi" w:eastAsia="Calibri" w:hAnsiTheme="majorBidi" w:cstheme="majorBidi"/>
          <w:color w:val="000000"/>
          <w:sz w:val="24"/>
          <w:szCs w:val="24"/>
        </w:rPr>
        <w:t xml:space="preserve"> (3)</w:t>
      </w:r>
    </w:p>
    <w:p w14:paraId="569898B9" w14:textId="6D770DF7" w:rsidR="009E6727" w:rsidRPr="00012F08" w:rsidRDefault="009E6727" w:rsidP="00A355F3">
      <w:pPr>
        <w:autoSpaceDE w:val="0"/>
        <w:autoSpaceDN w:val="0"/>
        <w:bidi w:val="0"/>
        <w:adjustRightInd w:val="0"/>
        <w:spacing w:before="120" w:after="120" w:line="360" w:lineRule="auto"/>
        <w:jc w:val="both"/>
        <w:rPr>
          <w:rFonts w:asciiTheme="majorBidi" w:eastAsia="Calibri" w:hAnsiTheme="majorBidi" w:cstheme="majorBidi"/>
          <w:iCs/>
          <w:color w:val="000000"/>
          <w:sz w:val="24"/>
          <w:szCs w:val="24"/>
        </w:rPr>
      </w:pPr>
      <w:r w:rsidRPr="00012F08">
        <w:rPr>
          <w:rFonts w:asciiTheme="majorBidi" w:eastAsia="Calibri" w:hAnsiTheme="majorBidi" w:cstheme="majorBidi"/>
          <w:color w:val="000000"/>
          <w:sz w:val="24"/>
          <w:szCs w:val="24"/>
        </w:rPr>
        <w:t xml:space="preserve">where </w:t>
      </w:r>
      <m:oMath>
        <m:sSub>
          <m:sSubPr>
            <m:ctrlPr>
              <w:rPr>
                <w:rFonts w:ascii="Cambria Math" w:eastAsia="Calibri" w:hAnsi="Cambria Math" w:cs="AdvOT1ef757c0"/>
                <w:i/>
                <w:color w:val="000000"/>
                <w:sz w:val="24"/>
                <w:szCs w:val="24"/>
              </w:rPr>
            </m:ctrlPr>
          </m:sSubPr>
          <m:e>
            <m:r>
              <m:rPr>
                <m:sty m:val="p"/>
              </m:rPr>
              <w:rPr>
                <w:rFonts w:ascii="Cambria Math" w:eastAsia="Calibri" w:hAnsi="Cambria Math" w:cstheme="majorBidi"/>
                <w:color w:val="000000"/>
                <w:sz w:val="24"/>
                <w:szCs w:val="24"/>
              </w:rPr>
              <w:sym w:font="Symbol" w:char="F051"/>
            </m:r>
          </m:e>
          <m:sub>
            <m:r>
              <w:rPr>
                <w:rFonts w:ascii="Cambria Math" w:eastAsia="Calibri" w:hAnsi="Cambria Math" w:cs="AdvOT1ef757c0"/>
                <w:color w:val="000000"/>
                <w:sz w:val="24"/>
                <w:szCs w:val="24"/>
              </w:rPr>
              <m:t>jt</m:t>
            </m:r>
          </m:sub>
        </m:sSub>
      </m:oMath>
      <w:r w:rsidRPr="00012F08">
        <w:rPr>
          <w:rFonts w:asciiTheme="majorBidi" w:eastAsia="Calibri" w:hAnsiTheme="majorBidi" w:cstheme="majorBidi"/>
          <w:color w:val="000000"/>
          <w:sz w:val="24"/>
          <w:szCs w:val="24"/>
        </w:rPr>
        <w:t xml:space="preserve"> </w:t>
      </w:r>
      <w:r w:rsidR="00A355F3" w:rsidRPr="00012F08">
        <w:rPr>
          <w:rFonts w:asciiTheme="majorBidi" w:eastAsia="Calibri" w:hAnsiTheme="majorBidi" w:cstheme="majorBidi"/>
          <w:color w:val="000000"/>
          <w:sz w:val="24"/>
          <w:szCs w:val="24"/>
        </w:rPr>
        <w:t>captures the dynamic impulse responses of the system to shocks.</w:t>
      </w:r>
    </w:p>
    <w:p w14:paraId="5D0D8898" w14:textId="1A0E7529" w:rsidR="00A355F3" w:rsidRPr="00012F08" w:rsidRDefault="00A355F3" w:rsidP="00654F57">
      <w:pPr>
        <w:autoSpaceDE w:val="0"/>
        <w:autoSpaceDN w:val="0"/>
        <w:bidi w:val="0"/>
        <w:adjustRightInd w:val="0"/>
        <w:spacing w:before="120" w:after="120" w:line="276"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To quantify connectedness, we use</w:t>
      </w:r>
      <w:r w:rsidR="000F752B">
        <w:rPr>
          <w:rFonts w:asciiTheme="majorBidi" w:eastAsia="Calibri" w:hAnsiTheme="majorBidi" w:cstheme="majorBidi"/>
          <w:color w:val="000000"/>
          <w:sz w:val="24"/>
          <w:szCs w:val="24"/>
        </w:rPr>
        <w:t>d</w:t>
      </w:r>
      <w:r w:rsidRPr="00012F08">
        <w:rPr>
          <w:rFonts w:asciiTheme="majorBidi" w:eastAsia="Calibri" w:hAnsiTheme="majorBidi" w:cstheme="majorBidi"/>
          <w:color w:val="000000"/>
          <w:sz w:val="24"/>
          <w:szCs w:val="24"/>
        </w:rPr>
        <w:t xml:space="preserve"> the </w:t>
      </w:r>
      <w:r w:rsidRPr="00674425">
        <w:rPr>
          <w:rFonts w:asciiTheme="majorBidi" w:eastAsia="Calibri" w:hAnsiTheme="majorBidi" w:cstheme="majorBidi"/>
          <w:color w:val="000000"/>
          <w:sz w:val="24"/>
          <w:szCs w:val="24"/>
        </w:rPr>
        <w:t>generalized forecast error variance decomposition (GFEVD)</w:t>
      </w:r>
      <w:r w:rsidRPr="000F752B">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within this TVP-VAR framework</w:t>
      </w:r>
      <w:r w:rsidR="000F752B">
        <w:rPr>
          <w:rFonts w:asciiTheme="majorBidi" w:eastAsia="Calibri" w:hAnsiTheme="majorBidi" w:cstheme="majorBidi"/>
          <w:color w:val="000000"/>
          <w:sz w:val="24"/>
          <w:szCs w:val="24"/>
        </w:rPr>
        <w:t xml:space="preserve"> to</w:t>
      </w:r>
      <w:r w:rsidR="000F752B" w:rsidRPr="00012F08">
        <w:rPr>
          <w:rFonts w:asciiTheme="majorBidi" w:eastAsia="Calibri" w:hAnsiTheme="majorBidi" w:cstheme="majorBidi"/>
          <w:color w:val="000000"/>
          <w:sz w:val="24"/>
          <w:szCs w:val="24"/>
        </w:rPr>
        <w:t xml:space="preserve"> ensur</w:t>
      </w:r>
      <w:r w:rsidR="000F752B">
        <w:rPr>
          <w:rFonts w:asciiTheme="majorBidi" w:eastAsia="Calibri" w:hAnsiTheme="majorBidi" w:cstheme="majorBidi"/>
          <w:color w:val="000000"/>
          <w:sz w:val="24"/>
          <w:szCs w:val="24"/>
        </w:rPr>
        <w:t xml:space="preserve">e </w:t>
      </w:r>
      <w:r w:rsidRPr="00012F08">
        <w:rPr>
          <w:rFonts w:asciiTheme="majorBidi" w:eastAsia="Calibri" w:hAnsiTheme="majorBidi" w:cstheme="majorBidi"/>
          <w:color w:val="000000"/>
          <w:sz w:val="24"/>
          <w:szCs w:val="24"/>
        </w:rPr>
        <w:t xml:space="preserve">invariance </w:t>
      </w:r>
      <w:r w:rsidR="000F752B">
        <w:rPr>
          <w:rFonts w:asciiTheme="majorBidi" w:eastAsia="Calibri" w:hAnsiTheme="majorBidi" w:cstheme="majorBidi"/>
          <w:color w:val="000000"/>
          <w:sz w:val="24"/>
          <w:szCs w:val="24"/>
        </w:rPr>
        <w:t>regardless of the ordering of the</w:t>
      </w:r>
      <w:r w:rsidR="000F752B"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variable</w:t>
      </w:r>
      <w:r w:rsidR="000F752B">
        <w:rPr>
          <w:rFonts w:asciiTheme="majorBidi" w:eastAsia="Calibri" w:hAnsiTheme="majorBidi" w:cstheme="majorBidi"/>
          <w:color w:val="000000"/>
          <w:sz w:val="24"/>
          <w:szCs w:val="24"/>
        </w:rPr>
        <w:t>s</w:t>
      </w:r>
      <w:r w:rsidRPr="00012F08">
        <w:rPr>
          <w:rFonts w:asciiTheme="majorBidi" w:eastAsia="Calibri" w:hAnsiTheme="majorBidi" w:cstheme="majorBidi"/>
          <w:color w:val="000000"/>
          <w:sz w:val="24"/>
          <w:szCs w:val="24"/>
        </w:rPr>
        <w:t xml:space="preserve">. The H-step ahead GFEVD for the impact of shocks in variable </w:t>
      </w:r>
      <w:r w:rsidR="00990924" w:rsidRPr="00012F08">
        <w:rPr>
          <w:rFonts w:asciiTheme="majorBidi" w:eastAsia="Calibri" w:hAnsiTheme="majorBidi" w:cstheme="majorBidi"/>
          <w:i/>
          <w:iCs/>
          <w:color w:val="000000"/>
          <w:sz w:val="24"/>
          <w:szCs w:val="24"/>
        </w:rPr>
        <w:t>j</w:t>
      </w:r>
      <w:r w:rsidRPr="00012F08">
        <w:rPr>
          <w:rFonts w:asciiTheme="majorBidi" w:eastAsia="Calibri" w:hAnsiTheme="majorBidi" w:cstheme="majorBidi"/>
          <w:color w:val="000000"/>
          <w:sz w:val="24"/>
          <w:szCs w:val="24"/>
        </w:rPr>
        <w:t xml:space="preserve"> on variable</w:t>
      </w:r>
      <w:r w:rsidRPr="00012F08">
        <w:rPr>
          <w:rFonts w:asciiTheme="majorBidi" w:eastAsia="Calibri" w:hAnsiTheme="majorBidi" w:cstheme="majorBidi"/>
          <w:i/>
          <w:iCs/>
          <w:color w:val="000000"/>
          <w:sz w:val="24"/>
          <w:szCs w:val="24"/>
        </w:rPr>
        <w:t xml:space="preserve"> </w:t>
      </w:r>
      <w:proofErr w:type="spellStart"/>
      <w:r w:rsidRPr="00012F08">
        <w:rPr>
          <w:rFonts w:asciiTheme="majorBidi" w:eastAsia="Calibri" w:hAnsiTheme="majorBidi" w:cstheme="majorBidi"/>
          <w:i/>
          <w:iCs/>
          <w:color w:val="000000"/>
          <w:sz w:val="24"/>
          <w:szCs w:val="24"/>
        </w:rPr>
        <w:t>i</w:t>
      </w:r>
      <w:proofErr w:type="spellEnd"/>
      <w:r w:rsidRPr="00012F08">
        <w:rPr>
          <w:rFonts w:asciiTheme="majorBidi" w:eastAsia="Calibri" w:hAnsiTheme="majorBidi" w:cstheme="majorBidi"/>
          <w:color w:val="000000"/>
          <w:sz w:val="24"/>
          <w:szCs w:val="24"/>
        </w:rPr>
        <w:t xml:space="preserve"> at time </w:t>
      </w:r>
      <w:r w:rsidRPr="00012F08">
        <w:rPr>
          <w:rFonts w:asciiTheme="majorBidi" w:eastAsia="Calibri" w:hAnsiTheme="majorBidi" w:cstheme="majorBidi"/>
          <w:i/>
          <w:iCs/>
          <w:color w:val="000000"/>
          <w:sz w:val="24"/>
          <w:szCs w:val="24"/>
        </w:rPr>
        <w:t>t</w:t>
      </w:r>
      <w:r w:rsidRPr="00012F08">
        <w:rPr>
          <w:rFonts w:asciiTheme="majorBidi" w:eastAsia="Calibri" w:hAnsiTheme="majorBidi" w:cstheme="majorBidi"/>
          <w:color w:val="000000"/>
          <w:sz w:val="24"/>
          <w:szCs w:val="24"/>
        </w:rPr>
        <w:t xml:space="preserve"> is calculated as:</w:t>
      </w:r>
    </w:p>
    <w:p w14:paraId="0E012D63" w14:textId="2D8C8FCB" w:rsidR="009E6727" w:rsidRPr="00012F08" w:rsidRDefault="00990924" w:rsidP="00990924">
      <w:pPr>
        <w:tabs>
          <w:tab w:val="right" w:pos="8306"/>
        </w:tabs>
        <w:autoSpaceDE w:val="0"/>
        <w:autoSpaceDN w:val="0"/>
        <w:bidi w:val="0"/>
        <w:adjustRightInd w:val="0"/>
        <w:spacing w:before="120" w:after="120" w:line="360"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                                            </w:t>
      </w:r>
      <w:r w:rsidR="003B30E2"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 xml:space="preserve">   </w:t>
      </w:r>
      <m:oMath>
        <m:sSubSup>
          <m:sSubSupPr>
            <m:ctrlPr>
              <w:rPr>
                <w:rFonts w:ascii="Cambria Math" w:eastAsia="Calibri" w:hAnsi="Cambria Math" w:cstheme="majorBidi"/>
                <w:color w:val="000000"/>
                <w:sz w:val="24"/>
                <w:szCs w:val="24"/>
              </w:rPr>
            </m:ctrlPr>
          </m:sSubSupPr>
          <m:e>
            <m:r>
              <w:rPr>
                <w:rFonts w:ascii="Cambria Math" w:eastAsia="Calibri" w:hAnsi="Cambria Math" w:cstheme="majorBidi"/>
                <w:color w:val="000000"/>
                <w:sz w:val="24"/>
                <w:szCs w:val="24"/>
              </w:rPr>
              <m:t>d</m:t>
            </m:r>
          </m:e>
          <m:sub>
            <m:r>
              <w:rPr>
                <w:rFonts w:ascii="Cambria Math" w:eastAsia="Calibri" w:hAnsi="Cambria Math" w:cstheme="majorBidi"/>
                <w:color w:val="000000"/>
                <w:sz w:val="24"/>
                <w:szCs w:val="24"/>
              </w:rPr>
              <m:t>ij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gH</m:t>
            </m:r>
          </m:sup>
        </m:sSubSup>
        <m:r>
          <m:rPr>
            <m:sty m:val="p"/>
          </m:rPr>
          <w:rPr>
            <w:rFonts w:ascii="Cambria Math" w:eastAsia="Calibri" w:hAnsi="Cambria Math" w:cstheme="majorBidi"/>
            <w:color w:val="000000"/>
            <w:sz w:val="24"/>
            <w:szCs w:val="24"/>
          </w:rPr>
          <m:t xml:space="preserve">= </m:t>
        </m:r>
        <m:f>
          <m:fPr>
            <m:ctrlPr>
              <w:rPr>
                <w:rFonts w:ascii="Cambria Math" w:eastAsia="Calibri" w:hAnsi="Cambria Math" w:cstheme="majorBidi"/>
                <w:color w:val="000000"/>
                <w:sz w:val="24"/>
                <w:szCs w:val="24"/>
              </w:rPr>
            </m:ctrlPr>
          </m:fPr>
          <m:num>
            <m:sSubSup>
              <m:sSubSupPr>
                <m:ctrlPr>
                  <w:rPr>
                    <w:rFonts w:ascii="Cambria Math" w:eastAsia="Calibri" w:hAnsi="Cambria Math" w:cstheme="majorBidi"/>
                    <w:color w:val="000000"/>
                    <w:sz w:val="24"/>
                    <w:szCs w:val="24"/>
                  </w:rPr>
                </m:ctrlPr>
              </m:sSubSupPr>
              <m:e>
                <m:r>
                  <w:rPr>
                    <w:rFonts w:ascii="Cambria Math" w:eastAsia="Calibri" w:hAnsi="Cambria Math" w:cstheme="majorBidi"/>
                    <w:color w:val="000000"/>
                    <w:sz w:val="24"/>
                    <w:szCs w:val="24"/>
                  </w:rPr>
                  <m:t>σ</m:t>
                </m:r>
              </m:e>
              <m:sub>
                <m:r>
                  <w:rPr>
                    <w:rFonts w:ascii="Cambria Math" w:eastAsia="Calibri" w:hAnsi="Cambria Math" w:cstheme="majorBidi"/>
                    <w:color w:val="000000"/>
                    <w:sz w:val="24"/>
                    <w:szCs w:val="24"/>
                  </w:rPr>
                  <m:t>jj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m:rPr>
                    <m:sty m:val="p"/>
                  </m:rPr>
                  <w:rPr>
                    <w:rFonts w:ascii="Cambria Math" w:eastAsia="Calibri" w:hAnsi="Cambria Math" w:cstheme="majorBidi"/>
                    <w:color w:val="000000"/>
                    <w:sz w:val="24"/>
                    <w:szCs w:val="24"/>
                  </w:rPr>
                  <m:t>-1</m:t>
                </m:r>
              </m:sup>
            </m:sSubSup>
            <m:r>
              <m:rPr>
                <m:sty m:val="p"/>
              </m:rPr>
              <w:rPr>
                <w:rFonts w:ascii="Cambria Math" w:eastAsia="Calibri" w:hAnsi="Cambria Math" w:cstheme="majorBidi"/>
                <w:color w:val="000000"/>
                <w:sz w:val="24"/>
                <w:szCs w:val="24"/>
              </w:rPr>
              <m:t xml:space="preserve"> </m:t>
            </m:r>
            <m:nary>
              <m:naryPr>
                <m:chr m:val="∑"/>
                <m:limLoc m:val="undOvr"/>
                <m:ctrlPr>
                  <w:rPr>
                    <w:rFonts w:ascii="Cambria Math" w:eastAsia="Calibri" w:hAnsi="Cambria Math" w:cstheme="majorBidi"/>
                    <w:color w:val="000000"/>
                    <w:sz w:val="24"/>
                    <w:szCs w:val="24"/>
                  </w:rPr>
                </m:ctrlPr>
              </m:naryPr>
              <m:sub>
                <m:r>
                  <w:rPr>
                    <w:rFonts w:ascii="Cambria Math" w:eastAsia="Calibri" w:hAnsi="Cambria Math" w:cstheme="majorBidi"/>
                    <w:color w:val="000000"/>
                    <w:sz w:val="24"/>
                    <w:szCs w:val="24"/>
                  </w:rPr>
                  <m:t>h</m:t>
                </m:r>
                <m:r>
                  <m:rPr>
                    <m:sty m:val="p"/>
                  </m:rPr>
                  <w:rPr>
                    <w:rFonts w:ascii="Cambria Math" w:eastAsia="Calibri" w:hAnsi="Cambria Math" w:cstheme="majorBidi"/>
                    <w:color w:val="000000"/>
                    <w:sz w:val="24"/>
                    <w:szCs w:val="24"/>
                  </w:rPr>
                  <m:t>=0</m:t>
                </m:r>
              </m:sub>
              <m:sup>
                <m:r>
                  <w:rPr>
                    <w:rFonts w:ascii="Cambria Math" w:eastAsia="Calibri" w:hAnsi="Cambria Math" w:cstheme="majorBidi"/>
                    <w:color w:val="000000"/>
                    <w:sz w:val="24"/>
                    <w:szCs w:val="24"/>
                  </w:rPr>
                  <m:t>H</m:t>
                </m:r>
                <m:r>
                  <m:rPr>
                    <m:sty m:val="p"/>
                  </m:rPr>
                  <w:rPr>
                    <w:rFonts w:ascii="Cambria Math" w:eastAsia="Calibri" w:hAnsi="Cambria Math" w:cstheme="majorBidi"/>
                    <w:color w:val="000000"/>
                    <w:sz w:val="24"/>
                    <w:szCs w:val="24"/>
                  </w:rPr>
                  <m:t>-1</m:t>
                </m:r>
              </m:sup>
              <m:e>
                <m:sSup>
                  <m:sSupPr>
                    <m:ctrlPr>
                      <w:rPr>
                        <w:rFonts w:ascii="Cambria Math" w:eastAsia="Calibri" w:hAnsi="Cambria Math" w:cstheme="majorBidi"/>
                        <w:color w:val="000000"/>
                        <w:sz w:val="24"/>
                        <w:szCs w:val="24"/>
                      </w:rPr>
                    </m:ctrlPr>
                  </m:sSupPr>
                  <m:e>
                    <m:d>
                      <m:dPr>
                        <m:ctrlPr>
                          <w:rPr>
                            <w:rFonts w:ascii="Cambria Math" w:eastAsia="Calibri" w:hAnsi="Cambria Math" w:cstheme="majorBidi"/>
                            <w:color w:val="000000"/>
                            <w:sz w:val="24"/>
                            <w:szCs w:val="24"/>
                          </w:rPr>
                        </m:ctrlPr>
                      </m:dPr>
                      <m:e>
                        <m:sSubSup>
                          <m:sSubSupPr>
                            <m:ctrlPr>
                              <w:rPr>
                                <w:rFonts w:ascii="Cambria Math" w:eastAsia="Calibri" w:hAnsi="Cambria Math" w:cstheme="majorBidi"/>
                                <w:color w:val="000000"/>
                                <w:sz w:val="24"/>
                                <w:szCs w:val="24"/>
                              </w:rPr>
                            </m:ctrlPr>
                          </m:sSubSupPr>
                          <m:e>
                            <m:r>
                              <w:rPr>
                                <w:rFonts w:ascii="Cambria Math" w:eastAsia="Calibri" w:hAnsi="Cambria Math" w:cstheme="majorBidi"/>
                                <w:color w:val="000000"/>
                                <w:sz w:val="24"/>
                                <w:szCs w:val="24"/>
                              </w:rPr>
                              <m:t>e</m:t>
                            </m:r>
                          </m:e>
                          <m:sub>
                            <m:r>
                              <w:rPr>
                                <w:rFonts w:ascii="Cambria Math" w:eastAsia="Calibri" w:hAnsi="Cambria Math" w:cstheme="majorBidi"/>
                                <w:color w:val="000000"/>
                                <w:sz w:val="24"/>
                                <w:szCs w:val="24"/>
                              </w:rPr>
                              <m:t>i</m:t>
                            </m:r>
                          </m:sub>
                          <m:sup>
                            <m:r>
                              <m:rPr>
                                <m:sty m:val="p"/>
                              </m:rPr>
                              <w:rPr>
                                <w:rFonts w:ascii="Cambria Math" w:eastAsia="Calibri" w:hAnsi="Cambria Math" w:cstheme="majorBidi"/>
                                <w:color w:val="000000"/>
                                <w:sz w:val="24"/>
                                <w:szCs w:val="24"/>
                              </w:rPr>
                              <m:t>'</m:t>
                            </m:r>
                          </m:sup>
                        </m:sSubSup>
                        <m:r>
                          <m:rPr>
                            <m:sty m:val="p"/>
                          </m:rPr>
                          <w:rPr>
                            <w:rFonts w:ascii="Cambria Math" w:eastAsia="Calibri" w:hAnsi="Cambria Math" w:cstheme="majorBidi"/>
                            <w:color w:val="000000"/>
                            <w:sz w:val="24"/>
                            <w:szCs w:val="24"/>
                          </w:rPr>
                          <m:t xml:space="preserve"> </m:t>
                        </m:r>
                        <m:sSub>
                          <m:sSubPr>
                            <m:ctrlPr>
                              <w:rPr>
                                <w:rFonts w:ascii="Cambria Math" w:eastAsia="Calibri" w:hAnsi="Cambria Math" w:cstheme="majorBidi"/>
                                <w:color w:val="000000"/>
                                <w:sz w:val="24"/>
                                <w:szCs w:val="24"/>
                              </w:rPr>
                            </m:ctrlPr>
                          </m:sSubPr>
                          <m:e>
                            <m:r>
                              <m:rPr>
                                <m:sty m:val="p"/>
                              </m:rPr>
                              <w:rPr>
                                <w:rFonts w:ascii="Cambria Math" w:eastAsia="Calibri" w:hAnsi="Cambria Math" w:cstheme="majorBidi"/>
                                <w:color w:val="000000"/>
                                <w:sz w:val="24"/>
                                <w:szCs w:val="24"/>
                              </w:rPr>
                              <w:sym w:font="Symbol" w:char="F051"/>
                            </m:r>
                          </m:e>
                          <m:sub>
                            <m:r>
                              <w:rPr>
                                <w:rFonts w:ascii="Cambria Math" w:eastAsia="Calibri" w:hAnsi="Cambria Math" w:cstheme="majorBidi"/>
                                <w:color w:val="000000"/>
                                <w:sz w:val="24"/>
                                <w:szCs w:val="24"/>
                              </w:rPr>
                              <m:t>h</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Sub>
                        <m:r>
                          <m:rPr>
                            <m:sty m:val="p"/>
                          </m:rPr>
                          <w:rPr>
                            <w:rFonts w:ascii="Cambria Math" w:eastAsia="Calibri" w:hAnsi="Cambria Math" w:cstheme="majorBidi"/>
                            <w:color w:val="000000"/>
                            <w:sz w:val="24"/>
                            <w:szCs w:val="24"/>
                          </w:rPr>
                          <m:t xml:space="preserve"> </m:t>
                        </m:r>
                        <m:sSub>
                          <m:sSubPr>
                            <m:ctrlPr>
                              <w:rPr>
                                <w:rFonts w:ascii="Cambria Math" w:eastAsia="Calibri" w:hAnsi="Cambria Math" w:cstheme="majorBidi"/>
                                <w:color w:val="000000"/>
                                <w:sz w:val="24"/>
                                <w:szCs w:val="24"/>
                              </w:rPr>
                            </m:ctrlPr>
                          </m:sSubPr>
                          <m:e>
                            <m:r>
                              <m:rPr>
                                <m:sty m:val="p"/>
                              </m:rPr>
                              <w:rPr>
                                <w:rFonts w:ascii="Cambria Math" w:eastAsia="Calibri" w:hAnsi="Cambria Math" w:cstheme="majorBidi"/>
                                <w:color w:val="000000"/>
                                <w:sz w:val="24"/>
                                <w:szCs w:val="24"/>
                              </w:rPr>
                              <w:sym w:font="Symbol" w:char="F053"/>
                            </m:r>
                          </m:e>
                          <m:sub>
                            <m:r>
                              <w:rPr>
                                <w:rFonts w:ascii="Cambria Math" w:eastAsia="Calibri" w:hAnsi="Cambria Math" w:cstheme="majorBidi"/>
                                <w:color w:val="000000"/>
                                <w:sz w:val="24"/>
                                <w:szCs w:val="24"/>
                              </w:rPr>
                              <m:t>t</m:t>
                            </m:r>
                          </m:sub>
                        </m:sSub>
                        <m:sSub>
                          <m:sSubPr>
                            <m:ctrlPr>
                              <w:rPr>
                                <w:rFonts w:ascii="Cambria Math" w:eastAsia="Calibri" w:hAnsi="Cambria Math" w:cstheme="majorBidi"/>
                                <w:color w:val="000000"/>
                                <w:sz w:val="24"/>
                                <w:szCs w:val="24"/>
                              </w:rPr>
                            </m:ctrlPr>
                          </m:sSubPr>
                          <m:e>
                            <m:r>
                              <w:rPr>
                                <w:rFonts w:ascii="Cambria Math" w:eastAsia="Calibri" w:hAnsi="Cambria Math" w:cstheme="majorBidi"/>
                                <w:color w:val="000000"/>
                                <w:sz w:val="24"/>
                                <w:szCs w:val="24"/>
                              </w:rPr>
                              <m:t>e</m:t>
                            </m:r>
                          </m:e>
                          <m:sub>
                            <m:r>
                              <w:rPr>
                                <w:rFonts w:ascii="Cambria Math" w:eastAsia="Calibri" w:hAnsi="Cambria Math" w:cstheme="majorBidi"/>
                                <w:color w:val="000000"/>
                                <w:sz w:val="24"/>
                                <w:szCs w:val="24"/>
                              </w:rPr>
                              <m:t>j</m:t>
                            </m:r>
                          </m:sub>
                        </m:sSub>
                      </m:e>
                    </m:d>
                  </m:e>
                  <m:sup>
                    <m:r>
                      <m:rPr>
                        <m:sty m:val="p"/>
                      </m:rPr>
                      <w:rPr>
                        <w:rFonts w:ascii="Cambria Math" w:eastAsia="Calibri" w:hAnsi="Cambria Math" w:cstheme="majorBidi"/>
                        <w:color w:val="000000"/>
                        <w:sz w:val="24"/>
                        <w:szCs w:val="24"/>
                      </w:rPr>
                      <m:t>2</m:t>
                    </m:r>
                  </m:sup>
                </m:sSup>
              </m:e>
            </m:nary>
          </m:num>
          <m:den>
            <m:r>
              <m:rPr>
                <m:sty m:val="p"/>
              </m:rPr>
              <w:rPr>
                <w:rFonts w:ascii="Cambria Math" w:eastAsia="Calibri" w:hAnsi="Cambria Math" w:cstheme="majorBidi"/>
                <w:color w:val="000000"/>
                <w:sz w:val="24"/>
                <w:szCs w:val="24"/>
              </w:rPr>
              <m:t xml:space="preserve"> </m:t>
            </m:r>
            <m:nary>
              <m:naryPr>
                <m:chr m:val="∑"/>
                <m:limLoc m:val="undOvr"/>
                <m:ctrlPr>
                  <w:rPr>
                    <w:rFonts w:ascii="Cambria Math" w:eastAsia="Calibri" w:hAnsi="Cambria Math" w:cstheme="majorBidi"/>
                    <w:color w:val="000000"/>
                    <w:sz w:val="24"/>
                    <w:szCs w:val="24"/>
                  </w:rPr>
                </m:ctrlPr>
              </m:naryPr>
              <m:sub>
                <m:r>
                  <w:rPr>
                    <w:rFonts w:ascii="Cambria Math" w:eastAsia="Calibri" w:hAnsi="Cambria Math" w:cstheme="majorBidi"/>
                    <w:color w:val="000000"/>
                    <w:sz w:val="24"/>
                    <w:szCs w:val="24"/>
                  </w:rPr>
                  <m:t>h</m:t>
                </m:r>
                <m:r>
                  <m:rPr>
                    <m:sty m:val="p"/>
                  </m:rPr>
                  <w:rPr>
                    <w:rFonts w:ascii="Cambria Math" w:eastAsia="Calibri" w:hAnsi="Cambria Math" w:cstheme="majorBidi"/>
                    <w:color w:val="000000"/>
                    <w:sz w:val="24"/>
                    <w:szCs w:val="24"/>
                  </w:rPr>
                  <m:t>=0</m:t>
                </m:r>
              </m:sub>
              <m:sup>
                <m:r>
                  <w:rPr>
                    <w:rFonts w:ascii="Cambria Math" w:eastAsia="Calibri" w:hAnsi="Cambria Math" w:cstheme="majorBidi"/>
                    <w:color w:val="000000"/>
                    <w:sz w:val="24"/>
                    <w:szCs w:val="24"/>
                  </w:rPr>
                  <m:t>H</m:t>
                </m:r>
                <m:r>
                  <m:rPr>
                    <m:sty m:val="p"/>
                  </m:rPr>
                  <w:rPr>
                    <w:rFonts w:ascii="Cambria Math" w:eastAsia="Calibri" w:hAnsi="Cambria Math" w:cstheme="majorBidi"/>
                    <w:color w:val="000000"/>
                    <w:sz w:val="24"/>
                    <w:szCs w:val="24"/>
                  </w:rPr>
                  <m:t>-1</m:t>
                </m:r>
              </m:sup>
              <m:e>
                <m:d>
                  <m:dPr>
                    <m:ctrlPr>
                      <w:rPr>
                        <w:rFonts w:ascii="Cambria Math" w:eastAsia="Calibri" w:hAnsi="Cambria Math" w:cstheme="majorBidi"/>
                        <w:color w:val="000000"/>
                        <w:sz w:val="24"/>
                        <w:szCs w:val="24"/>
                      </w:rPr>
                    </m:ctrlPr>
                  </m:dPr>
                  <m:e>
                    <m:sSubSup>
                      <m:sSubSupPr>
                        <m:ctrlPr>
                          <w:rPr>
                            <w:rFonts w:ascii="Cambria Math" w:eastAsia="Calibri" w:hAnsi="Cambria Math" w:cstheme="majorBidi"/>
                            <w:color w:val="000000"/>
                            <w:sz w:val="24"/>
                            <w:szCs w:val="24"/>
                          </w:rPr>
                        </m:ctrlPr>
                      </m:sSubSupPr>
                      <m:e>
                        <m:r>
                          <w:rPr>
                            <w:rFonts w:ascii="Cambria Math" w:eastAsia="Calibri" w:hAnsi="Cambria Math" w:cstheme="majorBidi"/>
                            <w:color w:val="000000"/>
                            <w:sz w:val="24"/>
                            <w:szCs w:val="24"/>
                          </w:rPr>
                          <m:t>e</m:t>
                        </m:r>
                      </m:e>
                      <m:sub>
                        <m:r>
                          <w:rPr>
                            <w:rFonts w:ascii="Cambria Math" w:eastAsia="Calibri" w:hAnsi="Cambria Math" w:cstheme="majorBidi"/>
                            <w:color w:val="000000"/>
                            <w:sz w:val="24"/>
                            <w:szCs w:val="24"/>
                          </w:rPr>
                          <m:t>i</m:t>
                        </m:r>
                      </m:sub>
                      <m:sup>
                        <m:r>
                          <m:rPr>
                            <m:sty m:val="p"/>
                          </m:rPr>
                          <w:rPr>
                            <w:rFonts w:ascii="Cambria Math" w:eastAsia="Calibri" w:hAnsi="Cambria Math" w:cstheme="majorBidi"/>
                            <w:color w:val="000000"/>
                            <w:sz w:val="24"/>
                            <w:szCs w:val="24"/>
                          </w:rPr>
                          <m:t>'</m:t>
                        </m:r>
                      </m:sup>
                    </m:sSubSup>
                    <m:r>
                      <m:rPr>
                        <m:sty m:val="p"/>
                      </m:rPr>
                      <w:rPr>
                        <w:rFonts w:ascii="Cambria Math" w:eastAsia="Calibri" w:hAnsi="Cambria Math" w:cstheme="majorBidi"/>
                        <w:color w:val="000000"/>
                        <w:sz w:val="24"/>
                        <w:szCs w:val="24"/>
                      </w:rPr>
                      <m:t xml:space="preserve"> </m:t>
                    </m:r>
                    <m:sSub>
                      <m:sSubPr>
                        <m:ctrlPr>
                          <w:rPr>
                            <w:rFonts w:ascii="Cambria Math" w:eastAsia="Calibri" w:hAnsi="Cambria Math" w:cstheme="majorBidi"/>
                            <w:color w:val="000000"/>
                            <w:sz w:val="24"/>
                            <w:szCs w:val="24"/>
                          </w:rPr>
                        </m:ctrlPr>
                      </m:sSubPr>
                      <m:e>
                        <m:r>
                          <m:rPr>
                            <m:sty m:val="p"/>
                          </m:rPr>
                          <w:rPr>
                            <w:rFonts w:ascii="Cambria Math" w:eastAsia="Calibri" w:hAnsi="Cambria Math" w:cstheme="majorBidi"/>
                            <w:color w:val="000000"/>
                            <w:sz w:val="24"/>
                            <w:szCs w:val="24"/>
                          </w:rPr>
                          <w:sym w:font="Symbol" w:char="F051"/>
                        </m:r>
                      </m:e>
                      <m:sub>
                        <m:r>
                          <w:rPr>
                            <w:rFonts w:ascii="Cambria Math" w:eastAsia="Calibri" w:hAnsi="Cambria Math" w:cstheme="majorBidi"/>
                            <w:color w:val="000000"/>
                            <w:sz w:val="24"/>
                            <w:szCs w:val="24"/>
                          </w:rPr>
                          <m:t>h</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Sub>
                    <m:r>
                      <m:rPr>
                        <m:sty m:val="p"/>
                      </m:rPr>
                      <w:rPr>
                        <w:rFonts w:ascii="Cambria Math" w:eastAsia="Calibri" w:hAnsi="Cambria Math" w:cstheme="majorBidi"/>
                        <w:color w:val="000000"/>
                        <w:sz w:val="24"/>
                        <w:szCs w:val="24"/>
                      </w:rPr>
                      <m:t xml:space="preserve"> </m:t>
                    </m:r>
                    <m:sSub>
                      <m:sSubPr>
                        <m:ctrlPr>
                          <w:rPr>
                            <w:rFonts w:ascii="Cambria Math" w:eastAsia="Calibri" w:hAnsi="Cambria Math" w:cstheme="majorBidi"/>
                            <w:color w:val="000000"/>
                            <w:sz w:val="24"/>
                            <w:szCs w:val="24"/>
                          </w:rPr>
                        </m:ctrlPr>
                      </m:sSubPr>
                      <m:e>
                        <m:r>
                          <m:rPr>
                            <m:sty m:val="p"/>
                          </m:rPr>
                          <w:rPr>
                            <w:rFonts w:ascii="Cambria Math" w:eastAsia="Calibri" w:hAnsi="Cambria Math" w:cstheme="majorBidi"/>
                            <w:color w:val="000000"/>
                            <w:sz w:val="24"/>
                            <w:szCs w:val="24"/>
                          </w:rPr>
                          <w:sym w:font="Symbol" w:char="F053"/>
                        </m:r>
                      </m:e>
                      <m:sub>
                        <m:r>
                          <w:rPr>
                            <w:rFonts w:ascii="Cambria Math" w:eastAsia="Calibri" w:hAnsi="Cambria Math" w:cstheme="majorBidi"/>
                            <w:color w:val="000000"/>
                            <w:sz w:val="24"/>
                            <w:szCs w:val="24"/>
                          </w:rPr>
                          <m:t>t</m:t>
                        </m:r>
                      </m:sub>
                    </m:sSub>
                    <m:sSubSup>
                      <m:sSubSupPr>
                        <m:ctrlPr>
                          <w:rPr>
                            <w:rFonts w:ascii="Cambria Math" w:eastAsia="Calibri" w:hAnsi="Cambria Math" w:cstheme="majorBidi"/>
                            <w:color w:val="000000"/>
                            <w:sz w:val="24"/>
                            <w:szCs w:val="24"/>
                          </w:rPr>
                        </m:ctrlPr>
                      </m:sSubSupPr>
                      <m:e>
                        <m:r>
                          <m:rPr>
                            <m:sty m:val="p"/>
                          </m:rPr>
                          <w:rPr>
                            <w:rFonts w:ascii="Cambria Math" w:eastAsia="Calibri" w:hAnsi="Cambria Math" w:cstheme="majorBidi"/>
                            <w:color w:val="000000"/>
                            <w:sz w:val="24"/>
                            <w:szCs w:val="24"/>
                          </w:rPr>
                          <w:sym w:font="Symbol" w:char="F051"/>
                        </m:r>
                      </m:e>
                      <m:sub>
                        <m:r>
                          <w:rPr>
                            <w:rFonts w:ascii="Cambria Math" w:eastAsia="Calibri" w:hAnsi="Cambria Math" w:cstheme="majorBidi"/>
                            <w:color w:val="000000"/>
                            <w:sz w:val="24"/>
                            <w:szCs w:val="24"/>
                          </w:rPr>
                          <m:t>h</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m:rPr>
                            <m:sty m:val="p"/>
                          </m:rPr>
                          <w:rPr>
                            <w:rFonts w:ascii="Cambria Math" w:eastAsia="Calibri" w:hAnsi="Cambria Math" w:cstheme="majorBidi"/>
                            <w:color w:val="000000"/>
                            <w:sz w:val="24"/>
                            <w:szCs w:val="24"/>
                          </w:rPr>
                          <m:t>'</m:t>
                        </m:r>
                      </m:sup>
                    </m:sSubSup>
                    <m:sSub>
                      <m:sSubPr>
                        <m:ctrlPr>
                          <w:rPr>
                            <w:rFonts w:ascii="Cambria Math" w:eastAsia="Calibri" w:hAnsi="Cambria Math" w:cstheme="majorBidi"/>
                            <w:color w:val="000000"/>
                            <w:sz w:val="24"/>
                            <w:szCs w:val="24"/>
                          </w:rPr>
                        </m:ctrlPr>
                      </m:sSubPr>
                      <m:e>
                        <m:r>
                          <w:rPr>
                            <w:rFonts w:ascii="Cambria Math" w:eastAsia="Calibri" w:hAnsi="Cambria Math" w:cstheme="majorBidi"/>
                            <w:color w:val="000000"/>
                            <w:sz w:val="24"/>
                            <w:szCs w:val="24"/>
                          </w:rPr>
                          <m:t>e</m:t>
                        </m:r>
                      </m:e>
                      <m:sub>
                        <m:r>
                          <w:rPr>
                            <w:rFonts w:ascii="Cambria Math" w:eastAsia="Calibri" w:hAnsi="Cambria Math" w:cstheme="majorBidi"/>
                            <w:color w:val="000000"/>
                            <w:sz w:val="24"/>
                            <w:szCs w:val="24"/>
                          </w:rPr>
                          <m:t>j</m:t>
                        </m:r>
                      </m:sub>
                    </m:sSub>
                  </m:e>
                </m:d>
              </m:e>
            </m:nary>
          </m:den>
        </m:f>
        <m:r>
          <w:rPr>
            <w:rFonts w:ascii="Cambria Math" w:eastAsia="Calibri" w:hAnsi="Cambria Math" w:cstheme="majorBidi"/>
            <w:color w:val="000000"/>
            <w:sz w:val="24"/>
            <w:szCs w:val="24"/>
          </w:rPr>
          <m:t xml:space="preserve"> </m:t>
        </m:r>
      </m:oMath>
      <w:r w:rsidRPr="00012F08">
        <w:rPr>
          <w:rFonts w:asciiTheme="majorBidi" w:eastAsia="Calibri" w:hAnsiTheme="majorBidi" w:cstheme="majorBidi"/>
          <w:color w:val="000000"/>
          <w:sz w:val="24"/>
          <w:szCs w:val="24"/>
        </w:rPr>
        <w:tab/>
      </w:r>
      <w:r w:rsidR="003B30E2"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(4)</w:t>
      </w:r>
    </w:p>
    <w:p w14:paraId="5E36E210" w14:textId="5ACD2246" w:rsidR="009E6727" w:rsidRPr="00012F08" w:rsidRDefault="009E6727" w:rsidP="00654F57">
      <w:pPr>
        <w:autoSpaceDE w:val="0"/>
        <w:autoSpaceDN w:val="0"/>
        <w:bidi w:val="0"/>
        <w:adjustRightInd w:val="0"/>
        <w:spacing w:before="120" w:after="120" w:line="276"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where </w:t>
      </w:r>
      <m:oMath>
        <m:sSubSup>
          <m:sSubSupPr>
            <m:ctrlPr>
              <w:rPr>
                <w:rFonts w:ascii="Cambria Math" w:eastAsia="Calibri" w:hAnsi="Cambria Math" w:cstheme="majorBidi"/>
                <w:color w:val="000000"/>
                <w:sz w:val="24"/>
                <w:szCs w:val="24"/>
              </w:rPr>
            </m:ctrlPr>
          </m:sSubSupPr>
          <m:e>
            <m:r>
              <w:rPr>
                <w:rFonts w:ascii="Cambria Math" w:eastAsia="Calibri" w:hAnsi="Cambria Math" w:cstheme="majorBidi"/>
                <w:color w:val="000000"/>
                <w:sz w:val="24"/>
                <w:szCs w:val="24"/>
              </w:rPr>
              <m:t>σ</m:t>
            </m:r>
          </m:e>
          <m:sub>
            <m:r>
              <w:rPr>
                <w:rFonts w:ascii="Cambria Math" w:eastAsia="Calibri" w:hAnsi="Cambria Math" w:cstheme="majorBidi"/>
                <w:color w:val="000000"/>
                <w:sz w:val="24"/>
                <w:szCs w:val="24"/>
              </w:rPr>
              <m:t>jj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-1</m:t>
            </m:r>
          </m:sup>
        </m:sSubSup>
      </m:oMath>
      <w:r w:rsidRPr="00012F08">
        <w:rPr>
          <w:rFonts w:asciiTheme="majorBidi" w:eastAsia="Calibri" w:hAnsiTheme="majorBidi" w:cstheme="majorBidi"/>
          <w:color w:val="000000"/>
          <w:sz w:val="24"/>
          <w:szCs w:val="24"/>
        </w:rPr>
        <w:t xml:space="preserve"> is the</w:t>
      </w:r>
      <w:r w:rsidR="00A355F3" w:rsidRPr="00012F08">
        <w:rPr>
          <w:rFonts w:asciiTheme="majorBidi" w:eastAsia="Calibri" w:hAnsiTheme="majorBidi" w:cstheme="majorBidi"/>
          <w:color w:val="000000"/>
          <w:sz w:val="24"/>
          <w:szCs w:val="24"/>
        </w:rPr>
        <w:t xml:space="preserve"> inverse </w:t>
      </w:r>
      <w:r w:rsidR="003B30E2" w:rsidRPr="00012F08">
        <w:rPr>
          <w:rFonts w:asciiTheme="majorBidi" w:eastAsia="Calibri" w:hAnsiTheme="majorBidi" w:cstheme="majorBidi"/>
          <w:color w:val="000000"/>
          <w:sz w:val="24"/>
          <w:szCs w:val="24"/>
        </w:rPr>
        <w:t xml:space="preserve">of </w:t>
      </w:r>
      <w:proofErr w:type="spellStart"/>
      <w:r w:rsidR="004768DA" w:rsidRPr="00012F08">
        <w:rPr>
          <w:rFonts w:asciiTheme="majorBidi" w:eastAsia="Calibri" w:hAnsiTheme="majorBidi" w:cstheme="majorBidi"/>
          <w:i/>
          <w:iCs/>
          <w:color w:val="000000"/>
          <w:sz w:val="24"/>
          <w:szCs w:val="24"/>
        </w:rPr>
        <w:t>j</w:t>
      </w:r>
      <w:r w:rsidR="004768DA" w:rsidRPr="00012F08">
        <w:rPr>
          <w:rFonts w:asciiTheme="majorBidi" w:eastAsia="Calibri" w:hAnsiTheme="majorBidi" w:cstheme="majorBidi"/>
          <w:i/>
          <w:iCs/>
          <w:color w:val="000000"/>
          <w:sz w:val="24"/>
          <w:szCs w:val="24"/>
          <w:vertAlign w:val="superscript"/>
        </w:rPr>
        <w:t>th</w:t>
      </w:r>
      <w:proofErr w:type="spellEnd"/>
      <w:r w:rsidRPr="00012F08">
        <w:rPr>
          <w:rFonts w:asciiTheme="majorBidi" w:eastAsia="Calibri" w:hAnsiTheme="majorBidi" w:cstheme="majorBidi"/>
          <w:color w:val="000000"/>
          <w:sz w:val="24"/>
          <w:szCs w:val="24"/>
        </w:rPr>
        <w:t xml:space="preserve"> diagonal element of  </w:t>
      </w:r>
      <m:oMath>
        <m:sSub>
          <m:sSubPr>
            <m:ctrlPr>
              <w:rPr>
                <w:rFonts w:ascii="Cambria Math" w:eastAsia="Calibri" w:hAnsi="Cambria Math" w:cstheme="majorBidi"/>
                <w:color w:val="000000"/>
                <w:sz w:val="24"/>
                <w:szCs w:val="24"/>
              </w:rPr>
            </m:ctrlPr>
          </m:sSubPr>
          <m:e>
            <m:r>
              <m:rPr>
                <m:sty m:val="p"/>
              </m:rPr>
              <w:rPr>
                <w:rFonts w:ascii="Cambria Math" w:eastAsia="Calibri" w:hAnsi="Cambria Math" w:cstheme="majorBidi"/>
                <w:color w:val="000000"/>
                <w:sz w:val="24"/>
                <w:szCs w:val="24"/>
              </w:rPr>
              <w:sym w:font="Symbol" w:char="F053"/>
            </m:r>
          </m:e>
          <m:sub>
            <m:r>
              <w:rPr>
                <w:rFonts w:ascii="Cambria Math" w:eastAsia="Calibri" w:hAnsi="Cambria Math" w:cstheme="majorBidi"/>
                <w:color w:val="000000"/>
                <w:sz w:val="24"/>
                <w:szCs w:val="24"/>
              </w:rPr>
              <m:t>t</m:t>
            </m:r>
          </m:sub>
        </m:sSub>
      </m:oMath>
      <w:r w:rsidR="00A355F3" w:rsidRPr="00012F08">
        <w:rPr>
          <w:rFonts w:asciiTheme="majorBidi" w:eastAsia="Calibri" w:hAnsiTheme="majorBidi" w:cstheme="majorBidi"/>
          <w:color w:val="000000"/>
          <w:sz w:val="24"/>
          <w:szCs w:val="24"/>
        </w:rPr>
        <w:t xml:space="preserve">, and </w:t>
      </w:r>
      <m:oMath>
        <m:sSub>
          <m:sSubPr>
            <m:ctrlPr>
              <w:rPr>
                <w:rFonts w:ascii="Cambria Math" w:eastAsia="Calibri" w:hAnsi="Cambria Math" w:cstheme="majorBidi"/>
                <w:i/>
                <w:iCs/>
                <w:color w:val="000000"/>
                <w:sz w:val="24"/>
                <w:szCs w:val="24"/>
              </w:rPr>
            </m:ctrlPr>
          </m:sSubPr>
          <m:e>
            <m:r>
              <w:rPr>
                <w:rFonts w:ascii="Cambria Math" w:eastAsia="Calibri" w:hAnsi="Cambria Math" w:cstheme="majorBidi"/>
                <w:color w:val="000000"/>
                <w:sz w:val="24"/>
                <w:szCs w:val="24"/>
              </w:rPr>
              <m:t>e</m:t>
            </m:r>
          </m:e>
          <m:sub>
            <m:r>
              <w:rPr>
                <w:rFonts w:ascii="Cambria Math" w:eastAsia="Calibri" w:hAnsi="Cambria Math" w:cstheme="majorBidi"/>
                <w:color w:val="000000"/>
                <w:sz w:val="24"/>
                <w:szCs w:val="24"/>
              </w:rPr>
              <m:t xml:space="preserve">i </m:t>
            </m:r>
          </m:sub>
        </m:sSub>
      </m:oMath>
      <w:r w:rsidR="00A355F3" w:rsidRPr="00012F08">
        <w:rPr>
          <w:rFonts w:asciiTheme="majorBidi" w:eastAsia="Calibri" w:hAnsiTheme="majorBidi" w:cstheme="majorBidi"/>
          <w:color w:val="000000"/>
          <w:sz w:val="24"/>
          <w:szCs w:val="24"/>
        </w:rPr>
        <w:t>is a selection vector. These values are normalized as:</w:t>
      </w:r>
    </w:p>
    <w:p w14:paraId="7379994D" w14:textId="58C68A76" w:rsidR="00A355F3" w:rsidRPr="00012F08" w:rsidRDefault="00990924" w:rsidP="00990924">
      <w:pPr>
        <w:tabs>
          <w:tab w:val="right" w:pos="8306"/>
        </w:tabs>
        <w:autoSpaceDE w:val="0"/>
        <w:autoSpaceDN w:val="0"/>
        <w:bidi w:val="0"/>
        <w:adjustRightInd w:val="0"/>
        <w:spacing w:before="120" w:after="120" w:line="360"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                                                </w:t>
      </w:r>
      <m:oMath>
        <m:sSubSup>
          <m:sSubSupPr>
            <m:ctrlPr>
              <w:rPr>
                <w:rFonts w:ascii="Cambria Math" w:eastAsia="Calibri" w:hAnsi="Cambria Math" w:cstheme="majorBidi"/>
                <w:color w:val="000000"/>
                <w:sz w:val="24"/>
                <w:szCs w:val="24"/>
              </w:rPr>
            </m:ctrlPr>
          </m:sSubSupPr>
          <m:e>
            <m:acc>
              <m:accPr>
                <m:chr m:val="̃"/>
                <m:ctrlPr>
                  <w:rPr>
                    <w:rFonts w:ascii="Cambria Math" w:eastAsia="Calibri" w:hAnsi="Cambria Math" w:cstheme="majorBidi"/>
                    <w:i/>
                    <w:iCs/>
                    <w:color w:val="000000"/>
                    <w:sz w:val="24"/>
                    <w:szCs w:val="24"/>
                  </w:rPr>
                </m:ctrlPr>
              </m:accPr>
              <m:e>
                <m:r>
                  <w:rPr>
                    <w:rFonts w:ascii="Cambria Math" w:eastAsia="Calibri" w:hAnsi="Cambria Math" w:cstheme="majorBidi"/>
                    <w:color w:val="000000"/>
                    <w:sz w:val="24"/>
                    <w:szCs w:val="24"/>
                  </w:rPr>
                  <m:t>d</m:t>
                </m:r>
              </m:e>
            </m:acc>
          </m:e>
          <m:sub>
            <m:r>
              <w:rPr>
                <w:rFonts w:ascii="Cambria Math" w:eastAsia="Calibri" w:hAnsi="Cambria Math" w:cstheme="majorBidi"/>
                <w:color w:val="000000"/>
                <w:sz w:val="24"/>
                <w:szCs w:val="24"/>
              </w:rPr>
              <m:t>ij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gH</m:t>
            </m:r>
          </m:sup>
        </m:sSubSup>
        <m:r>
          <w:rPr>
            <w:rFonts w:ascii="Cambria Math" w:eastAsia="Calibri" w:hAnsi="Cambria Math" w:cstheme="majorBidi"/>
            <w:color w:val="000000"/>
            <w:sz w:val="24"/>
            <w:szCs w:val="24"/>
          </w:rPr>
          <m:t xml:space="preserve">= </m:t>
        </m:r>
        <m:f>
          <m:fPr>
            <m:ctrlPr>
              <w:rPr>
                <w:rFonts w:ascii="Cambria Math" w:eastAsia="Calibri" w:hAnsi="Cambria Math" w:cstheme="majorBidi"/>
                <w:i/>
                <w:color w:val="000000"/>
                <w:sz w:val="24"/>
                <w:szCs w:val="24"/>
              </w:rPr>
            </m:ctrlPr>
          </m:fPr>
          <m:num>
            <m:sSubSup>
              <m:sSubSupPr>
                <m:ctrlPr>
                  <w:rPr>
                    <w:rFonts w:ascii="Cambria Math" w:eastAsia="Calibri" w:hAnsi="Cambria Math" w:cstheme="majorBidi"/>
                    <w:color w:val="000000"/>
                    <w:sz w:val="24"/>
                    <w:szCs w:val="24"/>
                  </w:rPr>
                </m:ctrlPr>
              </m:sSubSupPr>
              <m:e>
                <m:r>
                  <w:rPr>
                    <w:rFonts w:ascii="Cambria Math" w:eastAsia="Calibri" w:hAnsi="Cambria Math" w:cstheme="majorBidi"/>
                    <w:color w:val="000000"/>
                    <w:sz w:val="24"/>
                    <w:szCs w:val="24"/>
                  </w:rPr>
                  <m:t>d</m:t>
                </m:r>
              </m:e>
              <m:sub>
                <m:r>
                  <w:rPr>
                    <w:rFonts w:ascii="Cambria Math" w:eastAsia="Calibri" w:hAnsi="Cambria Math" w:cstheme="majorBidi"/>
                    <w:color w:val="000000"/>
                    <w:sz w:val="24"/>
                    <w:szCs w:val="24"/>
                  </w:rPr>
                  <m:t>ij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gH</m:t>
                </m:r>
              </m:sup>
            </m:sSubSup>
          </m:num>
          <m:den>
            <m:nary>
              <m:naryPr>
                <m:chr m:val="∑"/>
                <m:limLoc m:val="subSup"/>
                <m:ctrlPr>
                  <w:rPr>
                    <w:rFonts w:ascii="Cambria Math" w:eastAsia="Calibri" w:hAnsi="Cambria Math" w:cstheme="majorBidi"/>
                    <w:i/>
                    <w:color w:val="000000"/>
                    <w:sz w:val="24"/>
                    <w:szCs w:val="24"/>
                  </w:rPr>
                </m:ctrlPr>
              </m:naryPr>
              <m:sub>
                <m:r>
                  <w:rPr>
                    <w:rFonts w:ascii="Cambria Math" w:eastAsia="Calibri" w:hAnsi="Cambria Math" w:cstheme="majorBidi"/>
                    <w:color w:val="000000"/>
                    <w:sz w:val="24"/>
                    <w:szCs w:val="24"/>
                  </w:rPr>
                  <m:t>j=1</m:t>
                </m:r>
              </m:sub>
              <m:sup>
                <m:r>
                  <w:rPr>
                    <w:rFonts w:ascii="Cambria Math" w:eastAsia="Calibri" w:hAnsi="Cambria Math" w:cstheme="majorBidi"/>
                    <w:color w:val="000000"/>
                    <w:sz w:val="24"/>
                    <w:szCs w:val="24"/>
                  </w:rPr>
                  <m:t>N</m:t>
                </m:r>
              </m:sup>
              <m:e>
                <m:sSubSup>
                  <m:sSubSupPr>
                    <m:ctrlPr>
                      <w:rPr>
                        <w:rFonts w:ascii="Cambria Math" w:eastAsia="Calibri" w:hAnsi="Cambria Math" w:cstheme="majorBidi"/>
                        <w:color w:val="000000"/>
                        <w:sz w:val="24"/>
                        <w:szCs w:val="24"/>
                      </w:rPr>
                    </m:ctrlPr>
                  </m:sSubSupPr>
                  <m:e>
                    <m:r>
                      <w:rPr>
                        <w:rFonts w:ascii="Cambria Math" w:eastAsia="Calibri" w:hAnsi="Cambria Math" w:cstheme="majorBidi"/>
                        <w:color w:val="000000"/>
                        <w:sz w:val="24"/>
                        <w:szCs w:val="24"/>
                      </w:rPr>
                      <m:t>d</m:t>
                    </m:r>
                  </m:e>
                  <m:sub>
                    <m:r>
                      <w:rPr>
                        <w:rFonts w:ascii="Cambria Math" w:eastAsia="Calibri" w:hAnsi="Cambria Math" w:cstheme="majorBidi"/>
                        <w:color w:val="000000"/>
                        <w:sz w:val="24"/>
                        <w:szCs w:val="24"/>
                      </w:rPr>
                      <m:t>ij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gH</m:t>
                    </m:r>
                  </m:sup>
                </m:sSubSup>
              </m:e>
            </m:nary>
          </m:den>
        </m:f>
      </m:oMath>
      <w:r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ab/>
        <w:t>(5)</w:t>
      </w:r>
    </w:p>
    <w:p w14:paraId="531A586E" w14:textId="60654F4D" w:rsidR="00A355F3" w:rsidRPr="00012F08" w:rsidRDefault="00A355F3" w:rsidP="00654F57">
      <w:pPr>
        <w:autoSpaceDE w:val="0"/>
        <w:autoSpaceDN w:val="0"/>
        <w:bidi w:val="0"/>
        <w:adjustRightInd w:val="0"/>
        <w:spacing w:before="120" w:after="120" w:line="276"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to interpret the relative contribution of each variable to the forecast error variance of the others.</w:t>
      </w:r>
    </w:p>
    <w:p w14:paraId="7A8B7B5E" w14:textId="5701E937" w:rsidR="009E6727" w:rsidRPr="00012F08" w:rsidRDefault="00A355F3" w:rsidP="00654F57">
      <w:pPr>
        <w:autoSpaceDE w:val="0"/>
        <w:autoSpaceDN w:val="0"/>
        <w:bidi w:val="0"/>
        <w:adjustRightInd w:val="0"/>
        <w:spacing w:before="120" w:after="120" w:line="276"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Using these normalized decompositions, we compute</w:t>
      </w:r>
      <w:r w:rsidR="000F752B">
        <w:rPr>
          <w:rFonts w:asciiTheme="majorBidi" w:eastAsia="Calibri" w:hAnsiTheme="majorBidi" w:cstheme="majorBidi"/>
          <w:color w:val="000000"/>
          <w:sz w:val="24"/>
          <w:szCs w:val="24"/>
        </w:rPr>
        <w:t>d</w:t>
      </w:r>
      <w:r w:rsidRPr="00012F08">
        <w:rPr>
          <w:rFonts w:asciiTheme="majorBidi" w:eastAsia="Calibri" w:hAnsiTheme="majorBidi" w:cstheme="majorBidi"/>
          <w:color w:val="000000"/>
          <w:sz w:val="24"/>
          <w:szCs w:val="24"/>
        </w:rPr>
        <w:t xml:space="preserve"> the </w:t>
      </w:r>
      <w:r w:rsidRPr="00674425">
        <w:rPr>
          <w:rFonts w:asciiTheme="majorBidi" w:eastAsia="Calibri" w:hAnsiTheme="majorBidi" w:cstheme="majorBidi"/>
          <w:color w:val="000000"/>
          <w:sz w:val="24"/>
          <w:szCs w:val="24"/>
        </w:rPr>
        <w:t>Total Connectedness Index</w:t>
      </w:r>
      <w:r w:rsidRPr="00012F08">
        <w:rPr>
          <w:rFonts w:asciiTheme="majorBidi" w:eastAsia="Calibri" w:hAnsiTheme="majorBidi" w:cstheme="majorBidi"/>
          <w:b/>
          <w:bCs/>
          <w:color w:val="000000"/>
          <w:sz w:val="24"/>
          <w:szCs w:val="24"/>
        </w:rPr>
        <w:t xml:space="preserve"> </w:t>
      </w:r>
      <w:r w:rsidRPr="00674425">
        <w:rPr>
          <w:rFonts w:asciiTheme="majorBidi" w:eastAsia="Calibri" w:hAnsiTheme="majorBidi" w:cstheme="majorBidi"/>
          <w:color w:val="000000"/>
          <w:sz w:val="24"/>
          <w:szCs w:val="24"/>
        </w:rPr>
        <w:t>(TCI)</w:t>
      </w:r>
      <w:r w:rsidRPr="00012F08">
        <w:rPr>
          <w:rFonts w:asciiTheme="majorBidi" w:eastAsia="Calibri" w:hAnsiTheme="majorBidi" w:cstheme="majorBidi"/>
          <w:color w:val="000000"/>
          <w:sz w:val="24"/>
          <w:szCs w:val="24"/>
        </w:rPr>
        <w:t xml:space="preserve"> as</w:t>
      </w:r>
      <w:r w:rsidR="009E6727" w:rsidRPr="00012F08">
        <w:rPr>
          <w:rFonts w:asciiTheme="majorBidi" w:eastAsia="Calibri" w:hAnsiTheme="majorBidi" w:cstheme="majorBidi"/>
          <w:color w:val="000000"/>
          <w:sz w:val="24"/>
          <w:szCs w:val="24"/>
        </w:rPr>
        <w:t xml:space="preserve">: </w:t>
      </w:r>
    </w:p>
    <w:p w14:paraId="5408B324" w14:textId="615F579D" w:rsidR="009E6727" w:rsidRPr="00012F08" w:rsidRDefault="00990924" w:rsidP="009E6727">
      <w:pPr>
        <w:autoSpaceDE w:val="0"/>
        <w:autoSpaceDN w:val="0"/>
        <w:bidi w:val="0"/>
        <w:adjustRightInd w:val="0"/>
        <w:spacing w:before="120" w:after="120" w:line="360"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                                          </w:t>
      </w:r>
      <m:oMath>
        <m:sSubSup>
          <m:sSubSupPr>
            <m:ctrlPr>
              <w:rPr>
                <w:rFonts w:ascii="Cambria Math" w:eastAsia="Calibri" w:hAnsi="Cambria Math" w:cstheme="majorBidi"/>
                <w:i/>
                <w:color w:val="000000"/>
                <w:sz w:val="24"/>
                <w:szCs w:val="24"/>
              </w:rPr>
            </m:ctrlPr>
          </m:sSubSupPr>
          <m:e>
            <m:r>
              <w:rPr>
                <w:rFonts w:ascii="Cambria Math" w:eastAsia="Calibri" w:hAnsi="Cambria Math" w:cstheme="majorBidi"/>
                <w:color w:val="000000"/>
                <w:sz w:val="24"/>
                <w:szCs w:val="24"/>
              </w:rPr>
              <m:t>C</m:t>
            </m:r>
          </m:e>
          <m:sub>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gH</m:t>
            </m:r>
          </m:sup>
        </m:sSubSup>
        <m:r>
          <w:rPr>
            <w:rFonts w:ascii="Cambria Math" w:eastAsia="Calibri" w:hAnsi="Cambria Math" w:cstheme="majorBidi"/>
            <w:color w:val="000000"/>
            <w:sz w:val="24"/>
            <w:szCs w:val="24"/>
          </w:rPr>
          <m:t>=</m:t>
        </m:r>
        <m:f>
          <m:fPr>
            <m:ctrlPr>
              <w:rPr>
                <w:rFonts w:ascii="Cambria Math" w:eastAsia="Calibri" w:hAnsi="Cambria Math" w:cstheme="majorBidi"/>
                <w:color w:val="000000"/>
                <w:sz w:val="24"/>
                <w:szCs w:val="24"/>
              </w:rPr>
            </m:ctrlPr>
          </m:fPr>
          <m:num>
            <m:nary>
              <m:naryPr>
                <m:chr m:val="∑"/>
                <m:limLoc m:val="undOvr"/>
                <m:ctrlPr>
                  <w:rPr>
                    <w:rFonts w:ascii="Cambria Math" w:eastAsia="Calibri" w:hAnsi="Cambria Math" w:cstheme="majorBidi"/>
                    <w:i/>
                    <w:color w:val="000000"/>
                    <w:sz w:val="24"/>
                    <w:szCs w:val="24"/>
                  </w:rPr>
                </m:ctrlPr>
              </m:naryPr>
              <m:sub>
                <m:r>
                  <w:rPr>
                    <w:rFonts w:ascii="Cambria Math" w:eastAsia="Calibri" w:hAnsi="Cambria Math" w:cstheme="majorBidi"/>
                    <w:color w:val="000000"/>
                    <w:sz w:val="24"/>
                    <w:szCs w:val="24"/>
                  </w:rPr>
                  <m:t>i, j=1, i≠j</m:t>
                </m:r>
              </m:sub>
              <m:sup>
                <m:r>
                  <w:rPr>
                    <w:rFonts w:ascii="Cambria Math" w:eastAsia="Calibri" w:hAnsi="Cambria Math" w:cstheme="majorBidi"/>
                    <w:color w:val="000000"/>
                    <w:sz w:val="24"/>
                    <w:szCs w:val="24"/>
                  </w:rPr>
                  <m:t>N</m:t>
                </m:r>
              </m:sup>
              <m:e>
                <m:sSubSup>
                  <m:sSubSupPr>
                    <m:ctrlPr>
                      <w:rPr>
                        <w:rFonts w:ascii="Cambria Math" w:eastAsia="Calibri" w:hAnsi="Cambria Math" w:cstheme="majorBidi"/>
                        <w:color w:val="000000"/>
                        <w:sz w:val="24"/>
                        <w:szCs w:val="24"/>
                      </w:rPr>
                    </m:ctrlPr>
                  </m:sSubSupPr>
                  <m:e>
                    <m:acc>
                      <m:accPr>
                        <m:chr m:val="̃"/>
                        <m:ctrlPr>
                          <w:rPr>
                            <w:rFonts w:ascii="Cambria Math" w:eastAsia="Calibri" w:hAnsi="Cambria Math" w:cstheme="majorBidi"/>
                            <w:i/>
                            <w:iCs/>
                            <w:color w:val="000000"/>
                            <w:sz w:val="24"/>
                            <w:szCs w:val="24"/>
                          </w:rPr>
                        </m:ctrlPr>
                      </m:accPr>
                      <m:e>
                        <m:r>
                          <w:rPr>
                            <w:rFonts w:ascii="Cambria Math" w:eastAsia="Calibri" w:hAnsi="Cambria Math" w:cstheme="majorBidi"/>
                            <w:color w:val="000000"/>
                            <w:sz w:val="24"/>
                            <w:szCs w:val="24"/>
                          </w:rPr>
                          <m:t>d</m:t>
                        </m:r>
                      </m:e>
                    </m:acc>
                  </m:e>
                  <m:sub>
                    <m:r>
                      <w:rPr>
                        <w:rFonts w:ascii="Cambria Math" w:eastAsia="Calibri" w:hAnsi="Cambria Math" w:cstheme="majorBidi"/>
                        <w:color w:val="000000"/>
                        <w:sz w:val="24"/>
                        <w:szCs w:val="24"/>
                      </w:rPr>
                      <m:t>ij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gH</m:t>
                    </m:r>
                  </m:sup>
                </m:sSubSup>
              </m:e>
            </m:nary>
          </m:num>
          <m:den>
            <m:nary>
              <m:naryPr>
                <m:chr m:val="∑"/>
                <m:limLoc m:val="undOvr"/>
                <m:ctrlPr>
                  <w:rPr>
                    <w:rFonts w:ascii="Cambria Math" w:eastAsia="Calibri" w:hAnsi="Cambria Math" w:cstheme="majorBidi"/>
                    <w:i/>
                    <w:color w:val="000000"/>
                    <w:sz w:val="24"/>
                    <w:szCs w:val="24"/>
                  </w:rPr>
                </m:ctrlPr>
              </m:naryPr>
              <m:sub>
                <m:r>
                  <w:rPr>
                    <w:rFonts w:ascii="Cambria Math" w:eastAsia="Calibri" w:hAnsi="Cambria Math" w:cstheme="majorBidi"/>
                    <w:color w:val="000000"/>
                    <w:sz w:val="24"/>
                    <w:szCs w:val="24"/>
                  </w:rPr>
                  <m:t>j=1</m:t>
                </m:r>
              </m:sub>
              <m:sup>
                <m:r>
                  <w:rPr>
                    <w:rFonts w:ascii="Cambria Math" w:eastAsia="Calibri" w:hAnsi="Cambria Math" w:cstheme="majorBidi"/>
                    <w:color w:val="000000"/>
                    <w:sz w:val="24"/>
                    <w:szCs w:val="24"/>
                  </w:rPr>
                  <m:t>N</m:t>
                </m:r>
              </m:sup>
              <m:e>
                <m:sSubSup>
                  <m:sSubSupPr>
                    <m:ctrlPr>
                      <w:rPr>
                        <w:rFonts w:ascii="Cambria Math" w:eastAsia="Calibri" w:hAnsi="Cambria Math" w:cstheme="majorBidi"/>
                        <w:color w:val="000000"/>
                        <w:sz w:val="24"/>
                        <w:szCs w:val="24"/>
                      </w:rPr>
                    </m:ctrlPr>
                  </m:sSubSupPr>
                  <m:e>
                    <m:acc>
                      <m:accPr>
                        <m:chr m:val="̃"/>
                        <m:ctrlPr>
                          <w:rPr>
                            <w:rFonts w:ascii="Cambria Math" w:eastAsia="Calibri" w:hAnsi="Cambria Math" w:cstheme="majorBidi"/>
                            <w:i/>
                            <w:iCs/>
                            <w:color w:val="000000"/>
                            <w:sz w:val="24"/>
                            <w:szCs w:val="24"/>
                          </w:rPr>
                        </m:ctrlPr>
                      </m:accPr>
                      <m:e>
                        <m:r>
                          <w:rPr>
                            <w:rFonts w:ascii="Cambria Math" w:eastAsia="Calibri" w:hAnsi="Cambria Math" w:cstheme="majorBidi"/>
                            <w:color w:val="000000"/>
                            <w:sz w:val="24"/>
                            <w:szCs w:val="24"/>
                          </w:rPr>
                          <m:t>d</m:t>
                        </m:r>
                      </m:e>
                    </m:acc>
                  </m:e>
                  <m:sub>
                    <m:r>
                      <w:rPr>
                        <w:rFonts w:ascii="Cambria Math" w:eastAsia="Calibri" w:hAnsi="Cambria Math" w:cstheme="majorBidi"/>
                        <w:color w:val="000000"/>
                        <w:sz w:val="24"/>
                        <w:szCs w:val="24"/>
                      </w:rPr>
                      <m:t>ij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gH</m:t>
                    </m:r>
                  </m:sup>
                </m:sSubSup>
              </m:e>
            </m:nary>
          </m:den>
        </m:f>
        <m:r>
          <w:rPr>
            <w:rFonts w:ascii="Cambria Math" w:eastAsia="Calibri" w:hAnsi="Cambria Math" w:cstheme="majorBidi"/>
            <w:color w:val="000000"/>
            <w:sz w:val="24"/>
            <w:szCs w:val="24"/>
          </w:rPr>
          <m:t xml:space="preserve"> ×100</m:t>
        </m:r>
      </m:oMath>
      <w:r w:rsidR="009E6727" w:rsidRPr="00012F08">
        <w:rPr>
          <w:rFonts w:asciiTheme="majorBidi" w:eastAsia="Calibri" w:hAnsiTheme="majorBidi" w:cstheme="majorBidi"/>
          <w:color w:val="000000"/>
          <w:sz w:val="24"/>
          <w:szCs w:val="24"/>
        </w:rPr>
        <w:t>.                                                               (</w:t>
      </w:r>
      <w:r w:rsidRPr="00012F08">
        <w:rPr>
          <w:rFonts w:asciiTheme="majorBidi" w:eastAsia="Calibri" w:hAnsiTheme="majorBidi" w:cstheme="majorBidi"/>
          <w:color w:val="000000"/>
          <w:sz w:val="24"/>
          <w:szCs w:val="24"/>
        </w:rPr>
        <w:t>6</w:t>
      </w:r>
      <w:r w:rsidR="009E6727" w:rsidRPr="00012F08">
        <w:rPr>
          <w:rFonts w:asciiTheme="majorBidi" w:eastAsia="Calibri" w:hAnsiTheme="majorBidi" w:cstheme="majorBidi"/>
          <w:color w:val="000000"/>
          <w:sz w:val="24"/>
          <w:szCs w:val="24"/>
        </w:rPr>
        <w:t>)</w:t>
      </w:r>
    </w:p>
    <w:p w14:paraId="6CCD5ECA" w14:textId="1C4BA9CE" w:rsidR="009E6727" w:rsidRPr="00012F08" w:rsidRDefault="00A355F3" w:rsidP="00654F57">
      <w:pPr>
        <w:autoSpaceDE w:val="0"/>
        <w:autoSpaceDN w:val="0"/>
        <w:bidi w:val="0"/>
        <w:adjustRightInd w:val="0"/>
        <w:spacing w:before="120" w:after="120" w:line="276"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which captures the overall degree of interconnectedness in the system at each point in time.</w:t>
      </w:r>
      <w:r w:rsidR="00990924"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 xml:space="preserve">Directional connectedness received by </w:t>
      </w:r>
      <w:r w:rsidR="009E6727" w:rsidRPr="00012F08">
        <w:rPr>
          <w:rFonts w:asciiTheme="majorBidi" w:eastAsia="Calibri" w:hAnsiTheme="majorBidi" w:cstheme="majorBidi"/>
          <w:color w:val="000000"/>
          <w:sz w:val="24"/>
          <w:szCs w:val="24"/>
        </w:rPr>
        <w:t xml:space="preserve">variable </w:t>
      </w:r>
      <w:proofErr w:type="spellStart"/>
      <w:r w:rsidR="009E6727" w:rsidRPr="00012F08">
        <w:rPr>
          <w:rFonts w:asciiTheme="majorBidi" w:eastAsia="Calibri" w:hAnsiTheme="majorBidi" w:cstheme="majorBidi"/>
          <w:i/>
          <w:iCs/>
          <w:color w:val="000000"/>
          <w:sz w:val="24"/>
          <w:szCs w:val="24"/>
        </w:rPr>
        <w:t>i</w:t>
      </w:r>
      <w:proofErr w:type="spellEnd"/>
      <w:r w:rsidR="009E6727" w:rsidRPr="00012F08">
        <w:rPr>
          <w:rFonts w:asciiTheme="majorBidi" w:eastAsia="Calibri" w:hAnsiTheme="majorBidi" w:cstheme="majorBidi"/>
          <w:i/>
          <w:iCs/>
          <w:color w:val="000000"/>
          <w:sz w:val="24"/>
          <w:szCs w:val="24"/>
        </w:rPr>
        <w:t xml:space="preserve"> </w:t>
      </w:r>
      <w:r w:rsidR="009E6727" w:rsidRPr="00012F08">
        <w:rPr>
          <w:rFonts w:asciiTheme="majorBidi" w:eastAsia="Calibri" w:hAnsiTheme="majorBidi" w:cstheme="majorBidi"/>
          <w:color w:val="000000"/>
          <w:sz w:val="24"/>
          <w:szCs w:val="24"/>
        </w:rPr>
        <w:t>from all other variables</w:t>
      </w:r>
      <w:r w:rsidR="00990924" w:rsidRPr="00012F08">
        <w:rPr>
          <w:rFonts w:asciiTheme="majorBidi" w:eastAsia="Calibri" w:hAnsiTheme="majorBidi" w:cstheme="majorBidi"/>
          <w:color w:val="000000"/>
          <w:sz w:val="24"/>
          <w:szCs w:val="24"/>
        </w:rPr>
        <w:t xml:space="preserve"> j</w:t>
      </w:r>
      <w:r w:rsidR="009E6727" w:rsidRPr="00012F08">
        <w:rPr>
          <w:rFonts w:asciiTheme="majorBidi" w:eastAsia="Calibri" w:hAnsiTheme="majorBidi" w:cstheme="majorBidi"/>
          <w:color w:val="000000"/>
          <w:sz w:val="24"/>
          <w:szCs w:val="24"/>
        </w:rPr>
        <w:t xml:space="preserve"> is measured as:</w:t>
      </w:r>
    </w:p>
    <w:p w14:paraId="1DBA6F1C" w14:textId="57BDE735" w:rsidR="009E6727" w:rsidRPr="00012F08" w:rsidRDefault="00990924" w:rsidP="009E6727">
      <w:pPr>
        <w:autoSpaceDE w:val="0"/>
        <w:autoSpaceDN w:val="0"/>
        <w:bidi w:val="0"/>
        <w:adjustRightInd w:val="0"/>
        <w:spacing w:before="120" w:after="120" w:line="360"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                                                        </w:t>
      </w:r>
      <m:oMath>
        <m:sSubSup>
          <m:sSubSupPr>
            <m:ctrlPr>
              <w:rPr>
                <w:rFonts w:ascii="Cambria Math" w:eastAsia="Calibri" w:hAnsi="Cambria Math" w:cstheme="majorBidi"/>
                <w:i/>
                <w:color w:val="000000"/>
                <w:sz w:val="24"/>
                <w:szCs w:val="24"/>
              </w:rPr>
            </m:ctrlPr>
          </m:sSubSupPr>
          <m:e>
            <m:r>
              <w:rPr>
                <w:rFonts w:ascii="Cambria Math" w:eastAsia="Calibri" w:hAnsi="Cambria Math" w:cstheme="majorBidi"/>
                <w:color w:val="000000"/>
                <w:sz w:val="24"/>
                <w:szCs w:val="24"/>
              </w:rPr>
              <m:t>C</m:t>
            </m:r>
          </m:e>
          <m:sub>
            <m:r>
              <w:rPr>
                <w:rFonts w:ascii="Cambria Math" w:eastAsia="Calibri" w:hAnsi="Cambria Math" w:cstheme="majorBidi"/>
                <w:color w:val="000000"/>
                <w:sz w:val="24"/>
                <w:szCs w:val="24"/>
              </w:rPr>
              <m:t>i←j</m:t>
            </m:r>
          </m:sub>
          <m:sup>
            <m:r>
              <w:rPr>
                <w:rFonts w:ascii="Cambria Math" w:eastAsia="Calibri" w:hAnsi="Cambria Math" w:cstheme="majorBidi"/>
                <w:color w:val="000000"/>
                <w:sz w:val="24"/>
                <w:szCs w:val="24"/>
              </w:rPr>
              <m:t>gH</m:t>
            </m:r>
          </m:sup>
        </m:sSubSup>
        <m:r>
          <w:rPr>
            <w:rFonts w:ascii="Cambria Math" w:eastAsia="Calibri" w:hAnsi="Cambria Math" w:cstheme="majorBidi"/>
            <w:color w:val="000000"/>
            <w:sz w:val="24"/>
            <w:szCs w:val="24"/>
          </w:rPr>
          <m:t>=</m:t>
        </m:r>
        <m:f>
          <m:fPr>
            <m:ctrlPr>
              <w:rPr>
                <w:rFonts w:ascii="Cambria Math" w:eastAsia="Calibri" w:hAnsi="Cambria Math" w:cstheme="majorBidi"/>
                <w:color w:val="000000"/>
                <w:sz w:val="24"/>
                <w:szCs w:val="24"/>
              </w:rPr>
            </m:ctrlPr>
          </m:fPr>
          <m:num>
            <m:nary>
              <m:naryPr>
                <m:chr m:val="∑"/>
                <m:limLoc m:val="undOvr"/>
                <m:ctrlPr>
                  <w:rPr>
                    <w:rFonts w:ascii="Cambria Math" w:eastAsia="Calibri" w:hAnsi="Cambria Math" w:cstheme="majorBidi"/>
                    <w:i/>
                    <w:color w:val="000000"/>
                    <w:sz w:val="24"/>
                    <w:szCs w:val="24"/>
                  </w:rPr>
                </m:ctrlPr>
              </m:naryPr>
              <m:sub>
                <m:r>
                  <w:rPr>
                    <w:rFonts w:ascii="Cambria Math" w:eastAsia="Calibri" w:hAnsi="Cambria Math" w:cstheme="majorBidi"/>
                    <w:color w:val="000000"/>
                    <w:sz w:val="24"/>
                    <w:szCs w:val="24"/>
                  </w:rPr>
                  <m:t xml:space="preserve"> j=1, i≠j</m:t>
                </m:r>
              </m:sub>
              <m:sup>
                <m:r>
                  <w:rPr>
                    <w:rFonts w:ascii="Cambria Math" w:eastAsia="Calibri" w:hAnsi="Cambria Math" w:cstheme="majorBidi"/>
                    <w:color w:val="000000"/>
                    <w:sz w:val="24"/>
                    <w:szCs w:val="24"/>
                  </w:rPr>
                  <m:t>N</m:t>
                </m:r>
              </m:sup>
              <m:e>
                <m:sSubSup>
                  <m:sSubSupPr>
                    <m:ctrlPr>
                      <w:rPr>
                        <w:rFonts w:ascii="Cambria Math" w:eastAsia="Calibri" w:hAnsi="Cambria Math" w:cstheme="majorBidi"/>
                        <w:color w:val="000000"/>
                        <w:sz w:val="24"/>
                        <w:szCs w:val="24"/>
                      </w:rPr>
                    </m:ctrlPr>
                  </m:sSubSupPr>
                  <m:e>
                    <m:acc>
                      <m:accPr>
                        <m:chr m:val="̃"/>
                        <m:ctrlPr>
                          <w:rPr>
                            <w:rFonts w:ascii="Cambria Math" w:eastAsia="Calibri" w:hAnsi="Cambria Math" w:cstheme="majorBidi"/>
                            <w:i/>
                            <w:iCs/>
                            <w:color w:val="000000"/>
                            <w:sz w:val="24"/>
                            <w:szCs w:val="24"/>
                          </w:rPr>
                        </m:ctrlPr>
                      </m:accPr>
                      <m:e>
                        <m:r>
                          <w:rPr>
                            <w:rFonts w:ascii="Cambria Math" w:eastAsia="Calibri" w:hAnsi="Cambria Math" w:cstheme="majorBidi"/>
                            <w:color w:val="000000"/>
                            <w:sz w:val="24"/>
                            <w:szCs w:val="24"/>
                          </w:rPr>
                          <m:t>d</m:t>
                        </m:r>
                      </m:e>
                    </m:acc>
                  </m:e>
                  <m:sub>
                    <m:r>
                      <w:rPr>
                        <w:rFonts w:ascii="Cambria Math" w:eastAsia="Calibri" w:hAnsi="Cambria Math" w:cstheme="majorBidi"/>
                        <w:color w:val="000000"/>
                        <w:sz w:val="24"/>
                        <w:szCs w:val="24"/>
                      </w:rPr>
                      <m:t>ij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gH</m:t>
                    </m:r>
                  </m:sup>
                </m:sSubSup>
              </m:e>
            </m:nary>
          </m:num>
          <m:den>
            <m:nary>
              <m:naryPr>
                <m:chr m:val="∑"/>
                <m:limLoc m:val="undOvr"/>
                <m:ctrlPr>
                  <w:rPr>
                    <w:rFonts w:ascii="Cambria Math" w:eastAsia="Calibri" w:hAnsi="Cambria Math" w:cstheme="majorBidi"/>
                    <w:i/>
                    <w:color w:val="000000"/>
                    <w:sz w:val="24"/>
                    <w:szCs w:val="24"/>
                  </w:rPr>
                </m:ctrlPr>
              </m:naryPr>
              <m:sub>
                <m:r>
                  <w:rPr>
                    <w:rFonts w:ascii="Cambria Math" w:eastAsia="Calibri" w:hAnsi="Cambria Math" w:cstheme="majorBidi"/>
                    <w:color w:val="000000"/>
                    <w:sz w:val="24"/>
                    <w:szCs w:val="24"/>
                  </w:rPr>
                  <m:t>i=1</m:t>
                </m:r>
              </m:sub>
              <m:sup>
                <m:r>
                  <w:rPr>
                    <w:rFonts w:ascii="Cambria Math" w:eastAsia="Calibri" w:hAnsi="Cambria Math" w:cstheme="majorBidi"/>
                    <w:color w:val="000000"/>
                    <w:sz w:val="24"/>
                    <w:szCs w:val="24"/>
                  </w:rPr>
                  <m:t>N</m:t>
                </m:r>
              </m:sup>
              <m:e>
                <m:sSubSup>
                  <m:sSubSupPr>
                    <m:ctrlPr>
                      <w:rPr>
                        <w:rFonts w:ascii="Cambria Math" w:eastAsia="Calibri" w:hAnsi="Cambria Math" w:cstheme="majorBidi"/>
                        <w:color w:val="000000"/>
                        <w:sz w:val="24"/>
                        <w:szCs w:val="24"/>
                      </w:rPr>
                    </m:ctrlPr>
                  </m:sSubSupPr>
                  <m:e>
                    <m:acc>
                      <m:accPr>
                        <m:chr m:val="̃"/>
                        <m:ctrlPr>
                          <w:rPr>
                            <w:rFonts w:ascii="Cambria Math" w:eastAsia="Calibri" w:hAnsi="Cambria Math" w:cstheme="majorBidi"/>
                            <w:i/>
                            <w:iCs/>
                            <w:color w:val="000000"/>
                            <w:sz w:val="24"/>
                            <w:szCs w:val="24"/>
                          </w:rPr>
                        </m:ctrlPr>
                      </m:accPr>
                      <m:e>
                        <m:r>
                          <w:rPr>
                            <w:rFonts w:ascii="Cambria Math" w:eastAsia="Calibri" w:hAnsi="Cambria Math" w:cstheme="majorBidi"/>
                            <w:color w:val="000000"/>
                            <w:sz w:val="24"/>
                            <w:szCs w:val="24"/>
                          </w:rPr>
                          <m:t>d</m:t>
                        </m:r>
                      </m:e>
                    </m:acc>
                  </m:e>
                  <m:sub>
                    <m:r>
                      <w:rPr>
                        <w:rFonts w:ascii="Cambria Math" w:eastAsia="Calibri" w:hAnsi="Cambria Math" w:cstheme="majorBidi"/>
                        <w:color w:val="000000"/>
                        <w:sz w:val="24"/>
                        <w:szCs w:val="24"/>
                      </w:rPr>
                      <m:t>ij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gH</m:t>
                    </m:r>
                  </m:sup>
                </m:sSubSup>
              </m:e>
            </m:nary>
          </m:den>
        </m:f>
        <m:r>
          <w:rPr>
            <w:rFonts w:ascii="Cambria Math" w:eastAsia="Calibri" w:hAnsi="Cambria Math" w:cstheme="majorBidi"/>
            <w:color w:val="000000"/>
            <w:sz w:val="24"/>
            <w:szCs w:val="24"/>
          </w:rPr>
          <m:t xml:space="preserve"> ×100.</m:t>
        </m:r>
      </m:oMath>
      <w:r w:rsidR="009E6727"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7</w:t>
      </w:r>
      <w:r w:rsidR="009E6727" w:rsidRPr="00012F08">
        <w:rPr>
          <w:rFonts w:asciiTheme="majorBidi" w:eastAsia="Calibri" w:hAnsiTheme="majorBidi" w:cstheme="majorBidi"/>
          <w:color w:val="000000"/>
          <w:sz w:val="24"/>
          <w:szCs w:val="24"/>
        </w:rPr>
        <w:t>)</w:t>
      </w:r>
    </w:p>
    <w:p w14:paraId="1445453D" w14:textId="261FCABA" w:rsidR="009E6727" w:rsidRPr="00012F08" w:rsidRDefault="009E6727" w:rsidP="009E6727">
      <w:pPr>
        <w:autoSpaceDE w:val="0"/>
        <w:autoSpaceDN w:val="0"/>
        <w:bidi w:val="0"/>
        <w:adjustRightInd w:val="0"/>
        <w:spacing w:before="120" w:after="120" w:line="360"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Similarly, the </w:t>
      </w:r>
      <w:r w:rsidRPr="00012F08">
        <w:rPr>
          <w:rFonts w:asciiTheme="majorBidi" w:eastAsia="Calibri" w:hAnsiTheme="majorBidi" w:cstheme="majorBidi"/>
          <w:i/>
          <w:color w:val="000000"/>
          <w:sz w:val="24"/>
          <w:szCs w:val="24"/>
        </w:rPr>
        <w:t xml:space="preserve">spillovers </w:t>
      </w:r>
      <w:r w:rsidR="00990924" w:rsidRPr="00012F08">
        <w:rPr>
          <w:rFonts w:asciiTheme="majorBidi" w:eastAsia="Calibri" w:hAnsiTheme="majorBidi" w:cstheme="majorBidi"/>
          <w:i/>
          <w:color w:val="000000"/>
          <w:sz w:val="24"/>
          <w:szCs w:val="24"/>
        </w:rPr>
        <w:t>transmitted</w:t>
      </w:r>
      <w:r w:rsidRPr="00012F08">
        <w:rPr>
          <w:rFonts w:asciiTheme="majorBidi" w:eastAsia="Calibri" w:hAnsiTheme="majorBidi" w:cstheme="majorBidi"/>
          <w:color w:val="000000"/>
          <w:sz w:val="24"/>
          <w:szCs w:val="24"/>
        </w:rPr>
        <w:t xml:space="preserve"> by variable </w:t>
      </w:r>
      <w:proofErr w:type="spellStart"/>
      <w:r w:rsidR="00990924" w:rsidRPr="00012F08">
        <w:rPr>
          <w:rFonts w:asciiTheme="majorBidi" w:eastAsia="Calibri" w:hAnsiTheme="majorBidi" w:cstheme="majorBidi"/>
          <w:i/>
          <w:iCs/>
          <w:color w:val="000000"/>
          <w:sz w:val="24"/>
          <w:szCs w:val="24"/>
        </w:rPr>
        <w:t>i</w:t>
      </w:r>
      <w:proofErr w:type="spellEnd"/>
      <w:r w:rsidRPr="00012F08">
        <w:rPr>
          <w:rFonts w:asciiTheme="majorBidi" w:eastAsia="Calibri" w:hAnsiTheme="majorBidi" w:cstheme="majorBidi"/>
          <w:i/>
          <w:iCs/>
          <w:color w:val="000000"/>
          <w:sz w:val="24"/>
          <w:szCs w:val="24"/>
        </w:rPr>
        <w:t xml:space="preserve"> </w:t>
      </w:r>
      <w:r w:rsidR="00990924" w:rsidRPr="00012F08">
        <w:rPr>
          <w:rFonts w:asciiTheme="majorBidi" w:eastAsia="Calibri" w:hAnsiTheme="majorBidi" w:cstheme="majorBidi"/>
          <w:color w:val="000000"/>
          <w:sz w:val="24"/>
          <w:szCs w:val="24"/>
        </w:rPr>
        <w:t>TO</w:t>
      </w:r>
      <w:r w:rsidRPr="00012F08">
        <w:rPr>
          <w:rFonts w:asciiTheme="majorBidi" w:eastAsia="Calibri" w:hAnsiTheme="majorBidi" w:cstheme="majorBidi"/>
          <w:color w:val="000000"/>
          <w:sz w:val="24"/>
          <w:szCs w:val="24"/>
        </w:rPr>
        <w:t xml:space="preserve"> all other variables </w:t>
      </w:r>
      <w:r w:rsidR="00990924" w:rsidRPr="00012F08">
        <w:rPr>
          <w:rFonts w:asciiTheme="majorBidi" w:eastAsia="Calibri" w:hAnsiTheme="majorBidi" w:cstheme="majorBidi"/>
          <w:i/>
          <w:iCs/>
          <w:color w:val="000000"/>
          <w:sz w:val="24"/>
          <w:szCs w:val="24"/>
        </w:rPr>
        <w:t>j</w:t>
      </w:r>
      <w:r w:rsidRPr="00012F08">
        <w:rPr>
          <w:rFonts w:asciiTheme="majorBidi" w:eastAsia="Calibri" w:hAnsiTheme="majorBidi" w:cstheme="majorBidi"/>
          <w:color w:val="000000"/>
          <w:sz w:val="24"/>
          <w:szCs w:val="24"/>
        </w:rPr>
        <w:t xml:space="preserve"> is calculated as:</w:t>
      </w:r>
    </w:p>
    <w:p w14:paraId="407DF440" w14:textId="1922F24E" w:rsidR="009E6727" w:rsidRPr="00012F08" w:rsidRDefault="00990924" w:rsidP="009E6727">
      <w:pPr>
        <w:autoSpaceDE w:val="0"/>
        <w:autoSpaceDN w:val="0"/>
        <w:bidi w:val="0"/>
        <w:adjustRightInd w:val="0"/>
        <w:spacing w:before="120" w:after="120" w:line="360"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                                                         </w:t>
      </w:r>
      <m:oMath>
        <m:sSubSup>
          <m:sSubSupPr>
            <m:ctrlPr>
              <w:rPr>
                <w:rFonts w:ascii="Cambria Math" w:eastAsia="Calibri" w:hAnsi="Cambria Math" w:cstheme="majorBidi"/>
                <w:i/>
                <w:color w:val="000000"/>
                <w:sz w:val="24"/>
                <w:szCs w:val="24"/>
              </w:rPr>
            </m:ctrlPr>
          </m:sSubSupPr>
          <m:e>
            <m:r>
              <w:rPr>
                <w:rFonts w:ascii="Cambria Math" w:eastAsia="Calibri" w:hAnsi="Cambria Math" w:cstheme="majorBidi"/>
                <w:color w:val="000000"/>
                <w:sz w:val="24"/>
                <w:szCs w:val="24"/>
              </w:rPr>
              <m:t>C</m:t>
            </m:r>
          </m:e>
          <m:sub>
            <m:r>
              <w:rPr>
                <w:rFonts w:ascii="Cambria Math" w:eastAsia="Calibri" w:hAnsi="Cambria Math" w:cstheme="majorBidi"/>
                <w:color w:val="000000"/>
                <w:sz w:val="24"/>
                <w:szCs w:val="24"/>
              </w:rPr>
              <m:t>i→j</m:t>
            </m:r>
          </m:sub>
          <m:sup>
            <m:r>
              <w:rPr>
                <w:rFonts w:ascii="Cambria Math" w:eastAsia="Calibri" w:hAnsi="Cambria Math" w:cstheme="majorBidi"/>
                <w:color w:val="000000"/>
                <w:sz w:val="24"/>
                <w:szCs w:val="24"/>
              </w:rPr>
              <m:t>gH</m:t>
            </m:r>
          </m:sup>
        </m:sSubSup>
        <m:r>
          <w:rPr>
            <w:rFonts w:ascii="Cambria Math" w:eastAsia="Calibri" w:hAnsi="Cambria Math" w:cstheme="majorBidi"/>
            <w:color w:val="000000"/>
            <w:sz w:val="24"/>
            <w:szCs w:val="24"/>
          </w:rPr>
          <m:t>=</m:t>
        </m:r>
        <m:f>
          <m:fPr>
            <m:ctrlPr>
              <w:rPr>
                <w:rFonts w:ascii="Cambria Math" w:eastAsia="Calibri" w:hAnsi="Cambria Math" w:cstheme="majorBidi"/>
                <w:color w:val="000000"/>
                <w:sz w:val="24"/>
                <w:szCs w:val="24"/>
              </w:rPr>
            </m:ctrlPr>
          </m:fPr>
          <m:num>
            <m:nary>
              <m:naryPr>
                <m:chr m:val="∑"/>
                <m:limLoc m:val="undOvr"/>
                <m:ctrlPr>
                  <w:rPr>
                    <w:rFonts w:ascii="Cambria Math" w:eastAsia="Calibri" w:hAnsi="Cambria Math" w:cstheme="majorBidi"/>
                    <w:i/>
                    <w:color w:val="000000"/>
                    <w:sz w:val="24"/>
                    <w:szCs w:val="24"/>
                  </w:rPr>
                </m:ctrlPr>
              </m:naryPr>
              <m:sub>
                <m:r>
                  <w:rPr>
                    <w:rFonts w:ascii="Cambria Math" w:eastAsia="Calibri" w:hAnsi="Cambria Math" w:cstheme="majorBidi"/>
                    <w:color w:val="000000"/>
                    <w:sz w:val="24"/>
                    <w:szCs w:val="24"/>
                  </w:rPr>
                  <m:t xml:space="preserve"> j=1, i≠j</m:t>
                </m:r>
              </m:sub>
              <m:sup>
                <m:r>
                  <w:rPr>
                    <w:rFonts w:ascii="Cambria Math" w:eastAsia="Calibri" w:hAnsi="Cambria Math" w:cstheme="majorBidi"/>
                    <w:color w:val="000000"/>
                    <w:sz w:val="24"/>
                    <w:szCs w:val="24"/>
                  </w:rPr>
                  <m:t>N</m:t>
                </m:r>
              </m:sup>
              <m:e>
                <m:sSubSup>
                  <m:sSubSupPr>
                    <m:ctrlPr>
                      <w:rPr>
                        <w:rFonts w:ascii="Cambria Math" w:eastAsia="Calibri" w:hAnsi="Cambria Math" w:cstheme="majorBidi"/>
                        <w:color w:val="000000"/>
                        <w:sz w:val="24"/>
                        <w:szCs w:val="24"/>
                      </w:rPr>
                    </m:ctrlPr>
                  </m:sSubSupPr>
                  <m:e>
                    <m:acc>
                      <m:accPr>
                        <m:chr m:val="̃"/>
                        <m:ctrlPr>
                          <w:rPr>
                            <w:rFonts w:ascii="Cambria Math" w:eastAsia="Calibri" w:hAnsi="Cambria Math" w:cstheme="majorBidi"/>
                            <w:i/>
                            <w:iCs/>
                            <w:color w:val="000000"/>
                            <w:sz w:val="24"/>
                            <w:szCs w:val="24"/>
                          </w:rPr>
                        </m:ctrlPr>
                      </m:accPr>
                      <m:e>
                        <m:r>
                          <w:rPr>
                            <w:rFonts w:ascii="Cambria Math" w:eastAsia="Calibri" w:hAnsi="Cambria Math" w:cstheme="majorBidi"/>
                            <w:color w:val="000000"/>
                            <w:sz w:val="24"/>
                            <w:szCs w:val="24"/>
                          </w:rPr>
                          <m:t>d</m:t>
                        </m:r>
                      </m:e>
                    </m:acc>
                  </m:e>
                  <m:sub>
                    <m:r>
                      <w:rPr>
                        <w:rFonts w:ascii="Cambria Math" w:eastAsia="Calibri" w:hAnsi="Cambria Math" w:cstheme="majorBidi"/>
                        <w:color w:val="000000"/>
                        <w:sz w:val="24"/>
                        <w:szCs w:val="24"/>
                      </w:rPr>
                      <m:t>ij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gH</m:t>
                    </m:r>
                  </m:sup>
                </m:sSubSup>
              </m:e>
            </m:nary>
          </m:num>
          <m:den>
            <m:nary>
              <m:naryPr>
                <m:chr m:val="∑"/>
                <m:limLoc m:val="undOvr"/>
                <m:ctrlPr>
                  <w:rPr>
                    <w:rFonts w:ascii="Cambria Math" w:eastAsia="Calibri" w:hAnsi="Cambria Math" w:cstheme="majorBidi"/>
                    <w:i/>
                    <w:color w:val="000000"/>
                    <w:sz w:val="24"/>
                    <w:szCs w:val="24"/>
                  </w:rPr>
                </m:ctrlPr>
              </m:naryPr>
              <m:sub>
                <m:r>
                  <w:rPr>
                    <w:rFonts w:ascii="Cambria Math" w:eastAsia="Calibri" w:hAnsi="Cambria Math" w:cstheme="majorBidi"/>
                    <w:color w:val="000000"/>
                    <w:sz w:val="24"/>
                    <w:szCs w:val="24"/>
                  </w:rPr>
                  <m:t>j=1</m:t>
                </m:r>
              </m:sub>
              <m:sup>
                <m:r>
                  <w:rPr>
                    <w:rFonts w:ascii="Cambria Math" w:eastAsia="Calibri" w:hAnsi="Cambria Math" w:cstheme="majorBidi"/>
                    <w:color w:val="000000"/>
                    <w:sz w:val="24"/>
                    <w:szCs w:val="24"/>
                  </w:rPr>
                  <m:t>N</m:t>
                </m:r>
              </m:sup>
              <m:e>
                <m:sSubSup>
                  <m:sSubSupPr>
                    <m:ctrlPr>
                      <w:rPr>
                        <w:rFonts w:ascii="Cambria Math" w:eastAsia="Calibri" w:hAnsi="Cambria Math" w:cstheme="majorBidi"/>
                        <w:color w:val="000000"/>
                        <w:sz w:val="24"/>
                        <w:szCs w:val="24"/>
                      </w:rPr>
                    </m:ctrlPr>
                  </m:sSubSupPr>
                  <m:e>
                    <m:acc>
                      <m:accPr>
                        <m:chr m:val="̃"/>
                        <m:ctrlPr>
                          <w:rPr>
                            <w:rFonts w:ascii="Cambria Math" w:eastAsia="Calibri" w:hAnsi="Cambria Math" w:cstheme="majorBidi"/>
                            <w:i/>
                            <w:iCs/>
                            <w:color w:val="000000"/>
                            <w:sz w:val="24"/>
                            <w:szCs w:val="24"/>
                          </w:rPr>
                        </m:ctrlPr>
                      </m:accPr>
                      <m:e>
                        <m:r>
                          <w:rPr>
                            <w:rFonts w:ascii="Cambria Math" w:eastAsia="Calibri" w:hAnsi="Cambria Math" w:cstheme="majorBidi"/>
                            <w:color w:val="000000"/>
                            <w:sz w:val="24"/>
                            <w:szCs w:val="24"/>
                          </w:rPr>
                          <m:t>d</m:t>
                        </m:r>
                      </m:e>
                    </m:acc>
                  </m:e>
                  <m:sub>
                    <m:r>
                      <w:rPr>
                        <w:rFonts w:ascii="Cambria Math" w:eastAsia="Calibri" w:hAnsi="Cambria Math" w:cstheme="majorBidi"/>
                        <w:color w:val="000000"/>
                        <w:sz w:val="24"/>
                        <w:szCs w:val="24"/>
                      </w:rPr>
                      <m:t>ij</m:t>
                    </m:r>
                    <m:r>
                      <m:rPr>
                        <m:sty m:val="p"/>
                      </m:rPr>
                      <w:rPr>
                        <w:rFonts w:ascii="Cambria Math" w:eastAsia="Calibri" w:hAnsi="Cambria Math" w:cstheme="majorBidi"/>
                        <w:color w:val="000000"/>
                        <w:sz w:val="24"/>
                        <w:szCs w:val="24"/>
                      </w:rPr>
                      <m:t>,</m:t>
                    </m:r>
                    <m:r>
                      <w:rPr>
                        <w:rFonts w:ascii="Cambria Math" w:eastAsia="Calibri" w:hAnsi="Cambria Math" w:cstheme="majorBidi"/>
                        <w:color w:val="000000"/>
                        <w:sz w:val="24"/>
                        <w:szCs w:val="24"/>
                      </w:rPr>
                      <m:t>t</m:t>
                    </m:r>
                  </m:sub>
                  <m:sup>
                    <m:r>
                      <w:rPr>
                        <w:rFonts w:ascii="Cambria Math" w:eastAsia="Calibri" w:hAnsi="Cambria Math" w:cstheme="majorBidi"/>
                        <w:color w:val="000000"/>
                        <w:sz w:val="24"/>
                        <w:szCs w:val="24"/>
                      </w:rPr>
                      <m:t>gH</m:t>
                    </m:r>
                  </m:sup>
                </m:sSubSup>
              </m:e>
            </m:nary>
          </m:den>
        </m:f>
        <m:r>
          <w:rPr>
            <w:rFonts w:ascii="Cambria Math" w:eastAsia="Calibri" w:hAnsi="Cambria Math" w:cstheme="majorBidi"/>
            <w:color w:val="000000"/>
            <w:sz w:val="24"/>
            <w:szCs w:val="24"/>
          </w:rPr>
          <m:t xml:space="preserve"> ×100.</m:t>
        </m:r>
      </m:oMath>
      <w:r w:rsidR="009E6727"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8</w:t>
      </w:r>
      <w:r w:rsidR="009E6727" w:rsidRPr="00012F08">
        <w:rPr>
          <w:rFonts w:asciiTheme="majorBidi" w:eastAsia="Calibri" w:hAnsiTheme="majorBidi" w:cstheme="majorBidi"/>
          <w:color w:val="000000"/>
          <w:sz w:val="24"/>
          <w:szCs w:val="24"/>
        </w:rPr>
        <w:t>)</w:t>
      </w:r>
    </w:p>
    <w:p w14:paraId="3B1012D8" w14:textId="5F4C3EFF" w:rsidR="009E6727" w:rsidRPr="00012F08" w:rsidRDefault="009E6727" w:rsidP="00654F57">
      <w:pPr>
        <w:autoSpaceDE w:val="0"/>
        <w:autoSpaceDN w:val="0"/>
        <w:bidi w:val="0"/>
        <w:adjustRightInd w:val="0"/>
        <w:spacing w:before="120" w:after="120" w:line="276"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To measure the </w:t>
      </w:r>
      <w:r w:rsidRPr="00012F08">
        <w:rPr>
          <w:rFonts w:asciiTheme="majorBidi" w:eastAsia="Calibri" w:hAnsiTheme="majorBidi" w:cstheme="majorBidi"/>
          <w:i/>
          <w:iCs/>
          <w:color w:val="000000"/>
          <w:sz w:val="24"/>
          <w:szCs w:val="24"/>
        </w:rPr>
        <w:t>net pairwise directional connectedness</w:t>
      </w:r>
      <w:r w:rsidRPr="00012F08">
        <w:rPr>
          <w:rFonts w:asciiTheme="majorBidi" w:eastAsia="Calibri" w:hAnsiTheme="majorBidi" w:cstheme="majorBidi"/>
          <w:color w:val="000000"/>
          <w:sz w:val="24"/>
          <w:szCs w:val="24"/>
        </w:rPr>
        <w:t>, we subtract</w:t>
      </w:r>
      <w:r w:rsidR="00AB3583">
        <w:rPr>
          <w:rFonts w:asciiTheme="majorBidi" w:eastAsia="Calibri" w:hAnsiTheme="majorBidi" w:cstheme="majorBidi"/>
          <w:color w:val="000000"/>
          <w:sz w:val="24"/>
          <w:szCs w:val="24"/>
        </w:rPr>
        <w:t>ed</w:t>
      </w:r>
      <w:r w:rsidRPr="00012F08">
        <w:rPr>
          <w:rFonts w:asciiTheme="majorBidi" w:eastAsia="Calibri" w:hAnsiTheme="majorBidi" w:cstheme="majorBidi"/>
          <w:color w:val="000000"/>
          <w:sz w:val="24"/>
          <w:szCs w:val="24"/>
        </w:rPr>
        <w:t xml:space="preserve"> the total directional connectedness to others from </w:t>
      </w:r>
      <w:r w:rsidR="00AB3583">
        <w:rPr>
          <w:rFonts w:asciiTheme="majorBidi" w:eastAsia="Calibri" w:hAnsiTheme="majorBidi" w:cstheme="majorBidi"/>
          <w:color w:val="000000"/>
          <w:sz w:val="24"/>
          <w:szCs w:val="24"/>
        </w:rPr>
        <w:t xml:space="preserve">the </w:t>
      </w:r>
      <w:r w:rsidRPr="00012F08">
        <w:rPr>
          <w:rFonts w:asciiTheme="majorBidi" w:eastAsia="Calibri" w:hAnsiTheme="majorBidi" w:cstheme="majorBidi"/>
          <w:color w:val="000000"/>
          <w:sz w:val="24"/>
          <w:szCs w:val="24"/>
        </w:rPr>
        <w:t xml:space="preserve">total directional connectedness from </w:t>
      </w:r>
      <w:r w:rsidR="00EB3F94" w:rsidRPr="00012F08">
        <w:rPr>
          <w:rFonts w:asciiTheme="majorBidi" w:eastAsia="Calibri" w:hAnsiTheme="majorBidi" w:cstheme="majorBidi"/>
          <w:color w:val="000000"/>
          <w:sz w:val="24"/>
          <w:szCs w:val="24"/>
        </w:rPr>
        <w:t xml:space="preserve">others. </w:t>
      </w:r>
      <w:r w:rsidR="00AB3583">
        <w:rPr>
          <w:rFonts w:asciiTheme="majorBidi" w:eastAsia="Calibri" w:hAnsiTheme="majorBidi" w:cstheme="majorBidi"/>
          <w:color w:val="000000"/>
          <w:sz w:val="24"/>
          <w:szCs w:val="24"/>
        </w:rPr>
        <w:t xml:space="preserve">The result </w:t>
      </w:r>
      <w:r w:rsidRPr="00012F08">
        <w:rPr>
          <w:rFonts w:asciiTheme="majorBidi" w:eastAsia="Calibri" w:hAnsiTheme="majorBidi" w:cstheme="majorBidi"/>
          <w:color w:val="000000"/>
          <w:sz w:val="24"/>
          <w:szCs w:val="24"/>
        </w:rPr>
        <w:t xml:space="preserve">can be considered the </w:t>
      </w:r>
      <w:r w:rsidR="00AB3583" w:rsidRPr="00012F08">
        <w:rPr>
          <w:rFonts w:asciiTheme="majorBidi" w:eastAsia="Calibri" w:hAnsiTheme="majorBidi" w:cstheme="majorBidi"/>
          <w:color w:val="000000"/>
          <w:sz w:val="24"/>
          <w:szCs w:val="24"/>
        </w:rPr>
        <w:t>influenc</w:t>
      </w:r>
      <w:r w:rsidR="00AB3583">
        <w:rPr>
          <w:rFonts w:asciiTheme="majorBidi" w:eastAsia="Calibri" w:hAnsiTheme="majorBidi" w:cstheme="majorBidi"/>
          <w:color w:val="000000"/>
          <w:sz w:val="24"/>
          <w:szCs w:val="24"/>
        </w:rPr>
        <w:t>e that</w:t>
      </w:r>
      <w:r w:rsidR="00AB3583"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 xml:space="preserve">variable </w:t>
      </w:r>
      <w:proofErr w:type="spellStart"/>
      <w:r w:rsidRPr="00012F08">
        <w:rPr>
          <w:rFonts w:asciiTheme="majorBidi" w:eastAsia="Calibri" w:hAnsiTheme="majorBidi" w:cstheme="majorBidi"/>
          <w:i/>
          <w:iCs/>
          <w:color w:val="000000"/>
          <w:sz w:val="24"/>
          <w:szCs w:val="24"/>
        </w:rPr>
        <w:t>i</w:t>
      </w:r>
      <w:proofErr w:type="spellEnd"/>
      <w:r w:rsidRPr="00012F08">
        <w:rPr>
          <w:rFonts w:asciiTheme="majorBidi" w:eastAsia="Calibri" w:hAnsiTheme="majorBidi" w:cstheme="majorBidi"/>
          <w:color w:val="000000"/>
          <w:sz w:val="24"/>
          <w:szCs w:val="24"/>
        </w:rPr>
        <w:t xml:space="preserve"> </w:t>
      </w:r>
      <w:proofErr w:type="gramStart"/>
      <w:r w:rsidRPr="00012F08">
        <w:rPr>
          <w:rFonts w:asciiTheme="majorBidi" w:eastAsia="Calibri" w:hAnsiTheme="majorBidi" w:cstheme="majorBidi"/>
          <w:color w:val="000000"/>
          <w:sz w:val="24"/>
          <w:szCs w:val="24"/>
        </w:rPr>
        <w:t>has</w:t>
      </w:r>
      <w:proofErr w:type="gramEnd"/>
      <w:r w:rsidRPr="00012F08">
        <w:rPr>
          <w:rFonts w:asciiTheme="majorBidi" w:eastAsia="Calibri" w:hAnsiTheme="majorBidi" w:cstheme="majorBidi"/>
          <w:color w:val="000000"/>
          <w:sz w:val="24"/>
          <w:szCs w:val="24"/>
        </w:rPr>
        <w:t xml:space="preserve"> on the analyzed network. </w:t>
      </w:r>
      <w:r w:rsidR="00AB3583">
        <w:rPr>
          <w:rFonts w:asciiTheme="majorBidi" w:eastAsia="Calibri" w:hAnsiTheme="majorBidi" w:cstheme="majorBidi"/>
          <w:color w:val="000000"/>
          <w:sz w:val="24"/>
          <w:szCs w:val="24"/>
        </w:rPr>
        <w:t>Thus</w:t>
      </w:r>
      <w:r w:rsidRPr="00012F08">
        <w:rPr>
          <w:rFonts w:asciiTheme="majorBidi" w:eastAsia="Calibri" w:hAnsiTheme="majorBidi" w:cstheme="majorBidi"/>
          <w:color w:val="000000"/>
          <w:sz w:val="24"/>
          <w:szCs w:val="24"/>
        </w:rPr>
        <w:t xml:space="preserve">,  </w:t>
      </w:r>
    </w:p>
    <w:p w14:paraId="72AFA8E8" w14:textId="4EE445A9" w:rsidR="009E6727" w:rsidRPr="00012F08" w:rsidRDefault="00990924" w:rsidP="009E6727">
      <w:pPr>
        <w:autoSpaceDE w:val="0"/>
        <w:autoSpaceDN w:val="0"/>
        <w:bidi w:val="0"/>
        <w:adjustRightInd w:val="0"/>
        <w:spacing w:before="120" w:after="120" w:line="360" w:lineRule="auto"/>
        <w:jc w:val="both"/>
        <w:rPr>
          <w:rFonts w:asciiTheme="majorBidi" w:eastAsia="Calibri" w:hAnsiTheme="majorBidi" w:cstheme="majorBidi"/>
          <w:color w:val="000000"/>
          <w:sz w:val="24"/>
          <w:szCs w:val="24"/>
        </w:rPr>
      </w:pPr>
      <w:r w:rsidRPr="00012F08">
        <w:rPr>
          <w:rFonts w:asciiTheme="majorBidi" w:eastAsia="Calibri" w:hAnsiTheme="majorBidi" w:cstheme="majorBidi"/>
          <w:color w:val="000000"/>
          <w:sz w:val="24"/>
          <w:szCs w:val="24"/>
        </w:rPr>
        <w:t xml:space="preserve">                                                            </w:t>
      </w:r>
      <m:oMath>
        <m:sSubSup>
          <m:sSubSupPr>
            <m:ctrlPr>
              <w:rPr>
                <w:rFonts w:ascii="Cambria Math" w:eastAsia="Calibri" w:hAnsi="Cambria Math" w:cstheme="majorBidi"/>
                <w:i/>
                <w:color w:val="000000"/>
                <w:sz w:val="24"/>
                <w:szCs w:val="24"/>
              </w:rPr>
            </m:ctrlPr>
          </m:sSubSupPr>
          <m:e>
            <m:r>
              <w:rPr>
                <w:rFonts w:ascii="Cambria Math" w:eastAsia="Calibri" w:hAnsi="Cambria Math" w:cstheme="majorBidi"/>
                <w:color w:val="000000"/>
                <w:sz w:val="24"/>
                <w:szCs w:val="24"/>
              </w:rPr>
              <m:t>C</m:t>
            </m:r>
          </m:e>
          <m:sub>
            <m:r>
              <w:rPr>
                <w:rFonts w:ascii="Cambria Math" w:eastAsia="Calibri" w:hAnsi="Cambria Math" w:cstheme="majorBidi"/>
                <w:color w:val="000000"/>
                <w:sz w:val="24"/>
                <w:szCs w:val="24"/>
              </w:rPr>
              <m:t>ij,t</m:t>
            </m:r>
          </m:sub>
          <m:sup>
            <m:r>
              <w:rPr>
                <w:rFonts w:ascii="Cambria Math" w:eastAsia="Calibri" w:hAnsi="Cambria Math" w:cstheme="majorBidi"/>
                <w:color w:val="000000"/>
                <w:sz w:val="24"/>
                <w:szCs w:val="24"/>
              </w:rPr>
              <m:t>gH</m:t>
            </m:r>
          </m:sup>
        </m:sSubSup>
        <m:r>
          <w:rPr>
            <w:rFonts w:ascii="Cambria Math" w:eastAsia="Calibri" w:hAnsi="Cambria Math" w:cstheme="majorBidi"/>
            <w:color w:val="000000"/>
            <w:sz w:val="24"/>
            <w:szCs w:val="24"/>
          </w:rPr>
          <m:t xml:space="preserve">= </m:t>
        </m:r>
        <m:sSubSup>
          <m:sSubSupPr>
            <m:ctrlPr>
              <w:rPr>
                <w:rFonts w:ascii="Cambria Math" w:eastAsia="Calibri" w:hAnsi="Cambria Math" w:cstheme="majorBidi"/>
                <w:i/>
                <w:color w:val="000000"/>
                <w:sz w:val="24"/>
                <w:szCs w:val="24"/>
              </w:rPr>
            </m:ctrlPr>
          </m:sSubSupPr>
          <m:e>
            <m:r>
              <w:rPr>
                <w:rFonts w:ascii="Cambria Math" w:eastAsia="Calibri" w:hAnsi="Cambria Math" w:cstheme="majorBidi"/>
                <w:color w:val="000000"/>
                <w:sz w:val="24"/>
                <w:szCs w:val="24"/>
              </w:rPr>
              <m:t>C</m:t>
            </m:r>
          </m:e>
          <m:sub>
            <m:r>
              <w:rPr>
                <w:rFonts w:ascii="Cambria Math" w:eastAsia="Calibri" w:hAnsi="Cambria Math" w:cstheme="majorBidi"/>
                <w:color w:val="000000"/>
                <w:sz w:val="24"/>
                <w:szCs w:val="24"/>
              </w:rPr>
              <m:t>j←i,t</m:t>
            </m:r>
          </m:sub>
          <m:sup>
            <m:r>
              <w:rPr>
                <w:rFonts w:ascii="Cambria Math" w:eastAsia="Calibri" w:hAnsi="Cambria Math" w:cstheme="majorBidi"/>
                <w:color w:val="000000"/>
                <w:sz w:val="24"/>
                <w:szCs w:val="24"/>
              </w:rPr>
              <m:t>gH</m:t>
            </m:r>
          </m:sup>
        </m:sSubSup>
        <m:r>
          <w:rPr>
            <w:rFonts w:ascii="Cambria Math" w:eastAsia="Calibri" w:hAnsi="Cambria Math" w:cstheme="majorBidi"/>
            <w:color w:val="000000"/>
            <w:sz w:val="24"/>
            <w:szCs w:val="24"/>
          </w:rPr>
          <m:t>-</m:t>
        </m:r>
        <m:sSubSup>
          <m:sSubSupPr>
            <m:ctrlPr>
              <w:rPr>
                <w:rFonts w:ascii="Cambria Math" w:eastAsia="Calibri" w:hAnsi="Cambria Math" w:cstheme="majorBidi"/>
                <w:i/>
                <w:color w:val="000000"/>
                <w:sz w:val="24"/>
                <w:szCs w:val="24"/>
              </w:rPr>
            </m:ctrlPr>
          </m:sSubSupPr>
          <m:e>
            <m:r>
              <w:rPr>
                <w:rFonts w:ascii="Cambria Math" w:eastAsia="Calibri" w:hAnsi="Cambria Math" w:cstheme="majorBidi"/>
                <w:color w:val="000000"/>
                <w:sz w:val="24"/>
                <w:szCs w:val="24"/>
              </w:rPr>
              <m:t>C</m:t>
            </m:r>
          </m:e>
          <m:sub>
            <m:r>
              <w:rPr>
                <w:rFonts w:ascii="Cambria Math" w:eastAsia="Calibri" w:hAnsi="Cambria Math" w:cstheme="majorBidi"/>
                <w:color w:val="000000"/>
                <w:sz w:val="24"/>
                <w:szCs w:val="24"/>
              </w:rPr>
              <m:t>i←j,t</m:t>
            </m:r>
          </m:sub>
          <m:sup>
            <m:r>
              <w:rPr>
                <w:rFonts w:ascii="Cambria Math" w:eastAsia="Calibri" w:hAnsi="Cambria Math" w:cstheme="majorBidi"/>
                <w:color w:val="000000"/>
                <w:sz w:val="24"/>
                <w:szCs w:val="24"/>
              </w:rPr>
              <m:t>gH</m:t>
            </m:r>
          </m:sup>
        </m:sSubSup>
        <m:r>
          <w:rPr>
            <w:rFonts w:ascii="Cambria Math" w:eastAsia="Calibri" w:hAnsi="Cambria Math" w:cstheme="majorBidi"/>
            <w:color w:val="000000"/>
            <w:sz w:val="24"/>
            <w:szCs w:val="24"/>
          </w:rPr>
          <m:t>.</m:t>
        </m:r>
      </m:oMath>
      <w:r w:rsidR="009E6727" w:rsidRPr="00012F08">
        <w:rPr>
          <w:rFonts w:asciiTheme="majorBidi" w:eastAsia="Calibri" w:hAnsiTheme="majorBidi" w:cstheme="majorBidi"/>
          <w:color w:val="000000"/>
          <w:sz w:val="24"/>
          <w:szCs w:val="24"/>
        </w:rPr>
        <w:t xml:space="preserve">                                           (</w:t>
      </w:r>
      <w:r w:rsidRPr="00012F08">
        <w:rPr>
          <w:rFonts w:asciiTheme="majorBidi" w:eastAsia="Calibri" w:hAnsiTheme="majorBidi" w:cstheme="majorBidi"/>
          <w:color w:val="000000"/>
          <w:sz w:val="24"/>
          <w:szCs w:val="24"/>
        </w:rPr>
        <w:t>9</w:t>
      </w:r>
      <w:r w:rsidR="009E6727" w:rsidRPr="00012F08">
        <w:rPr>
          <w:rFonts w:asciiTheme="majorBidi" w:eastAsia="Calibri" w:hAnsiTheme="majorBidi" w:cstheme="majorBidi"/>
          <w:color w:val="000000"/>
          <w:sz w:val="24"/>
          <w:szCs w:val="24"/>
        </w:rPr>
        <w:t>)</w:t>
      </w:r>
    </w:p>
    <w:p w14:paraId="2AE076D9" w14:textId="77777777" w:rsidR="00B02B00" w:rsidRPr="00012F08" w:rsidRDefault="00B02B00" w:rsidP="00B02B00">
      <w:pPr>
        <w:bidi w:val="0"/>
        <w:spacing w:line="360" w:lineRule="auto"/>
        <w:jc w:val="both"/>
        <w:rPr>
          <w:rFonts w:asciiTheme="majorBidi" w:hAnsiTheme="majorBidi" w:cstheme="majorBidi"/>
          <w:sz w:val="24"/>
          <w:szCs w:val="24"/>
        </w:rPr>
      </w:pPr>
    </w:p>
    <w:p w14:paraId="1FCE3CBB" w14:textId="0E09A584" w:rsidR="00B02B00" w:rsidRPr="00012F08" w:rsidRDefault="00B02B00" w:rsidP="00F049ED">
      <w:pPr>
        <w:pStyle w:val="ListParagraph"/>
        <w:numPr>
          <w:ilvl w:val="0"/>
          <w:numId w:val="19"/>
        </w:numPr>
        <w:bidi w:val="0"/>
        <w:spacing w:line="360" w:lineRule="auto"/>
        <w:jc w:val="both"/>
        <w:rPr>
          <w:rFonts w:asciiTheme="majorBidi" w:hAnsiTheme="majorBidi" w:cstheme="majorBidi"/>
          <w:b/>
          <w:bCs/>
          <w:sz w:val="24"/>
          <w:szCs w:val="24"/>
        </w:rPr>
      </w:pPr>
      <w:r w:rsidRPr="00012F08">
        <w:rPr>
          <w:rFonts w:asciiTheme="majorBidi" w:hAnsiTheme="majorBidi" w:cstheme="majorBidi"/>
          <w:b/>
          <w:bCs/>
          <w:sz w:val="24"/>
          <w:szCs w:val="24"/>
        </w:rPr>
        <w:t>Results</w:t>
      </w:r>
    </w:p>
    <w:p w14:paraId="16FC6A84" w14:textId="5E65ECA2" w:rsidR="00B02B00" w:rsidRPr="00012F08" w:rsidRDefault="00F8707D" w:rsidP="00654F57">
      <w:pPr>
        <w:bidi w:val="0"/>
        <w:spacing w:line="276" w:lineRule="auto"/>
        <w:jc w:val="both"/>
        <w:rPr>
          <w:rFonts w:asciiTheme="majorBidi" w:hAnsiTheme="majorBidi" w:cstheme="majorBidi"/>
          <w:sz w:val="24"/>
          <w:szCs w:val="24"/>
        </w:rPr>
      </w:pPr>
      <w:r w:rsidRPr="00674425">
        <w:rPr>
          <w:rFonts w:asciiTheme="majorBidi" w:hAnsiTheme="majorBidi" w:cs="Times New Roman"/>
          <w:sz w:val="24"/>
          <w:szCs w:val="24"/>
        </w:rPr>
        <w:t>Table 3</w:t>
      </w:r>
      <w:r w:rsidRPr="00783777">
        <w:rPr>
          <w:rFonts w:asciiTheme="majorBidi" w:hAnsiTheme="majorBidi" w:cs="Times New Roman"/>
          <w:sz w:val="24"/>
          <w:szCs w:val="24"/>
        </w:rPr>
        <w:t xml:space="preserve"> and </w:t>
      </w:r>
      <w:r w:rsidR="00783777" w:rsidRPr="00674425">
        <w:rPr>
          <w:rFonts w:asciiTheme="majorBidi" w:hAnsiTheme="majorBidi" w:cstheme="majorBidi"/>
          <w:sz w:val="24"/>
          <w:szCs w:val="24"/>
        </w:rPr>
        <w:t xml:space="preserve">Figure </w:t>
      </w:r>
      <w:r w:rsidRPr="00674425">
        <w:rPr>
          <w:rFonts w:asciiTheme="majorBidi" w:hAnsiTheme="majorBidi" w:cstheme="majorBidi"/>
          <w:sz w:val="24"/>
          <w:szCs w:val="24"/>
        </w:rPr>
        <w:t>2</w:t>
      </w:r>
      <w:r w:rsidR="00783777" w:rsidRPr="00674425">
        <w:rPr>
          <w:rFonts w:asciiTheme="majorBidi" w:hAnsiTheme="majorBidi" w:cstheme="majorBidi"/>
          <w:sz w:val="24"/>
          <w:szCs w:val="24"/>
        </w:rPr>
        <w:t xml:space="preserve"> indicate </w:t>
      </w:r>
      <w:r w:rsidR="00783777">
        <w:rPr>
          <w:rFonts w:asciiTheme="majorBidi" w:hAnsiTheme="majorBidi" w:cstheme="majorBidi"/>
          <w:sz w:val="24"/>
          <w:szCs w:val="24"/>
        </w:rPr>
        <w:t xml:space="preserve">the results of the connectedness analysis for the entire </w:t>
      </w:r>
      <w:r w:rsidR="00783777" w:rsidRPr="00012F08">
        <w:rPr>
          <w:rFonts w:asciiTheme="majorBidi" w:hAnsiTheme="majorBidi" w:cstheme="majorBidi"/>
          <w:sz w:val="24"/>
          <w:szCs w:val="24"/>
        </w:rPr>
        <w:t>sample period (1993–2024) and its subperiods</w:t>
      </w:r>
      <w:r w:rsidRPr="00783777">
        <w:rPr>
          <w:rFonts w:asciiTheme="majorBidi" w:hAnsiTheme="majorBidi" w:cstheme="majorBidi"/>
          <w:sz w:val="24"/>
          <w:szCs w:val="24"/>
        </w:rPr>
        <w:t>.</w:t>
      </w:r>
      <w:r w:rsidR="00783777">
        <w:rPr>
          <w:rFonts w:asciiTheme="majorBidi" w:hAnsiTheme="majorBidi" w:cstheme="majorBidi"/>
          <w:sz w:val="24"/>
          <w:szCs w:val="24"/>
        </w:rPr>
        <w:t xml:space="preserve"> The table and the figure </w:t>
      </w:r>
      <w:r w:rsidR="00783777" w:rsidRPr="00012F08">
        <w:rPr>
          <w:rFonts w:asciiTheme="majorBidi" w:hAnsiTheme="majorBidi" w:cstheme="majorBidi"/>
          <w:sz w:val="24"/>
          <w:szCs w:val="24"/>
        </w:rPr>
        <w:t xml:space="preserve">reveal a clear evolution in the sources and channels of systemic risk transmission in </w:t>
      </w:r>
      <w:r w:rsidR="00B84521">
        <w:rPr>
          <w:rFonts w:asciiTheme="majorBidi" w:hAnsiTheme="majorBidi" w:cstheme="majorBidi"/>
          <w:sz w:val="24"/>
          <w:szCs w:val="24"/>
        </w:rPr>
        <w:t xml:space="preserve">the </w:t>
      </w:r>
      <w:r w:rsidR="00783777" w:rsidRPr="00012F08">
        <w:rPr>
          <w:rFonts w:asciiTheme="majorBidi" w:hAnsiTheme="majorBidi" w:cstheme="majorBidi"/>
          <w:sz w:val="24"/>
          <w:szCs w:val="24"/>
        </w:rPr>
        <w:t>global markets</w:t>
      </w:r>
      <w:r w:rsidR="00783777">
        <w:rPr>
          <w:rFonts w:asciiTheme="majorBidi" w:hAnsiTheme="majorBidi" w:cs="Times New Roman"/>
          <w:sz w:val="24"/>
          <w:szCs w:val="24"/>
        </w:rPr>
        <w:t>.</w:t>
      </w:r>
      <w:r w:rsidR="00783777" w:rsidRPr="00012F08">
        <w:rPr>
          <w:rFonts w:asciiTheme="majorBidi" w:hAnsiTheme="majorBidi" w:cs="Times New Roman"/>
          <w:sz w:val="24"/>
          <w:szCs w:val="24"/>
        </w:rPr>
        <w:t xml:space="preserve"> </w:t>
      </w:r>
    </w:p>
    <w:p w14:paraId="4DD39924" w14:textId="0687BA5C" w:rsidR="005F456D" w:rsidRPr="00012F08" w:rsidRDefault="00F3642A" w:rsidP="00EB3F94">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Over the </w:t>
      </w:r>
      <w:r w:rsidR="00B04480">
        <w:rPr>
          <w:rFonts w:asciiTheme="majorBidi" w:hAnsiTheme="majorBidi" w:cstheme="majorBidi"/>
          <w:sz w:val="24"/>
          <w:szCs w:val="24"/>
        </w:rPr>
        <w:t>entire</w:t>
      </w:r>
      <w:r w:rsidR="00B04480" w:rsidRPr="00012F08">
        <w:rPr>
          <w:rFonts w:asciiTheme="majorBidi" w:hAnsiTheme="majorBidi" w:cstheme="majorBidi"/>
          <w:sz w:val="24"/>
          <w:szCs w:val="24"/>
        </w:rPr>
        <w:t xml:space="preserve"> </w:t>
      </w:r>
      <w:r w:rsidRPr="00012F08">
        <w:rPr>
          <w:rFonts w:asciiTheme="majorBidi" w:hAnsiTheme="majorBidi" w:cstheme="majorBidi"/>
          <w:sz w:val="24"/>
          <w:szCs w:val="24"/>
        </w:rPr>
        <w:t>period (1993–2024), these dynamics average out to a system where financial markets (S&amp;P), volatility (VIX), and gold are the primary transmitters of systemic risk</w:t>
      </w:r>
      <w:r w:rsidR="003D5FEA">
        <w:rPr>
          <w:rFonts w:asciiTheme="majorBidi" w:hAnsiTheme="majorBidi" w:cstheme="majorBidi"/>
          <w:sz w:val="24"/>
          <w:szCs w:val="24"/>
        </w:rPr>
        <w:t>.</w:t>
      </w:r>
      <w:r w:rsidR="003D5FEA" w:rsidRPr="00012F08">
        <w:rPr>
          <w:rFonts w:asciiTheme="majorBidi" w:hAnsiTheme="majorBidi" w:cstheme="majorBidi"/>
          <w:sz w:val="24"/>
          <w:szCs w:val="24"/>
        </w:rPr>
        <w:t xml:space="preserve"> </w:t>
      </w:r>
      <w:r w:rsidR="00B84521">
        <w:rPr>
          <w:rFonts w:asciiTheme="majorBidi" w:hAnsiTheme="majorBidi" w:cstheme="majorBidi"/>
          <w:sz w:val="24"/>
          <w:szCs w:val="24"/>
        </w:rPr>
        <w:t>G</w:t>
      </w:r>
      <w:r w:rsidRPr="00012F08">
        <w:rPr>
          <w:rFonts w:asciiTheme="majorBidi" w:hAnsiTheme="majorBidi" w:cstheme="majorBidi"/>
          <w:sz w:val="24"/>
          <w:szCs w:val="24"/>
        </w:rPr>
        <w:t>eopolitical tensions</w:t>
      </w:r>
      <w:r w:rsidR="005F456D" w:rsidRPr="00012F08">
        <w:rPr>
          <w:rFonts w:asciiTheme="majorBidi" w:hAnsiTheme="majorBidi" w:cstheme="majorBidi"/>
          <w:sz w:val="24"/>
          <w:szCs w:val="24"/>
        </w:rPr>
        <w:t xml:space="preserve"> (UCT)</w:t>
      </w:r>
      <w:r w:rsidRPr="00012F08">
        <w:rPr>
          <w:rFonts w:asciiTheme="majorBidi" w:hAnsiTheme="majorBidi" w:cstheme="majorBidi"/>
          <w:sz w:val="24"/>
          <w:szCs w:val="24"/>
        </w:rPr>
        <w:t xml:space="preserve"> play </w:t>
      </w:r>
      <w:r w:rsidR="003D5FEA">
        <w:rPr>
          <w:rFonts w:asciiTheme="majorBidi" w:hAnsiTheme="majorBidi" w:cstheme="majorBidi"/>
          <w:sz w:val="24"/>
          <w:szCs w:val="24"/>
        </w:rPr>
        <w:t xml:space="preserve">a </w:t>
      </w:r>
      <w:r w:rsidRPr="00012F08">
        <w:rPr>
          <w:rFonts w:asciiTheme="majorBidi" w:hAnsiTheme="majorBidi" w:cstheme="majorBidi"/>
          <w:sz w:val="24"/>
          <w:szCs w:val="24"/>
        </w:rPr>
        <w:t xml:space="preserve">supporting </w:t>
      </w:r>
      <w:r w:rsidR="00B84521" w:rsidRPr="00012F08">
        <w:rPr>
          <w:rFonts w:asciiTheme="majorBidi" w:hAnsiTheme="majorBidi" w:cstheme="majorBidi"/>
          <w:sz w:val="24"/>
          <w:szCs w:val="24"/>
        </w:rPr>
        <w:t>transmi</w:t>
      </w:r>
      <w:r w:rsidR="00B84521">
        <w:rPr>
          <w:rFonts w:asciiTheme="majorBidi" w:hAnsiTheme="majorBidi" w:cstheme="majorBidi"/>
          <w:sz w:val="24"/>
          <w:szCs w:val="24"/>
        </w:rPr>
        <w:t>ssion</w:t>
      </w:r>
      <w:r w:rsidR="00B84521" w:rsidRPr="00012F08">
        <w:rPr>
          <w:rFonts w:asciiTheme="majorBidi" w:hAnsiTheme="majorBidi" w:cstheme="majorBidi"/>
          <w:sz w:val="24"/>
          <w:szCs w:val="24"/>
        </w:rPr>
        <w:t xml:space="preserve"> </w:t>
      </w:r>
      <w:r w:rsidRPr="00012F08">
        <w:rPr>
          <w:rFonts w:asciiTheme="majorBidi" w:hAnsiTheme="majorBidi" w:cstheme="majorBidi"/>
          <w:sz w:val="24"/>
          <w:szCs w:val="24"/>
        </w:rPr>
        <w:t>role</w:t>
      </w:r>
      <w:r w:rsidRPr="00674425">
        <w:rPr>
          <w:rFonts w:asciiTheme="majorBidi" w:hAnsiTheme="majorBidi" w:cstheme="majorBidi"/>
          <w:sz w:val="24"/>
          <w:szCs w:val="24"/>
        </w:rPr>
        <w:t xml:space="preserve">. </w:t>
      </w:r>
      <w:r w:rsidR="00EB3F94" w:rsidRPr="00674425">
        <w:rPr>
          <w:rFonts w:asciiTheme="majorBidi" w:hAnsiTheme="majorBidi" w:cstheme="majorBidi"/>
          <w:sz w:val="24"/>
          <w:szCs w:val="24"/>
        </w:rPr>
        <w:t>Table 3 (Panel A)</w:t>
      </w:r>
      <w:r w:rsidR="00EB3F94" w:rsidRPr="00012F08">
        <w:rPr>
          <w:rFonts w:asciiTheme="majorBidi" w:hAnsiTheme="majorBidi" w:cstheme="majorBidi"/>
          <w:sz w:val="24"/>
          <w:szCs w:val="24"/>
        </w:rPr>
        <w:t xml:space="preserve"> shows a Total Connectedness Index (TCI) of 23.84%, indicating moderate systemic interconnectedness. The S&amp;P 500 is </w:t>
      </w:r>
      <w:r w:rsidRPr="00012F08">
        <w:rPr>
          <w:rFonts w:asciiTheme="majorBidi" w:hAnsiTheme="majorBidi" w:cstheme="majorBidi"/>
          <w:sz w:val="24"/>
          <w:szCs w:val="24"/>
        </w:rPr>
        <w:t>a</w:t>
      </w:r>
      <w:r w:rsidR="00EB3F94" w:rsidRPr="00012F08">
        <w:rPr>
          <w:rFonts w:asciiTheme="majorBidi" w:hAnsiTheme="majorBidi" w:cstheme="majorBidi"/>
          <w:sz w:val="24"/>
          <w:szCs w:val="24"/>
        </w:rPr>
        <w:t xml:space="preserve"> leading transmitter</w:t>
      </w:r>
      <w:r w:rsidR="003D5FEA">
        <w:rPr>
          <w:rFonts w:asciiTheme="majorBidi" w:hAnsiTheme="majorBidi" w:cstheme="majorBidi"/>
          <w:sz w:val="24"/>
          <w:szCs w:val="24"/>
        </w:rPr>
        <w:t xml:space="preserve"> of risk</w:t>
      </w:r>
      <w:r w:rsidR="00EB3F94" w:rsidRPr="00012F08">
        <w:rPr>
          <w:rFonts w:asciiTheme="majorBidi" w:hAnsiTheme="majorBidi" w:cstheme="majorBidi"/>
          <w:sz w:val="24"/>
          <w:szCs w:val="24"/>
        </w:rPr>
        <w:t xml:space="preserve">, with </w:t>
      </w:r>
      <w:r w:rsidR="002F364D">
        <w:rPr>
          <w:rFonts w:asciiTheme="majorBidi" w:hAnsiTheme="majorBidi" w:cstheme="majorBidi"/>
          <w:sz w:val="24"/>
          <w:szCs w:val="24"/>
        </w:rPr>
        <w:t xml:space="preserve">the </w:t>
      </w:r>
      <w:r w:rsidR="00EB3F94" w:rsidRPr="00012F08">
        <w:rPr>
          <w:rFonts w:asciiTheme="majorBidi" w:hAnsiTheme="majorBidi" w:cstheme="majorBidi"/>
          <w:sz w:val="24"/>
          <w:szCs w:val="24"/>
        </w:rPr>
        <w:t>UCT</w:t>
      </w:r>
      <w:r w:rsidRPr="00012F08">
        <w:rPr>
          <w:rFonts w:asciiTheme="majorBidi" w:hAnsiTheme="majorBidi" w:cstheme="majorBidi"/>
          <w:sz w:val="24"/>
          <w:szCs w:val="24"/>
        </w:rPr>
        <w:t>,</w:t>
      </w:r>
      <w:r w:rsidR="00EB3F94" w:rsidRPr="00012F08">
        <w:rPr>
          <w:rFonts w:asciiTheme="majorBidi" w:hAnsiTheme="majorBidi" w:cstheme="majorBidi"/>
          <w:sz w:val="24"/>
          <w:szCs w:val="24"/>
        </w:rPr>
        <w:t xml:space="preserve"> VIX</w:t>
      </w:r>
      <w:r w:rsidR="00B84521">
        <w:rPr>
          <w:rFonts w:asciiTheme="majorBidi" w:hAnsiTheme="majorBidi" w:cstheme="majorBidi"/>
          <w:sz w:val="24"/>
          <w:szCs w:val="24"/>
        </w:rPr>
        <w:t>,</w:t>
      </w:r>
      <w:r w:rsidR="00EB3F94" w:rsidRPr="00012F08">
        <w:rPr>
          <w:rFonts w:asciiTheme="majorBidi" w:hAnsiTheme="majorBidi" w:cstheme="majorBidi"/>
          <w:sz w:val="24"/>
          <w:szCs w:val="24"/>
        </w:rPr>
        <w:t xml:space="preserve"> and </w:t>
      </w:r>
      <w:r w:rsidR="003D5FEA">
        <w:rPr>
          <w:rFonts w:asciiTheme="majorBidi" w:hAnsiTheme="majorBidi" w:cstheme="majorBidi"/>
          <w:sz w:val="24"/>
          <w:szCs w:val="24"/>
        </w:rPr>
        <w:t>o</w:t>
      </w:r>
      <w:r w:rsidR="003D5FEA" w:rsidRPr="00012F08">
        <w:rPr>
          <w:rFonts w:asciiTheme="majorBidi" w:hAnsiTheme="majorBidi" w:cstheme="majorBidi"/>
          <w:sz w:val="24"/>
          <w:szCs w:val="24"/>
        </w:rPr>
        <w:t xml:space="preserve">il </w:t>
      </w:r>
      <w:r w:rsidR="00EB3F94" w:rsidRPr="00012F08">
        <w:rPr>
          <w:rFonts w:asciiTheme="majorBidi" w:hAnsiTheme="majorBidi" w:cstheme="majorBidi"/>
          <w:sz w:val="24"/>
          <w:szCs w:val="24"/>
        </w:rPr>
        <w:t xml:space="preserve">acting as </w:t>
      </w:r>
      <w:r w:rsidRPr="00012F08">
        <w:rPr>
          <w:rFonts w:asciiTheme="majorBidi" w:hAnsiTheme="majorBidi" w:cstheme="majorBidi"/>
          <w:sz w:val="24"/>
          <w:szCs w:val="24"/>
        </w:rPr>
        <w:t>supporting</w:t>
      </w:r>
      <w:r w:rsidR="00EB3F94" w:rsidRPr="00012F08">
        <w:rPr>
          <w:rFonts w:asciiTheme="majorBidi" w:hAnsiTheme="majorBidi" w:cstheme="majorBidi"/>
          <w:sz w:val="24"/>
          <w:szCs w:val="24"/>
        </w:rPr>
        <w:t xml:space="preserve"> transmission channels. The Chinese capital market acts </w:t>
      </w:r>
      <w:r w:rsidR="003B1B94" w:rsidRPr="00012F08">
        <w:rPr>
          <w:rFonts w:asciiTheme="majorBidi" w:hAnsiTheme="majorBidi" w:cstheme="majorBidi"/>
          <w:sz w:val="24"/>
          <w:szCs w:val="24"/>
        </w:rPr>
        <w:t>as</w:t>
      </w:r>
      <w:r w:rsidR="00EB3F94" w:rsidRPr="00012F08">
        <w:rPr>
          <w:rFonts w:asciiTheme="majorBidi" w:hAnsiTheme="majorBidi" w:cstheme="majorBidi"/>
          <w:sz w:val="24"/>
          <w:szCs w:val="24"/>
        </w:rPr>
        <w:t xml:space="preserve"> a passive participant, primarily receiving rather than transmitting shocks (NET = </w:t>
      </w:r>
      <w:r w:rsidR="003B1B94" w:rsidRPr="00012F08">
        <w:rPr>
          <w:rFonts w:asciiTheme="majorBidi" w:hAnsiTheme="majorBidi" w:cstheme="majorBidi"/>
          <w:sz w:val="24"/>
          <w:szCs w:val="24"/>
        </w:rPr>
        <w:t>-7.07</w:t>
      </w:r>
      <w:r w:rsidR="00EB3F94" w:rsidRPr="00012F08">
        <w:rPr>
          <w:rFonts w:asciiTheme="majorBidi" w:hAnsiTheme="majorBidi" w:cstheme="majorBidi"/>
          <w:sz w:val="24"/>
          <w:szCs w:val="24"/>
        </w:rPr>
        <w:t xml:space="preserve">). </w:t>
      </w:r>
    </w:p>
    <w:p w14:paraId="3649AC2C" w14:textId="627C5168" w:rsidR="003B1B94" w:rsidRPr="00012F08" w:rsidRDefault="00B02B00" w:rsidP="005B1493">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During the </w:t>
      </w:r>
      <w:r w:rsidR="00B04480" w:rsidRPr="00012F08">
        <w:rPr>
          <w:rFonts w:asciiTheme="majorBidi" w:hAnsiTheme="majorBidi" w:cstheme="majorBidi"/>
          <w:sz w:val="24"/>
          <w:szCs w:val="24"/>
        </w:rPr>
        <w:t xml:space="preserve">pre-trade war globalization </w:t>
      </w:r>
      <w:r w:rsidRPr="00012F08">
        <w:rPr>
          <w:rFonts w:asciiTheme="majorBidi" w:hAnsiTheme="majorBidi" w:cstheme="majorBidi"/>
          <w:sz w:val="24"/>
          <w:szCs w:val="24"/>
        </w:rPr>
        <w:t xml:space="preserve">period (1993–2017), </w:t>
      </w:r>
      <w:r w:rsidR="00B04480">
        <w:rPr>
          <w:rFonts w:asciiTheme="majorBidi" w:hAnsiTheme="majorBidi" w:cstheme="majorBidi"/>
          <w:sz w:val="24"/>
          <w:szCs w:val="24"/>
        </w:rPr>
        <w:t>t</w:t>
      </w:r>
      <w:r w:rsidR="00B04480" w:rsidRPr="00012F08">
        <w:rPr>
          <w:rFonts w:asciiTheme="majorBidi" w:hAnsiTheme="majorBidi" w:cstheme="majorBidi"/>
          <w:sz w:val="24"/>
          <w:szCs w:val="24"/>
        </w:rPr>
        <w:t xml:space="preserve">he </w:t>
      </w:r>
      <w:r w:rsidR="003B1B94" w:rsidRPr="00012F08">
        <w:rPr>
          <w:rFonts w:asciiTheme="majorBidi" w:hAnsiTheme="majorBidi" w:cstheme="majorBidi"/>
          <w:sz w:val="24"/>
          <w:szCs w:val="24"/>
        </w:rPr>
        <w:t xml:space="preserve">overall level of connectedness (TCI=23.77) </w:t>
      </w:r>
      <w:r w:rsidR="005F456D" w:rsidRPr="00012F08">
        <w:rPr>
          <w:rFonts w:asciiTheme="majorBidi" w:hAnsiTheme="majorBidi" w:cstheme="majorBidi"/>
          <w:sz w:val="24"/>
          <w:szCs w:val="24"/>
        </w:rPr>
        <w:t>is still</w:t>
      </w:r>
      <w:r w:rsidR="003B1B94" w:rsidRPr="00012F08">
        <w:rPr>
          <w:rFonts w:asciiTheme="majorBidi" w:hAnsiTheme="majorBidi" w:cstheme="majorBidi"/>
          <w:sz w:val="24"/>
          <w:szCs w:val="24"/>
        </w:rPr>
        <w:t xml:space="preserve"> moderate, indicating a globally integrated but relatively stable system</w:t>
      </w:r>
      <w:r w:rsidR="003B1B94" w:rsidRPr="00012F08">
        <w:rPr>
          <w:rFonts w:asciiTheme="majorBidi" w:hAnsiTheme="majorBidi" w:cs="Times New Roman"/>
          <w:sz w:val="24"/>
          <w:szCs w:val="24"/>
          <w:rtl/>
        </w:rPr>
        <w:t>.</w:t>
      </w:r>
      <w:r w:rsidR="003B1B94" w:rsidRPr="00012F08">
        <w:rPr>
          <w:rFonts w:asciiTheme="majorBidi" w:hAnsiTheme="majorBidi" w:cstheme="majorBidi"/>
          <w:sz w:val="24"/>
          <w:szCs w:val="24"/>
        </w:rPr>
        <w:t xml:space="preserve"> </w:t>
      </w:r>
      <w:r w:rsidR="00B04480">
        <w:rPr>
          <w:rFonts w:asciiTheme="majorBidi" w:hAnsiTheme="majorBidi" w:cstheme="majorBidi"/>
          <w:sz w:val="24"/>
          <w:szCs w:val="24"/>
        </w:rPr>
        <w:t>Nevertheless</w:t>
      </w:r>
      <w:r w:rsidR="003B1B94"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the system </w:t>
      </w:r>
      <w:r w:rsidR="003B1B94" w:rsidRPr="00012F08">
        <w:rPr>
          <w:rFonts w:asciiTheme="majorBidi" w:hAnsiTheme="majorBidi" w:cstheme="majorBidi"/>
          <w:sz w:val="24"/>
          <w:szCs w:val="24"/>
        </w:rPr>
        <w:t xml:space="preserve">is characterized by several changes in terms of </w:t>
      </w:r>
      <w:r w:rsidR="00B04480">
        <w:rPr>
          <w:rFonts w:asciiTheme="majorBidi" w:hAnsiTheme="majorBidi" w:cstheme="majorBidi"/>
          <w:sz w:val="24"/>
          <w:szCs w:val="24"/>
        </w:rPr>
        <w:t xml:space="preserve">the </w:t>
      </w:r>
      <w:r w:rsidR="003B1B94" w:rsidRPr="00012F08">
        <w:rPr>
          <w:rFonts w:asciiTheme="majorBidi" w:hAnsiTheme="majorBidi" w:cstheme="majorBidi"/>
          <w:sz w:val="24"/>
          <w:szCs w:val="24"/>
        </w:rPr>
        <w:t xml:space="preserve">sources and </w:t>
      </w:r>
      <w:r w:rsidR="005F456D" w:rsidRPr="00012F08">
        <w:rPr>
          <w:rFonts w:asciiTheme="majorBidi" w:hAnsiTheme="majorBidi" w:cstheme="majorBidi"/>
          <w:sz w:val="24"/>
          <w:szCs w:val="24"/>
        </w:rPr>
        <w:t>recipients</w:t>
      </w:r>
      <w:r w:rsidR="00B04480">
        <w:rPr>
          <w:rFonts w:asciiTheme="majorBidi" w:hAnsiTheme="majorBidi" w:cstheme="majorBidi"/>
          <w:sz w:val="24"/>
          <w:szCs w:val="24"/>
        </w:rPr>
        <w:t xml:space="preserve"> of risk</w:t>
      </w:r>
      <w:r w:rsidRPr="00012F08">
        <w:rPr>
          <w:rFonts w:asciiTheme="majorBidi" w:hAnsiTheme="majorBidi" w:cstheme="majorBidi"/>
          <w:sz w:val="24"/>
          <w:szCs w:val="24"/>
        </w:rPr>
        <w:t xml:space="preserve">. </w:t>
      </w:r>
      <w:r w:rsidR="003B1B94" w:rsidRPr="00012F08">
        <w:rPr>
          <w:rFonts w:asciiTheme="majorBidi" w:hAnsiTheme="majorBidi" w:cstheme="majorBidi"/>
          <w:sz w:val="24"/>
          <w:szCs w:val="24"/>
        </w:rPr>
        <w:t xml:space="preserve">While </w:t>
      </w:r>
      <w:r w:rsidR="00B04480">
        <w:rPr>
          <w:rFonts w:asciiTheme="majorBidi" w:hAnsiTheme="majorBidi" w:cstheme="majorBidi"/>
          <w:sz w:val="24"/>
          <w:szCs w:val="24"/>
        </w:rPr>
        <w:t>t</w:t>
      </w:r>
      <w:r w:rsidR="00B04480" w:rsidRPr="00012F08">
        <w:rPr>
          <w:rFonts w:asciiTheme="majorBidi" w:hAnsiTheme="majorBidi" w:cstheme="majorBidi"/>
          <w:sz w:val="24"/>
          <w:szCs w:val="24"/>
        </w:rPr>
        <w:t xml:space="preserve">he </w:t>
      </w:r>
      <w:r w:rsidRPr="00012F08">
        <w:rPr>
          <w:rFonts w:asciiTheme="majorBidi" w:hAnsiTheme="majorBidi" w:cstheme="majorBidi"/>
          <w:sz w:val="24"/>
          <w:szCs w:val="24"/>
        </w:rPr>
        <w:t xml:space="preserve">S&amp;P 500 consistently </w:t>
      </w:r>
      <w:r w:rsidR="00B04480" w:rsidRPr="00012F08">
        <w:rPr>
          <w:rFonts w:asciiTheme="majorBidi" w:hAnsiTheme="majorBidi" w:cstheme="majorBidi"/>
          <w:sz w:val="24"/>
          <w:szCs w:val="24"/>
        </w:rPr>
        <w:t>emerge</w:t>
      </w:r>
      <w:r w:rsidR="002F364D">
        <w:rPr>
          <w:rFonts w:asciiTheme="majorBidi" w:hAnsiTheme="majorBidi" w:cstheme="majorBidi"/>
          <w:sz w:val="24"/>
          <w:szCs w:val="24"/>
        </w:rPr>
        <w:t>d</w:t>
      </w:r>
      <w:r w:rsidR="00B04480"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as </w:t>
      </w:r>
      <w:r w:rsidR="003B1B94" w:rsidRPr="00012F08">
        <w:rPr>
          <w:rFonts w:asciiTheme="majorBidi" w:hAnsiTheme="majorBidi" w:cstheme="majorBidi"/>
          <w:sz w:val="24"/>
          <w:szCs w:val="24"/>
        </w:rPr>
        <w:t>a</w:t>
      </w:r>
      <w:r w:rsidRPr="00012F08">
        <w:rPr>
          <w:rFonts w:asciiTheme="majorBidi" w:hAnsiTheme="majorBidi" w:cstheme="majorBidi"/>
          <w:sz w:val="24"/>
          <w:szCs w:val="24"/>
        </w:rPr>
        <w:t xml:space="preserve"> transmitter of shocks</w:t>
      </w:r>
      <w:r w:rsidR="003B1B94" w:rsidRPr="00012F08">
        <w:rPr>
          <w:rFonts w:asciiTheme="majorBidi" w:hAnsiTheme="majorBidi" w:cstheme="majorBidi"/>
          <w:sz w:val="24"/>
          <w:szCs w:val="24"/>
        </w:rPr>
        <w:t xml:space="preserve"> (TO=38.8</w:t>
      </w:r>
      <w:r w:rsidR="005F456D" w:rsidRPr="00012F08">
        <w:rPr>
          <w:rFonts w:asciiTheme="majorBidi" w:hAnsiTheme="majorBidi" w:cstheme="majorBidi"/>
          <w:sz w:val="24"/>
          <w:szCs w:val="24"/>
        </w:rPr>
        <w:t>, NET=3.62</w:t>
      </w:r>
      <w:r w:rsidR="003B1B94" w:rsidRPr="00012F08">
        <w:rPr>
          <w:rFonts w:asciiTheme="majorBidi" w:hAnsiTheme="majorBidi" w:cstheme="majorBidi"/>
          <w:sz w:val="24"/>
          <w:szCs w:val="24"/>
        </w:rPr>
        <w:t>)</w:t>
      </w:r>
      <w:r w:rsidRPr="00012F08">
        <w:rPr>
          <w:rFonts w:asciiTheme="majorBidi" w:hAnsiTheme="majorBidi" w:cstheme="majorBidi"/>
          <w:sz w:val="24"/>
          <w:szCs w:val="24"/>
        </w:rPr>
        <w:t xml:space="preserve">, reflecting </w:t>
      </w:r>
      <w:r w:rsidR="00B04480">
        <w:rPr>
          <w:rFonts w:asciiTheme="majorBidi" w:hAnsiTheme="majorBidi" w:cstheme="majorBidi"/>
          <w:sz w:val="24"/>
          <w:szCs w:val="24"/>
        </w:rPr>
        <w:t>the key</w:t>
      </w:r>
      <w:r w:rsidRPr="00012F08">
        <w:rPr>
          <w:rFonts w:asciiTheme="majorBidi" w:hAnsiTheme="majorBidi" w:cstheme="majorBidi"/>
          <w:sz w:val="24"/>
          <w:szCs w:val="24"/>
        </w:rPr>
        <w:t xml:space="preserve"> role of the </w:t>
      </w:r>
      <w:r w:rsidR="00631B09">
        <w:rPr>
          <w:rFonts w:asciiTheme="majorBidi" w:hAnsiTheme="majorBidi" w:cstheme="majorBidi"/>
          <w:sz w:val="24"/>
          <w:szCs w:val="24"/>
        </w:rPr>
        <w:t>U.S.</w:t>
      </w:r>
      <w:r w:rsidRPr="00012F08">
        <w:rPr>
          <w:rFonts w:asciiTheme="majorBidi" w:hAnsiTheme="majorBidi" w:cstheme="majorBidi"/>
          <w:sz w:val="24"/>
          <w:szCs w:val="24"/>
        </w:rPr>
        <w:t xml:space="preserve"> market in the global financial system</w:t>
      </w:r>
      <w:r w:rsidR="003B1B94" w:rsidRPr="00012F08">
        <w:rPr>
          <w:rFonts w:asciiTheme="majorBidi" w:hAnsiTheme="majorBidi" w:cstheme="majorBidi"/>
          <w:sz w:val="24"/>
          <w:szCs w:val="24"/>
        </w:rPr>
        <w:t xml:space="preserve">, the bottom net line reveals </w:t>
      </w:r>
      <w:r w:rsidR="00B04480">
        <w:rPr>
          <w:rFonts w:asciiTheme="majorBidi" w:hAnsiTheme="majorBidi" w:cstheme="majorBidi"/>
          <w:sz w:val="24"/>
          <w:szCs w:val="24"/>
        </w:rPr>
        <w:t xml:space="preserve">that </w:t>
      </w:r>
      <w:r w:rsidR="002F364D">
        <w:rPr>
          <w:rFonts w:asciiTheme="majorBidi" w:hAnsiTheme="majorBidi" w:cstheme="majorBidi"/>
          <w:sz w:val="24"/>
          <w:szCs w:val="24"/>
        </w:rPr>
        <w:t xml:space="preserve">during this period </w:t>
      </w:r>
      <w:r w:rsidR="00B04480">
        <w:rPr>
          <w:rFonts w:asciiTheme="majorBidi" w:hAnsiTheme="majorBidi" w:cstheme="majorBidi"/>
          <w:sz w:val="24"/>
          <w:szCs w:val="24"/>
        </w:rPr>
        <w:t xml:space="preserve">the </w:t>
      </w:r>
      <w:r w:rsidR="003B1B94" w:rsidRPr="00012F08">
        <w:rPr>
          <w:rFonts w:asciiTheme="majorBidi" w:hAnsiTheme="majorBidi" w:cstheme="majorBidi"/>
          <w:sz w:val="24"/>
          <w:szCs w:val="24"/>
        </w:rPr>
        <w:t xml:space="preserve">S&amp;P 500 </w:t>
      </w:r>
      <w:r w:rsidR="002F364D">
        <w:rPr>
          <w:rFonts w:asciiTheme="majorBidi" w:hAnsiTheme="majorBidi" w:cstheme="majorBidi"/>
          <w:sz w:val="24"/>
          <w:szCs w:val="24"/>
        </w:rPr>
        <w:t>was</w:t>
      </w:r>
      <w:r w:rsidR="002F364D" w:rsidRPr="00012F08">
        <w:rPr>
          <w:rFonts w:asciiTheme="majorBidi" w:hAnsiTheme="majorBidi" w:cstheme="majorBidi"/>
          <w:sz w:val="24"/>
          <w:szCs w:val="24"/>
        </w:rPr>
        <w:t xml:space="preserve"> </w:t>
      </w:r>
      <w:r w:rsidR="003B1B94" w:rsidRPr="00012F08">
        <w:rPr>
          <w:rFonts w:asciiTheme="majorBidi" w:hAnsiTheme="majorBidi" w:cstheme="majorBidi"/>
          <w:sz w:val="24"/>
          <w:szCs w:val="24"/>
        </w:rPr>
        <w:t xml:space="preserve">no longer the dominant transmitter </w:t>
      </w:r>
      <w:r w:rsidR="00B04480">
        <w:rPr>
          <w:rFonts w:asciiTheme="majorBidi" w:hAnsiTheme="majorBidi" w:cstheme="majorBidi"/>
          <w:sz w:val="24"/>
          <w:szCs w:val="24"/>
        </w:rPr>
        <w:t xml:space="preserve">of risk. Indeed, the </w:t>
      </w:r>
      <w:r w:rsidR="003B1B94" w:rsidRPr="00012F08">
        <w:rPr>
          <w:rFonts w:asciiTheme="majorBidi" w:hAnsiTheme="majorBidi" w:cstheme="majorBidi"/>
          <w:sz w:val="24"/>
          <w:szCs w:val="24"/>
        </w:rPr>
        <w:t xml:space="preserve">VIX even </w:t>
      </w:r>
      <w:r w:rsidR="002F364D" w:rsidRPr="00012F08">
        <w:rPr>
          <w:rFonts w:asciiTheme="majorBidi" w:hAnsiTheme="majorBidi" w:cstheme="majorBidi"/>
          <w:sz w:val="24"/>
          <w:szCs w:val="24"/>
        </w:rPr>
        <w:t>bec</w:t>
      </w:r>
      <w:r w:rsidR="002F364D">
        <w:rPr>
          <w:rFonts w:asciiTheme="majorBidi" w:hAnsiTheme="majorBidi" w:cstheme="majorBidi"/>
          <w:sz w:val="24"/>
          <w:szCs w:val="24"/>
        </w:rPr>
        <w:t>a</w:t>
      </w:r>
      <w:r w:rsidR="002F364D" w:rsidRPr="00012F08">
        <w:rPr>
          <w:rFonts w:asciiTheme="majorBidi" w:hAnsiTheme="majorBidi" w:cstheme="majorBidi"/>
          <w:sz w:val="24"/>
          <w:szCs w:val="24"/>
        </w:rPr>
        <w:t xml:space="preserve">me </w:t>
      </w:r>
      <w:r w:rsidR="003B1B94" w:rsidRPr="00012F08">
        <w:rPr>
          <w:rFonts w:asciiTheme="majorBidi" w:hAnsiTheme="majorBidi" w:cstheme="majorBidi"/>
          <w:sz w:val="24"/>
          <w:szCs w:val="24"/>
        </w:rPr>
        <w:t xml:space="preserve">a </w:t>
      </w:r>
      <w:r w:rsidR="00B84521">
        <w:rPr>
          <w:rFonts w:asciiTheme="majorBidi" w:hAnsiTheme="majorBidi" w:cstheme="majorBidi"/>
          <w:sz w:val="24"/>
          <w:szCs w:val="24"/>
        </w:rPr>
        <w:t>net</w:t>
      </w:r>
      <w:r w:rsidR="00B84521" w:rsidRPr="00012F08">
        <w:rPr>
          <w:rFonts w:asciiTheme="majorBidi" w:hAnsiTheme="majorBidi" w:cstheme="majorBidi"/>
          <w:sz w:val="24"/>
          <w:szCs w:val="24"/>
        </w:rPr>
        <w:t xml:space="preserve"> </w:t>
      </w:r>
      <w:r w:rsidR="003B1B94" w:rsidRPr="00012F08">
        <w:rPr>
          <w:rFonts w:asciiTheme="majorBidi" w:hAnsiTheme="majorBidi" w:cstheme="majorBidi"/>
          <w:sz w:val="24"/>
          <w:szCs w:val="24"/>
        </w:rPr>
        <w:t>recipient of shocks</w:t>
      </w:r>
      <w:r w:rsidR="005B1493" w:rsidRPr="00012F08">
        <w:rPr>
          <w:rFonts w:asciiTheme="majorBidi" w:hAnsiTheme="majorBidi" w:cstheme="majorBidi"/>
          <w:sz w:val="24"/>
          <w:szCs w:val="24"/>
        </w:rPr>
        <w:t xml:space="preserve"> despite its total spillovers to others (TO=37.68).</w:t>
      </w:r>
      <w:r w:rsidR="003B1B94" w:rsidRPr="00012F08">
        <w:rPr>
          <w:rFonts w:asciiTheme="majorBidi" w:hAnsiTheme="majorBidi" w:cstheme="majorBidi"/>
          <w:sz w:val="24"/>
          <w:szCs w:val="24"/>
        </w:rPr>
        <w:t xml:space="preserve"> On the other hand, the USD/CNY </w:t>
      </w:r>
      <w:r w:rsidR="002F364D" w:rsidRPr="00012F08">
        <w:rPr>
          <w:rFonts w:asciiTheme="majorBidi" w:hAnsiTheme="majorBidi" w:cstheme="majorBidi"/>
          <w:sz w:val="24"/>
          <w:szCs w:val="24"/>
        </w:rPr>
        <w:t>bec</w:t>
      </w:r>
      <w:r w:rsidR="002F364D">
        <w:rPr>
          <w:rFonts w:asciiTheme="majorBidi" w:hAnsiTheme="majorBidi" w:cstheme="majorBidi"/>
          <w:sz w:val="24"/>
          <w:szCs w:val="24"/>
        </w:rPr>
        <w:t>a</w:t>
      </w:r>
      <w:r w:rsidR="002F364D" w:rsidRPr="00012F08">
        <w:rPr>
          <w:rFonts w:asciiTheme="majorBidi" w:hAnsiTheme="majorBidi" w:cstheme="majorBidi"/>
          <w:sz w:val="24"/>
          <w:szCs w:val="24"/>
        </w:rPr>
        <w:t xml:space="preserve">me </w:t>
      </w:r>
      <w:r w:rsidR="003B1B94" w:rsidRPr="00012F08">
        <w:rPr>
          <w:rFonts w:asciiTheme="majorBidi" w:hAnsiTheme="majorBidi" w:cstheme="majorBidi"/>
          <w:sz w:val="24"/>
          <w:szCs w:val="24"/>
        </w:rPr>
        <w:t>a new dominant transmitter</w:t>
      </w:r>
      <w:r w:rsidR="002F364D">
        <w:rPr>
          <w:rFonts w:asciiTheme="majorBidi" w:hAnsiTheme="majorBidi" w:cstheme="majorBidi"/>
          <w:sz w:val="24"/>
          <w:szCs w:val="24"/>
        </w:rPr>
        <w:t xml:space="preserve"> of risk</w:t>
      </w:r>
      <w:r w:rsidR="003B1B94" w:rsidRPr="00012F08">
        <w:rPr>
          <w:rFonts w:asciiTheme="majorBidi" w:hAnsiTheme="majorBidi" w:cstheme="majorBidi"/>
          <w:sz w:val="24"/>
          <w:szCs w:val="24"/>
        </w:rPr>
        <w:t xml:space="preserve"> (NET=6.42)</w:t>
      </w:r>
      <w:r w:rsidR="005F456D" w:rsidRPr="00012F08">
        <w:rPr>
          <w:rFonts w:asciiTheme="majorBidi" w:hAnsiTheme="majorBidi" w:cstheme="majorBidi"/>
          <w:sz w:val="24"/>
          <w:szCs w:val="24"/>
        </w:rPr>
        <w:t xml:space="preserve">, </w:t>
      </w:r>
      <w:r w:rsidR="00B04480">
        <w:rPr>
          <w:rFonts w:asciiTheme="majorBidi" w:hAnsiTheme="majorBidi" w:cstheme="majorBidi"/>
          <w:sz w:val="24"/>
          <w:szCs w:val="24"/>
        </w:rPr>
        <w:t>with</w:t>
      </w:r>
      <w:r w:rsidR="00B04480" w:rsidRPr="00012F08">
        <w:rPr>
          <w:rFonts w:asciiTheme="majorBidi" w:hAnsiTheme="majorBidi" w:cstheme="majorBidi"/>
          <w:sz w:val="24"/>
          <w:szCs w:val="24"/>
        </w:rPr>
        <w:t xml:space="preserve"> </w:t>
      </w:r>
      <w:r w:rsidR="00B04480">
        <w:rPr>
          <w:rFonts w:asciiTheme="majorBidi" w:hAnsiTheme="majorBidi" w:cstheme="majorBidi"/>
          <w:sz w:val="24"/>
          <w:szCs w:val="24"/>
        </w:rPr>
        <w:t>g</w:t>
      </w:r>
      <w:r w:rsidR="00B04480" w:rsidRPr="00012F08">
        <w:rPr>
          <w:rFonts w:asciiTheme="majorBidi" w:hAnsiTheme="majorBidi" w:cstheme="majorBidi"/>
          <w:sz w:val="24"/>
          <w:szCs w:val="24"/>
        </w:rPr>
        <w:t xml:space="preserve">old </w:t>
      </w:r>
      <w:r w:rsidR="003B1B94" w:rsidRPr="00012F08">
        <w:rPr>
          <w:rFonts w:asciiTheme="majorBidi" w:hAnsiTheme="majorBidi" w:cstheme="majorBidi"/>
          <w:sz w:val="24"/>
          <w:szCs w:val="24"/>
        </w:rPr>
        <w:t xml:space="preserve">and </w:t>
      </w:r>
      <w:r w:rsidR="00B04480">
        <w:rPr>
          <w:rFonts w:asciiTheme="majorBidi" w:hAnsiTheme="majorBidi" w:cstheme="majorBidi"/>
          <w:sz w:val="24"/>
          <w:szCs w:val="24"/>
        </w:rPr>
        <w:t xml:space="preserve">the </w:t>
      </w:r>
      <w:r w:rsidR="003B1B94" w:rsidRPr="00012F08">
        <w:rPr>
          <w:rFonts w:asciiTheme="majorBidi" w:hAnsiTheme="majorBidi" w:cstheme="majorBidi"/>
          <w:sz w:val="24"/>
          <w:szCs w:val="24"/>
        </w:rPr>
        <w:t>UCT</w:t>
      </w:r>
      <w:r w:rsidRPr="00012F08">
        <w:rPr>
          <w:rFonts w:asciiTheme="majorBidi" w:hAnsiTheme="majorBidi" w:cstheme="majorBidi"/>
          <w:sz w:val="24"/>
          <w:szCs w:val="24"/>
        </w:rPr>
        <w:t xml:space="preserve"> also act</w:t>
      </w:r>
      <w:r w:rsidR="00B04480">
        <w:rPr>
          <w:rFonts w:asciiTheme="majorBidi" w:hAnsiTheme="majorBidi" w:cstheme="majorBidi"/>
          <w:sz w:val="24"/>
          <w:szCs w:val="24"/>
        </w:rPr>
        <w:t>ing</w:t>
      </w:r>
      <w:r w:rsidRPr="00012F08">
        <w:rPr>
          <w:rFonts w:asciiTheme="majorBidi" w:hAnsiTheme="majorBidi" w:cstheme="majorBidi"/>
          <w:sz w:val="24"/>
          <w:szCs w:val="24"/>
        </w:rPr>
        <w:t xml:space="preserve"> as significant </w:t>
      </w:r>
      <w:r w:rsidR="00F3642A" w:rsidRPr="00012F08">
        <w:rPr>
          <w:rFonts w:asciiTheme="majorBidi" w:hAnsiTheme="majorBidi" w:cstheme="majorBidi"/>
          <w:sz w:val="24"/>
          <w:szCs w:val="24"/>
        </w:rPr>
        <w:t>transmitter</w:t>
      </w:r>
      <w:r w:rsidR="005F456D" w:rsidRPr="00012F08">
        <w:rPr>
          <w:rFonts w:asciiTheme="majorBidi" w:hAnsiTheme="majorBidi" w:cstheme="majorBidi"/>
          <w:sz w:val="24"/>
          <w:szCs w:val="24"/>
        </w:rPr>
        <w:t>s</w:t>
      </w:r>
      <w:r w:rsidRPr="00012F08">
        <w:rPr>
          <w:rFonts w:asciiTheme="majorBidi" w:hAnsiTheme="majorBidi" w:cstheme="majorBidi"/>
          <w:sz w:val="24"/>
          <w:szCs w:val="24"/>
        </w:rPr>
        <w:t xml:space="preserve">. China’s equity market and oil </w:t>
      </w:r>
      <w:r w:rsidR="002F364D">
        <w:rPr>
          <w:rFonts w:asciiTheme="majorBidi" w:hAnsiTheme="majorBidi" w:cstheme="majorBidi"/>
          <w:sz w:val="24"/>
          <w:szCs w:val="24"/>
        </w:rPr>
        <w:t>were</w:t>
      </w:r>
      <w:r w:rsidR="002F364D" w:rsidRPr="00012F08">
        <w:rPr>
          <w:rFonts w:asciiTheme="majorBidi" w:hAnsiTheme="majorBidi" w:cstheme="majorBidi"/>
          <w:sz w:val="24"/>
          <w:szCs w:val="24"/>
        </w:rPr>
        <w:t xml:space="preserve"> </w:t>
      </w:r>
      <w:r w:rsidR="003B1B94" w:rsidRPr="00012F08">
        <w:rPr>
          <w:rFonts w:asciiTheme="majorBidi" w:hAnsiTheme="majorBidi" w:cstheme="majorBidi"/>
          <w:sz w:val="24"/>
          <w:szCs w:val="24"/>
        </w:rPr>
        <w:t>recipients</w:t>
      </w:r>
      <w:r w:rsidRPr="00012F08">
        <w:rPr>
          <w:rFonts w:asciiTheme="majorBidi" w:hAnsiTheme="majorBidi" w:cstheme="majorBidi"/>
          <w:sz w:val="24"/>
          <w:szCs w:val="24"/>
        </w:rPr>
        <w:t xml:space="preserve">, reflecting China's growing integration into global markets and the importance of </w:t>
      </w:r>
      <w:r w:rsidR="005F456D" w:rsidRPr="00012F08">
        <w:rPr>
          <w:rFonts w:asciiTheme="majorBidi" w:hAnsiTheme="majorBidi" w:cstheme="majorBidi"/>
          <w:sz w:val="24"/>
          <w:szCs w:val="24"/>
        </w:rPr>
        <w:t>oil</w:t>
      </w:r>
      <w:r w:rsidRPr="00012F08">
        <w:rPr>
          <w:rFonts w:asciiTheme="majorBidi" w:hAnsiTheme="majorBidi" w:cstheme="majorBidi"/>
          <w:sz w:val="24"/>
          <w:szCs w:val="24"/>
        </w:rPr>
        <w:t xml:space="preserve"> prices in systemic spillovers. </w:t>
      </w:r>
    </w:p>
    <w:p w14:paraId="6FD28F39" w14:textId="698B6603" w:rsidR="005B1493" w:rsidRPr="00012F08" w:rsidRDefault="00B02B00" w:rsidP="005B1493">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In the </w:t>
      </w:r>
      <w:r w:rsidR="002F364D" w:rsidRPr="00012F08">
        <w:rPr>
          <w:rFonts w:asciiTheme="majorBidi" w:hAnsiTheme="majorBidi" w:cstheme="majorBidi"/>
          <w:sz w:val="24"/>
          <w:szCs w:val="24"/>
        </w:rPr>
        <w:t xml:space="preserve">trade war and post-pandemic </w:t>
      </w:r>
      <w:r w:rsidRPr="00012F08">
        <w:rPr>
          <w:rFonts w:asciiTheme="majorBidi" w:hAnsiTheme="majorBidi" w:cstheme="majorBidi"/>
          <w:sz w:val="24"/>
          <w:szCs w:val="24"/>
        </w:rPr>
        <w:t xml:space="preserve">period (2018–2024), the structure of spillovers shifted dramatically. </w:t>
      </w:r>
      <w:r w:rsidR="00F3642A" w:rsidRPr="00012F08">
        <w:rPr>
          <w:rFonts w:asciiTheme="majorBidi" w:hAnsiTheme="majorBidi" w:cstheme="majorBidi"/>
          <w:sz w:val="24"/>
          <w:szCs w:val="24"/>
        </w:rPr>
        <w:t>The Total Connectedness Index (TCI) surged to 77.83%, more than tripling relative to the pre-trade war period (~24</w:t>
      </w:r>
      <w:r w:rsidR="002F364D" w:rsidRPr="00012F08">
        <w:rPr>
          <w:rFonts w:asciiTheme="majorBidi" w:hAnsiTheme="majorBidi" w:cstheme="majorBidi"/>
          <w:sz w:val="24"/>
          <w:szCs w:val="24"/>
        </w:rPr>
        <w:t>%)</w:t>
      </w:r>
      <w:r w:rsidR="002F364D">
        <w:rPr>
          <w:rFonts w:asciiTheme="majorBidi" w:hAnsiTheme="majorBidi" w:cstheme="majorBidi"/>
          <w:sz w:val="24"/>
          <w:szCs w:val="24"/>
        </w:rPr>
        <w:t>. This spike</w:t>
      </w:r>
      <w:r w:rsidR="002F364D" w:rsidRPr="00012F08">
        <w:rPr>
          <w:rFonts w:asciiTheme="majorBidi" w:hAnsiTheme="majorBidi" w:cstheme="majorBidi"/>
          <w:sz w:val="24"/>
          <w:szCs w:val="24"/>
        </w:rPr>
        <w:t xml:space="preserve"> indicat</w:t>
      </w:r>
      <w:r w:rsidR="002F364D">
        <w:rPr>
          <w:rFonts w:asciiTheme="majorBidi" w:hAnsiTheme="majorBidi" w:cstheme="majorBidi"/>
          <w:sz w:val="24"/>
          <w:szCs w:val="24"/>
        </w:rPr>
        <w:t>es</w:t>
      </w:r>
      <w:r w:rsidR="002F364D"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 xml:space="preserve">increased systemic fragility and tighter interconnections </w:t>
      </w:r>
      <w:r w:rsidR="002F364D">
        <w:rPr>
          <w:rFonts w:asciiTheme="majorBidi" w:hAnsiTheme="majorBidi" w:cstheme="majorBidi"/>
          <w:sz w:val="24"/>
          <w:szCs w:val="24"/>
        </w:rPr>
        <w:t>during periods of</w:t>
      </w:r>
      <w:r w:rsidR="002F364D"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global stress</w:t>
      </w:r>
      <w:r w:rsidR="002F364D">
        <w:rPr>
          <w:rFonts w:asciiTheme="majorBidi" w:hAnsiTheme="majorBidi" w:cs="Times New Roman"/>
          <w:sz w:val="24"/>
          <w:szCs w:val="24"/>
        </w:rPr>
        <w:t>. It also</w:t>
      </w:r>
      <w:r w:rsidR="002F364D" w:rsidRPr="00012F08">
        <w:rPr>
          <w:rFonts w:asciiTheme="majorBidi" w:hAnsiTheme="majorBidi" w:cs="Times New Roman"/>
          <w:sz w:val="24"/>
          <w:szCs w:val="24"/>
        </w:rPr>
        <w:t xml:space="preserve"> </w:t>
      </w:r>
      <w:r w:rsidR="002F364D" w:rsidRPr="00012F08">
        <w:rPr>
          <w:rFonts w:asciiTheme="majorBidi" w:hAnsiTheme="majorBidi" w:cstheme="majorBidi"/>
          <w:sz w:val="24"/>
          <w:szCs w:val="24"/>
        </w:rPr>
        <w:t>reflect</w:t>
      </w:r>
      <w:r w:rsidR="002F364D">
        <w:rPr>
          <w:rFonts w:asciiTheme="majorBidi" w:hAnsiTheme="majorBidi" w:cstheme="majorBidi"/>
          <w:sz w:val="24"/>
          <w:szCs w:val="24"/>
        </w:rPr>
        <w:t>s</w:t>
      </w:r>
      <w:r w:rsidR="002F364D"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 xml:space="preserve">a sharp rise in systemic spillovers during the trade war and post-COVID era. </w:t>
      </w:r>
      <w:r w:rsidR="002F364D">
        <w:rPr>
          <w:rFonts w:asciiTheme="majorBidi" w:hAnsiTheme="majorBidi" w:cstheme="majorBidi"/>
          <w:sz w:val="24"/>
          <w:szCs w:val="24"/>
        </w:rPr>
        <w:t>These results</w:t>
      </w:r>
      <w:r w:rsidR="00F3642A" w:rsidRPr="00012F08">
        <w:rPr>
          <w:rFonts w:asciiTheme="majorBidi" w:hAnsiTheme="majorBidi" w:cstheme="majorBidi"/>
          <w:sz w:val="24"/>
          <w:szCs w:val="24"/>
        </w:rPr>
        <w:t xml:space="preserve"> </w:t>
      </w:r>
      <w:r w:rsidR="005F456D" w:rsidRPr="00012F08">
        <w:rPr>
          <w:rFonts w:asciiTheme="majorBidi" w:hAnsiTheme="majorBidi" w:cstheme="majorBidi"/>
          <w:sz w:val="24"/>
          <w:szCs w:val="24"/>
        </w:rPr>
        <w:t>suggest</w:t>
      </w:r>
      <w:r w:rsidR="00F3642A" w:rsidRPr="00012F08">
        <w:rPr>
          <w:rFonts w:asciiTheme="majorBidi" w:hAnsiTheme="majorBidi" w:cstheme="majorBidi"/>
          <w:sz w:val="24"/>
          <w:szCs w:val="24"/>
        </w:rPr>
        <w:t xml:space="preserve"> that </w:t>
      </w:r>
      <w:r w:rsidR="00B84521">
        <w:rPr>
          <w:rFonts w:asciiTheme="majorBidi" w:hAnsiTheme="majorBidi" w:cstheme="majorBidi"/>
          <w:sz w:val="24"/>
          <w:szCs w:val="24"/>
        </w:rPr>
        <w:t xml:space="preserve">during this </w:t>
      </w:r>
      <w:proofErr w:type="gramStart"/>
      <w:r w:rsidR="00B84521">
        <w:rPr>
          <w:rFonts w:asciiTheme="majorBidi" w:hAnsiTheme="majorBidi" w:cstheme="majorBidi"/>
          <w:sz w:val="24"/>
          <w:szCs w:val="24"/>
        </w:rPr>
        <w:t>time period</w:t>
      </w:r>
      <w:proofErr w:type="gramEnd"/>
      <w:r w:rsidR="00B84521">
        <w:rPr>
          <w:rFonts w:asciiTheme="majorBidi" w:hAnsiTheme="majorBidi" w:cstheme="majorBidi"/>
          <w:sz w:val="24"/>
          <w:szCs w:val="24"/>
        </w:rPr>
        <w:t xml:space="preserve">, </w:t>
      </w:r>
      <w:r w:rsidR="002F364D">
        <w:rPr>
          <w:rFonts w:asciiTheme="majorBidi" w:hAnsiTheme="majorBidi" w:cstheme="majorBidi"/>
          <w:sz w:val="24"/>
          <w:szCs w:val="24"/>
        </w:rPr>
        <w:t xml:space="preserve">the </w:t>
      </w:r>
      <w:r w:rsidR="00F3642A" w:rsidRPr="00012F08">
        <w:rPr>
          <w:rFonts w:asciiTheme="majorBidi" w:hAnsiTheme="majorBidi" w:cstheme="majorBidi"/>
          <w:sz w:val="24"/>
          <w:szCs w:val="24"/>
        </w:rPr>
        <w:t xml:space="preserve">inter-market transmission </w:t>
      </w:r>
      <w:r w:rsidR="002F364D">
        <w:rPr>
          <w:rFonts w:asciiTheme="majorBidi" w:hAnsiTheme="majorBidi" w:cstheme="majorBidi"/>
          <w:sz w:val="24"/>
          <w:szCs w:val="24"/>
        </w:rPr>
        <w:t xml:space="preserve">of </w:t>
      </w:r>
      <w:r w:rsidR="002F364D" w:rsidRPr="00012F08">
        <w:rPr>
          <w:rFonts w:asciiTheme="majorBidi" w:hAnsiTheme="majorBidi" w:cstheme="majorBidi"/>
          <w:sz w:val="24"/>
          <w:szCs w:val="24"/>
        </w:rPr>
        <w:t>shock</w:t>
      </w:r>
      <w:r w:rsidR="002F364D">
        <w:rPr>
          <w:rFonts w:asciiTheme="majorBidi" w:hAnsiTheme="majorBidi" w:cstheme="majorBidi"/>
          <w:sz w:val="24"/>
          <w:szCs w:val="24"/>
        </w:rPr>
        <w:t xml:space="preserve">s </w:t>
      </w:r>
      <w:r w:rsidR="00F3642A" w:rsidRPr="00012F08">
        <w:rPr>
          <w:rFonts w:asciiTheme="majorBidi" w:hAnsiTheme="majorBidi" w:cstheme="majorBidi"/>
          <w:sz w:val="24"/>
          <w:szCs w:val="24"/>
        </w:rPr>
        <w:t xml:space="preserve">became the dominant feature of the system. </w:t>
      </w:r>
    </w:p>
    <w:p w14:paraId="136A3C28" w14:textId="56633462" w:rsidR="005B1493" w:rsidRPr="00012F08" w:rsidRDefault="00B84521" w:rsidP="005B1493">
      <w:pPr>
        <w:bidi w:val="0"/>
        <w:spacing w:line="276" w:lineRule="auto"/>
        <w:jc w:val="both"/>
        <w:rPr>
          <w:rFonts w:asciiTheme="majorBidi" w:hAnsiTheme="majorBidi" w:cstheme="majorBidi"/>
          <w:sz w:val="24"/>
          <w:szCs w:val="24"/>
        </w:rPr>
      </w:pPr>
      <w:r>
        <w:rPr>
          <w:rFonts w:asciiTheme="majorBidi" w:hAnsiTheme="majorBidi" w:cstheme="majorBidi"/>
          <w:sz w:val="24"/>
          <w:szCs w:val="24"/>
        </w:rPr>
        <w:t>In addition, during</w:t>
      </w:r>
      <w:r w:rsidR="005674A1">
        <w:rPr>
          <w:rFonts w:asciiTheme="majorBidi" w:hAnsiTheme="majorBidi" w:cstheme="majorBidi"/>
          <w:sz w:val="24"/>
          <w:szCs w:val="24"/>
        </w:rPr>
        <w:t xml:space="preserve"> this period g</w:t>
      </w:r>
      <w:r w:rsidR="005674A1" w:rsidRPr="00012F08">
        <w:rPr>
          <w:rFonts w:asciiTheme="majorBidi" w:hAnsiTheme="majorBidi" w:cstheme="majorBidi"/>
          <w:sz w:val="24"/>
          <w:szCs w:val="24"/>
        </w:rPr>
        <w:t xml:space="preserve">old </w:t>
      </w:r>
      <w:r w:rsidR="005674A1">
        <w:rPr>
          <w:rFonts w:asciiTheme="majorBidi" w:hAnsiTheme="majorBidi" w:cstheme="majorBidi"/>
          <w:sz w:val="24"/>
          <w:szCs w:val="24"/>
        </w:rPr>
        <w:t>was</w:t>
      </w:r>
      <w:r w:rsidR="005674A1"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the leading net transmitter of shocks (NET = 36.14</w:t>
      </w:r>
      <w:r w:rsidR="002F364D" w:rsidRPr="00012F08">
        <w:rPr>
          <w:rFonts w:asciiTheme="majorBidi" w:hAnsiTheme="majorBidi" w:cstheme="majorBidi"/>
          <w:sz w:val="24"/>
          <w:szCs w:val="24"/>
        </w:rPr>
        <w:t>)</w:t>
      </w:r>
      <w:r w:rsidR="002F364D">
        <w:rPr>
          <w:rFonts w:asciiTheme="majorBidi" w:hAnsiTheme="majorBidi" w:cstheme="majorBidi"/>
          <w:sz w:val="24"/>
          <w:szCs w:val="24"/>
        </w:rPr>
        <w:t>. While it had</w:t>
      </w:r>
      <w:r w:rsidR="002F364D"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 xml:space="preserve">high total </w:t>
      </w:r>
      <w:r w:rsidR="005F456D" w:rsidRPr="00012F08">
        <w:rPr>
          <w:rFonts w:asciiTheme="majorBidi" w:hAnsiTheme="majorBidi" w:cstheme="majorBidi"/>
          <w:sz w:val="24"/>
          <w:szCs w:val="24"/>
        </w:rPr>
        <w:t>spillovers compared</w:t>
      </w:r>
      <w:r w:rsidR="00F3642A" w:rsidRPr="00012F08">
        <w:rPr>
          <w:rFonts w:asciiTheme="majorBidi" w:hAnsiTheme="majorBidi" w:cstheme="majorBidi"/>
          <w:sz w:val="24"/>
          <w:szCs w:val="24"/>
        </w:rPr>
        <w:t xml:space="preserve"> to </w:t>
      </w:r>
      <w:r w:rsidR="002F364D" w:rsidRPr="00012F08">
        <w:rPr>
          <w:rFonts w:asciiTheme="majorBidi" w:hAnsiTheme="majorBidi" w:cstheme="majorBidi"/>
          <w:sz w:val="24"/>
          <w:szCs w:val="24"/>
        </w:rPr>
        <w:t>other</w:t>
      </w:r>
      <w:r w:rsidR="002F364D">
        <w:rPr>
          <w:rFonts w:asciiTheme="majorBidi" w:hAnsiTheme="majorBidi" w:cstheme="majorBidi"/>
          <w:sz w:val="24"/>
          <w:szCs w:val="24"/>
        </w:rPr>
        <w:t xml:space="preserve"> variables</w:t>
      </w:r>
      <w:r w:rsidR="002F364D"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(TO = 97.38%)</w:t>
      </w:r>
      <w:r w:rsidR="002F364D">
        <w:rPr>
          <w:rFonts w:asciiTheme="majorBidi" w:hAnsiTheme="majorBidi" w:cstheme="majorBidi"/>
          <w:sz w:val="24"/>
          <w:szCs w:val="24"/>
        </w:rPr>
        <w:t>, it received</w:t>
      </w:r>
      <w:r w:rsidR="00F3642A" w:rsidRPr="00012F08">
        <w:rPr>
          <w:rFonts w:asciiTheme="majorBidi" w:hAnsiTheme="majorBidi" w:cstheme="majorBidi"/>
          <w:sz w:val="24"/>
          <w:szCs w:val="24"/>
        </w:rPr>
        <w:t xml:space="preserve"> only 61.23% spillovers</w:t>
      </w:r>
      <w:r w:rsidR="002F364D">
        <w:rPr>
          <w:rFonts w:asciiTheme="majorBidi" w:hAnsiTheme="majorBidi" w:cstheme="majorBidi"/>
          <w:sz w:val="24"/>
          <w:szCs w:val="24"/>
        </w:rPr>
        <w:t xml:space="preserve"> from other variables.</w:t>
      </w:r>
      <w:r w:rsidR="00F3642A" w:rsidRPr="00012F08">
        <w:rPr>
          <w:rFonts w:asciiTheme="majorBidi" w:hAnsiTheme="majorBidi" w:cstheme="majorBidi"/>
          <w:sz w:val="24"/>
          <w:szCs w:val="24"/>
        </w:rPr>
        <w:t xml:space="preserve"> </w:t>
      </w:r>
      <w:r>
        <w:rPr>
          <w:rFonts w:asciiTheme="majorBidi" w:hAnsiTheme="majorBidi" w:cstheme="majorBidi"/>
          <w:sz w:val="24"/>
          <w:szCs w:val="24"/>
        </w:rPr>
        <w:t>Gold</w:t>
      </w:r>
      <w:r w:rsidR="002F364D" w:rsidRPr="00012F08">
        <w:rPr>
          <w:rFonts w:asciiTheme="majorBidi" w:hAnsiTheme="majorBidi" w:cstheme="majorBidi"/>
          <w:sz w:val="24"/>
          <w:szCs w:val="24"/>
        </w:rPr>
        <w:t xml:space="preserve"> </w:t>
      </w:r>
      <w:r w:rsidR="005B1493" w:rsidRPr="00012F08">
        <w:rPr>
          <w:rFonts w:asciiTheme="majorBidi" w:hAnsiTheme="majorBidi" w:cstheme="majorBidi"/>
          <w:sz w:val="24"/>
          <w:szCs w:val="24"/>
        </w:rPr>
        <w:t>is conventionally viewed as a safe</w:t>
      </w:r>
      <w:r w:rsidR="002F364D">
        <w:rPr>
          <w:rFonts w:asciiTheme="majorBidi" w:hAnsiTheme="majorBidi" w:cstheme="majorBidi"/>
          <w:sz w:val="24"/>
          <w:szCs w:val="24"/>
        </w:rPr>
        <w:t>-</w:t>
      </w:r>
      <w:r w:rsidR="005B1493" w:rsidRPr="00012F08">
        <w:rPr>
          <w:rFonts w:asciiTheme="majorBidi" w:hAnsiTheme="majorBidi" w:cstheme="majorBidi"/>
          <w:sz w:val="24"/>
          <w:szCs w:val="24"/>
        </w:rPr>
        <w:t>haven asset that absorbs systemic shocks during periods of heightened uncertainty</w:t>
      </w:r>
      <w:r>
        <w:rPr>
          <w:rFonts w:asciiTheme="majorBidi" w:hAnsiTheme="majorBidi" w:cstheme="majorBidi"/>
          <w:sz w:val="24"/>
          <w:szCs w:val="24"/>
        </w:rPr>
        <w:t>. However,</w:t>
      </w:r>
      <w:r w:rsidRPr="00012F08">
        <w:rPr>
          <w:rFonts w:asciiTheme="majorBidi" w:hAnsiTheme="majorBidi" w:cstheme="majorBidi"/>
          <w:sz w:val="24"/>
          <w:szCs w:val="24"/>
        </w:rPr>
        <w:t xml:space="preserve"> </w:t>
      </w:r>
      <w:r w:rsidR="005B1493" w:rsidRPr="00012F08">
        <w:rPr>
          <w:rFonts w:asciiTheme="majorBidi" w:hAnsiTheme="majorBidi" w:cstheme="majorBidi"/>
          <w:sz w:val="24"/>
          <w:szCs w:val="24"/>
        </w:rPr>
        <w:t xml:space="preserve">the results from the post-2018 period (Panel C, Table 3) show that </w:t>
      </w:r>
      <w:r w:rsidR="002F364D">
        <w:rPr>
          <w:rFonts w:asciiTheme="majorBidi" w:hAnsiTheme="majorBidi" w:cstheme="majorBidi"/>
          <w:sz w:val="24"/>
          <w:szCs w:val="24"/>
        </w:rPr>
        <w:t>g</w:t>
      </w:r>
      <w:r w:rsidR="002F364D" w:rsidRPr="00012F08">
        <w:rPr>
          <w:rFonts w:asciiTheme="majorBidi" w:hAnsiTheme="majorBidi" w:cstheme="majorBidi"/>
          <w:sz w:val="24"/>
          <w:szCs w:val="24"/>
        </w:rPr>
        <w:t xml:space="preserve">old </w:t>
      </w:r>
      <w:r w:rsidR="005B1493" w:rsidRPr="00012F08">
        <w:rPr>
          <w:rFonts w:asciiTheme="majorBidi" w:hAnsiTheme="majorBidi" w:cstheme="majorBidi"/>
          <w:sz w:val="24"/>
          <w:szCs w:val="24"/>
        </w:rPr>
        <w:t xml:space="preserve">exhibited a positive net connectedness value of 36.14, positioning it as a dominant transmitter of systemic risk. During crises, a sharp surge in </w:t>
      </w:r>
      <w:r>
        <w:rPr>
          <w:rFonts w:asciiTheme="majorBidi" w:hAnsiTheme="majorBidi" w:cstheme="majorBidi"/>
          <w:sz w:val="24"/>
          <w:szCs w:val="24"/>
        </w:rPr>
        <w:t xml:space="preserve">the </w:t>
      </w:r>
      <w:r w:rsidR="005B1493" w:rsidRPr="00012F08">
        <w:rPr>
          <w:rFonts w:asciiTheme="majorBidi" w:hAnsiTheme="majorBidi" w:cstheme="majorBidi"/>
          <w:sz w:val="24"/>
          <w:szCs w:val="24"/>
        </w:rPr>
        <w:t xml:space="preserve">demand for </w:t>
      </w:r>
      <w:r w:rsidR="002F364D">
        <w:rPr>
          <w:rFonts w:asciiTheme="majorBidi" w:hAnsiTheme="majorBidi" w:cstheme="majorBidi"/>
          <w:sz w:val="24"/>
          <w:szCs w:val="24"/>
        </w:rPr>
        <w:t>g</w:t>
      </w:r>
      <w:r w:rsidR="002F364D" w:rsidRPr="00012F08">
        <w:rPr>
          <w:rFonts w:asciiTheme="majorBidi" w:hAnsiTheme="majorBidi" w:cstheme="majorBidi"/>
          <w:sz w:val="24"/>
          <w:szCs w:val="24"/>
        </w:rPr>
        <w:t xml:space="preserve">old </w:t>
      </w:r>
      <w:r w:rsidR="005B1493" w:rsidRPr="00012F08">
        <w:rPr>
          <w:rFonts w:asciiTheme="majorBidi" w:hAnsiTheme="majorBidi" w:cstheme="majorBidi"/>
          <w:sz w:val="24"/>
          <w:szCs w:val="24"/>
        </w:rPr>
        <w:t xml:space="preserve">can lead to abrupt price movements. These price shocks, while stemming from </w:t>
      </w:r>
      <w:r w:rsidR="002F364D">
        <w:rPr>
          <w:rFonts w:asciiTheme="majorBidi" w:hAnsiTheme="majorBidi" w:cstheme="majorBidi"/>
          <w:sz w:val="24"/>
          <w:szCs w:val="24"/>
        </w:rPr>
        <w:t>g</w:t>
      </w:r>
      <w:r w:rsidR="002F364D" w:rsidRPr="00012F08">
        <w:rPr>
          <w:rFonts w:asciiTheme="majorBidi" w:hAnsiTheme="majorBidi" w:cstheme="majorBidi"/>
          <w:sz w:val="24"/>
          <w:szCs w:val="24"/>
        </w:rPr>
        <w:t xml:space="preserve">old's </w:t>
      </w:r>
      <w:r w:rsidR="005B1493" w:rsidRPr="00012F08">
        <w:rPr>
          <w:rFonts w:asciiTheme="majorBidi" w:hAnsiTheme="majorBidi" w:cstheme="majorBidi"/>
          <w:sz w:val="24"/>
          <w:szCs w:val="24"/>
        </w:rPr>
        <w:t xml:space="preserve">role as a haven, can transmit volatility to other </w:t>
      </w:r>
      <w:r w:rsidR="005F456D" w:rsidRPr="00012F08">
        <w:rPr>
          <w:rFonts w:asciiTheme="majorBidi" w:hAnsiTheme="majorBidi" w:cstheme="majorBidi"/>
          <w:sz w:val="24"/>
          <w:szCs w:val="24"/>
        </w:rPr>
        <w:t xml:space="preserve">markets, </w:t>
      </w:r>
      <w:r w:rsidR="005B1493" w:rsidRPr="00012F08">
        <w:rPr>
          <w:rFonts w:asciiTheme="majorBidi" w:hAnsiTheme="majorBidi" w:cstheme="majorBidi"/>
          <w:sz w:val="24"/>
          <w:szCs w:val="24"/>
        </w:rPr>
        <w:t>particularly equities and currencies</w:t>
      </w:r>
      <w:r w:rsidR="005F456D" w:rsidRPr="00012F08">
        <w:rPr>
          <w:rFonts w:asciiTheme="majorBidi" w:hAnsiTheme="majorBidi" w:cstheme="majorBidi"/>
          <w:sz w:val="24"/>
          <w:szCs w:val="24"/>
        </w:rPr>
        <w:t xml:space="preserve">, </w:t>
      </w:r>
      <w:r w:rsidR="005B1493" w:rsidRPr="00012F08">
        <w:rPr>
          <w:rFonts w:asciiTheme="majorBidi" w:hAnsiTheme="majorBidi" w:cstheme="majorBidi"/>
          <w:sz w:val="24"/>
          <w:szCs w:val="24"/>
        </w:rPr>
        <w:t xml:space="preserve">as investors rebalance their portfolios. Gold prices often reflect collective investor sentiment. A sharp rally in </w:t>
      </w:r>
      <w:r w:rsidR="002F364D">
        <w:rPr>
          <w:rFonts w:asciiTheme="majorBidi" w:hAnsiTheme="majorBidi" w:cstheme="majorBidi"/>
          <w:sz w:val="24"/>
          <w:szCs w:val="24"/>
        </w:rPr>
        <w:t>g</w:t>
      </w:r>
      <w:r w:rsidR="002F364D" w:rsidRPr="00012F08">
        <w:rPr>
          <w:rFonts w:asciiTheme="majorBidi" w:hAnsiTheme="majorBidi" w:cstheme="majorBidi"/>
          <w:sz w:val="24"/>
          <w:szCs w:val="24"/>
        </w:rPr>
        <w:t xml:space="preserve">old </w:t>
      </w:r>
      <w:r w:rsidR="002F364D">
        <w:rPr>
          <w:rFonts w:asciiTheme="majorBidi" w:hAnsiTheme="majorBidi" w:cstheme="majorBidi"/>
          <w:sz w:val="24"/>
          <w:szCs w:val="24"/>
        </w:rPr>
        <w:t xml:space="preserve">might not be </w:t>
      </w:r>
      <w:r w:rsidR="005B1493" w:rsidRPr="00012F08">
        <w:rPr>
          <w:rFonts w:asciiTheme="majorBidi" w:hAnsiTheme="majorBidi" w:cstheme="majorBidi"/>
          <w:sz w:val="24"/>
          <w:szCs w:val="24"/>
        </w:rPr>
        <w:t xml:space="preserve">just </w:t>
      </w:r>
      <w:r w:rsidR="002F364D">
        <w:rPr>
          <w:rFonts w:asciiTheme="majorBidi" w:hAnsiTheme="majorBidi" w:cstheme="majorBidi"/>
          <w:sz w:val="24"/>
          <w:szCs w:val="24"/>
        </w:rPr>
        <w:t xml:space="preserve">a </w:t>
      </w:r>
      <w:r w:rsidR="005B1493" w:rsidRPr="00012F08">
        <w:rPr>
          <w:rFonts w:asciiTheme="majorBidi" w:hAnsiTheme="majorBidi" w:cstheme="majorBidi"/>
          <w:sz w:val="24"/>
          <w:szCs w:val="24"/>
        </w:rPr>
        <w:t>hedge</w:t>
      </w:r>
      <w:r w:rsidR="002F364D">
        <w:rPr>
          <w:rFonts w:asciiTheme="majorBidi" w:hAnsiTheme="majorBidi" w:cstheme="majorBidi"/>
          <w:sz w:val="24"/>
          <w:szCs w:val="24"/>
        </w:rPr>
        <w:t xml:space="preserve"> against</w:t>
      </w:r>
      <w:r w:rsidR="005B1493" w:rsidRPr="00012F08">
        <w:rPr>
          <w:rFonts w:asciiTheme="majorBidi" w:hAnsiTheme="majorBidi" w:cstheme="majorBidi"/>
          <w:sz w:val="24"/>
          <w:szCs w:val="24"/>
        </w:rPr>
        <w:t xml:space="preserve"> risk</w:t>
      </w:r>
      <w:r w:rsidR="002F364D">
        <w:rPr>
          <w:rFonts w:asciiTheme="majorBidi" w:hAnsiTheme="majorBidi" w:cstheme="majorBidi"/>
          <w:sz w:val="24"/>
          <w:szCs w:val="24"/>
        </w:rPr>
        <w:t xml:space="preserve">. It </w:t>
      </w:r>
      <w:r w:rsidR="005B1493" w:rsidRPr="00012F08">
        <w:rPr>
          <w:rFonts w:asciiTheme="majorBidi" w:hAnsiTheme="majorBidi" w:cstheme="majorBidi"/>
          <w:sz w:val="24"/>
          <w:szCs w:val="24"/>
        </w:rPr>
        <w:t xml:space="preserve">may also signal escalating global fear, triggering reactions across other markets. In this way, </w:t>
      </w:r>
      <w:r w:rsidR="002F364D">
        <w:rPr>
          <w:rFonts w:asciiTheme="majorBidi" w:hAnsiTheme="majorBidi" w:cstheme="majorBidi"/>
          <w:sz w:val="24"/>
          <w:szCs w:val="24"/>
        </w:rPr>
        <w:t>g</w:t>
      </w:r>
      <w:r w:rsidR="002F364D" w:rsidRPr="00012F08">
        <w:rPr>
          <w:rFonts w:asciiTheme="majorBidi" w:hAnsiTheme="majorBidi" w:cstheme="majorBidi"/>
          <w:sz w:val="24"/>
          <w:szCs w:val="24"/>
        </w:rPr>
        <w:t xml:space="preserve">old </w:t>
      </w:r>
      <w:r w:rsidR="005B1493" w:rsidRPr="00012F08">
        <w:rPr>
          <w:rFonts w:asciiTheme="majorBidi" w:hAnsiTheme="majorBidi" w:cstheme="majorBidi"/>
          <w:sz w:val="24"/>
          <w:szCs w:val="24"/>
        </w:rPr>
        <w:t xml:space="preserve">amplifies the </w:t>
      </w:r>
      <w:r w:rsidR="005B1493" w:rsidRPr="00674425">
        <w:rPr>
          <w:rFonts w:asciiTheme="majorBidi" w:hAnsiTheme="majorBidi" w:cstheme="majorBidi"/>
          <w:i/>
          <w:iCs/>
          <w:sz w:val="24"/>
          <w:szCs w:val="24"/>
        </w:rPr>
        <w:t>perception</w:t>
      </w:r>
      <w:r w:rsidR="005B1493" w:rsidRPr="00012F08">
        <w:rPr>
          <w:rFonts w:asciiTheme="majorBidi" w:hAnsiTheme="majorBidi" w:cstheme="majorBidi"/>
          <w:sz w:val="24"/>
          <w:szCs w:val="24"/>
        </w:rPr>
        <w:t xml:space="preserve"> of risk, effectively becoming a </w:t>
      </w:r>
      <w:r w:rsidR="005B1493" w:rsidRPr="00674425">
        <w:rPr>
          <w:rFonts w:asciiTheme="majorBidi" w:hAnsiTheme="majorBidi" w:cstheme="majorBidi"/>
          <w:sz w:val="24"/>
          <w:szCs w:val="24"/>
        </w:rPr>
        <w:t>channel</w:t>
      </w:r>
      <w:r w:rsidR="005B1493" w:rsidRPr="002F364D">
        <w:rPr>
          <w:rFonts w:asciiTheme="majorBidi" w:hAnsiTheme="majorBidi" w:cstheme="majorBidi"/>
          <w:sz w:val="24"/>
          <w:szCs w:val="24"/>
        </w:rPr>
        <w:t xml:space="preserve"> </w:t>
      </w:r>
      <w:r w:rsidR="005B1493" w:rsidRPr="00012F08">
        <w:rPr>
          <w:rFonts w:asciiTheme="majorBidi" w:hAnsiTheme="majorBidi" w:cstheme="majorBidi"/>
          <w:sz w:val="24"/>
          <w:szCs w:val="24"/>
        </w:rPr>
        <w:t>for spillovers</w:t>
      </w:r>
    </w:p>
    <w:p w14:paraId="48C2648A" w14:textId="59761C9F" w:rsidR="00F3642A" w:rsidRPr="00012F08" w:rsidRDefault="005674A1" w:rsidP="005B1493">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In the trade war and post-pandemic period</w:t>
      </w:r>
      <w:r w:rsidR="00B84521">
        <w:rPr>
          <w:rFonts w:asciiTheme="majorBidi" w:hAnsiTheme="majorBidi" w:cstheme="majorBidi"/>
          <w:sz w:val="24"/>
          <w:szCs w:val="24"/>
        </w:rPr>
        <w:t>,</w:t>
      </w:r>
      <w:r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 xml:space="preserve">China’s equity market (CSI 300) also </w:t>
      </w:r>
      <w:r w:rsidRPr="00012F08">
        <w:rPr>
          <w:rFonts w:asciiTheme="majorBidi" w:hAnsiTheme="majorBidi" w:cstheme="majorBidi"/>
          <w:sz w:val="24"/>
          <w:szCs w:val="24"/>
        </w:rPr>
        <w:t>emerge</w:t>
      </w:r>
      <w:r>
        <w:rPr>
          <w:rFonts w:asciiTheme="majorBidi" w:hAnsiTheme="majorBidi" w:cstheme="majorBidi"/>
          <w:sz w:val="24"/>
          <w:szCs w:val="24"/>
        </w:rPr>
        <w:t>d</w:t>
      </w:r>
      <w:r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as a dominant net transmitter</w:t>
      </w:r>
      <w:r>
        <w:rPr>
          <w:rFonts w:asciiTheme="majorBidi" w:hAnsiTheme="majorBidi" w:cstheme="majorBidi"/>
          <w:sz w:val="24"/>
          <w:szCs w:val="24"/>
        </w:rPr>
        <w:t xml:space="preserve"> of risk</w:t>
      </w:r>
      <w:r w:rsidR="00F3642A" w:rsidRPr="00012F08">
        <w:rPr>
          <w:rFonts w:asciiTheme="majorBidi" w:hAnsiTheme="majorBidi" w:cstheme="majorBidi"/>
          <w:sz w:val="24"/>
          <w:szCs w:val="24"/>
        </w:rPr>
        <w:t xml:space="preserve"> (NET = 31.61), suggesting </w:t>
      </w:r>
      <w:r>
        <w:rPr>
          <w:rFonts w:asciiTheme="majorBidi" w:hAnsiTheme="majorBidi" w:cstheme="majorBidi"/>
          <w:sz w:val="24"/>
          <w:szCs w:val="24"/>
        </w:rPr>
        <w:t xml:space="preserve">its </w:t>
      </w:r>
      <w:r w:rsidR="00F3642A" w:rsidRPr="00012F08">
        <w:rPr>
          <w:rFonts w:asciiTheme="majorBidi" w:hAnsiTheme="majorBidi" w:cstheme="majorBidi"/>
          <w:sz w:val="24"/>
          <w:szCs w:val="24"/>
        </w:rPr>
        <w:t xml:space="preserve">growing influence and proactive role in </w:t>
      </w:r>
      <w:r>
        <w:rPr>
          <w:rFonts w:asciiTheme="majorBidi" w:hAnsiTheme="majorBidi" w:cstheme="majorBidi"/>
          <w:sz w:val="24"/>
          <w:szCs w:val="24"/>
        </w:rPr>
        <w:t>propagating risk</w:t>
      </w:r>
      <w:r w:rsidR="00F3642A" w:rsidRPr="00012F08">
        <w:rPr>
          <w:rFonts w:asciiTheme="majorBidi" w:hAnsiTheme="majorBidi" w:cstheme="majorBidi"/>
          <w:sz w:val="24"/>
          <w:szCs w:val="24"/>
        </w:rPr>
        <w:t xml:space="preserve">. These results highlight the growing role of China and commodities in amplifying systemic shocks in </w:t>
      </w:r>
      <w:r>
        <w:rPr>
          <w:rFonts w:asciiTheme="majorBidi" w:hAnsiTheme="majorBidi" w:cstheme="majorBidi"/>
          <w:sz w:val="24"/>
          <w:szCs w:val="24"/>
        </w:rPr>
        <w:t xml:space="preserve">times </w:t>
      </w:r>
      <w:r w:rsidR="00F3642A" w:rsidRPr="00012F08">
        <w:rPr>
          <w:rFonts w:asciiTheme="majorBidi" w:hAnsiTheme="majorBidi" w:cstheme="majorBidi"/>
          <w:sz w:val="24"/>
          <w:szCs w:val="24"/>
        </w:rPr>
        <w:t xml:space="preserve">of geopolitical uncertainty. </w:t>
      </w:r>
      <w:r>
        <w:rPr>
          <w:rFonts w:asciiTheme="majorBidi" w:hAnsiTheme="majorBidi" w:cstheme="majorBidi"/>
          <w:sz w:val="24"/>
          <w:szCs w:val="24"/>
        </w:rPr>
        <w:t xml:space="preserve">The </w:t>
      </w:r>
      <w:r w:rsidR="00F3642A" w:rsidRPr="00012F08">
        <w:rPr>
          <w:rFonts w:asciiTheme="majorBidi" w:hAnsiTheme="majorBidi" w:cstheme="majorBidi"/>
          <w:sz w:val="24"/>
          <w:szCs w:val="24"/>
        </w:rPr>
        <w:t xml:space="preserve">S&amp;P 500 </w:t>
      </w:r>
      <w:r w:rsidRPr="00012F08">
        <w:rPr>
          <w:rFonts w:asciiTheme="majorBidi" w:hAnsiTheme="majorBidi" w:cstheme="majorBidi"/>
          <w:sz w:val="24"/>
          <w:szCs w:val="24"/>
        </w:rPr>
        <w:t>bec</w:t>
      </w:r>
      <w:r>
        <w:rPr>
          <w:rFonts w:asciiTheme="majorBidi" w:hAnsiTheme="majorBidi" w:cstheme="majorBidi"/>
          <w:sz w:val="24"/>
          <w:szCs w:val="24"/>
        </w:rPr>
        <w:t>a</w:t>
      </w:r>
      <w:r w:rsidRPr="00012F08">
        <w:rPr>
          <w:rFonts w:asciiTheme="majorBidi" w:hAnsiTheme="majorBidi" w:cstheme="majorBidi"/>
          <w:sz w:val="24"/>
          <w:szCs w:val="24"/>
        </w:rPr>
        <w:t xml:space="preserve">me </w:t>
      </w:r>
      <w:r w:rsidR="00F3642A" w:rsidRPr="00012F08">
        <w:rPr>
          <w:rFonts w:asciiTheme="majorBidi" w:hAnsiTheme="majorBidi" w:cstheme="majorBidi"/>
          <w:sz w:val="24"/>
          <w:szCs w:val="24"/>
        </w:rPr>
        <w:t xml:space="preserve">the largest net receiver of shocks (NET = -19.22, FROM = 78.6%, TO = 59.38%), signaling a reversal in its traditional leadership role observed in earlier periods. Oil </w:t>
      </w:r>
      <w:r>
        <w:rPr>
          <w:rFonts w:asciiTheme="majorBidi" w:hAnsiTheme="majorBidi" w:cstheme="majorBidi"/>
          <w:sz w:val="24"/>
          <w:szCs w:val="24"/>
        </w:rPr>
        <w:t>was</w:t>
      </w:r>
      <w:r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 xml:space="preserve">also a major net recipient </w:t>
      </w:r>
      <w:r>
        <w:rPr>
          <w:rFonts w:asciiTheme="majorBidi" w:hAnsiTheme="majorBidi" w:cstheme="majorBidi"/>
          <w:sz w:val="24"/>
          <w:szCs w:val="24"/>
        </w:rPr>
        <w:t xml:space="preserve">of risk </w:t>
      </w:r>
      <w:r w:rsidR="00F3642A" w:rsidRPr="00012F08">
        <w:rPr>
          <w:rFonts w:asciiTheme="majorBidi" w:hAnsiTheme="majorBidi" w:cstheme="majorBidi"/>
          <w:sz w:val="24"/>
          <w:szCs w:val="24"/>
        </w:rPr>
        <w:t>(NET = -36.6), absorbing considerable shocks from the system</w:t>
      </w:r>
      <w:r>
        <w:rPr>
          <w:rFonts w:asciiTheme="majorBidi" w:hAnsiTheme="majorBidi" w:cstheme="majorBidi"/>
          <w:sz w:val="24"/>
          <w:szCs w:val="24"/>
        </w:rPr>
        <w:t>. This role</w:t>
      </w:r>
      <w:r w:rsidRPr="00012F08">
        <w:rPr>
          <w:rFonts w:asciiTheme="majorBidi" w:hAnsiTheme="majorBidi" w:cstheme="majorBidi"/>
          <w:sz w:val="24"/>
          <w:szCs w:val="24"/>
        </w:rPr>
        <w:t xml:space="preserve"> </w:t>
      </w:r>
      <w:r w:rsidR="005F456D" w:rsidRPr="00012F08">
        <w:rPr>
          <w:rFonts w:asciiTheme="majorBidi" w:hAnsiTheme="majorBidi" w:cstheme="majorBidi"/>
          <w:sz w:val="24"/>
          <w:szCs w:val="24"/>
        </w:rPr>
        <w:t>l</w:t>
      </w:r>
      <w:r w:rsidR="00F3642A" w:rsidRPr="00012F08">
        <w:rPr>
          <w:rFonts w:asciiTheme="majorBidi" w:hAnsiTheme="majorBidi" w:cstheme="majorBidi"/>
          <w:sz w:val="24"/>
          <w:szCs w:val="24"/>
        </w:rPr>
        <w:t xml:space="preserve">ikely reflecting </w:t>
      </w:r>
      <w:r>
        <w:rPr>
          <w:rFonts w:asciiTheme="majorBidi" w:hAnsiTheme="majorBidi" w:cstheme="majorBidi"/>
          <w:sz w:val="24"/>
          <w:szCs w:val="24"/>
        </w:rPr>
        <w:t>oil’s</w:t>
      </w:r>
      <w:r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 xml:space="preserve">sensitivity to geopolitical disruptions, especially </w:t>
      </w:r>
      <w:r>
        <w:rPr>
          <w:rFonts w:asciiTheme="majorBidi" w:hAnsiTheme="majorBidi" w:cstheme="majorBidi"/>
          <w:sz w:val="24"/>
          <w:szCs w:val="24"/>
        </w:rPr>
        <w:t xml:space="preserve">in the wake of the </w:t>
      </w:r>
      <w:r w:rsidR="00F3642A" w:rsidRPr="00012F08">
        <w:rPr>
          <w:rFonts w:asciiTheme="majorBidi" w:hAnsiTheme="majorBidi" w:cstheme="majorBidi"/>
          <w:sz w:val="24"/>
          <w:szCs w:val="24"/>
        </w:rPr>
        <w:t>Russia-Ukraine conflict and volatility</w:t>
      </w:r>
      <w:r>
        <w:rPr>
          <w:rFonts w:asciiTheme="majorBidi" w:hAnsiTheme="majorBidi" w:cstheme="majorBidi"/>
          <w:sz w:val="24"/>
          <w:szCs w:val="24"/>
        </w:rPr>
        <w:t xml:space="preserve"> in the </w:t>
      </w:r>
      <w:r w:rsidRPr="00012F08">
        <w:rPr>
          <w:rFonts w:asciiTheme="majorBidi" w:hAnsiTheme="majorBidi" w:cstheme="majorBidi"/>
          <w:sz w:val="24"/>
          <w:szCs w:val="24"/>
        </w:rPr>
        <w:t>Middle East</w:t>
      </w:r>
      <w:r w:rsidR="00F3642A" w:rsidRPr="00012F08">
        <w:rPr>
          <w:rFonts w:asciiTheme="majorBidi" w:hAnsiTheme="majorBidi" w:cstheme="majorBidi"/>
          <w:sz w:val="24"/>
          <w:szCs w:val="24"/>
        </w:rPr>
        <w:t xml:space="preserve">. The UCT Index </w:t>
      </w:r>
      <w:r w:rsidRPr="00012F08">
        <w:rPr>
          <w:rFonts w:asciiTheme="majorBidi" w:hAnsiTheme="majorBidi" w:cstheme="majorBidi"/>
          <w:sz w:val="24"/>
          <w:szCs w:val="24"/>
        </w:rPr>
        <w:t>remain</w:t>
      </w:r>
      <w:r>
        <w:rPr>
          <w:rFonts w:asciiTheme="majorBidi" w:hAnsiTheme="majorBidi" w:cstheme="majorBidi"/>
          <w:sz w:val="24"/>
          <w:szCs w:val="24"/>
        </w:rPr>
        <w:t>ed</w:t>
      </w:r>
      <w:r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a net recipient</w:t>
      </w:r>
      <w:r>
        <w:rPr>
          <w:rFonts w:asciiTheme="majorBidi" w:hAnsiTheme="majorBidi" w:cstheme="majorBidi"/>
          <w:sz w:val="24"/>
          <w:szCs w:val="24"/>
        </w:rPr>
        <w:t xml:space="preserve"> of risk</w:t>
      </w:r>
      <w:r w:rsidR="00F3642A" w:rsidRPr="00012F08">
        <w:rPr>
          <w:rFonts w:asciiTheme="majorBidi" w:hAnsiTheme="majorBidi" w:cstheme="majorBidi"/>
          <w:sz w:val="24"/>
          <w:szCs w:val="24"/>
        </w:rPr>
        <w:t xml:space="preserve"> (NET = -3.05) despite </w:t>
      </w:r>
      <w:r>
        <w:rPr>
          <w:rFonts w:asciiTheme="majorBidi" w:hAnsiTheme="majorBidi" w:cstheme="majorBidi"/>
          <w:sz w:val="24"/>
          <w:szCs w:val="24"/>
        </w:rPr>
        <w:t>its extensive</w:t>
      </w:r>
      <w:r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gross involvement (TO = 79.08%, FROM = 82.12</w:t>
      </w:r>
      <w:r w:rsidRPr="00012F08">
        <w:rPr>
          <w:rFonts w:asciiTheme="majorBidi" w:hAnsiTheme="majorBidi" w:cstheme="majorBidi"/>
          <w:sz w:val="24"/>
          <w:szCs w:val="24"/>
        </w:rPr>
        <w:t>%)</w:t>
      </w:r>
      <w:r>
        <w:rPr>
          <w:rFonts w:asciiTheme="majorBidi" w:hAnsiTheme="majorBidi" w:cstheme="majorBidi"/>
          <w:sz w:val="24"/>
          <w:szCs w:val="24"/>
        </w:rPr>
        <w:t>. This result</w:t>
      </w:r>
      <w:r w:rsidRPr="00012F08">
        <w:rPr>
          <w:rFonts w:asciiTheme="majorBidi" w:hAnsiTheme="majorBidi" w:cstheme="majorBidi"/>
          <w:sz w:val="24"/>
          <w:szCs w:val="24"/>
        </w:rPr>
        <w:t xml:space="preserve"> impl</w:t>
      </w:r>
      <w:r>
        <w:rPr>
          <w:rFonts w:asciiTheme="majorBidi" w:hAnsiTheme="majorBidi" w:cstheme="majorBidi"/>
          <w:sz w:val="24"/>
          <w:szCs w:val="24"/>
        </w:rPr>
        <w:t>ies</w:t>
      </w:r>
      <w:r w:rsidRPr="00012F08">
        <w:rPr>
          <w:rFonts w:asciiTheme="majorBidi" w:hAnsiTheme="majorBidi" w:cstheme="majorBidi"/>
          <w:sz w:val="24"/>
          <w:szCs w:val="24"/>
        </w:rPr>
        <w:t xml:space="preserve"> </w:t>
      </w:r>
      <w:r w:rsidR="00F3642A" w:rsidRPr="00012F08">
        <w:rPr>
          <w:rFonts w:asciiTheme="majorBidi" w:hAnsiTheme="majorBidi" w:cstheme="majorBidi"/>
          <w:sz w:val="24"/>
          <w:szCs w:val="24"/>
        </w:rPr>
        <w:t xml:space="preserve">that </w:t>
      </w:r>
      <w:r>
        <w:rPr>
          <w:rFonts w:asciiTheme="majorBidi" w:hAnsiTheme="majorBidi" w:cstheme="majorBidi"/>
          <w:sz w:val="24"/>
          <w:szCs w:val="24"/>
        </w:rPr>
        <w:t xml:space="preserve">the </w:t>
      </w:r>
      <w:r w:rsidR="00F3642A" w:rsidRPr="00012F08">
        <w:rPr>
          <w:rFonts w:asciiTheme="majorBidi" w:hAnsiTheme="majorBidi" w:cstheme="majorBidi"/>
          <w:sz w:val="24"/>
          <w:szCs w:val="24"/>
        </w:rPr>
        <w:t>UCT reflects market-wide sentiment</w:t>
      </w:r>
      <w:r>
        <w:rPr>
          <w:rFonts w:asciiTheme="majorBidi" w:hAnsiTheme="majorBidi" w:cstheme="majorBidi"/>
          <w:sz w:val="24"/>
          <w:szCs w:val="24"/>
        </w:rPr>
        <w:t>s</w:t>
      </w:r>
      <w:r w:rsidR="00F3642A" w:rsidRPr="00012F08">
        <w:rPr>
          <w:rFonts w:asciiTheme="majorBidi" w:hAnsiTheme="majorBidi" w:cstheme="majorBidi"/>
          <w:sz w:val="24"/>
          <w:szCs w:val="24"/>
        </w:rPr>
        <w:t xml:space="preserve"> rather than </w:t>
      </w:r>
      <w:r>
        <w:rPr>
          <w:rFonts w:asciiTheme="majorBidi" w:hAnsiTheme="majorBidi" w:cstheme="majorBidi"/>
          <w:sz w:val="24"/>
          <w:szCs w:val="24"/>
        </w:rPr>
        <w:t xml:space="preserve">being an independent driver of </w:t>
      </w:r>
      <w:r w:rsidR="00F3642A" w:rsidRPr="00012F08">
        <w:rPr>
          <w:rFonts w:asciiTheme="majorBidi" w:hAnsiTheme="majorBidi" w:cstheme="majorBidi"/>
          <w:sz w:val="24"/>
          <w:szCs w:val="24"/>
        </w:rPr>
        <w:t>connectedness</w:t>
      </w:r>
      <w:r w:rsidR="005B1493" w:rsidRPr="00012F08">
        <w:rPr>
          <w:rFonts w:asciiTheme="majorBidi" w:hAnsiTheme="majorBidi" w:cstheme="majorBidi"/>
          <w:sz w:val="24"/>
          <w:szCs w:val="24"/>
        </w:rPr>
        <w:t>.</w:t>
      </w:r>
    </w:p>
    <w:p w14:paraId="3263EF05" w14:textId="23D07982" w:rsidR="005B1493" w:rsidRPr="00012F08" w:rsidRDefault="005B1493" w:rsidP="005B1493">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This structural reversal highlights a regime change</w:t>
      </w:r>
      <w:r w:rsidR="00243959">
        <w:rPr>
          <w:rFonts w:asciiTheme="majorBidi" w:hAnsiTheme="majorBidi" w:cstheme="majorBidi"/>
          <w:sz w:val="24"/>
          <w:szCs w:val="24"/>
        </w:rPr>
        <w:t>.</w:t>
      </w:r>
      <w:r w:rsidR="00243959" w:rsidRPr="00012F08">
        <w:rPr>
          <w:rFonts w:asciiTheme="majorBidi" w:hAnsiTheme="majorBidi" w:cstheme="majorBidi"/>
          <w:sz w:val="24"/>
          <w:szCs w:val="24"/>
        </w:rPr>
        <w:t xml:space="preserve"> </w:t>
      </w:r>
      <w:r w:rsidR="00243959">
        <w:rPr>
          <w:rFonts w:asciiTheme="majorBidi" w:hAnsiTheme="majorBidi" w:cstheme="majorBidi"/>
          <w:sz w:val="24"/>
          <w:szCs w:val="24"/>
        </w:rPr>
        <w:t>D</w:t>
      </w:r>
      <w:r w:rsidR="00243959" w:rsidRPr="00012F08">
        <w:rPr>
          <w:rFonts w:asciiTheme="majorBidi" w:hAnsiTheme="majorBidi" w:cstheme="majorBidi"/>
          <w:sz w:val="24"/>
          <w:szCs w:val="24"/>
        </w:rPr>
        <w:t xml:space="preserve">uring </w:t>
      </w:r>
      <w:r w:rsidRPr="00012F08">
        <w:rPr>
          <w:rFonts w:asciiTheme="majorBidi" w:hAnsiTheme="majorBidi" w:cstheme="majorBidi"/>
          <w:sz w:val="24"/>
          <w:szCs w:val="24"/>
        </w:rPr>
        <w:t xml:space="preserve">heightened geopolitical stress and post-pandemic uncertainty, China’s financial signals and </w:t>
      </w:r>
      <w:r w:rsidR="00243959">
        <w:rPr>
          <w:rFonts w:asciiTheme="majorBidi" w:hAnsiTheme="majorBidi" w:cstheme="majorBidi"/>
          <w:sz w:val="24"/>
          <w:szCs w:val="24"/>
        </w:rPr>
        <w:t>g</w:t>
      </w:r>
      <w:r w:rsidR="00243959" w:rsidRPr="00012F08">
        <w:rPr>
          <w:rFonts w:asciiTheme="majorBidi" w:hAnsiTheme="majorBidi" w:cstheme="majorBidi"/>
          <w:sz w:val="24"/>
          <w:szCs w:val="24"/>
        </w:rPr>
        <w:t xml:space="preserve">old’s </w:t>
      </w:r>
      <w:r w:rsidRPr="00012F08">
        <w:rPr>
          <w:rFonts w:asciiTheme="majorBidi" w:hAnsiTheme="majorBidi" w:cstheme="majorBidi"/>
          <w:sz w:val="24"/>
          <w:szCs w:val="24"/>
        </w:rPr>
        <w:t xml:space="preserve">safe-haven dynamics dominated the direction of systemic flows. </w:t>
      </w:r>
      <w:r w:rsidR="00243959">
        <w:rPr>
          <w:rFonts w:asciiTheme="majorBidi" w:hAnsiTheme="majorBidi" w:cstheme="majorBidi"/>
          <w:sz w:val="24"/>
          <w:szCs w:val="24"/>
        </w:rPr>
        <w:t>These results imply</w:t>
      </w:r>
      <w:r w:rsidRPr="00012F08">
        <w:rPr>
          <w:rFonts w:asciiTheme="majorBidi" w:hAnsiTheme="majorBidi" w:cstheme="majorBidi"/>
          <w:sz w:val="24"/>
          <w:szCs w:val="24"/>
        </w:rPr>
        <w:t xml:space="preserve"> that markets increasingly responded to developments from China and the revaluation of risk via gold, rather than U.S. market volatility alone.</w:t>
      </w:r>
    </w:p>
    <w:p w14:paraId="041DD944" w14:textId="48EBA1B2" w:rsidR="00F8707D" w:rsidRPr="00012F08" w:rsidRDefault="00F8707D" w:rsidP="00F8707D">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An intriguing finding lies in the changing role of the UCT index across </w:t>
      </w:r>
      <w:r w:rsidR="00243959">
        <w:rPr>
          <w:rFonts w:asciiTheme="majorBidi" w:hAnsiTheme="majorBidi" w:cstheme="majorBidi"/>
          <w:sz w:val="24"/>
          <w:szCs w:val="24"/>
        </w:rPr>
        <w:t>the sub</w:t>
      </w:r>
      <w:r w:rsidRPr="00012F08">
        <w:rPr>
          <w:rFonts w:asciiTheme="majorBidi" w:hAnsiTheme="majorBidi" w:cstheme="majorBidi"/>
          <w:sz w:val="24"/>
          <w:szCs w:val="24"/>
        </w:rPr>
        <w:t>periods. In the pre-trade war era (1993–2017), the UCT acted as a modest net transmitter of shocks (+1.23), reflecting its influence on markets during times of geopolitical shifts. However, in the trade war and post-pandemic period (2018–2024), the index became a net recipient (–3.05), suggesting a reversal in directionality</w:t>
      </w:r>
      <w:r w:rsidR="00243959">
        <w:rPr>
          <w:rFonts w:asciiTheme="majorBidi" w:hAnsiTheme="majorBidi" w:cstheme="majorBidi"/>
          <w:sz w:val="24"/>
          <w:szCs w:val="24"/>
        </w:rPr>
        <w:t>.</w:t>
      </w:r>
      <w:r w:rsidR="00243959" w:rsidRPr="00012F08">
        <w:rPr>
          <w:rFonts w:asciiTheme="majorBidi" w:hAnsiTheme="majorBidi" w:cstheme="majorBidi"/>
          <w:sz w:val="24"/>
          <w:szCs w:val="24"/>
        </w:rPr>
        <w:t xml:space="preserve"> </w:t>
      </w:r>
      <w:r w:rsidR="00243959">
        <w:rPr>
          <w:rFonts w:asciiTheme="majorBidi" w:hAnsiTheme="majorBidi" w:cstheme="majorBidi"/>
          <w:sz w:val="24"/>
          <w:szCs w:val="24"/>
        </w:rPr>
        <w:t>R</w:t>
      </w:r>
      <w:r w:rsidR="00243959" w:rsidRPr="00012F08">
        <w:rPr>
          <w:rFonts w:asciiTheme="majorBidi" w:hAnsiTheme="majorBidi" w:cstheme="majorBidi"/>
          <w:sz w:val="24"/>
          <w:szCs w:val="24"/>
        </w:rPr>
        <w:t xml:space="preserve">ather </w:t>
      </w:r>
      <w:r w:rsidRPr="00012F08">
        <w:rPr>
          <w:rFonts w:asciiTheme="majorBidi" w:hAnsiTheme="majorBidi" w:cstheme="majorBidi"/>
          <w:sz w:val="24"/>
          <w:szCs w:val="24"/>
        </w:rPr>
        <w:t>than driving market volatility, geopolitical tension was increasingly shaped by market movements. This shift implies that the UCT has evolved from a source of systemic risk to a barometer of financial stress, capturing the growing endogeneity between geopolitical narratives and global market dynamics.</w:t>
      </w:r>
    </w:p>
    <w:p w14:paraId="48306EEB" w14:textId="741469F7" w:rsidR="001D6C3B" w:rsidRPr="00012F08" w:rsidRDefault="001D6C3B" w:rsidP="001D6C3B">
      <w:pPr>
        <w:bidi w:val="0"/>
        <w:spacing w:line="276" w:lineRule="auto"/>
        <w:jc w:val="both"/>
        <w:rPr>
          <w:rFonts w:asciiTheme="majorBidi" w:hAnsiTheme="majorBidi" w:cstheme="majorBidi"/>
          <w:sz w:val="24"/>
          <w:szCs w:val="24"/>
        </w:rPr>
      </w:pPr>
      <w:r w:rsidRPr="00674425">
        <w:rPr>
          <w:rFonts w:asciiTheme="majorBidi" w:hAnsiTheme="majorBidi" w:cstheme="majorBidi"/>
          <w:sz w:val="24"/>
          <w:szCs w:val="24"/>
        </w:rPr>
        <w:t>Figure 3</w:t>
      </w:r>
      <w:r w:rsidRPr="00012F08">
        <w:rPr>
          <w:rFonts w:asciiTheme="majorBidi" w:hAnsiTheme="majorBidi" w:cstheme="majorBidi"/>
          <w:sz w:val="24"/>
          <w:szCs w:val="24"/>
        </w:rPr>
        <w:t xml:space="preserve"> reveals a clear structural evolution in systemic interconnectedness across global financial markets. During the 1990s and early 2000s, total connectedness was relatively high and volatile, peaking above 40</w:t>
      </w:r>
      <w:r w:rsidR="00243959" w:rsidRPr="00012F08">
        <w:rPr>
          <w:rFonts w:asciiTheme="majorBidi" w:hAnsiTheme="majorBidi" w:cstheme="majorBidi"/>
          <w:sz w:val="24"/>
          <w:szCs w:val="24"/>
        </w:rPr>
        <w:t>%</w:t>
      </w:r>
      <w:r w:rsidR="00243959">
        <w:rPr>
          <w:rFonts w:asciiTheme="majorBidi" w:hAnsiTheme="majorBidi" w:cstheme="majorBidi"/>
          <w:sz w:val="24"/>
          <w:szCs w:val="24"/>
        </w:rPr>
        <w:t>. This high level of connectedness and volatility</w:t>
      </w:r>
      <w:r w:rsidR="00243959" w:rsidRPr="00012F08">
        <w:rPr>
          <w:rFonts w:asciiTheme="majorBidi" w:hAnsiTheme="majorBidi" w:cstheme="majorBidi"/>
          <w:sz w:val="24"/>
          <w:szCs w:val="24"/>
        </w:rPr>
        <w:t xml:space="preserve"> reflect</w:t>
      </w:r>
      <w:r w:rsidR="00243959">
        <w:rPr>
          <w:rFonts w:asciiTheme="majorBidi" w:hAnsiTheme="majorBidi" w:cstheme="majorBidi"/>
          <w:sz w:val="24"/>
          <w:szCs w:val="24"/>
        </w:rPr>
        <w:t>ed</w:t>
      </w:r>
      <w:r w:rsidR="00243959"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market adjustments during the Asian financial crisis, </w:t>
      </w:r>
      <w:r w:rsidR="00243959">
        <w:rPr>
          <w:rFonts w:asciiTheme="majorBidi" w:hAnsiTheme="majorBidi" w:cstheme="majorBidi"/>
          <w:sz w:val="24"/>
          <w:szCs w:val="24"/>
        </w:rPr>
        <w:t xml:space="preserve">the </w:t>
      </w:r>
      <w:r w:rsidRPr="00012F08">
        <w:rPr>
          <w:rFonts w:asciiTheme="majorBidi" w:hAnsiTheme="majorBidi" w:cstheme="majorBidi"/>
          <w:sz w:val="24"/>
          <w:szCs w:val="24"/>
        </w:rPr>
        <w:t>dot-com bubble, and other global shocks. However, from 2003 to 2017, the system stabilized, with total connectedness hovering around 15</w:t>
      </w:r>
      <w:r w:rsidR="00243959">
        <w:rPr>
          <w:rFonts w:asciiTheme="majorBidi" w:hAnsiTheme="majorBidi" w:cstheme="majorBidi"/>
          <w:sz w:val="24"/>
          <w:szCs w:val="24"/>
        </w:rPr>
        <w:t>%</w:t>
      </w:r>
      <w:r w:rsidRPr="00012F08">
        <w:rPr>
          <w:rFonts w:asciiTheme="majorBidi" w:hAnsiTheme="majorBidi" w:cstheme="majorBidi"/>
          <w:sz w:val="24"/>
          <w:szCs w:val="24"/>
        </w:rPr>
        <w:t>–20</w:t>
      </w:r>
      <w:r w:rsidR="00243959" w:rsidRPr="00012F08">
        <w:rPr>
          <w:rFonts w:asciiTheme="majorBidi" w:hAnsiTheme="majorBidi" w:cstheme="majorBidi"/>
          <w:sz w:val="24"/>
          <w:szCs w:val="24"/>
        </w:rPr>
        <w:t>%</w:t>
      </w:r>
      <w:r w:rsidR="00243959">
        <w:rPr>
          <w:rFonts w:asciiTheme="majorBidi" w:hAnsiTheme="majorBidi" w:cstheme="majorBidi"/>
          <w:sz w:val="24"/>
          <w:szCs w:val="24"/>
        </w:rPr>
        <w:t>. This stability</w:t>
      </w:r>
      <w:r w:rsidR="00243959" w:rsidRPr="00012F08">
        <w:rPr>
          <w:rFonts w:asciiTheme="majorBidi" w:hAnsiTheme="majorBidi" w:cstheme="majorBidi"/>
          <w:sz w:val="24"/>
          <w:szCs w:val="24"/>
        </w:rPr>
        <w:t xml:space="preserve"> indicat</w:t>
      </w:r>
      <w:r w:rsidR="00243959">
        <w:rPr>
          <w:rFonts w:asciiTheme="majorBidi" w:hAnsiTheme="majorBidi" w:cstheme="majorBidi"/>
          <w:sz w:val="24"/>
          <w:szCs w:val="24"/>
        </w:rPr>
        <w:t>ed</w:t>
      </w:r>
      <w:r w:rsidR="00243959" w:rsidRPr="00012F08">
        <w:rPr>
          <w:rFonts w:asciiTheme="majorBidi" w:hAnsiTheme="majorBidi" w:cstheme="majorBidi"/>
          <w:sz w:val="24"/>
          <w:szCs w:val="24"/>
        </w:rPr>
        <w:t xml:space="preserve"> </w:t>
      </w:r>
      <w:r w:rsidRPr="00012F08">
        <w:rPr>
          <w:rFonts w:asciiTheme="majorBidi" w:hAnsiTheme="majorBidi" w:cstheme="majorBidi"/>
          <w:sz w:val="24"/>
          <w:szCs w:val="24"/>
        </w:rPr>
        <w:t>a more segmented and market-oriented environment typical of the pre-trade war globalization era.</w:t>
      </w:r>
    </w:p>
    <w:p w14:paraId="3E2820C2" w14:textId="7B0DCD0C" w:rsidR="001D6C3B" w:rsidRPr="00012F08" w:rsidRDefault="001D6C3B" w:rsidP="009B23E3">
      <w:pPr>
        <w:bidi w:val="0"/>
        <w:spacing w:line="276" w:lineRule="auto"/>
        <w:jc w:val="both"/>
        <w:rPr>
          <w:rFonts w:asciiTheme="majorBidi" w:hAnsiTheme="majorBidi" w:cstheme="majorBidi"/>
          <w:sz w:val="24"/>
          <w:szCs w:val="24"/>
          <w:rtl/>
        </w:rPr>
      </w:pPr>
      <w:r w:rsidRPr="00012F08">
        <w:rPr>
          <w:rFonts w:asciiTheme="majorBidi" w:hAnsiTheme="majorBidi" w:cstheme="majorBidi"/>
          <w:sz w:val="24"/>
          <w:szCs w:val="24"/>
        </w:rPr>
        <w:t xml:space="preserve">A notable inflection point </w:t>
      </w:r>
      <w:r w:rsidR="00243959" w:rsidRPr="00012F08">
        <w:rPr>
          <w:rFonts w:asciiTheme="majorBidi" w:hAnsiTheme="majorBidi" w:cstheme="majorBidi"/>
          <w:sz w:val="24"/>
          <w:szCs w:val="24"/>
        </w:rPr>
        <w:t>occur</w:t>
      </w:r>
      <w:r w:rsidR="009B23E3">
        <w:rPr>
          <w:rFonts w:asciiTheme="majorBidi" w:hAnsiTheme="majorBidi" w:cstheme="majorBidi"/>
          <w:sz w:val="24"/>
          <w:szCs w:val="24"/>
        </w:rPr>
        <w:t>r</w:t>
      </w:r>
      <w:r w:rsidR="00243959">
        <w:rPr>
          <w:rFonts w:asciiTheme="majorBidi" w:hAnsiTheme="majorBidi" w:cstheme="majorBidi"/>
          <w:sz w:val="24"/>
          <w:szCs w:val="24"/>
        </w:rPr>
        <w:t>ed</w:t>
      </w:r>
      <w:r w:rsidR="00243959" w:rsidRPr="00012F08">
        <w:rPr>
          <w:rFonts w:asciiTheme="majorBidi" w:hAnsiTheme="majorBidi" w:cstheme="majorBidi"/>
          <w:sz w:val="24"/>
          <w:szCs w:val="24"/>
        </w:rPr>
        <w:t xml:space="preserve"> </w:t>
      </w:r>
      <w:r w:rsidRPr="00012F08">
        <w:rPr>
          <w:rFonts w:asciiTheme="majorBidi" w:hAnsiTheme="majorBidi" w:cstheme="majorBidi"/>
          <w:sz w:val="24"/>
          <w:szCs w:val="24"/>
        </w:rPr>
        <w:t>post-2018</w:t>
      </w:r>
      <w:r w:rsidR="00243959">
        <w:rPr>
          <w:rFonts w:asciiTheme="majorBidi" w:hAnsiTheme="majorBidi" w:cstheme="majorBidi"/>
          <w:sz w:val="24"/>
          <w:szCs w:val="24"/>
        </w:rPr>
        <w:t>.</w:t>
      </w:r>
      <w:r w:rsidR="00243959" w:rsidRPr="00012F08">
        <w:rPr>
          <w:rFonts w:asciiTheme="majorBidi" w:hAnsiTheme="majorBidi" w:cstheme="majorBidi"/>
          <w:sz w:val="24"/>
          <w:szCs w:val="24"/>
        </w:rPr>
        <w:t xml:space="preserve"> </w:t>
      </w:r>
      <w:r w:rsidR="00243959">
        <w:rPr>
          <w:rFonts w:asciiTheme="majorBidi" w:hAnsiTheme="majorBidi" w:cstheme="majorBidi"/>
          <w:sz w:val="24"/>
          <w:szCs w:val="24"/>
        </w:rPr>
        <w:t>C</w:t>
      </w:r>
      <w:r w:rsidR="00243959" w:rsidRPr="00012F08">
        <w:rPr>
          <w:rFonts w:asciiTheme="majorBidi" w:hAnsiTheme="majorBidi" w:cstheme="majorBidi"/>
          <w:sz w:val="24"/>
          <w:szCs w:val="24"/>
        </w:rPr>
        <w:t xml:space="preserve">onnectedness </w:t>
      </w:r>
      <w:r w:rsidR="00243959">
        <w:rPr>
          <w:rFonts w:asciiTheme="majorBidi" w:hAnsiTheme="majorBidi" w:cstheme="majorBidi"/>
          <w:sz w:val="24"/>
          <w:szCs w:val="24"/>
        </w:rPr>
        <w:t>began</w:t>
      </w:r>
      <w:r w:rsidR="00243959"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to trend upward, surpassing 30% and remaining persistently elevated through 2024. This rise aligns with the onset of the U.S.-China trade war, </w:t>
      </w:r>
      <w:r w:rsidR="00243959">
        <w:rPr>
          <w:rFonts w:asciiTheme="majorBidi" w:hAnsiTheme="majorBidi" w:cstheme="majorBidi"/>
          <w:sz w:val="24"/>
          <w:szCs w:val="24"/>
        </w:rPr>
        <w:t xml:space="preserve">the </w:t>
      </w:r>
      <w:r w:rsidRPr="00012F08">
        <w:rPr>
          <w:rFonts w:asciiTheme="majorBidi" w:hAnsiTheme="majorBidi" w:cstheme="majorBidi"/>
          <w:sz w:val="24"/>
          <w:szCs w:val="24"/>
        </w:rPr>
        <w:t>COVID-19 pandemic, and escalating geopolitical tensions</w:t>
      </w:r>
      <w:r w:rsidR="00243959">
        <w:rPr>
          <w:rFonts w:asciiTheme="majorBidi" w:hAnsiTheme="majorBidi" w:cstheme="majorBidi"/>
          <w:sz w:val="24"/>
          <w:szCs w:val="24"/>
        </w:rPr>
        <w:t>. This increase</w:t>
      </w:r>
      <w:r w:rsidR="00243959" w:rsidRPr="00012F08">
        <w:rPr>
          <w:rFonts w:asciiTheme="majorBidi" w:hAnsiTheme="majorBidi" w:cstheme="majorBidi"/>
          <w:sz w:val="24"/>
          <w:szCs w:val="24"/>
        </w:rPr>
        <w:t xml:space="preserve"> </w:t>
      </w:r>
      <w:r w:rsidR="00243959">
        <w:rPr>
          <w:rFonts w:asciiTheme="majorBidi" w:hAnsiTheme="majorBidi" w:cstheme="majorBidi"/>
          <w:sz w:val="24"/>
          <w:szCs w:val="24"/>
        </w:rPr>
        <w:t xml:space="preserve">also </w:t>
      </w:r>
      <w:r w:rsidR="00243959" w:rsidRPr="00012F08">
        <w:rPr>
          <w:rFonts w:asciiTheme="majorBidi" w:hAnsiTheme="majorBidi" w:cstheme="majorBidi"/>
          <w:sz w:val="24"/>
          <w:szCs w:val="24"/>
        </w:rPr>
        <w:t>suggest</w:t>
      </w:r>
      <w:r w:rsidR="00243959">
        <w:rPr>
          <w:rFonts w:asciiTheme="majorBidi" w:hAnsiTheme="majorBidi" w:cstheme="majorBidi"/>
          <w:sz w:val="24"/>
          <w:szCs w:val="24"/>
        </w:rPr>
        <w:t>s</w:t>
      </w:r>
      <w:r w:rsidR="00243959"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that systemic shocks became more synchronized across markets, reducing </w:t>
      </w:r>
      <w:r w:rsidR="00243959">
        <w:rPr>
          <w:rFonts w:asciiTheme="majorBidi" w:hAnsiTheme="majorBidi" w:cstheme="majorBidi"/>
          <w:sz w:val="24"/>
          <w:szCs w:val="24"/>
        </w:rPr>
        <w:t xml:space="preserve">the </w:t>
      </w:r>
      <w:r w:rsidRPr="00012F08">
        <w:rPr>
          <w:rFonts w:asciiTheme="majorBidi" w:hAnsiTheme="majorBidi" w:cstheme="majorBidi"/>
          <w:sz w:val="24"/>
          <w:szCs w:val="24"/>
        </w:rPr>
        <w:t>benefits</w:t>
      </w:r>
      <w:r w:rsidR="00243959">
        <w:rPr>
          <w:rFonts w:asciiTheme="majorBidi" w:hAnsiTheme="majorBidi" w:cstheme="majorBidi"/>
          <w:sz w:val="24"/>
          <w:szCs w:val="24"/>
        </w:rPr>
        <w:t xml:space="preserve"> of </w:t>
      </w:r>
      <w:r w:rsidR="00243959" w:rsidRPr="00012F08">
        <w:rPr>
          <w:rFonts w:asciiTheme="majorBidi" w:hAnsiTheme="majorBidi" w:cstheme="majorBidi"/>
          <w:sz w:val="24"/>
          <w:szCs w:val="24"/>
        </w:rPr>
        <w:t>diversification</w:t>
      </w:r>
      <w:r w:rsidRPr="00012F08">
        <w:rPr>
          <w:rFonts w:asciiTheme="majorBidi" w:hAnsiTheme="majorBidi" w:cstheme="majorBidi"/>
          <w:sz w:val="24"/>
          <w:szCs w:val="24"/>
        </w:rPr>
        <w:t xml:space="preserve">. The persistence of </w:t>
      </w:r>
      <w:r w:rsidR="00243959">
        <w:rPr>
          <w:rFonts w:asciiTheme="majorBidi" w:hAnsiTheme="majorBidi" w:cstheme="majorBidi"/>
          <w:sz w:val="24"/>
          <w:szCs w:val="24"/>
        </w:rPr>
        <w:t>this high degree of</w:t>
      </w:r>
      <w:r w:rsidR="00243959" w:rsidRPr="00012F08">
        <w:rPr>
          <w:rFonts w:asciiTheme="majorBidi" w:hAnsiTheme="majorBidi" w:cstheme="majorBidi"/>
          <w:sz w:val="24"/>
          <w:szCs w:val="24"/>
        </w:rPr>
        <w:t xml:space="preserve"> </w:t>
      </w:r>
      <w:r w:rsidRPr="00012F08">
        <w:rPr>
          <w:rFonts w:asciiTheme="majorBidi" w:hAnsiTheme="majorBidi" w:cstheme="majorBidi"/>
          <w:sz w:val="24"/>
          <w:szCs w:val="24"/>
        </w:rPr>
        <w:t>connectedness post-2020 reflects a new regime of financial fragility dominated by risk spillovers from geopolitical and volatility shocks rather than purely economic fundamentals.</w:t>
      </w:r>
    </w:p>
    <w:p w14:paraId="49688A75" w14:textId="00D770BD" w:rsidR="001D6C3B" w:rsidRPr="00012F08" w:rsidRDefault="001D6C3B" w:rsidP="001D6C3B">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While the dynamic </w:t>
      </w:r>
      <w:r w:rsidR="00A1153D" w:rsidRPr="00012F08">
        <w:rPr>
          <w:rFonts w:asciiTheme="majorBidi" w:hAnsiTheme="majorBidi" w:cstheme="majorBidi"/>
          <w:sz w:val="24"/>
          <w:szCs w:val="24"/>
        </w:rPr>
        <w:t xml:space="preserve">total connectedness </w:t>
      </w:r>
      <w:r w:rsidRPr="00012F08">
        <w:rPr>
          <w:rFonts w:asciiTheme="majorBidi" w:hAnsiTheme="majorBidi" w:cstheme="majorBidi"/>
          <w:sz w:val="24"/>
          <w:szCs w:val="24"/>
        </w:rPr>
        <w:t xml:space="preserve">in </w:t>
      </w:r>
      <w:r w:rsidRPr="00674425">
        <w:rPr>
          <w:rFonts w:asciiTheme="majorBidi" w:hAnsiTheme="majorBidi" w:cstheme="majorBidi"/>
          <w:sz w:val="24"/>
          <w:szCs w:val="24"/>
        </w:rPr>
        <w:t>Figure 3</w:t>
      </w:r>
      <w:r w:rsidRPr="00012F08">
        <w:rPr>
          <w:rFonts w:asciiTheme="majorBidi" w:hAnsiTheme="majorBidi" w:cstheme="majorBidi"/>
          <w:sz w:val="24"/>
          <w:szCs w:val="24"/>
        </w:rPr>
        <w:t xml:space="preserve"> appears to fluctuate within a moderate range over the </w:t>
      </w:r>
      <w:r w:rsidR="00A1153D">
        <w:rPr>
          <w:rFonts w:asciiTheme="majorBidi" w:hAnsiTheme="majorBidi" w:cstheme="majorBidi"/>
          <w:sz w:val="24"/>
          <w:szCs w:val="24"/>
        </w:rPr>
        <w:t>entire</w:t>
      </w:r>
      <w:r w:rsidR="00A1153D" w:rsidRPr="00012F08">
        <w:rPr>
          <w:rFonts w:asciiTheme="majorBidi" w:hAnsiTheme="majorBidi" w:cstheme="majorBidi"/>
          <w:sz w:val="24"/>
          <w:szCs w:val="24"/>
        </w:rPr>
        <w:t xml:space="preserve"> </w:t>
      </w:r>
      <w:r w:rsidRPr="00012F08">
        <w:rPr>
          <w:rFonts w:asciiTheme="majorBidi" w:hAnsiTheme="majorBidi" w:cstheme="majorBidi"/>
          <w:sz w:val="24"/>
          <w:szCs w:val="24"/>
        </w:rPr>
        <w:t>sample, averaging below 30% for long periods, the average connectedness in the post-2018 subperiod (Panel C, Table 3) surges to 90.8%. This apparent discrepancy reflects the smoothing effect of long-term aggregation</w:t>
      </w:r>
      <w:r w:rsidR="00A1153D">
        <w:rPr>
          <w:rFonts w:asciiTheme="majorBidi" w:hAnsiTheme="majorBidi" w:cstheme="majorBidi"/>
          <w:sz w:val="24"/>
          <w:szCs w:val="24"/>
        </w:rPr>
        <w:t xml:space="preserve">. </w:t>
      </w:r>
      <w:r w:rsidR="00A1153D" w:rsidRPr="00012F08">
        <w:rPr>
          <w:rFonts w:asciiTheme="majorBidi" w:hAnsiTheme="majorBidi" w:cstheme="majorBidi"/>
          <w:sz w:val="24"/>
          <w:szCs w:val="24"/>
        </w:rPr>
        <w:t xml:space="preserve"> </w:t>
      </w:r>
      <w:r w:rsidR="00A1153D">
        <w:rPr>
          <w:rFonts w:asciiTheme="majorBidi" w:hAnsiTheme="majorBidi" w:cstheme="majorBidi"/>
          <w:sz w:val="24"/>
          <w:szCs w:val="24"/>
        </w:rPr>
        <w:t>It</w:t>
      </w:r>
      <w:r w:rsidR="00A1153D"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masks recent structural breaks and highlights the importance of subsample analysis </w:t>
      </w:r>
      <w:r w:rsidR="00DA07AF">
        <w:rPr>
          <w:rFonts w:asciiTheme="majorBidi" w:hAnsiTheme="majorBidi" w:cstheme="majorBidi"/>
          <w:sz w:val="24"/>
          <w:szCs w:val="24"/>
        </w:rPr>
        <w:t>for revealing</w:t>
      </w:r>
      <w:r w:rsidRPr="00012F08">
        <w:rPr>
          <w:rFonts w:asciiTheme="majorBidi" w:hAnsiTheme="majorBidi" w:cstheme="majorBidi"/>
          <w:sz w:val="24"/>
          <w:szCs w:val="24"/>
        </w:rPr>
        <w:t xml:space="preserve"> regime shifts in systemic risk.</w:t>
      </w:r>
    </w:p>
    <w:p w14:paraId="36C2583C" w14:textId="640CB708" w:rsidR="001D6C3B" w:rsidRPr="00012F08" w:rsidRDefault="001D6C3B" w:rsidP="001D6C3B">
      <w:pPr>
        <w:bidi w:val="0"/>
        <w:spacing w:line="276" w:lineRule="auto"/>
        <w:jc w:val="both"/>
        <w:rPr>
          <w:rFonts w:asciiTheme="majorBidi" w:hAnsiTheme="majorBidi" w:cstheme="majorBidi"/>
          <w:sz w:val="24"/>
          <w:szCs w:val="24"/>
        </w:rPr>
      </w:pPr>
      <w:r w:rsidRPr="00674425">
        <w:rPr>
          <w:rFonts w:asciiTheme="majorBidi" w:hAnsiTheme="majorBidi" w:cstheme="majorBidi"/>
          <w:sz w:val="24"/>
          <w:szCs w:val="24"/>
        </w:rPr>
        <w:t>Figure 4</w:t>
      </w:r>
      <w:r w:rsidRPr="00012F08">
        <w:rPr>
          <w:rFonts w:asciiTheme="majorBidi" w:hAnsiTheme="majorBidi" w:cstheme="majorBidi"/>
          <w:sz w:val="24"/>
          <w:szCs w:val="24"/>
        </w:rPr>
        <w:t xml:space="preserve"> provides a clear visual contrast between the two subsample periods. During the </w:t>
      </w:r>
      <w:r w:rsidR="00A1153D" w:rsidRPr="00012F08">
        <w:rPr>
          <w:rFonts w:asciiTheme="majorBidi" w:hAnsiTheme="majorBidi" w:cstheme="majorBidi"/>
          <w:sz w:val="24"/>
          <w:szCs w:val="24"/>
        </w:rPr>
        <w:t xml:space="preserve">pre-trade war globalization </w:t>
      </w:r>
      <w:r w:rsidRPr="00012F08">
        <w:rPr>
          <w:rFonts w:asciiTheme="majorBidi" w:hAnsiTheme="majorBidi" w:cstheme="majorBidi"/>
          <w:sz w:val="24"/>
          <w:szCs w:val="24"/>
        </w:rPr>
        <w:t xml:space="preserve">period (1993–2017), dynamic total connectedness (TCI) remained relatively low and stable, fluctuating mostly between 15% and 25%, with a gradual decline over time. This </w:t>
      </w:r>
      <w:r w:rsidR="00A1153D">
        <w:rPr>
          <w:rFonts w:asciiTheme="majorBidi" w:hAnsiTheme="majorBidi" w:cstheme="majorBidi"/>
          <w:sz w:val="24"/>
          <w:szCs w:val="24"/>
        </w:rPr>
        <w:t xml:space="preserve">statistic </w:t>
      </w:r>
      <w:r w:rsidRPr="00012F08">
        <w:rPr>
          <w:rFonts w:asciiTheme="majorBidi" w:hAnsiTheme="majorBidi" w:cstheme="majorBidi"/>
          <w:sz w:val="24"/>
          <w:szCs w:val="24"/>
        </w:rPr>
        <w:t xml:space="preserve">suggests that </w:t>
      </w:r>
      <w:r w:rsidR="00DA07AF">
        <w:rPr>
          <w:rFonts w:asciiTheme="majorBidi" w:hAnsiTheme="majorBidi" w:cstheme="majorBidi"/>
          <w:sz w:val="24"/>
          <w:szCs w:val="24"/>
        </w:rPr>
        <w:t xml:space="preserve">the </w:t>
      </w:r>
      <w:r w:rsidRPr="00012F08">
        <w:rPr>
          <w:rFonts w:asciiTheme="majorBidi" w:hAnsiTheme="majorBidi" w:cstheme="majorBidi"/>
          <w:sz w:val="24"/>
          <w:szCs w:val="24"/>
        </w:rPr>
        <w:t xml:space="preserve">transmission </w:t>
      </w:r>
      <w:r w:rsidR="00A1153D">
        <w:rPr>
          <w:rFonts w:asciiTheme="majorBidi" w:hAnsiTheme="majorBidi" w:cstheme="majorBidi"/>
          <w:sz w:val="24"/>
          <w:szCs w:val="24"/>
        </w:rPr>
        <w:t xml:space="preserve">of </w:t>
      </w:r>
      <w:r w:rsidR="00A1153D" w:rsidRPr="00012F08">
        <w:rPr>
          <w:rFonts w:asciiTheme="majorBidi" w:hAnsiTheme="majorBidi" w:cstheme="majorBidi"/>
          <w:sz w:val="24"/>
          <w:szCs w:val="24"/>
        </w:rPr>
        <w:t xml:space="preserve">systemic risk </w:t>
      </w:r>
      <w:r w:rsidRPr="00012F08">
        <w:rPr>
          <w:rFonts w:asciiTheme="majorBidi" w:hAnsiTheme="majorBidi" w:cstheme="majorBidi"/>
          <w:sz w:val="24"/>
          <w:szCs w:val="24"/>
        </w:rPr>
        <w:t>was moderate and largely driven by market fundamentals in a relatively tranquil geopolitical environment.</w:t>
      </w:r>
    </w:p>
    <w:p w14:paraId="58BFC020" w14:textId="3C654B99" w:rsidR="001D6C3B" w:rsidRPr="00012F08" w:rsidRDefault="001D6C3B" w:rsidP="001D6C3B">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In sharp contrast, </w:t>
      </w:r>
      <w:r w:rsidR="00FD3CA8">
        <w:rPr>
          <w:rFonts w:asciiTheme="majorBidi" w:hAnsiTheme="majorBidi" w:cstheme="majorBidi"/>
          <w:sz w:val="24"/>
          <w:szCs w:val="24"/>
        </w:rPr>
        <w:t xml:space="preserve">during </w:t>
      </w:r>
      <w:r w:rsidRPr="00012F08">
        <w:rPr>
          <w:rFonts w:asciiTheme="majorBidi" w:hAnsiTheme="majorBidi" w:cstheme="majorBidi"/>
          <w:sz w:val="24"/>
          <w:szCs w:val="24"/>
        </w:rPr>
        <w:t xml:space="preserve">the </w:t>
      </w:r>
      <w:r w:rsidR="00A1153D" w:rsidRPr="00012F08">
        <w:rPr>
          <w:rFonts w:asciiTheme="majorBidi" w:hAnsiTheme="majorBidi" w:cstheme="majorBidi"/>
          <w:sz w:val="24"/>
          <w:szCs w:val="24"/>
        </w:rPr>
        <w:t xml:space="preserve">trade war and post-pandemic period </w:t>
      </w:r>
      <w:r w:rsidRPr="00012F08">
        <w:rPr>
          <w:rFonts w:asciiTheme="majorBidi" w:hAnsiTheme="majorBidi" w:cstheme="majorBidi"/>
          <w:sz w:val="24"/>
          <w:szCs w:val="24"/>
        </w:rPr>
        <w:t xml:space="preserve">(2018–2024) </w:t>
      </w:r>
      <w:r w:rsidR="00FD3CA8">
        <w:rPr>
          <w:rFonts w:asciiTheme="majorBidi" w:hAnsiTheme="majorBidi" w:cstheme="majorBidi"/>
          <w:sz w:val="24"/>
          <w:szCs w:val="24"/>
        </w:rPr>
        <w:t xml:space="preserve">there was </w:t>
      </w:r>
      <w:r w:rsidRPr="00012F08">
        <w:rPr>
          <w:rFonts w:asciiTheme="majorBidi" w:hAnsiTheme="majorBidi" w:cstheme="majorBidi"/>
          <w:sz w:val="24"/>
          <w:szCs w:val="24"/>
        </w:rPr>
        <w:t xml:space="preserve">a sustained surge in </w:t>
      </w:r>
      <w:r w:rsidR="00A1153D">
        <w:rPr>
          <w:rFonts w:asciiTheme="majorBidi" w:hAnsiTheme="majorBidi" w:cstheme="majorBidi"/>
          <w:sz w:val="24"/>
          <w:szCs w:val="24"/>
        </w:rPr>
        <w:t xml:space="preserve">the </w:t>
      </w:r>
      <w:r w:rsidRPr="00012F08">
        <w:rPr>
          <w:rFonts w:asciiTheme="majorBidi" w:hAnsiTheme="majorBidi" w:cstheme="majorBidi"/>
          <w:sz w:val="24"/>
          <w:szCs w:val="24"/>
        </w:rPr>
        <w:t>TCI, with values consistently exceeding 80% and peaking near 100% in early 2018 and mid-2020. These peaks align with key geopolitical stress points such as the escalation of U.S.-China trade tensions and the onset of the COVID-19 pandemic. This shift is also reflected in the average TCI values reported in Table 3, Panel C (90.8%) compared to Panel B (23.77%), confirming a structural break in systemic connectedness.</w:t>
      </w:r>
    </w:p>
    <w:p w14:paraId="3953F10A" w14:textId="7208EE61" w:rsidR="001D6C3B" w:rsidRPr="00012F08" w:rsidRDefault="001D6C3B" w:rsidP="001D6C3B">
      <w:pPr>
        <w:bidi w:val="0"/>
        <w:spacing w:line="276" w:lineRule="auto"/>
        <w:jc w:val="both"/>
        <w:rPr>
          <w:rFonts w:asciiTheme="majorBidi" w:hAnsiTheme="majorBidi" w:cstheme="majorBidi"/>
          <w:sz w:val="24"/>
          <w:szCs w:val="24"/>
        </w:rPr>
      </w:pPr>
      <w:r w:rsidRPr="00674425">
        <w:rPr>
          <w:rFonts w:asciiTheme="majorBidi" w:hAnsiTheme="majorBidi" w:cstheme="majorBidi"/>
          <w:sz w:val="24"/>
          <w:szCs w:val="24"/>
        </w:rPr>
        <w:t>Figure 5</w:t>
      </w:r>
      <w:r w:rsidR="003B30E2" w:rsidRPr="00674425">
        <w:rPr>
          <w:rFonts w:asciiTheme="majorBidi" w:hAnsiTheme="majorBidi" w:cstheme="majorBidi"/>
          <w:sz w:val="24"/>
          <w:szCs w:val="24"/>
        </w:rPr>
        <w:t>,</w:t>
      </w:r>
      <w:r w:rsidR="003B30E2" w:rsidRPr="00A1153D">
        <w:rPr>
          <w:rFonts w:asciiTheme="majorBidi" w:hAnsiTheme="majorBidi" w:cstheme="majorBidi"/>
          <w:sz w:val="24"/>
          <w:szCs w:val="24"/>
        </w:rPr>
        <w:t xml:space="preserve"> </w:t>
      </w:r>
      <w:r w:rsidR="003B30E2" w:rsidRPr="00674425">
        <w:rPr>
          <w:rFonts w:asciiTheme="majorBidi" w:hAnsiTheme="majorBidi" w:cstheme="majorBidi"/>
          <w:sz w:val="24"/>
          <w:szCs w:val="24"/>
        </w:rPr>
        <w:t>Figure 6</w:t>
      </w:r>
      <w:r w:rsidR="00A1153D">
        <w:rPr>
          <w:rFonts w:asciiTheme="majorBidi" w:hAnsiTheme="majorBidi" w:cstheme="majorBidi"/>
          <w:sz w:val="24"/>
          <w:szCs w:val="24"/>
        </w:rPr>
        <w:t>,</w:t>
      </w:r>
      <w:r w:rsidR="003B30E2" w:rsidRPr="00A1153D">
        <w:rPr>
          <w:rFonts w:asciiTheme="majorBidi" w:hAnsiTheme="majorBidi" w:cstheme="majorBidi"/>
          <w:sz w:val="24"/>
          <w:szCs w:val="24"/>
        </w:rPr>
        <w:t xml:space="preserve"> and </w:t>
      </w:r>
      <w:r w:rsidR="003B30E2" w:rsidRPr="00674425">
        <w:rPr>
          <w:rFonts w:asciiTheme="majorBidi" w:hAnsiTheme="majorBidi" w:cstheme="majorBidi"/>
          <w:sz w:val="24"/>
          <w:szCs w:val="24"/>
        </w:rPr>
        <w:t xml:space="preserve">Figure </w:t>
      </w:r>
      <w:r w:rsidRPr="00674425">
        <w:rPr>
          <w:rFonts w:asciiTheme="majorBidi" w:hAnsiTheme="majorBidi" w:cstheme="majorBidi"/>
          <w:sz w:val="24"/>
          <w:szCs w:val="24"/>
        </w:rPr>
        <w:t>7</w:t>
      </w:r>
      <w:r w:rsidRPr="00012F08">
        <w:rPr>
          <w:rFonts w:asciiTheme="majorBidi" w:hAnsiTheme="majorBidi" w:cstheme="majorBidi"/>
          <w:sz w:val="24"/>
          <w:szCs w:val="24"/>
        </w:rPr>
        <w:t xml:space="preserve"> provide a comprehensive view of the evolution of  </w:t>
      </w:r>
      <w:r w:rsidR="00A1153D">
        <w:rPr>
          <w:rFonts w:asciiTheme="majorBidi" w:hAnsiTheme="majorBidi" w:cstheme="majorBidi"/>
          <w:sz w:val="24"/>
          <w:szCs w:val="24"/>
        </w:rPr>
        <w:t xml:space="preserve">the </w:t>
      </w:r>
      <w:r w:rsidRPr="00012F08">
        <w:rPr>
          <w:rFonts w:asciiTheme="majorBidi" w:hAnsiTheme="majorBidi" w:cstheme="majorBidi"/>
          <w:sz w:val="24"/>
          <w:szCs w:val="24"/>
        </w:rPr>
        <w:t xml:space="preserve">roles </w:t>
      </w:r>
      <w:r w:rsidR="00A1153D">
        <w:rPr>
          <w:rFonts w:asciiTheme="majorBidi" w:hAnsiTheme="majorBidi" w:cstheme="majorBidi"/>
          <w:sz w:val="24"/>
          <w:szCs w:val="24"/>
        </w:rPr>
        <w:t>that</w:t>
      </w:r>
      <w:r w:rsidR="00A1153D"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each variable </w:t>
      </w:r>
      <w:r w:rsidR="00A1153D">
        <w:rPr>
          <w:rFonts w:asciiTheme="majorBidi" w:hAnsiTheme="majorBidi" w:cstheme="majorBidi"/>
          <w:sz w:val="24"/>
          <w:szCs w:val="24"/>
        </w:rPr>
        <w:t>played in net connectedness during</w:t>
      </w:r>
      <w:r w:rsidR="00A1153D"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the </w:t>
      </w:r>
      <w:r w:rsidR="00A1153D">
        <w:rPr>
          <w:rFonts w:asciiTheme="majorBidi" w:hAnsiTheme="majorBidi" w:cstheme="majorBidi"/>
          <w:sz w:val="24"/>
          <w:szCs w:val="24"/>
        </w:rPr>
        <w:t>entire</w:t>
      </w:r>
      <w:r w:rsidR="00A1153D" w:rsidRPr="00012F08">
        <w:rPr>
          <w:rFonts w:asciiTheme="majorBidi" w:hAnsiTheme="majorBidi" w:cstheme="majorBidi"/>
          <w:sz w:val="24"/>
          <w:szCs w:val="24"/>
        </w:rPr>
        <w:t xml:space="preserve"> </w:t>
      </w:r>
      <w:r w:rsidRPr="00012F08">
        <w:rPr>
          <w:rFonts w:asciiTheme="majorBidi" w:hAnsiTheme="majorBidi" w:cstheme="majorBidi"/>
          <w:sz w:val="24"/>
          <w:szCs w:val="24"/>
        </w:rPr>
        <w:t>sample period (1993–2024) and the two subperiods</w:t>
      </w:r>
      <w:r w:rsidR="00B75553">
        <w:rPr>
          <w:rFonts w:asciiTheme="majorBidi" w:hAnsiTheme="majorBidi" w:cstheme="majorBidi"/>
          <w:sz w:val="24"/>
          <w:szCs w:val="24"/>
        </w:rPr>
        <w:t>, respectively</w:t>
      </w:r>
      <w:r w:rsidRPr="00012F08">
        <w:rPr>
          <w:rFonts w:asciiTheme="majorBidi" w:hAnsiTheme="majorBidi" w:cstheme="majorBidi"/>
          <w:sz w:val="24"/>
          <w:szCs w:val="24"/>
        </w:rPr>
        <w:t xml:space="preserve">. These figures offer critical insights into how </w:t>
      </w:r>
      <w:r w:rsidR="00A1153D">
        <w:rPr>
          <w:rFonts w:asciiTheme="majorBidi" w:hAnsiTheme="majorBidi" w:cstheme="majorBidi"/>
          <w:sz w:val="24"/>
          <w:szCs w:val="24"/>
        </w:rPr>
        <w:t xml:space="preserve">the </w:t>
      </w:r>
      <w:r w:rsidRPr="00012F08">
        <w:rPr>
          <w:rFonts w:asciiTheme="majorBidi" w:hAnsiTheme="majorBidi" w:cstheme="majorBidi"/>
          <w:sz w:val="24"/>
          <w:szCs w:val="24"/>
        </w:rPr>
        <w:t>systemic roles</w:t>
      </w:r>
      <w:r w:rsidR="00A1153D">
        <w:rPr>
          <w:rFonts w:asciiTheme="majorBidi" w:hAnsiTheme="majorBidi" w:cstheme="majorBidi"/>
          <w:sz w:val="24"/>
          <w:szCs w:val="24"/>
        </w:rPr>
        <w:t xml:space="preserve"> of these variables</w:t>
      </w:r>
      <w:r w:rsidRPr="00012F08">
        <w:rPr>
          <w:rFonts w:asciiTheme="majorBidi" w:hAnsiTheme="majorBidi" w:cstheme="majorBidi"/>
          <w:sz w:val="24"/>
          <w:szCs w:val="24"/>
        </w:rPr>
        <w:t xml:space="preserve"> shift</w:t>
      </w:r>
      <w:r w:rsidR="00A1153D">
        <w:rPr>
          <w:rFonts w:asciiTheme="majorBidi" w:hAnsiTheme="majorBidi" w:cstheme="majorBidi"/>
          <w:sz w:val="24"/>
          <w:szCs w:val="24"/>
        </w:rPr>
        <w:t>ed</w:t>
      </w:r>
      <w:r w:rsidRPr="00012F08">
        <w:rPr>
          <w:rFonts w:asciiTheme="majorBidi" w:hAnsiTheme="majorBidi" w:cstheme="majorBidi"/>
          <w:sz w:val="24"/>
          <w:szCs w:val="24"/>
        </w:rPr>
        <w:t xml:space="preserve"> </w:t>
      </w:r>
      <w:r w:rsidR="00A1153D">
        <w:rPr>
          <w:rFonts w:asciiTheme="majorBidi" w:hAnsiTheme="majorBidi" w:cstheme="majorBidi"/>
          <w:sz w:val="24"/>
          <w:szCs w:val="24"/>
        </w:rPr>
        <w:t>over</w:t>
      </w:r>
      <w:r w:rsidR="00A1153D" w:rsidRPr="00012F08">
        <w:rPr>
          <w:rFonts w:asciiTheme="majorBidi" w:hAnsiTheme="majorBidi" w:cstheme="majorBidi"/>
          <w:sz w:val="24"/>
          <w:szCs w:val="24"/>
        </w:rPr>
        <w:t xml:space="preserve"> </w:t>
      </w:r>
      <w:r w:rsidRPr="00012F08">
        <w:rPr>
          <w:rFonts w:asciiTheme="majorBidi" w:hAnsiTheme="majorBidi" w:cstheme="majorBidi"/>
          <w:sz w:val="24"/>
          <w:szCs w:val="24"/>
        </w:rPr>
        <w:t>time and regimes, particularly in response to geopolitical disruptions such as the U.S.–China trade war and the COVID-19 pandemic.</w:t>
      </w:r>
    </w:p>
    <w:p w14:paraId="6452DD1B" w14:textId="2F76806B" w:rsidR="001D6C3B" w:rsidRPr="00012F08" w:rsidRDefault="001D6C3B" w:rsidP="001D6C3B">
      <w:pPr>
        <w:bidi w:val="0"/>
        <w:spacing w:line="276" w:lineRule="auto"/>
        <w:jc w:val="both"/>
        <w:rPr>
          <w:rFonts w:asciiTheme="majorBidi" w:hAnsiTheme="majorBidi" w:cstheme="majorBidi"/>
          <w:sz w:val="24"/>
          <w:szCs w:val="24"/>
        </w:rPr>
      </w:pPr>
      <w:r w:rsidRPr="00674425">
        <w:rPr>
          <w:rFonts w:asciiTheme="majorBidi" w:hAnsiTheme="majorBidi" w:cstheme="majorBidi"/>
          <w:sz w:val="24"/>
          <w:szCs w:val="24"/>
        </w:rPr>
        <w:t>Figure 5</w:t>
      </w:r>
      <w:r w:rsidRPr="00A1153D">
        <w:rPr>
          <w:rFonts w:asciiTheme="majorBidi" w:hAnsiTheme="majorBidi" w:cstheme="majorBidi"/>
          <w:sz w:val="24"/>
          <w:szCs w:val="24"/>
        </w:rPr>
        <w:t>,</w:t>
      </w:r>
      <w:r w:rsidRPr="00012F08">
        <w:rPr>
          <w:rFonts w:asciiTheme="majorBidi" w:hAnsiTheme="majorBidi" w:cstheme="majorBidi"/>
          <w:sz w:val="24"/>
          <w:szCs w:val="24"/>
        </w:rPr>
        <w:t xml:space="preserve"> which displays the dynamic net connectedness </w:t>
      </w:r>
      <w:r w:rsidR="00B75553">
        <w:rPr>
          <w:rFonts w:asciiTheme="majorBidi" w:hAnsiTheme="majorBidi" w:cstheme="majorBidi"/>
          <w:sz w:val="24"/>
          <w:szCs w:val="24"/>
        </w:rPr>
        <w:t>for the entire</w:t>
      </w:r>
      <w:r w:rsidRPr="00012F08">
        <w:rPr>
          <w:rFonts w:asciiTheme="majorBidi" w:hAnsiTheme="majorBidi" w:cstheme="majorBidi"/>
          <w:sz w:val="24"/>
          <w:szCs w:val="24"/>
        </w:rPr>
        <w:t xml:space="preserve"> sample, reveals distinct patterns across assets. Notably, the S&amp;P 500 and </w:t>
      </w:r>
      <w:r w:rsidR="00B21570">
        <w:rPr>
          <w:rFonts w:asciiTheme="majorBidi" w:hAnsiTheme="majorBidi" w:cstheme="majorBidi"/>
          <w:sz w:val="24"/>
          <w:szCs w:val="24"/>
        </w:rPr>
        <w:t>g</w:t>
      </w:r>
      <w:r w:rsidR="00B21570" w:rsidRPr="00012F08">
        <w:rPr>
          <w:rFonts w:asciiTheme="majorBidi" w:hAnsiTheme="majorBidi" w:cstheme="majorBidi"/>
          <w:sz w:val="24"/>
          <w:szCs w:val="24"/>
        </w:rPr>
        <w:t xml:space="preserve">old </w:t>
      </w:r>
      <w:r w:rsidR="00B21570">
        <w:rPr>
          <w:rFonts w:asciiTheme="majorBidi" w:hAnsiTheme="majorBidi" w:cstheme="majorBidi"/>
          <w:sz w:val="24"/>
          <w:szCs w:val="24"/>
        </w:rPr>
        <w:t>were</w:t>
      </w:r>
      <w:r w:rsidR="00B21570" w:rsidRPr="00012F08">
        <w:rPr>
          <w:rFonts w:asciiTheme="majorBidi" w:hAnsiTheme="majorBidi" w:cstheme="majorBidi"/>
          <w:sz w:val="24"/>
          <w:szCs w:val="24"/>
        </w:rPr>
        <w:t xml:space="preserve"> </w:t>
      </w:r>
      <w:r w:rsidRPr="00012F08">
        <w:rPr>
          <w:rFonts w:asciiTheme="majorBidi" w:hAnsiTheme="majorBidi" w:cstheme="majorBidi"/>
          <w:sz w:val="24"/>
          <w:szCs w:val="24"/>
        </w:rPr>
        <w:t>consistently positive in the earlier part of the sample</w:t>
      </w:r>
      <w:r w:rsidR="00B75553">
        <w:rPr>
          <w:rFonts w:asciiTheme="majorBidi" w:hAnsiTheme="majorBidi" w:cstheme="majorBidi"/>
          <w:sz w:val="24"/>
          <w:szCs w:val="24"/>
        </w:rPr>
        <w:t>. They</w:t>
      </w:r>
      <w:r w:rsidR="00B75553" w:rsidRPr="00012F08">
        <w:rPr>
          <w:rFonts w:asciiTheme="majorBidi" w:hAnsiTheme="majorBidi" w:cstheme="majorBidi"/>
          <w:sz w:val="24"/>
          <w:szCs w:val="24"/>
        </w:rPr>
        <w:t xml:space="preserve"> serv</w:t>
      </w:r>
      <w:r w:rsidR="00B75553">
        <w:rPr>
          <w:rFonts w:asciiTheme="majorBidi" w:hAnsiTheme="majorBidi" w:cstheme="majorBidi"/>
          <w:sz w:val="24"/>
          <w:szCs w:val="24"/>
        </w:rPr>
        <w:t>ed</w:t>
      </w:r>
      <w:r w:rsidR="00B75553"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as net transmitters of shocks, particularly during episodes of market-driven turbulence in the 1990s. By contrast, China, </w:t>
      </w:r>
      <w:r w:rsidR="00B21570">
        <w:rPr>
          <w:rFonts w:asciiTheme="majorBidi" w:hAnsiTheme="majorBidi" w:cstheme="majorBidi"/>
          <w:sz w:val="24"/>
          <w:szCs w:val="24"/>
        </w:rPr>
        <w:t>o</w:t>
      </w:r>
      <w:r w:rsidR="00B21570" w:rsidRPr="00012F08">
        <w:rPr>
          <w:rFonts w:asciiTheme="majorBidi" w:hAnsiTheme="majorBidi" w:cstheme="majorBidi"/>
          <w:sz w:val="24"/>
          <w:szCs w:val="24"/>
        </w:rPr>
        <w:t>il</w:t>
      </w:r>
      <w:r w:rsidRPr="00012F08">
        <w:rPr>
          <w:rFonts w:asciiTheme="majorBidi" w:hAnsiTheme="majorBidi" w:cstheme="majorBidi"/>
          <w:sz w:val="24"/>
          <w:szCs w:val="24"/>
        </w:rPr>
        <w:t>, and USD/CNY often act</w:t>
      </w:r>
      <w:r w:rsidR="00B21570">
        <w:rPr>
          <w:rFonts w:asciiTheme="majorBidi" w:hAnsiTheme="majorBidi" w:cstheme="majorBidi"/>
          <w:sz w:val="24"/>
          <w:szCs w:val="24"/>
        </w:rPr>
        <w:t>ed</w:t>
      </w:r>
      <w:r w:rsidRPr="00012F08">
        <w:rPr>
          <w:rFonts w:asciiTheme="majorBidi" w:hAnsiTheme="majorBidi" w:cstheme="majorBidi"/>
          <w:sz w:val="24"/>
          <w:szCs w:val="24"/>
        </w:rPr>
        <w:t xml:space="preserve"> as net receivers, absorbing systemic volatility rather than initiating it. The VIX index </w:t>
      </w:r>
      <w:r w:rsidR="00B21570" w:rsidRPr="00012F08">
        <w:rPr>
          <w:rFonts w:asciiTheme="majorBidi" w:hAnsiTheme="majorBidi" w:cstheme="majorBidi"/>
          <w:sz w:val="24"/>
          <w:szCs w:val="24"/>
        </w:rPr>
        <w:t>remain</w:t>
      </w:r>
      <w:r w:rsidR="00B21570">
        <w:rPr>
          <w:rFonts w:asciiTheme="majorBidi" w:hAnsiTheme="majorBidi" w:cstheme="majorBidi"/>
          <w:sz w:val="24"/>
          <w:szCs w:val="24"/>
        </w:rPr>
        <w:t>ed</w:t>
      </w:r>
      <w:r w:rsidR="00B21570" w:rsidRPr="00012F08">
        <w:rPr>
          <w:rFonts w:asciiTheme="majorBidi" w:hAnsiTheme="majorBidi" w:cstheme="majorBidi"/>
          <w:sz w:val="24"/>
          <w:szCs w:val="24"/>
        </w:rPr>
        <w:t xml:space="preserve"> </w:t>
      </w:r>
      <w:r w:rsidR="00B21570">
        <w:rPr>
          <w:rFonts w:asciiTheme="majorBidi" w:hAnsiTheme="majorBidi" w:cstheme="majorBidi"/>
          <w:sz w:val="24"/>
          <w:szCs w:val="24"/>
        </w:rPr>
        <w:t>primarily</w:t>
      </w:r>
      <w:r w:rsidR="00B21570"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a net recipient over time, consistent with its role as a reflection of market uncertainty rather than an originator of shocks. The UCT index, representing U.S.–China tensions, </w:t>
      </w:r>
      <w:r w:rsidR="00B21570" w:rsidRPr="00012F08">
        <w:rPr>
          <w:rFonts w:asciiTheme="majorBidi" w:hAnsiTheme="majorBidi" w:cstheme="majorBidi"/>
          <w:sz w:val="24"/>
          <w:szCs w:val="24"/>
        </w:rPr>
        <w:t>play</w:t>
      </w:r>
      <w:r w:rsidR="00B21570">
        <w:rPr>
          <w:rFonts w:asciiTheme="majorBidi" w:hAnsiTheme="majorBidi" w:cstheme="majorBidi"/>
          <w:sz w:val="24"/>
          <w:szCs w:val="24"/>
        </w:rPr>
        <w:t>ed</w:t>
      </w:r>
      <w:r w:rsidR="00B21570"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a relatively marginal role during the earlier decades, exhibiting </w:t>
      </w:r>
      <w:r w:rsidR="00B21570">
        <w:rPr>
          <w:rFonts w:asciiTheme="majorBidi" w:hAnsiTheme="majorBidi" w:cstheme="majorBidi"/>
          <w:sz w:val="24"/>
          <w:szCs w:val="24"/>
        </w:rPr>
        <w:t>little</w:t>
      </w:r>
      <w:r w:rsidR="00B21570" w:rsidRPr="00012F08">
        <w:rPr>
          <w:rFonts w:asciiTheme="majorBidi" w:hAnsiTheme="majorBidi" w:cstheme="majorBidi"/>
          <w:sz w:val="24"/>
          <w:szCs w:val="24"/>
        </w:rPr>
        <w:t xml:space="preserve"> </w:t>
      </w:r>
      <w:r w:rsidRPr="00012F08">
        <w:rPr>
          <w:rFonts w:asciiTheme="majorBidi" w:hAnsiTheme="majorBidi" w:cstheme="majorBidi"/>
          <w:sz w:val="24"/>
          <w:szCs w:val="24"/>
        </w:rPr>
        <w:t>net connectedness until the late 2010s.</w:t>
      </w:r>
    </w:p>
    <w:p w14:paraId="59F931CB" w14:textId="36E734B1" w:rsidR="001D6C3B" w:rsidRPr="00012F08" w:rsidRDefault="001D6C3B" w:rsidP="001D6C3B">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This structural stability shifts sharply in </w:t>
      </w:r>
      <w:r w:rsidRPr="00674425">
        <w:rPr>
          <w:rFonts w:asciiTheme="majorBidi" w:hAnsiTheme="majorBidi" w:cstheme="majorBidi"/>
          <w:sz w:val="24"/>
          <w:szCs w:val="24"/>
        </w:rPr>
        <w:t>Figure 6</w:t>
      </w:r>
      <w:r w:rsidRPr="00012F08">
        <w:rPr>
          <w:rFonts w:asciiTheme="majorBidi" w:hAnsiTheme="majorBidi" w:cstheme="majorBidi"/>
          <w:sz w:val="24"/>
          <w:szCs w:val="24"/>
        </w:rPr>
        <w:t>, which isolates the pre-trade war globalization period (1993–2017). During this era of declining geopolitical frictions and increasing financial integration, market fundamentals dominate</w:t>
      </w:r>
      <w:r w:rsidR="00B21570">
        <w:rPr>
          <w:rFonts w:asciiTheme="majorBidi" w:hAnsiTheme="majorBidi" w:cstheme="majorBidi"/>
          <w:sz w:val="24"/>
          <w:szCs w:val="24"/>
        </w:rPr>
        <w:t>d</w:t>
      </w:r>
      <w:r w:rsidRPr="00012F08">
        <w:rPr>
          <w:rFonts w:asciiTheme="majorBidi" w:hAnsiTheme="majorBidi" w:cstheme="majorBidi"/>
          <w:sz w:val="24"/>
          <w:szCs w:val="24"/>
        </w:rPr>
        <w:t xml:space="preserve"> systemic risk propagation. The S&amp;P 500, </w:t>
      </w:r>
      <w:r w:rsidR="00B21570">
        <w:rPr>
          <w:rFonts w:asciiTheme="majorBidi" w:hAnsiTheme="majorBidi" w:cstheme="majorBidi"/>
          <w:sz w:val="24"/>
          <w:szCs w:val="24"/>
        </w:rPr>
        <w:t>g</w:t>
      </w:r>
      <w:r w:rsidR="00B21570" w:rsidRPr="00012F08">
        <w:rPr>
          <w:rFonts w:asciiTheme="majorBidi" w:hAnsiTheme="majorBidi" w:cstheme="majorBidi"/>
          <w:sz w:val="24"/>
          <w:szCs w:val="24"/>
        </w:rPr>
        <w:t>old</w:t>
      </w:r>
      <w:r w:rsidRPr="00012F08">
        <w:rPr>
          <w:rFonts w:asciiTheme="majorBidi" w:hAnsiTheme="majorBidi" w:cstheme="majorBidi"/>
          <w:sz w:val="24"/>
          <w:szCs w:val="24"/>
        </w:rPr>
        <w:t xml:space="preserve">, and VIX </w:t>
      </w:r>
      <w:r w:rsidR="00B21570">
        <w:rPr>
          <w:rFonts w:asciiTheme="majorBidi" w:hAnsiTheme="majorBidi" w:cstheme="majorBidi"/>
          <w:sz w:val="24"/>
          <w:szCs w:val="24"/>
        </w:rPr>
        <w:t>were</w:t>
      </w:r>
      <w:r w:rsidRPr="00012F08">
        <w:rPr>
          <w:rFonts w:asciiTheme="majorBidi" w:hAnsiTheme="majorBidi" w:cstheme="majorBidi"/>
          <w:sz w:val="24"/>
          <w:szCs w:val="24"/>
        </w:rPr>
        <w:t xml:space="preserve"> the primary net transmitters, particularly in the earlier years (1993–2000), supporting the interpretation that risk dynamics were largely market-driven. Meanwhile, </w:t>
      </w:r>
      <w:r w:rsidR="00B21570">
        <w:rPr>
          <w:rFonts w:asciiTheme="majorBidi" w:hAnsiTheme="majorBidi" w:cstheme="majorBidi"/>
          <w:sz w:val="24"/>
          <w:szCs w:val="24"/>
        </w:rPr>
        <w:t xml:space="preserve">the </w:t>
      </w:r>
      <w:r w:rsidRPr="00012F08">
        <w:rPr>
          <w:rFonts w:asciiTheme="majorBidi" w:hAnsiTheme="majorBidi" w:cstheme="majorBidi"/>
          <w:sz w:val="24"/>
          <w:szCs w:val="24"/>
        </w:rPr>
        <w:t xml:space="preserve">UCT </w:t>
      </w:r>
      <w:r w:rsidR="00B21570" w:rsidRPr="00012F08">
        <w:rPr>
          <w:rFonts w:asciiTheme="majorBidi" w:hAnsiTheme="majorBidi" w:cstheme="majorBidi"/>
          <w:sz w:val="24"/>
          <w:szCs w:val="24"/>
        </w:rPr>
        <w:t>remain</w:t>
      </w:r>
      <w:r w:rsidR="00B21570">
        <w:rPr>
          <w:rFonts w:asciiTheme="majorBidi" w:hAnsiTheme="majorBidi" w:cstheme="majorBidi"/>
          <w:sz w:val="24"/>
          <w:szCs w:val="24"/>
        </w:rPr>
        <w:t>ed</w:t>
      </w:r>
      <w:r w:rsidR="00B21570"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largely passive, confirming that </w:t>
      </w:r>
      <w:r w:rsidR="003B30E2" w:rsidRPr="00012F08">
        <w:rPr>
          <w:rFonts w:asciiTheme="majorBidi" w:hAnsiTheme="majorBidi" w:cstheme="majorBidi"/>
          <w:sz w:val="24"/>
          <w:szCs w:val="24"/>
        </w:rPr>
        <w:t>the</w:t>
      </w:r>
      <w:r w:rsidRPr="00012F08">
        <w:rPr>
          <w:rFonts w:asciiTheme="majorBidi" w:hAnsiTheme="majorBidi" w:cstheme="majorBidi"/>
          <w:sz w:val="24"/>
          <w:szCs w:val="24"/>
        </w:rPr>
        <w:t xml:space="preserve"> tensions did not constitute a primary channel of systemic financial stress during this time.</w:t>
      </w:r>
    </w:p>
    <w:p w14:paraId="47F8228B" w14:textId="021D3FE7" w:rsidR="001D6C3B" w:rsidRPr="00012F08" w:rsidRDefault="001D6C3B" w:rsidP="001D6C3B">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However, </w:t>
      </w:r>
      <w:r w:rsidRPr="00674425">
        <w:rPr>
          <w:rFonts w:asciiTheme="majorBidi" w:hAnsiTheme="majorBidi" w:cstheme="majorBidi"/>
          <w:sz w:val="24"/>
          <w:szCs w:val="24"/>
        </w:rPr>
        <w:t>Figure 7</w:t>
      </w:r>
      <w:r w:rsidR="00B21570">
        <w:rPr>
          <w:rFonts w:asciiTheme="majorBidi" w:hAnsiTheme="majorBidi" w:cstheme="majorBidi"/>
          <w:sz w:val="24"/>
          <w:szCs w:val="24"/>
        </w:rPr>
        <w:t>,</w:t>
      </w:r>
      <w:r w:rsidR="003B30E2" w:rsidRPr="00012F08">
        <w:rPr>
          <w:rFonts w:asciiTheme="majorBidi" w:hAnsiTheme="majorBidi" w:cstheme="majorBidi"/>
          <w:sz w:val="24"/>
          <w:szCs w:val="24"/>
        </w:rPr>
        <w:t xml:space="preserve"> which </w:t>
      </w:r>
      <w:r w:rsidR="00B21570" w:rsidRPr="00012F08">
        <w:rPr>
          <w:rFonts w:asciiTheme="majorBidi" w:hAnsiTheme="majorBidi" w:cstheme="majorBidi"/>
          <w:sz w:val="24"/>
          <w:szCs w:val="24"/>
        </w:rPr>
        <w:t>focus</w:t>
      </w:r>
      <w:r w:rsidR="00B21570">
        <w:rPr>
          <w:rFonts w:asciiTheme="majorBidi" w:hAnsiTheme="majorBidi" w:cstheme="majorBidi"/>
          <w:sz w:val="24"/>
          <w:szCs w:val="24"/>
        </w:rPr>
        <w:t>es</w:t>
      </w:r>
      <w:r w:rsidR="00B21570" w:rsidRPr="00012F08">
        <w:rPr>
          <w:rFonts w:asciiTheme="majorBidi" w:hAnsiTheme="majorBidi" w:cstheme="majorBidi"/>
          <w:sz w:val="24"/>
          <w:szCs w:val="24"/>
        </w:rPr>
        <w:t xml:space="preserve"> </w:t>
      </w:r>
      <w:r w:rsidRPr="00012F08">
        <w:rPr>
          <w:rFonts w:asciiTheme="majorBidi" w:hAnsiTheme="majorBidi" w:cstheme="majorBidi"/>
          <w:sz w:val="24"/>
          <w:szCs w:val="24"/>
        </w:rPr>
        <w:t>on the trade war and post-pandemic period (2018–2024)</w:t>
      </w:r>
      <w:r w:rsidR="00B21570">
        <w:rPr>
          <w:rFonts w:asciiTheme="majorBidi" w:hAnsiTheme="majorBidi" w:cstheme="majorBidi"/>
          <w:sz w:val="24"/>
          <w:szCs w:val="24"/>
        </w:rPr>
        <w:t>,</w:t>
      </w:r>
      <w:r w:rsidR="003B30E2" w:rsidRPr="00012F08">
        <w:rPr>
          <w:rFonts w:asciiTheme="majorBidi" w:hAnsiTheme="majorBidi" w:cstheme="majorBidi"/>
          <w:sz w:val="24"/>
          <w:szCs w:val="24"/>
        </w:rPr>
        <w:t xml:space="preserve"> </w:t>
      </w:r>
      <w:r w:rsidRPr="00012F08">
        <w:rPr>
          <w:rFonts w:asciiTheme="majorBidi" w:hAnsiTheme="majorBidi" w:cstheme="majorBidi"/>
          <w:sz w:val="24"/>
          <w:szCs w:val="24"/>
        </w:rPr>
        <w:t>presents a</w:t>
      </w:r>
      <w:r w:rsidR="003B30E2" w:rsidRPr="00012F08">
        <w:rPr>
          <w:rFonts w:asciiTheme="majorBidi" w:hAnsiTheme="majorBidi" w:cstheme="majorBidi"/>
          <w:sz w:val="24"/>
          <w:szCs w:val="24"/>
        </w:rPr>
        <w:t xml:space="preserve"> </w:t>
      </w:r>
      <w:r w:rsidR="00B21570" w:rsidRPr="00012F08">
        <w:rPr>
          <w:rFonts w:asciiTheme="majorBidi" w:hAnsiTheme="majorBidi" w:cstheme="majorBidi"/>
          <w:sz w:val="24"/>
          <w:szCs w:val="24"/>
        </w:rPr>
        <w:t>substantial</w:t>
      </w:r>
      <w:r w:rsidR="00B21570">
        <w:rPr>
          <w:rFonts w:asciiTheme="majorBidi" w:hAnsiTheme="majorBidi" w:cstheme="majorBidi"/>
          <w:sz w:val="24"/>
          <w:szCs w:val="24"/>
        </w:rPr>
        <w:t>ly</w:t>
      </w:r>
      <w:r w:rsidRPr="00012F08">
        <w:rPr>
          <w:rFonts w:asciiTheme="majorBidi" w:hAnsiTheme="majorBidi" w:cstheme="majorBidi"/>
          <w:sz w:val="24"/>
          <w:szCs w:val="24"/>
        </w:rPr>
        <w:t xml:space="preserve"> altered network topology. Here, China</w:t>
      </w:r>
      <w:r w:rsidR="00B75553">
        <w:rPr>
          <w:rFonts w:asciiTheme="majorBidi" w:hAnsiTheme="majorBidi" w:cstheme="majorBidi"/>
          <w:sz w:val="24"/>
          <w:szCs w:val="24"/>
        </w:rPr>
        <w:t>,</w:t>
      </w:r>
      <w:r w:rsidRPr="00012F08">
        <w:rPr>
          <w:rFonts w:asciiTheme="majorBidi" w:hAnsiTheme="majorBidi" w:cstheme="majorBidi"/>
          <w:sz w:val="24"/>
          <w:szCs w:val="24"/>
        </w:rPr>
        <w:t xml:space="preserve"> and especially </w:t>
      </w:r>
      <w:r w:rsidR="00B21570">
        <w:rPr>
          <w:rFonts w:asciiTheme="majorBidi" w:hAnsiTheme="majorBidi" w:cstheme="majorBidi"/>
          <w:sz w:val="24"/>
          <w:szCs w:val="24"/>
        </w:rPr>
        <w:t>g</w:t>
      </w:r>
      <w:r w:rsidR="00B21570" w:rsidRPr="00012F08">
        <w:rPr>
          <w:rFonts w:asciiTheme="majorBidi" w:hAnsiTheme="majorBidi" w:cstheme="majorBidi"/>
          <w:sz w:val="24"/>
          <w:szCs w:val="24"/>
        </w:rPr>
        <w:t>old</w:t>
      </w:r>
      <w:r w:rsidR="00B75553">
        <w:rPr>
          <w:rFonts w:asciiTheme="majorBidi" w:hAnsiTheme="majorBidi" w:cstheme="majorBidi"/>
          <w:sz w:val="24"/>
          <w:szCs w:val="24"/>
        </w:rPr>
        <w:t>,</w:t>
      </w:r>
      <w:r w:rsidR="00B21570"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emerge as persistent and dominant net transmitters of systemic shocks. The case of </w:t>
      </w:r>
      <w:r w:rsidR="00B21570">
        <w:rPr>
          <w:rFonts w:asciiTheme="majorBidi" w:hAnsiTheme="majorBidi" w:cstheme="majorBidi"/>
          <w:sz w:val="24"/>
          <w:szCs w:val="24"/>
        </w:rPr>
        <w:t>g</w:t>
      </w:r>
      <w:r w:rsidR="00B21570" w:rsidRPr="00012F08">
        <w:rPr>
          <w:rFonts w:asciiTheme="majorBidi" w:hAnsiTheme="majorBidi" w:cstheme="majorBidi"/>
          <w:sz w:val="24"/>
          <w:szCs w:val="24"/>
        </w:rPr>
        <w:t xml:space="preserve">old </w:t>
      </w:r>
      <w:r w:rsidRPr="00012F08">
        <w:rPr>
          <w:rFonts w:asciiTheme="majorBidi" w:hAnsiTheme="majorBidi" w:cstheme="majorBidi"/>
          <w:sz w:val="24"/>
          <w:szCs w:val="24"/>
        </w:rPr>
        <w:t>is particularly striking</w:t>
      </w:r>
      <w:r w:rsidR="00B21570">
        <w:rPr>
          <w:rFonts w:asciiTheme="majorBidi" w:hAnsiTheme="majorBidi" w:cstheme="majorBidi"/>
          <w:sz w:val="24"/>
          <w:szCs w:val="24"/>
        </w:rPr>
        <w:t>.</w:t>
      </w:r>
      <w:r w:rsidR="00B21570" w:rsidRPr="00012F08">
        <w:rPr>
          <w:rFonts w:asciiTheme="majorBidi" w:hAnsiTheme="majorBidi" w:cstheme="majorBidi"/>
          <w:sz w:val="24"/>
          <w:szCs w:val="24"/>
        </w:rPr>
        <w:t xml:space="preserve"> </w:t>
      </w:r>
      <w:r w:rsidR="00B21570">
        <w:rPr>
          <w:rFonts w:asciiTheme="majorBidi" w:hAnsiTheme="majorBidi" w:cstheme="majorBidi"/>
          <w:sz w:val="24"/>
          <w:szCs w:val="24"/>
        </w:rPr>
        <w:t>T</w:t>
      </w:r>
      <w:r w:rsidR="00B21570" w:rsidRPr="00012F08">
        <w:rPr>
          <w:rFonts w:asciiTheme="majorBidi" w:hAnsiTheme="majorBidi" w:cstheme="majorBidi"/>
          <w:sz w:val="24"/>
          <w:szCs w:val="24"/>
        </w:rPr>
        <w:t xml:space="preserve">raditionally </w:t>
      </w:r>
      <w:r w:rsidRPr="00012F08">
        <w:rPr>
          <w:rFonts w:asciiTheme="majorBidi" w:hAnsiTheme="majorBidi" w:cstheme="majorBidi"/>
          <w:sz w:val="24"/>
          <w:szCs w:val="24"/>
        </w:rPr>
        <w:t>considered a safe</w:t>
      </w:r>
      <w:r w:rsidR="00B21570">
        <w:rPr>
          <w:rFonts w:asciiTheme="majorBidi" w:hAnsiTheme="majorBidi" w:cstheme="majorBidi"/>
          <w:sz w:val="24"/>
          <w:szCs w:val="24"/>
        </w:rPr>
        <w:t>-</w:t>
      </w:r>
      <w:r w:rsidRPr="00012F08">
        <w:rPr>
          <w:rFonts w:asciiTheme="majorBidi" w:hAnsiTheme="majorBidi" w:cstheme="majorBidi"/>
          <w:sz w:val="24"/>
          <w:szCs w:val="24"/>
        </w:rPr>
        <w:t xml:space="preserve">haven asset, it </w:t>
      </w:r>
      <w:r w:rsidR="00B21570" w:rsidRPr="00012F08">
        <w:rPr>
          <w:rFonts w:asciiTheme="majorBidi" w:hAnsiTheme="majorBidi" w:cstheme="majorBidi"/>
          <w:sz w:val="24"/>
          <w:szCs w:val="24"/>
        </w:rPr>
        <w:t>transition</w:t>
      </w:r>
      <w:r w:rsidR="00B21570">
        <w:rPr>
          <w:rFonts w:asciiTheme="majorBidi" w:hAnsiTheme="majorBidi" w:cstheme="majorBidi"/>
          <w:sz w:val="24"/>
          <w:szCs w:val="24"/>
        </w:rPr>
        <w:t>ed during this subperiod</w:t>
      </w:r>
      <w:r w:rsidR="00B21570"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into a source of volatility propagation. This behavior, especially pronounced between 2020 and 2021, may reflect </w:t>
      </w:r>
      <w:r w:rsidR="00B21570">
        <w:rPr>
          <w:rFonts w:asciiTheme="majorBidi" w:hAnsiTheme="majorBidi" w:cstheme="majorBidi"/>
          <w:sz w:val="24"/>
          <w:szCs w:val="24"/>
        </w:rPr>
        <w:t>g</w:t>
      </w:r>
      <w:r w:rsidR="00B21570" w:rsidRPr="00012F08">
        <w:rPr>
          <w:rFonts w:asciiTheme="majorBidi" w:hAnsiTheme="majorBidi" w:cstheme="majorBidi"/>
          <w:sz w:val="24"/>
          <w:szCs w:val="24"/>
        </w:rPr>
        <w:t xml:space="preserve">old’s </w:t>
      </w:r>
      <w:r w:rsidRPr="00012F08">
        <w:rPr>
          <w:rFonts w:asciiTheme="majorBidi" w:hAnsiTheme="majorBidi" w:cstheme="majorBidi"/>
          <w:sz w:val="24"/>
          <w:szCs w:val="24"/>
        </w:rPr>
        <w:t>increased sensitivity to coordinated policy shocks, inflation fears, and safe-haven capital flows during global crises</w:t>
      </w:r>
      <w:r w:rsidR="00B21570">
        <w:rPr>
          <w:rFonts w:asciiTheme="majorBidi" w:hAnsiTheme="majorBidi" w:cstheme="majorBidi"/>
          <w:sz w:val="24"/>
          <w:szCs w:val="24"/>
        </w:rPr>
        <w:t>. Such a change in behavior</w:t>
      </w:r>
      <w:r w:rsidR="00B21570" w:rsidRPr="00012F08">
        <w:rPr>
          <w:rFonts w:asciiTheme="majorBidi" w:hAnsiTheme="majorBidi" w:cstheme="majorBidi"/>
          <w:sz w:val="24"/>
          <w:szCs w:val="24"/>
        </w:rPr>
        <w:t xml:space="preserve"> suggest</w:t>
      </w:r>
      <w:r w:rsidR="00B21570">
        <w:rPr>
          <w:rFonts w:asciiTheme="majorBidi" w:hAnsiTheme="majorBidi" w:cstheme="majorBidi"/>
          <w:sz w:val="24"/>
          <w:szCs w:val="24"/>
        </w:rPr>
        <w:t>s</w:t>
      </w:r>
      <w:r w:rsidR="00B21570"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that its systemic role has evolved from </w:t>
      </w:r>
      <w:r w:rsidR="00B21570">
        <w:rPr>
          <w:rFonts w:asciiTheme="majorBidi" w:hAnsiTheme="majorBidi" w:cstheme="majorBidi"/>
          <w:sz w:val="24"/>
          <w:szCs w:val="24"/>
        </w:rPr>
        <w:t xml:space="preserve">an </w:t>
      </w:r>
      <w:proofErr w:type="gramStart"/>
      <w:r w:rsidR="00B21570">
        <w:rPr>
          <w:rFonts w:asciiTheme="majorBidi" w:hAnsiTheme="majorBidi" w:cstheme="majorBidi"/>
          <w:sz w:val="24"/>
          <w:szCs w:val="24"/>
        </w:rPr>
        <w:t>absorber</w:t>
      </w:r>
      <w:proofErr w:type="gramEnd"/>
      <w:r w:rsidR="00B21570">
        <w:rPr>
          <w:rFonts w:asciiTheme="majorBidi" w:hAnsiTheme="majorBidi" w:cstheme="majorBidi"/>
          <w:sz w:val="24"/>
          <w:szCs w:val="24"/>
        </w:rPr>
        <w:t xml:space="preserve"> of </w:t>
      </w:r>
      <w:r w:rsidRPr="00012F08">
        <w:rPr>
          <w:rFonts w:asciiTheme="majorBidi" w:hAnsiTheme="majorBidi" w:cstheme="majorBidi"/>
          <w:sz w:val="24"/>
          <w:szCs w:val="24"/>
        </w:rPr>
        <w:t>shock</w:t>
      </w:r>
      <w:r w:rsidR="00B21570">
        <w:rPr>
          <w:rFonts w:asciiTheme="majorBidi" w:hAnsiTheme="majorBidi" w:cstheme="majorBidi"/>
          <w:sz w:val="24"/>
          <w:szCs w:val="24"/>
        </w:rPr>
        <w:t xml:space="preserve">s to a transmitter of them during periods of </w:t>
      </w:r>
      <w:r w:rsidRPr="00012F08">
        <w:rPr>
          <w:rFonts w:asciiTheme="majorBidi" w:hAnsiTheme="majorBidi" w:cstheme="majorBidi"/>
          <w:sz w:val="24"/>
          <w:szCs w:val="24"/>
        </w:rPr>
        <w:t xml:space="preserve"> extreme stress.</w:t>
      </w:r>
    </w:p>
    <w:p w14:paraId="15521A9F" w14:textId="2266850E" w:rsidR="001D6C3B" w:rsidRPr="00012F08" w:rsidRDefault="001D6C3B" w:rsidP="001D6C3B">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Simultaneously, </w:t>
      </w:r>
      <w:r w:rsidR="00436D24">
        <w:rPr>
          <w:rFonts w:asciiTheme="majorBidi" w:hAnsiTheme="majorBidi" w:cstheme="majorBidi"/>
          <w:sz w:val="24"/>
          <w:szCs w:val="24"/>
        </w:rPr>
        <w:t xml:space="preserve">the </w:t>
      </w:r>
      <w:r w:rsidRPr="00012F08">
        <w:rPr>
          <w:rFonts w:asciiTheme="majorBidi" w:hAnsiTheme="majorBidi" w:cstheme="majorBidi"/>
          <w:sz w:val="24"/>
          <w:szCs w:val="24"/>
        </w:rPr>
        <w:t xml:space="preserve">UCT’s net connectedness turns more negative in this period (see Panel C in </w:t>
      </w:r>
      <w:r w:rsidRPr="00674425">
        <w:rPr>
          <w:rFonts w:asciiTheme="majorBidi" w:hAnsiTheme="majorBidi" w:cstheme="majorBidi"/>
          <w:sz w:val="24"/>
          <w:szCs w:val="24"/>
        </w:rPr>
        <w:t>Table 3 and Figure 7</w:t>
      </w:r>
      <w:r w:rsidR="00436D24" w:rsidRPr="00436D24">
        <w:rPr>
          <w:rFonts w:asciiTheme="majorBidi" w:hAnsiTheme="majorBidi" w:cstheme="majorBidi"/>
          <w:sz w:val="24"/>
          <w:szCs w:val="24"/>
        </w:rPr>
        <w:t>)</w:t>
      </w:r>
      <w:r w:rsidR="00436D24">
        <w:rPr>
          <w:rFonts w:asciiTheme="majorBidi" w:hAnsiTheme="majorBidi" w:cstheme="majorBidi"/>
          <w:sz w:val="24"/>
          <w:szCs w:val="24"/>
        </w:rPr>
        <w:t>. This change</w:t>
      </w:r>
      <w:r w:rsidR="00436D24" w:rsidRPr="00012F08">
        <w:rPr>
          <w:rFonts w:asciiTheme="majorBidi" w:hAnsiTheme="majorBidi" w:cstheme="majorBidi"/>
          <w:sz w:val="24"/>
          <w:szCs w:val="24"/>
        </w:rPr>
        <w:t xml:space="preserve"> indicat</w:t>
      </w:r>
      <w:r w:rsidR="00436D24">
        <w:rPr>
          <w:rFonts w:asciiTheme="majorBidi" w:hAnsiTheme="majorBidi" w:cstheme="majorBidi"/>
          <w:sz w:val="24"/>
          <w:szCs w:val="24"/>
        </w:rPr>
        <w:t>es</w:t>
      </w:r>
      <w:r w:rsidR="00436D24" w:rsidRPr="00012F08">
        <w:rPr>
          <w:rFonts w:asciiTheme="majorBidi" w:hAnsiTheme="majorBidi" w:cstheme="majorBidi"/>
          <w:sz w:val="24"/>
          <w:szCs w:val="24"/>
        </w:rPr>
        <w:t xml:space="preserve"> </w:t>
      </w:r>
      <w:r w:rsidRPr="00012F08">
        <w:rPr>
          <w:rFonts w:asciiTheme="majorBidi" w:hAnsiTheme="majorBidi" w:cstheme="majorBidi"/>
          <w:sz w:val="24"/>
          <w:szCs w:val="24"/>
        </w:rPr>
        <w:t>that while the index becomes more interconnected</w:t>
      </w:r>
      <w:r w:rsidR="00043BA7">
        <w:rPr>
          <w:rFonts w:asciiTheme="majorBidi" w:hAnsiTheme="majorBidi" w:cstheme="majorBidi"/>
          <w:sz w:val="24"/>
          <w:szCs w:val="24"/>
        </w:rPr>
        <w:t>, meaning that</w:t>
      </w:r>
      <w:r w:rsidRPr="00012F08">
        <w:rPr>
          <w:rFonts w:asciiTheme="majorBidi" w:hAnsiTheme="majorBidi" w:cstheme="majorBidi"/>
          <w:sz w:val="24"/>
          <w:szCs w:val="24"/>
        </w:rPr>
        <w:t xml:space="preserve"> its spillovers increase, it does so primarily as a net recipient of shocks rather than an instigator</w:t>
      </w:r>
      <w:r w:rsidR="00436D24">
        <w:rPr>
          <w:rFonts w:asciiTheme="majorBidi" w:hAnsiTheme="majorBidi" w:cstheme="majorBidi"/>
          <w:sz w:val="24"/>
          <w:szCs w:val="24"/>
        </w:rPr>
        <w:t xml:space="preserve"> of them</w:t>
      </w:r>
      <w:r w:rsidRPr="00012F08">
        <w:rPr>
          <w:rFonts w:asciiTheme="majorBidi" w:hAnsiTheme="majorBidi" w:cstheme="majorBidi"/>
          <w:sz w:val="24"/>
          <w:szCs w:val="24"/>
        </w:rPr>
        <w:t>. This nuanced role suggests that geopolitical tensions, as captured by media sentiment, reflect rather than drive systemic instability—particularly during times of broader global disruption</w:t>
      </w:r>
      <w:r w:rsidR="00436D24">
        <w:rPr>
          <w:rFonts w:asciiTheme="majorBidi" w:hAnsiTheme="majorBidi" w:cstheme="majorBidi"/>
          <w:sz w:val="24"/>
          <w:szCs w:val="24"/>
        </w:rPr>
        <w:t>s</w:t>
      </w:r>
      <w:r w:rsidRPr="00012F08">
        <w:rPr>
          <w:rFonts w:asciiTheme="majorBidi" w:hAnsiTheme="majorBidi" w:cstheme="majorBidi"/>
          <w:sz w:val="24"/>
          <w:szCs w:val="24"/>
        </w:rPr>
        <w:t>.</w:t>
      </w:r>
    </w:p>
    <w:p w14:paraId="09D3FD5D" w14:textId="70EEC3D3" w:rsidR="001D6C3B" w:rsidRPr="00012F08" w:rsidRDefault="00436D24" w:rsidP="001D6C3B">
      <w:pPr>
        <w:bidi w:val="0"/>
        <w:spacing w:line="276" w:lineRule="auto"/>
        <w:jc w:val="both"/>
        <w:rPr>
          <w:rFonts w:asciiTheme="majorBidi" w:hAnsiTheme="majorBidi" w:cstheme="majorBidi"/>
          <w:sz w:val="24"/>
          <w:szCs w:val="24"/>
        </w:rPr>
      </w:pPr>
      <w:r>
        <w:rPr>
          <w:rFonts w:asciiTheme="majorBidi" w:hAnsiTheme="majorBidi" w:cstheme="majorBidi"/>
          <w:sz w:val="24"/>
          <w:szCs w:val="24"/>
        </w:rPr>
        <w:t>During this period, o</w:t>
      </w:r>
      <w:r w:rsidRPr="00012F08">
        <w:rPr>
          <w:rFonts w:asciiTheme="majorBidi" w:hAnsiTheme="majorBidi" w:cstheme="majorBidi"/>
          <w:sz w:val="24"/>
          <w:szCs w:val="24"/>
        </w:rPr>
        <w:t>il</w:t>
      </w:r>
      <w:r w:rsidR="001D6C3B" w:rsidRPr="00012F08">
        <w:rPr>
          <w:rFonts w:asciiTheme="majorBidi" w:hAnsiTheme="majorBidi" w:cstheme="majorBidi"/>
          <w:sz w:val="24"/>
          <w:szCs w:val="24"/>
        </w:rPr>
        <w:t xml:space="preserve">, </w:t>
      </w:r>
      <w:r>
        <w:rPr>
          <w:rFonts w:asciiTheme="majorBidi" w:hAnsiTheme="majorBidi" w:cstheme="majorBidi"/>
          <w:sz w:val="24"/>
          <w:szCs w:val="24"/>
        </w:rPr>
        <w:t xml:space="preserve">the </w:t>
      </w:r>
      <w:r w:rsidR="001D6C3B" w:rsidRPr="00012F08">
        <w:rPr>
          <w:rFonts w:asciiTheme="majorBidi" w:hAnsiTheme="majorBidi" w:cstheme="majorBidi"/>
          <w:sz w:val="24"/>
          <w:szCs w:val="24"/>
        </w:rPr>
        <w:t xml:space="preserve">USD/CNY, and </w:t>
      </w:r>
      <w:r>
        <w:rPr>
          <w:rFonts w:asciiTheme="majorBidi" w:hAnsiTheme="majorBidi" w:cstheme="majorBidi"/>
          <w:sz w:val="24"/>
          <w:szCs w:val="24"/>
        </w:rPr>
        <w:t xml:space="preserve">the </w:t>
      </w:r>
      <w:r w:rsidR="001D6C3B" w:rsidRPr="00012F08">
        <w:rPr>
          <w:rFonts w:asciiTheme="majorBidi" w:hAnsiTheme="majorBidi" w:cstheme="majorBidi"/>
          <w:sz w:val="24"/>
          <w:szCs w:val="24"/>
        </w:rPr>
        <w:t>VIX continue</w:t>
      </w:r>
      <w:r w:rsidR="00043BA7">
        <w:rPr>
          <w:rFonts w:asciiTheme="majorBidi" w:hAnsiTheme="majorBidi" w:cstheme="majorBidi"/>
          <w:sz w:val="24"/>
          <w:szCs w:val="24"/>
        </w:rPr>
        <w:t>d</w:t>
      </w:r>
      <w:r w:rsidR="001D6C3B" w:rsidRPr="00012F08">
        <w:rPr>
          <w:rFonts w:asciiTheme="majorBidi" w:hAnsiTheme="majorBidi" w:cstheme="majorBidi"/>
          <w:sz w:val="24"/>
          <w:szCs w:val="24"/>
        </w:rPr>
        <w:t xml:space="preserve"> to absorb rather than initiate shocks, underscoring their function as transmission channels rather than sources</w:t>
      </w:r>
      <w:r>
        <w:rPr>
          <w:rFonts w:asciiTheme="majorBidi" w:hAnsiTheme="majorBidi" w:cstheme="majorBidi"/>
          <w:sz w:val="24"/>
          <w:szCs w:val="24"/>
        </w:rPr>
        <w:t xml:space="preserve"> of </w:t>
      </w:r>
      <w:r w:rsidRPr="00012F08">
        <w:rPr>
          <w:rFonts w:asciiTheme="majorBidi" w:hAnsiTheme="majorBidi" w:cstheme="majorBidi"/>
          <w:sz w:val="24"/>
          <w:szCs w:val="24"/>
        </w:rPr>
        <w:t>shock</w:t>
      </w:r>
      <w:r>
        <w:rPr>
          <w:rFonts w:asciiTheme="majorBidi" w:hAnsiTheme="majorBidi" w:cstheme="majorBidi"/>
          <w:sz w:val="24"/>
          <w:szCs w:val="24"/>
        </w:rPr>
        <w:t>s</w:t>
      </w:r>
      <w:r w:rsidR="001D6C3B" w:rsidRPr="00012F08">
        <w:rPr>
          <w:rFonts w:asciiTheme="majorBidi" w:hAnsiTheme="majorBidi" w:cstheme="majorBidi"/>
          <w:sz w:val="24"/>
          <w:szCs w:val="24"/>
        </w:rPr>
        <w:t>. These assets remain</w:t>
      </w:r>
      <w:r w:rsidR="00043BA7">
        <w:rPr>
          <w:rFonts w:asciiTheme="majorBidi" w:hAnsiTheme="majorBidi" w:cstheme="majorBidi"/>
          <w:sz w:val="24"/>
          <w:szCs w:val="24"/>
        </w:rPr>
        <w:t>ed</w:t>
      </w:r>
      <w:r w:rsidR="001D6C3B" w:rsidRPr="00012F08">
        <w:rPr>
          <w:rFonts w:asciiTheme="majorBidi" w:hAnsiTheme="majorBidi" w:cstheme="majorBidi"/>
          <w:sz w:val="24"/>
          <w:szCs w:val="24"/>
        </w:rPr>
        <w:t xml:space="preserve"> responsive to broader uncertainty, monetary tightening, and geopolitical risks, reaffirming their importance in the volatility cascade during crises.</w:t>
      </w:r>
    </w:p>
    <w:p w14:paraId="328BBDC0" w14:textId="751F640A" w:rsidR="00F91B18" w:rsidRPr="00012F08" w:rsidRDefault="00F91B18" w:rsidP="00F91B18">
      <w:pPr>
        <w:pStyle w:val="ListParagraph"/>
        <w:numPr>
          <w:ilvl w:val="0"/>
          <w:numId w:val="19"/>
        </w:numPr>
        <w:bidi w:val="0"/>
        <w:spacing w:line="276" w:lineRule="auto"/>
        <w:jc w:val="both"/>
        <w:rPr>
          <w:rFonts w:asciiTheme="majorBidi" w:hAnsiTheme="majorBidi" w:cstheme="majorBidi"/>
          <w:b/>
          <w:bCs/>
          <w:sz w:val="24"/>
          <w:szCs w:val="24"/>
        </w:rPr>
      </w:pPr>
      <w:r w:rsidRPr="00012F08">
        <w:rPr>
          <w:rFonts w:asciiTheme="majorBidi" w:hAnsiTheme="majorBidi" w:cstheme="majorBidi"/>
          <w:b/>
          <w:bCs/>
          <w:sz w:val="24"/>
          <w:szCs w:val="24"/>
        </w:rPr>
        <w:t>Policy Implications and Recommendations</w:t>
      </w:r>
    </w:p>
    <w:p w14:paraId="502A6621" w14:textId="3348D053" w:rsidR="00043BA7" w:rsidRDefault="00F91B18" w:rsidP="00F91B18">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The empirical findings of this study </w:t>
      </w:r>
      <w:r w:rsidR="003A447B">
        <w:rPr>
          <w:rFonts w:asciiTheme="majorBidi" w:hAnsiTheme="majorBidi" w:cstheme="majorBidi"/>
          <w:sz w:val="24"/>
          <w:szCs w:val="24"/>
        </w:rPr>
        <w:t xml:space="preserve">have </w:t>
      </w:r>
      <w:r w:rsidRPr="00012F08">
        <w:rPr>
          <w:rFonts w:asciiTheme="majorBidi" w:hAnsiTheme="majorBidi" w:cstheme="majorBidi"/>
          <w:sz w:val="24"/>
          <w:szCs w:val="24"/>
        </w:rPr>
        <w:t xml:space="preserve">critical implications for global financial governance in an era of rising geopolitical uncertainty. The structural shift in systemic connectedness—marked by a transition from </w:t>
      </w:r>
      <w:r w:rsidR="004A7BC6">
        <w:rPr>
          <w:rFonts w:asciiTheme="majorBidi" w:hAnsiTheme="majorBidi" w:cstheme="majorBidi"/>
          <w:sz w:val="24"/>
          <w:szCs w:val="24"/>
        </w:rPr>
        <w:t xml:space="preserve">the </w:t>
      </w:r>
      <w:r w:rsidRPr="00012F08">
        <w:rPr>
          <w:rFonts w:asciiTheme="majorBidi" w:hAnsiTheme="majorBidi" w:cstheme="majorBidi"/>
          <w:sz w:val="24"/>
          <w:szCs w:val="24"/>
        </w:rPr>
        <w:t>market-led</w:t>
      </w:r>
      <w:r w:rsidR="004A7BC6">
        <w:rPr>
          <w:rFonts w:asciiTheme="majorBidi" w:hAnsiTheme="majorBidi" w:cstheme="majorBidi"/>
          <w:sz w:val="24"/>
          <w:szCs w:val="24"/>
        </w:rPr>
        <w:t xml:space="preserve"> transmission of shocks </w:t>
      </w:r>
      <w:r w:rsidRPr="00012F08">
        <w:rPr>
          <w:rFonts w:asciiTheme="majorBidi" w:hAnsiTheme="majorBidi" w:cstheme="majorBidi"/>
          <w:sz w:val="24"/>
          <w:szCs w:val="24"/>
        </w:rPr>
        <w:t xml:space="preserve">to </w:t>
      </w:r>
      <w:r w:rsidR="004A7BC6">
        <w:rPr>
          <w:rFonts w:asciiTheme="majorBidi" w:hAnsiTheme="majorBidi" w:cstheme="majorBidi"/>
          <w:sz w:val="24"/>
          <w:szCs w:val="24"/>
        </w:rPr>
        <w:t xml:space="preserve">the </w:t>
      </w:r>
      <w:r w:rsidRPr="00012F08">
        <w:rPr>
          <w:rFonts w:asciiTheme="majorBidi" w:hAnsiTheme="majorBidi" w:cstheme="majorBidi"/>
          <w:sz w:val="24"/>
          <w:szCs w:val="24"/>
        </w:rPr>
        <w:t>volatility- and tension-driven transmission</w:t>
      </w:r>
      <w:r w:rsidR="004A7BC6">
        <w:rPr>
          <w:rFonts w:asciiTheme="majorBidi" w:hAnsiTheme="majorBidi" w:cstheme="majorBidi"/>
          <w:sz w:val="24"/>
          <w:szCs w:val="24"/>
        </w:rPr>
        <w:t xml:space="preserve"> of </w:t>
      </w:r>
      <w:r w:rsidR="004A7BC6" w:rsidRPr="00012F08">
        <w:rPr>
          <w:rFonts w:asciiTheme="majorBidi" w:hAnsiTheme="majorBidi" w:cstheme="majorBidi"/>
          <w:sz w:val="24"/>
          <w:szCs w:val="24"/>
        </w:rPr>
        <w:t>shock</w:t>
      </w:r>
      <w:r w:rsidR="004A7BC6">
        <w:rPr>
          <w:rFonts w:asciiTheme="majorBidi" w:hAnsiTheme="majorBidi" w:cstheme="majorBidi"/>
          <w:sz w:val="24"/>
          <w:szCs w:val="24"/>
        </w:rPr>
        <w:t>s</w:t>
      </w:r>
      <w:r w:rsidRPr="00012F08">
        <w:rPr>
          <w:rFonts w:asciiTheme="majorBidi" w:hAnsiTheme="majorBidi" w:cstheme="majorBidi"/>
          <w:sz w:val="24"/>
          <w:szCs w:val="24"/>
        </w:rPr>
        <w:t xml:space="preserve">—requires international institutions to recalibrate their macro-financial surveillance frameworks. The post-2018 regime, characterized by the increasing systemic influence of China’s financial markets and commodities such as gold, alongside the endogenous evolution of geopolitical risk, presents new challenges for safeguarding financial stability. </w:t>
      </w:r>
    </w:p>
    <w:p w14:paraId="35FB3688" w14:textId="0C1B4C8C" w:rsidR="00F91B18" w:rsidRPr="00012F08" w:rsidRDefault="00F91B18" w:rsidP="00043BA7">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Based on these findings, we outline </w:t>
      </w:r>
      <w:r w:rsidR="004A7BC6">
        <w:rPr>
          <w:rFonts w:asciiTheme="majorBidi" w:hAnsiTheme="majorBidi" w:cstheme="majorBidi"/>
          <w:sz w:val="24"/>
          <w:szCs w:val="24"/>
        </w:rPr>
        <w:t>several</w:t>
      </w:r>
      <w:r w:rsidRPr="00012F08">
        <w:rPr>
          <w:rFonts w:asciiTheme="majorBidi" w:hAnsiTheme="majorBidi" w:cstheme="majorBidi"/>
          <w:sz w:val="24"/>
          <w:szCs w:val="24"/>
        </w:rPr>
        <w:t xml:space="preserve"> concrete policy recommendations for global institutions such as the International Monetary Fund (IMF), World Bank, Bank for International Settlements (BIS), and Financial Stability Board (FSB).</w:t>
      </w:r>
    </w:p>
    <w:p w14:paraId="0167D9B3" w14:textId="27C8D769" w:rsidR="00F91B18" w:rsidRPr="00012F08" w:rsidRDefault="00F91B18" w:rsidP="00F91B18">
      <w:pPr>
        <w:pStyle w:val="ListParagraph"/>
        <w:numPr>
          <w:ilvl w:val="0"/>
          <w:numId w:val="21"/>
        </w:numPr>
        <w:bidi w:val="0"/>
        <w:spacing w:line="276" w:lineRule="auto"/>
        <w:jc w:val="both"/>
        <w:rPr>
          <w:rFonts w:asciiTheme="majorBidi" w:hAnsiTheme="majorBidi" w:cstheme="majorBidi"/>
          <w:b/>
          <w:bCs/>
          <w:sz w:val="24"/>
          <w:szCs w:val="24"/>
        </w:rPr>
      </w:pPr>
      <w:r w:rsidRPr="00012F08">
        <w:rPr>
          <w:rFonts w:asciiTheme="majorBidi" w:hAnsiTheme="majorBidi" w:cstheme="majorBidi"/>
          <w:b/>
          <w:bCs/>
          <w:sz w:val="24"/>
          <w:szCs w:val="24"/>
        </w:rPr>
        <w:t>Reframing Geopolitical Risk as Endogenous Financial Stress</w:t>
      </w:r>
    </w:p>
    <w:p w14:paraId="081756C9" w14:textId="3F3CBEE6" w:rsidR="00F91B18" w:rsidRPr="00012F08" w:rsidRDefault="00F91B18" w:rsidP="00F91B18">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A key insight from this study is the evolving role of the U.S.-China Tension Index (UCT). While the UCT was a modest net transmitter of shocks in the pre-trade war period (1993–2017), it became a net recipient during the trade war and post-pandemic period (2018–2024). This structural reversal implies that geopolitical tensions no longer operate as purely exogenous sources of instability</w:t>
      </w:r>
      <w:r w:rsidR="004A7BC6">
        <w:rPr>
          <w:rFonts w:asciiTheme="majorBidi" w:hAnsiTheme="majorBidi" w:cstheme="majorBidi"/>
          <w:sz w:val="24"/>
          <w:szCs w:val="24"/>
        </w:rPr>
        <w:t>. Instead, they</w:t>
      </w:r>
      <w:r w:rsidRPr="00012F08">
        <w:rPr>
          <w:rFonts w:asciiTheme="majorBidi" w:hAnsiTheme="majorBidi" w:cstheme="majorBidi"/>
          <w:sz w:val="24"/>
          <w:szCs w:val="24"/>
        </w:rPr>
        <w:t xml:space="preserve"> increasingly reflect underlying market dynamics. In this new regime, the UCT serves as a barometer of financial stress, shaped by</w:t>
      </w:r>
      <w:r w:rsidR="00A673BA">
        <w:rPr>
          <w:rFonts w:asciiTheme="majorBidi" w:hAnsiTheme="majorBidi" w:cstheme="majorBidi"/>
          <w:sz w:val="24"/>
          <w:szCs w:val="24"/>
        </w:rPr>
        <w:t xml:space="preserve"> </w:t>
      </w:r>
      <w:r w:rsidRPr="00012F08">
        <w:rPr>
          <w:rFonts w:asciiTheme="majorBidi" w:hAnsiTheme="majorBidi" w:cstheme="majorBidi"/>
          <w:sz w:val="24"/>
          <w:szCs w:val="24"/>
        </w:rPr>
        <w:t>and reinforcing</w:t>
      </w:r>
      <w:r w:rsidR="00A673BA">
        <w:rPr>
          <w:rFonts w:asciiTheme="majorBidi" w:hAnsiTheme="majorBidi" w:cstheme="majorBidi"/>
          <w:sz w:val="24"/>
          <w:szCs w:val="24"/>
        </w:rPr>
        <w:t xml:space="preserve"> </w:t>
      </w:r>
      <w:r w:rsidRPr="00012F08">
        <w:rPr>
          <w:rFonts w:asciiTheme="majorBidi" w:hAnsiTheme="majorBidi" w:cstheme="majorBidi"/>
          <w:sz w:val="24"/>
          <w:szCs w:val="24"/>
        </w:rPr>
        <w:t>systemic volatility and cross-asset contagion.</w:t>
      </w:r>
    </w:p>
    <w:p w14:paraId="02691DB0" w14:textId="77777777" w:rsidR="00F91B18" w:rsidRPr="00012F08" w:rsidRDefault="00F91B18" w:rsidP="00F91B18">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This transformation has major implications for global surveillance efforts. Institutions such as the IMF and BIS should expand their systemic risk monitoring frameworks to recognize geopolitical risk as both a driver and a reflection of market fragility. Early warning systems must integrate such feedback loops, where volatility and market sentiment amplify political narratives, which in turn accelerate financial instability. Risk assessments must therefore capture the endogenous nature of geopolitical stress to avoid underestimating its systemic role.</w:t>
      </w:r>
    </w:p>
    <w:p w14:paraId="15A49E8D" w14:textId="1EADBBD5" w:rsidR="00F91B18" w:rsidRPr="00012F08" w:rsidRDefault="00F91B18" w:rsidP="00F91B18">
      <w:pPr>
        <w:pStyle w:val="ListParagraph"/>
        <w:numPr>
          <w:ilvl w:val="0"/>
          <w:numId w:val="21"/>
        </w:numPr>
        <w:bidi w:val="0"/>
        <w:spacing w:line="276" w:lineRule="auto"/>
        <w:jc w:val="both"/>
        <w:rPr>
          <w:rFonts w:asciiTheme="majorBidi" w:hAnsiTheme="majorBidi" w:cstheme="majorBidi"/>
          <w:b/>
          <w:bCs/>
          <w:sz w:val="24"/>
          <w:szCs w:val="24"/>
        </w:rPr>
      </w:pPr>
      <w:r w:rsidRPr="00012F08">
        <w:rPr>
          <w:rFonts w:asciiTheme="majorBidi" w:hAnsiTheme="majorBidi" w:cstheme="majorBidi"/>
          <w:b/>
          <w:bCs/>
          <w:sz w:val="24"/>
          <w:szCs w:val="24"/>
        </w:rPr>
        <w:t>Integrate Bilateral Geopolitical Indicators into Financial Surveillance</w:t>
      </w:r>
    </w:p>
    <w:p w14:paraId="67634C7E" w14:textId="487D1FF1" w:rsidR="00F91B18" w:rsidRPr="00012F08" w:rsidRDefault="00F91B18" w:rsidP="00F91B18">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Current global monitoring frameworks often rely on broad geopolitical risk indices, overlooking the asymmetric and bilateral nature of key geopolitical rivalries. Given our evidence that U.S.–China tensions increasingly propagate through financial markets, institutions should incorporate more targeted bilateral indicators—such as the UCT—into existing surveillance platforms. For example, the IMF’s Financial Sector Assessment Program (FSAP) and World Bank’s risk analytics could </w:t>
      </w:r>
      <w:r w:rsidR="004A7BC6">
        <w:rPr>
          <w:rFonts w:asciiTheme="majorBidi" w:hAnsiTheme="majorBidi" w:cstheme="majorBidi"/>
          <w:sz w:val="24"/>
          <w:szCs w:val="24"/>
        </w:rPr>
        <w:t>use</w:t>
      </w:r>
      <w:r w:rsidR="004A7BC6"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bilateral tension indices as systemic stress markers to refine </w:t>
      </w:r>
      <w:r w:rsidR="004A7BC6">
        <w:rPr>
          <w:rFonts w:asciiTheme="majorBidi" w:hAnsiTheme="majorBidi" w:cstheme="majorBidi"/>
          <w:sz w:val="24"/>
          <w:szCs w:val="24"/>
        </w:rPr>
        <w:t xml:space="preserve">the </w:t>
      </w:r>
      <w:r w:rsidRPr="00012F08">
        <w:rPr>
          <w:rFonts w:asciiTheme="majorBidi" w:hAnsiTheme="majorBidi" w:cstheme="majorBidi"/>
          <w:sz w:val="24"/>
          <w:szCs w:val="24"/>
        </w:rPr>
        <w:t>classifications</w:t>
      </w:r>
      <w:r w:rsidR="004A7BC6">
        <w:rPr>
          <w:rFonts w:asciiTheme="majorBidi" w:hAnsiTheme="majorBidi" w:cstheme="majorBidi"/>
          <w:sz w:val="24"/>
          <w:szCs w:val="24"/>
        </w:rPr>
        <w:t xml:space="preserve"> of risk for countries</w:t>
      </w:r>
      <w:r w:rsidRPr="00012F08">
        <w:rPr>
          <w:rFonts w:asciiTheme="majorBidi" w:hAnsiTheme="majorBidi" w:cstheme="majorBidi"/>
          <w:sz w:val="24"/>
          <w:szCs w:val="24"/>
        </w:rPr>
        <w:t xml:space="preserve">, especially for economies </w:t>
      </w:r>
      <w:r w:rsidR="004A7BC6">
        <w:rPr>
          <w:rFonts w:asciiTheme="majorBidi" w:hAnsiTheme="majorBidi" w:cstheme="majorBidi"/>
          <w:sz w:val="24"/>
          <w:szCs w:val="24"/>
        </w:rPr>
        <w:t>heavily</w:t>
      </w:r>
      <w:r w:rsidR="004A7BC6"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exposed to </w:t>
      </w:r>
      <w:r w:rsidR="004A7BC6" w:rsidRPr="00012F08">
        <w:rPr>
          <w:rFonts w:asciiTheme="majorBidi" w:hAnsiTheme="majorBidi" w:cstheme="majorBidi"/>
          <w:sz w:val="24"/>
          <w:szCs w:val="24"/>
        </w:rPr>
        <w:t>trad</w:t>
      </w:r>
      <w:r w:rsidR="004A7BC6">
        <w:rPr>
          <w:rFonts w:asciiTheme="majorBidi" w:hAnsiTheme="majorBidi" w:cstheme="majorBidi"/>
          <w:sz w:val="24"/>
          <w:szCs w:val="24"/>
        </w:rPr>
        <w:t>ing with</w:t>
      </w:r>
      <w:r w:rsidRPr="00012F08">
        <w:rPr>
          <w:rFonts w:asciiTheme="majorBidi" w:hAnsiTheme="majorBidi" w:cstheme="majorBidi"/>
          <w:sz w:val="24"/>
          <w:szCs w:val="24"/>
        </w:rPr>
        <w:t>, financial flows</w:t>
      </w:r>
      <w:r w:rsidR="004A7BC6">
        <w:rPr>
          <w:rFonts w:asciiTheme="majorBidi" w:hAnsiTheme="majorBidi" w:cstheme="majorBidi"/>
          <w:sz w:val="24"/>
          <w:szCs w:val="24"/>
        </w:rPr>
        <w:t xml:space="preserve"> to or from</w:t>
      </w:r>
      <w:r w:rsidRPr="00012F08">
        <w:rPr>
          <w:rFonts w:asciiTheme="majorBidi" w:hAnsiTheme="majorBidi" w:cstheme="majorBidi"/>
          <w:sz w:val="24"/>
          <w:szCs w:val="24"/>
        </w:rPr>
        <w:t>, or supply chain integration with either China or the United States.</w:t>
      </w:r>
    </w:p>
    <w:p w14:paraId="677A7EFC" w14:textId="6CE97D56" w:rsidR="00F91B18" w:rsidRPr="00012F08" w:rsidRDefault="00F91B18" w:rsidP="00F91B18">
      <w:pPr>
        <w:pStyle w:val="ListParagraph"/>
        <w:numPr>
          <w:ilvl w:val="0"/>
          <w:numId w:val="21"/>
        </w:numPr>
        <w:bidi w:val="0"/>
        <w:spacing w:line="276" w:lineRule="auto"/>
        <w:jc w:val="both"/>
        <w:rPr>
          <w:rFonts w:asciiTheme="majorBidi" w:hAnsiTheme="majorBidi" w:cstheme="majorBidi"/>
          <w:b/>
          <w:bCs/>
          <w:sz w:val="24"/>
          <w:szCs w:val="24"/>
        </w:rPr>
      </w:pPr>
      <w:r w:rsidRPr="00012F08">
        <w:rPr>
          <w:rFonts w:asciiTheme="majorBidi" w:hAnsiTheme="majorBidi" w:cstheme="majorBidi"/>
          <w:b/>
          <w:bCs/>
          <w:sz w:val="24"/>
          <w:szCs w:val="24"/>
        </w:rPr>
        <w:t>Expand Macroprudential Toolkits to Account for Volatility-Driven Spillovers</w:t>
      </w:r>
    </w:p>
    <w:p w14:paraId="61667FC8" w14:textId="23C9DAA0" w:rsidR="00F91B18" w:rsidRPr="00012F08" w:rsidRDefault="00F91B18" w:rsidP="00F91B18">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The rising role of the VIX and commodity-linked volatility channels as dominant transmitters of systemic risk post-2018 highlights the need to embed volatility sensitivity in macroprudential regulation. Global institutions should recommend capital surcharges or liquidity buffers that adjust dynamically to implied volatility measures. Additionally, scenario analysis within stress testing frameworks—both at the national and multilateral levels—should </w:t>
      </w:r>
      <w:r w:rsidR="0090732C">
        <w:rPr>
          <w:rFonts w:asciiTheme="majorBidi" w:hAnsiTheme="majorBidi" w:cstheme="majorBidi"/>
          <w:sz w:val="24"/>
          <w:szCs w:val="24"/>
        </w:rPr>
        <w:t>include</w:t>
      </w:r>
      <w:r w:rsidR="0090732C"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geopolitical volatility shocks as core components, recognizing their </w:t>
      </w:r>
      <w:r w:rsidR="0090732C">
        <w:rPr>
          <w:rFonts w:asciiTheme="majorBidi" w:hAnsiTheme="majorBidi" w:cstheme="majorBidi"/>
          <w:sz w:val="24"/>
          <w:szCs w:val="24"/>
        </w:rPr>
        <w:t>ability</w:t>
      </w:r>
      <w:r w:rsidR="0090732C" w:rsidRPr="00012F08">
        <w:rPr>
          <w:rFonts w:asciiTheme="majorBidi" w:hAnsiTheme="majorBidi" w:cstheme="majorBidi"/>
          <w:sz w:val="24"/>
          <w:szCs w:val="24"/>
        </w:rPr>
        <w:t xml:space="preserve"> </w:t>
      </w:r>
      <w:r w:rsidRPr="00012F08">
        <w:rPr>
          <w:rFonts w:asciiTheme="majorBidi" w:hAnsiTheme="majorBidi" w:cstheme="majorBidi"/>
          <w:sz w:val="24"/>
          <w:szCs w:val="24"/>
        </w:rPr>
        <w:t>to propagate across asset classes.</w:t>
      </w:r>
    </w:p>
    <w:p w14:paraId="34410DA0" w14:textId="36AF61AD" w:rsidR="00F91B18" w:rsidRPr="00012F08" w:rsidRDefault="00F91B18" w:rsidP="00F91B18">
      <w:pPr>
        <w:pStyle w:val="ListParagraph"/>
        <w:numPr>
          <w:ilvl w:val="0"/>
          <w:numId w:val="21"/>
        </w:numPr>
        <w:bidi w:val="0"/>
        <w:spacing w:line="276" w:lineRule="auto"/>
        <w:jc w:val="both"/>
        <w:rPr>
          <w:rFonts w:asciiTheme="majorBidi" w:hAnsiTheme="majorBidi" w:cstheme="majorBidi"/>
          <w:b/>
          <w:bCs/>
          <w:sz w:val="24"/>
          <w:szCs w:val="24"/>
        </w:rPr>
      </w:pPr>
      <w:proofErr w:type="gramStart"/>
      <w:r w:rsidRPr="00012F08">
        <w:rPr>
          <w:rFonts w:asciiTheme="majorBidi" w:hAnsiTheme="majorBidi" w:cstheme="majorBidi"/>
          <w:b/>
          <w:bCs/>
          <w:sz w:val="24"/>
          <w:szCs w:val="24"/>
        </w:rPr>
        <w:t>Strengthen</w:t>
      </w:r>
      <w:proofErr w:type="gramEnd"/>
      <w:r w:rsidRPr="00012F08">
        <w:rPr>
          <w:rFonts w:asciiTheme="majorBidi" w:hAnsiTheme="majorBidi" w:cstheme="majorBidi"/>
          <w:b/>
          <w:bCs/>
          <w:sz w:val="24"/>
          <w:szCs w:val="24"/>
        </w:rPr>
        <w:t xml:space="preserve"> Commodity Risk Mitigation Frameworks in Resource-Vulnerable Economies</w:t>
      </w:r>
    </w:p>
    <w:p w14:paraId="3EB4712B" w14:textId="427C2F88" w:rsidR="00F91B18" w:rsidRPr="00012F08" w:rsidRDefault="00F91B18" w:rsidP="00F91B18">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Our analysis reveals that gold and oil, while traditionally considered hedging assets, can become transmitters of systemic shocks </w:t>
      </w:r>
      <w:r w:rsidR="0090732C">
        <w:rPr>
          <w:rFonts w:asciiTheme="majorBidi" w:hAnsiTheme="majorBidi" w:cstheme="majorBidi"/>
          <w:sz w:val="24"/>
          <w:szCs w:val="24"/>
        </w:rPr>
        <w:t>during periods of</w:t>
      </w:r>
      <w:r w:rsidR="0090732C"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geopolitical stress. This duality requires international financial institutions, particularly the World Bank and IMF, to support commodity-importing and exporting nations in building institutional hedging mechanisms. Policy tools may include subsidized access to risk management products, expanded use of commodity-linked catastrophe bonds, and the provision of preemptive budget stabilization support through facilities </w:t>
      </w:r>
      <w:r w:rsidR="0090732C">
        <w:rPr>
          <w:rFonts w:asciiTheme="majorBidi" w:hAnsiTheme="majorBidi" w:cstheme="majorBidi"/>
          <w:sz w:val="24"/>
          <w:szCs w:val="24"/>
        </w:rPr>
        <w:t>such as</w:t>
      </w:r>
      <w:r w:rsidR="0090732C" w:rsidRPr="00012F08">
        <w:rPr>
          <w:rFonts w:asciiTheme="majorBidi" w:hAnsiTheme="majorBidi" w:cstheme="majorBidi"/>
          <w:sz w:val="24"/>
          <w:szCs w:val="24"/>
        </w:rPr>
        <w:t xml:space="preserve"> </w:t>
      </w:r>
      <w:r w:rsidRPr="00012F08">
        <w:rPr>
          <w:rFonts w:asciiTheme="majorBidi" w:hAnsiTheme="majorBidi" w:cstheme="majorBidi"/>
          <w:sz w:val="24"/>
          <w:szCs w:val="24"/>
        </w:rPr>
        <w:t>the IMF’s Resilience and Sustainability Trust.</w:t>
      </w:r>
    </w:p>
    <w:p w14:paraId="2B664162" w14:textId="2907F49D" w:rsidR="00F91B18" w:rsidRPr="00012F08" w:rsidRDefault="00F91B18" w:rsidP="00F91B18">
      <w:pPr>
        <w:pStyle w:val="ListParagraph"/>
        <w:numPr>
          <w:ilvl w:val="0"/>
          <w:numId w:val="21"/>
        </w:numPr>
        <w:bidi w:val="0"/>
        <w:spacing w:line="276" w:lineRule="auto"/>
        <w:jc w:val="both"/>
        <w:rPr>
          <w:rFonts w:asciiTheme="majorBidi" w:hAnsiTheme="majorBidi" w:cstheme="majorBidi"/>
          <w:b/>
          <w:bCs/>
          <w:sz w:val="24"/>
          <w:szCs w:val="24"/>
        </w:rPr>
      </w:pPr>
      <w:r w:rsidRPr="00012F08">
        <w:rPr>
          <w:rFonts w:asciiTheme="majorBidi" w:hAnsiTheme="majorBidi" w:cstheme="majorBidi"/>
          <w:b/>
          <w:bCs/>
          <w:sz w:val="24"/>
          <w:szCs w:val="24"/>
        </w:rPr>
        <w:t>Incorporate Geopolitical Spillovers into Sovereign Risk and Lending Assessments</w:t>
      </w:r>
    </w:p>
    <w:p w14:paraId="0CE72060" w14:textId="6D00B6B7" w:rsidR="00F91B18" w:rsidRPr="00012F08" w:rsidRDefault="00F91B18" w:rsidP="00F91B18">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The observed rise of China as a dominant transmitter of shocks implies that financial contagion may increasingly originate from non-traditional sources. Countries with significant exposure to Chinese capital markets, trade, or foreign direct investment (FDI) may face elevated systemic risk even if their domestic fundamentals appear stable. Therefore, </w:t>
      </w:r>
      <w:r w:rsidR="00A673BA">
        <w:rPr>
          <w:rFonts w:asciiTheme="majorBidi" w:hAnsiTheme="majorBidi" w:cstheme="majorBidi"/>
          <w:sz w:val="24"/>
          <w:szCs w:val="24"/>
        </w:rPr>
        <w:t xml:space="preserve">the </w:t>
      </w:r>
      <w:r w:rsidRPr="00012F08">
        <w:rPr>
          <w:rFonts w:asciiTheme="majorBidi" w:hAnsiTheme="majorBidi" w:cstheme="majorBidi"/>
          <w:sz w:val="24"/>
          <w:szCs w:val="24"/>
        </w:rPr>
        <w:t>sovereign risk frameworks used by the IMF, World Bank, and credit rating agencies should account for such second-order contagion pathways in their debt sustainability assessments and program conditionality design</w:t>
      </w:r>
      <w:r w:rsidR="00542548">
        <w:rPr>
          <w:rFonts w:asciiTheme="majorBidi" w:hAnsiTheme="majorBidi" w:cstheme="majorBidi"/>
          <w:sz w:val="24"/>
          <w:szCs w:val="24"/>
        </w:rPr>
        <w:t>s</w:t>
      </w:r>
      <w:r w:rsidRPr="00012F08">
        <w:rPr>
          <w:rFonts w:asciiTheme="majorBidi" w:hAnsiTheme="majorBidi" w:cstheme="majorBidi"/>
          <w:sz w:val="24"/>
          <w:szCs w:val="24"/>
        </w:rPr>
        <w:t xml:space="preserve">. </w:t>
      </w:r>
      <w:r w:rsidR="00542548">
        <w:rPr>
          <w:rFonts w:asciiTheme="majorBidi" w:hAnsiTheme="majorBidi" w:cstheme="majorBidi"/>
          <w:sz w:val="24"/>
          <w:szCs w:val="24"/>
        </w:rPr>
        <w:t xml:space="preserve">Taking these steps </w:t>
      </w:r>
      <w:r w:rsidRPr="00012F08">
        <w:rPr>
          <w:rFonts w:asciiTheme="majorBidi" w:hAnsiTheme="majorBidi" w:cstheme="majorBidi"/>
          <w:sz w:val="24"/>
          <w:szCs w:val="24"/>
        </w:rPr>
        <w:t>would enable more comprehensive risk pricing and improve pre-crisis funding interventions.</w:t>
      </w:r>
    </w:p>
    <w:p w14:paraId="19D1B933" w14:textId="3BA60049" w:rsidR="00F91B18" w:rsidRPr="00012F08" w:rsidRDefault="00F91B18" w:rsidP="00F91B18">
      <w:pPr>
        <w:pStyle w:val="ListParagraph"/>
        <w:numPr>
          <w:ilvl w:val="0"/>
          <w:numId w:val="21"/>
        </w:numPr>
        <w:bidi w:val="0"/>
        <w:spacing w:line="276" w:lineRule="auto"/>
        <w:jc w:val="both"/>
        <w:rPr>
          <w:rFonts w:asciiTheme="majorBidi" w:hAnsiTheme="majorBidi" w:cstheme="majorBidi"/>
          <w:b/>
          <w:bCs/>
          <w:sz w:val="24"/>
          <w:szCs w:val="24"/>
        </w:rPr>
      </w:pPr>
      <w:r w:rsidRPr="00012F08">
        <w:rPr>
          <w:rFonts w:asciiTheme="majorBidi" w:hAnsiTheme="majorBidi" w:cstheme="majorBidi"/>
          <w:b/>
          <w:bCs/>
          <w:sz w:val="24"/>
          <w:szCs w:val="24"/>
        </w:rPr>
        <w:t>Establish a Multilateral Geopolitical Risk Observatory</w:t>
      </w:r>
    </w:p>
    <w:p w14:paraId="1DBAA775" w14:textId="01CF2907" w:rsidR="00F91B18" w:rsidRPr="00012F08" w:rsidRDefault="00F91B18" w:rsidP="00F91B18">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To institutionalize forward-looking geopolitical risk monitoring, we recommend the creation of a "Multilateral Geopolitical Risk Observatory," led jointly by the IMF, World Bank, and BIS. This platform would centralize the tracking of bilateral and multilateral tensions using high-frequency</w:t>
      </w:r>
      <w:r w:rsidR="00542548">
        <w:rPr>
          <w:rFonts w:asciiTheme="majorBidi" w:hAnsiTheme="majorBidi" w:cstheme="majorBidi"/>
          <w:sz w:val="24"/>
          <w:szCs w:val="24"/>
        </w:rPr>
        <w:t>,</w:t>
      </w:r>
      <w:r w:rsidRPr="00012F08">
        <w:rPr>
          <w:rFonts w:asciiTheme="majorBidi" w:hAnsiTheme="majorBidi" w:cstheme="majorBidi"/>
          <w:sz w:val="24"/>
          <w:szCs w:val="24"/>
        </w:rPr>
        <w:t xml:space="preserve"> text-based indices such as the UCT, complemented by geopolitical sentiment analytics and market-based signals </w:t>
      </w:r>
      <w:r w:rsidR="00542548">
        <w:rPr>
          <w:rFonts w:asciiTheme="majorBidi" w:hAnsiTheme="majorBidi" w:cstheme="majorBidi"/>
          <w:sz w:val="24"/>
          <w:szCs w:val="24"/>
        </w:rPr>
        <w:t>such as</w:t>
      </w:r>
      <w:r w:rsidRPr="00012F08">
        <w:rPr>
          <w:rFonts w:asciiTheme="majorBidi" w:hAnsiTheme="majorBidi" w:cstheme="majorBidi"/>
          <w:sz w:val="24"/>
          <w:szCs w:val="24"/>
        </w:rPr>
        <w:t xml:space="preserve"> capital flow reversals or volatility spikes. The Observatory would publish periodic risk dashboards and coordinate scenario planning exercises for use in national and global stress testing.</w:t>
      </w:r>
    </w:p>
    <w:p w14:paraId="1CB6E363" w14:textId="1762D692" w:rsidR="00F91B18" w:rsidRPr="00012F08" w:rsidRDefault="00F91B18" w:rsidP="00F91B18">
      <w:pPr>
        <w:pStyle w:val="ListParagraph"/>
        <w:numPr>
          <w:ilvl w:val="0"/>
          <w:numId w:val="21"/>
        </w:numPr>
        <w:bidi w:val="0"/>
        <w:spacing w:line="276" w:lineRule="auto"/>
        <w:jc w:val="both"/>
        <w:rPr>
          <w:rFonts w:asciiTheme="majorBidi" w:hAnsiTheme="majorBidi" w:cstheme="majorBidi"/>
          <w:b/>
          <w:bCs/>
          <w:sz w:val="24"/>
          <w:szCs w:val="24"/>
        </w:rPr>
      </w:pPr>
      <w:r w:rsidRPr="00012F08">
        <w:rPr>
          <w:rFonts w:asciiTheme="majorBidi" w:hAnsiTheme="majorBidi" w:cstheme="majorBidi"/>
          <w:b/>
          <w:bCs/>
          <w:sz w:val="24"/>
          <w:szCs w:val="24"/>
        </w:rPr>
        <w:t>Promote Crisis Communication Protocols to Dampen Systemic Feedback Loops</w:t>
      </w:r>
    </w:p>
    <w:p w14:paraId="2F3E0310" w14:textId="680CA765" w:rsidR="00F91B18" w:rsidRPr="00012F08" w:rsidRDefault="00F91B18" w:rsidP="00F91B18">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Given the feedback-driven nature of systemic risk in the post-2018 regime, coordinated crisis communication becomes a critical stabilizing tool. The FSB and BIS should encourage central banks and financial regulators to adopt joint messaging strategies during episodes of geopolitical stress, especially when safe-haven flows, gold price spikes, or currency movements threaten to trigger disorderly rebalancing. Liquidity swap lines, multilateral credit backstops, and synchronized policy announcements can help mitigate market overreaction</w:t>
      </w:r>
      <w:r w:rsidR="00542548">
        <w:rPr>
          <w:rFonts w:asciiTheme="majorBidi" w:hAnsiTheme="majorBidi" w:cstheme="majorBidi"/>
          <w:sz w:val="24"/>
          <w:szCs w:val="24"/>
        </w:rPr>
        <w:t>s</w:t>
      </w:r>
      <w:r w:rsidRPr="00012F08">
        <w:rPr>
          <w:rFonts w:asciiTheme="majorBidi" w:hAnsiTheme="majorBidi" w:cstheme="majorBidi"/>
          <w:sz w:val="24"/>
          <w:szCs w:val="24"/>
        </w:rPr>
        <w:t xml:space="preserve"> and reduce contagion risk</w:t>
      </w:r>
      <w:r w:rsidR="00542548">
        <w:rPr>
          <w:rFonts w:asciiTheme="majorBidi" w:hAnsiTheme="majorBidi" w:cstheme="majorBidi"/>
          <w:sz w:val="24"/>
          <w:szCs w:val="24"/>
        </w:rPr>
        <w:t>s</w:t>
      </w:r>
      <w:r w:rsidRPr="00012F08">
        <w:rPr>
          <w:rFonts w:asciiTheme="majorBidi" w:hAnsiTheme="majorBidi" w:cstheme="majorBidi"/>
          <w:sz w:val="24"/>
          <w:szCs w:val="24"/>
        </w:rPr>
        <w:t>.</w:t>
      </w:r>
    </w:p>
    <w:p w14:paraId="79085C31" w14:textId="62B1EC59" w:rsidR="00F91B18" w:rsidRPr="00012F08" w:rsidRDefault="00F91B18" w:rsidP="00F91B18">
      <w:pPr>
        <w:pStyle w:val="ListParagraph"/>
        <w:numPr>
          <w:ilvl w:val="0"/>
          <w:numId w:val="21"/>
        </w:numPr>
        <w:bidi w:val="0"/>
        <w:spacing w:line="276" w:lineRule="auto"/>
        <w:jc w:val="both"/>
        <w:rPr>
          <w:rFonts w:asciiTheme="majorBidi" w:hAnsiTheme="majorBidi" w:cstheme="majorBidi"/>
          <w:b/>
          <w:bCs/>
          <w:sz w:val="24"/>
          <w:szCs w:val="24"/>
        </w:rPr>
      </w:pPr>
      <w:r w:rsidRPr="00012F08">
        <w:rPr>
          <w:rFonts w:asciiTheme="majorBidi" w:hAnsiTheme="majorBidi" w:cstheme="majorBidi"/>
          <w:b/>
          <w:bCs/>
          <w:sz w:val="24"/>
          <w:szCs w:val="24"/>
        </w:rPr>
        <w:t>Build Resilience in Financial Systems Exposed to Geopolitical Contagion</w:t>
      </w:r>
    </w:p>
    <w:p w14:paraId="50C5CCC5" w14:textId="4A0ECE19" w:rsidR="00F91B18" w:rsidRPr="00012F08" w:rsidRDefault="00F91B18" w:rsidP="00F91B18">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Finally, technical assistance programs provided by multilateral development banks should prioritize resilience-building in financial systems with high </w:t>
      </w:r>
      <w:r w:rsidR="00542548">
        <w:rPr>
          <w:rFonts w:asciiTheme="majorBidi" w:hAnsiTheme="majorBidi" w:cstheme="majorBidi"/>
          <w:sz w:val="24"/>
          <w:szCs w:val="24"/>
        </w:rPr>
        <w:t xml:space="preserve">levels of </w:t>
      </w:r>
      <w:r w:rsidRPr="00012F08">
        <w:rPr>
          <w:rFonts w:asciiTheme="majorBidi" w:hAnsiTheme="majorBidi" w:cstheme="majorBidi"/>
          <w:sz w:val="24"/>
          <w:szCs w:val="24"/>
        </w:rPr>
        <w:t xml:space="preserve">geopolitical exposure. These efforts should focus on </w:t>
      </w:r>
      <w:r w:rsidR="00542548">
        <w:rPr>
          <w:rFonts w:asciiTheme="majorBidi" w:hAnsiTheme="majorBidi" w:cstheme="majorBidi"/>
          <w:sz w:val="24"/>
          <w:szCs w:val="24"/>
        </w:rPr>
        <w:t xml:space="preserve">increasing </w:t>
      </w:r>
      <w:r w:rsidRPr="00012F08">
        <w:rPr>
          <w:rFonts w:asciiTheme="majorBidi" w:hAnsiTheme="majorBidi" w:cstheme="majorBidi"/>
          <w:sz w:val="24"/>
          <w:szCs w:val="24"/>
        </w:rPr>
        <w:t xml:space="preserve">capital market depth, </w:t>
      </w:r>
      <w:r w:rsidR="00542548">
        <w:rPr>
          <w:rFonts w:asciiTheme="majorBidi" w:hAnsiTheme="majorBidi" w:cstheme="majorBidi"/>
          <w:sz w:val="24"/>
          <w:szCs w:val="24"/>
        </w:rPr>
        <w:t>promoting</w:t>
      </w:r>
      <w:r w:rsidR="00542548"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exchange rate flexibility, </w:t>
      </w:r>
      <w:r w:rsidR="00542548" w:rsidRPr="00012F08">
        <w:rPr>
          <w:rFonts w:asciiTheme="majorBidi" w:hAnsiTheme="majorBidi" w:cstheme="majorBidi"/>
          <w:sz w:val="24"/>
          <w:szCs w:val="24"/>
        </w:rPr>
        <w:t>improving</w:t>
      </w:r>
      <w:r w:rsidRPr="00012F08">
        <w:rPr>
          <w:rFonts w:asciiTheme="majorBidi" w:hAnsiTheme="majorBidi" w:cstheme="majorBidi"/>
          <w:sz w:val="24"/>
          <w:szCs w:val="24"/>
        </w:rPr>
        <w:t xml:space="preserve"> sovereign risk modeling, and developing domestic volatility insurance markets. Such support should be embedded in broader fiscal and financial sector strategies—particularly in low- and middle-income countries facing rising geopolitical spillovers from </w:t>
      </w:r>
      <w:r w:rsidR="00542548">
        <w:rPr>
          <w:rFonts w:asciiTheme="majorBidi" w:hAnsiTheme="majorBidi" w:cstheme="majorBidi"/>
          <w:sz w:val="24"/>
          <w:szCs w:val="24"/>
        </w:rPr>
        <w:t>the</w:t>
      </w:r>
      <w:r w:rsidRPr="00012F08">
        <w:rPr>
          <w:rFonts w:asciiTheme="majorBidi" w:hAnsiTheme="majorBidi" w:cstheme="majorBidi"/>
          <w:sz w:val="24"/>
          <w:szCs w:val="24"/>
        </w:rPr>
        <w:t xml:space="preserve"> rivalry</w:t>
      </w:r>
      <w:r w:rsidR="00542548">
        <w:rPr>
          <w:rFonts w:asciiTheme="majorBidi" w:hAnsiTheme="majorBidi" w:cstheme="majorBidi"/>
          <w:sz w:val="24"/>
          <w:szCs w:val="24"/>
        </w:rPr>
        <w:t xml:space="preserve"> between stronger powers</w:t>
      </w:r>
      <w:r w:rsidRPr="00012F08">
        <w:rPr>
          <w:rFonts w:asciiTheme="majorBidi" w:hAnsiTheme="majorBidi" w:cstheme="majorBidi"/>
          <w:sz w:val="24"/>
          <w:szCs w:val="24"/>
        </w:rPr>
        <w:t>.</w:t>
      </w:r>
    </w:p>
    <w:p w14:paraId="0D17241E" w14:textId="1BEEB2AD" w:rsidR="00E14CA2" w:rsidRPr="00012F08" w:rsidRDefault="00E14CA2" w:rsidP="00CE110D">
      <w:pPr>
        <w:pStyle w:val="ListParagraph"/>
        <w:numPr>
          <w:ilvl w:val="0"/>
          <w:numId w:val="19"/>
        </w:numPr>
        <w:bidi w:val="0"/>
        <w:spacing w:line="360" w:lineRule="auto"/>
        <w:rPr>
          <w:rFonts w:asciiTheme="majorBidi" w:hAnsiTheme="majorBidi" w:cstheme="majorBidi"/>
          <w:sz w:val="24"/>
          <w:szCs w:val="24"/>
        </w:rPr>
      </w:pPr>
      <w:r w:rsidRPr="00012F08">
        <w:rPr>
          <w:rFonts w:asciiTheme="majorBidi" w:hAnsiTheme="majorBidi" w:cstheme="majorBidi"/>
          <w:b/>
          <w:bCs/>
          <w:sz w:val="24"/>
          <w:szCs w:val="24"/>
        </w:rPr>
        <w:t>Conclusion</w:t>
      </w:r>
    </w:p>
    <w:p w14:paraId="355580B9" w14:textId="384902A5" w:rsidR="001D6C3B" w:rsidRPr="00012F08" w:rsidRDefault="001D6C3B" w:rsidP="001D6C3B">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This paper explores how U.S.–China geopolitical tensions, as captured by the newly developed U.S.–China Tension (UCT) Index, affect the transmission of shocks across global financial markets. Employing a time-varying parameter vector autoregression (TVP-VAR) model, the study quantifies the dynamic connectedness among key financial variables</w:t>
      </w:r>
      <w:r w:rsidR="003B30E2"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including the S&amp;P 500, CSI 300, VIX, USD/CNY exchange rate, </w:t>
      </w:r>
      <w:r w:rsidR="00906B22">
        <w:rPr>
          <w:rFonts w:asciiTheme="majorBidi" w:hAnsiTheme="majorBidi" w:cstheme="majorBidi"/>
          <w:sz w:val="24"/>
          <w:szCs w:val="24"/>
        </w:rPr>
        <w:t>g</w:t>
      </w:r>
      <w:r w:rsidR="00906B22" w:rsidRPr="00012F08">
        <w:rPr>
          <w:rFonts w:asciiTheme="majorBidi" w:hAnsiTheme="majorBidi" w:cstheme="majorBidi"/>
          <w:sz w:val="24"/>
          <w:szCs w:val="24"/>
        </w:rPr>
        <w:t>old</w:t>
      </w:r>
      <w:r w:rsidRPr="00012F08">
        <w:rPr>
          <w:rFonts w:asciiTheme="majorBidi" w:hAnsiTheme="majorBidi" w:cstheme="majorBidi"/>
          <w:sz w:val="24"/>
          <w:szCs w:val="24"/>
        </w:rPr>
        <w:t xml:space="preserve">, and </w:t>
      </w:r>
      <w:r w:rsidR="00906B22">
        <w:rPr>
          <w:rFonts w:asciiTheme="majorBidi" w:hAnsiTheme="majorBidi" w:cstheme="majorBidi"/>
          <w:sz w:val="24"/>
          <w:szCs w:val="24"/>
        </w:rPr>
        <w:t>o</w:t>
      </w:r>
      <w:r w:rsidR="00906B22" w:rsidRPr="00012F08">
        <w:rPr>
          <w:rFonts w:asciiTheme="majorBidi" w:hAnsiTheme="majorBidi" w:cstheme="majorBidi"/>
          <w:sz w:val="24"/>
          <w:szCs w:val="24"/>
        </w:rPr>
        <w:t>il</w:t>
      </w:r>
      <w:r w:rsidR="00906B22">
        <w:rPr>
          <w:rFonts w:asciiTheme="majorBidi" w:hAnsiTheme="majorBidi" w:cstheme="majorBidi"/>
          <w:sz w:val="24"/>
          <w:szCs w:val="24"/>
        </w:rPr>
        <w:t xml:space="preserve"> between</w:t>
      </w:r>
      <w:r w:rsidRPr="00012F08">
        <w:rPr>
          <w:rFonts w:asciiTheme="majorBidi" w:hAnsiTheme="majorBidi" w:cstheme="majorBidi"/>
          <w:sz w:val="24"/>
          <w:szCs w:val="24"/>
        </w:rPr>
        <w:t xml:space="preserve"> 1993</w:t>
      </w:r>
      <w:r w:rsidR="00906B22">
        <w:rPr>
          <w:rFonts w:asciiTheme="majorBidi" w:hAnsiTheme="majorBidi" w:cstheme="majorBidi"/>
          <w:sz w:val="24"/>
          <w:szCs w:val="24"/>
        </w:rPr>
        <w:t xml:space="preserve"> and </w:t>
      </w:r>
      <w:r w:rsidRPr="00012F08">
        <w:rPr>
          <w:rFonts w:asciiTheme="majorBidi" w:hAnsiTheme="majorBidi" w:cstheme="majorBidi"/>
          <w:sz w:val="24"/>
          <w:szCs w:val="24"/>
        </w:rPr>
        <w:t xml:space="preserve">2024. The analysis distinguishes between two </w:t>
      </w:r>
      <w:r w:rsidR="00906B22">
        <w:rPr>
          <w:rFonts w:asciiTheme="majorBidi" w:hAnsiTheme="majorBidi" w:cstheme="majorBidi"/>
          <w:sz w:val="24"/>
          <w:szCs w:val="24"/>
        </w:rPr>
        <w:t>subperiods</w:t>
      </w:r>
      <w:r w:rsidRPr="00012F08">
        <w:rPr>
          <w:rFonts w:asciiTheme="majorBidi" w:hAnsiTheme="majorBidi" w:cstheme="majorBidi"/>
          <w:sz w:val="24"/>
          <w:szCs w:val="24"/>
        </w:rPr>
        <w:t>: the pre-trade war globalization era (1993–2017) and the trade war/post-pandemic period (2018–2024).</w:t>
      </w:r>
    </w:p>
    <w:p w14:paraId="2C37F7C6" w14:textId="7B351594" w:rsidR="001D6C3B" w:rsidRPr="00012F08" w:rsidRDefault="001D6C3B" w:rsidP="001D6C3B">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 xml:space="preserve">The results reveal a marked shift in systemic risk dynamics. During the earlier period, financial spillovers were predominantly market-driven, with the S&amp;P 500, </w:t>
      </w:r>
      <w:r w:rsidR="00906B22">
        <w:rPr>
          <w:rFonts w:asciiTheme="majorBidi" w:hAnsiTheme="majorBidi" w:cstheme="majorBidi"/>
          <w:sz w:val="24"/>
          <w:szCs w:val="24"/>
        </w:rPr>
        <w:t xml:space="preserve">the </w:t>
      </w:r>
      <w:r w:rsidRPr="00012F08">
        <w:rPr>
          <w:rFonts w:asciiTheme="majorBidi" w:hAnsiTheme="majorBidi" w:cstheme="majorBidi"/>
          <w:sz w:val="24"/>
          <w:szCs w:val="24"/>
        </w:rPr>
        <w:t xml:space="preserve">VIX, and </w:t>
      </w:r>
      <w:r w:rsidR="00906B22">
        <w:rPr>
          <w:rFonts w:asciiTheme="majorBidi" w:hAnsiTheme="majorBidi" w:cstheme="majorBidi"/>
          <w:sz w:val="24"/>
          <w:szCs w:val="24"/>
        </w:rPr>
        <w:t>g</w:t>
      </w:r>
      <w:r w:rsidR="00906B22" w:rsidRPr="00012F08">
        <w:rPr>
          <w:rFonts w:asciiTheme="majorBidi" w:hAnsiTheme="majorBidi" w:cstheme="majorBidi"/>
          <w:sz w:val="24"/>
          <w:szCs w:val="24"/>
        </w:rPr>
        <w:t xml:space="preserve">old </w:t>
      </w:r>
      <w:r w:rsidRPr="00012F08">
        <w:rPr>
          <w:rFonts w:asciiTheme="majorBidi" w:hAnsiTheme="majorBidi" w:cstheme="majorBidi"/>
          <w:sz w:val="24"/>
          <w:szCs w:val="24"/>
        </w:rPr>
        <w:t xml:space="preserve">acting as net transmitters of volatility, while the UCT index remained largely passive. In contrast, the post-2018 period shows heightened interconnectedness, with </w:t>
      </w:r>
      <w:r w:rsidR="00906B22">
        <w:rPr>
          <w:rFonts w:asciiTheme="majorBidi" w:hAnsiTheme="majorBidi" w:cstheme="majorBidi"/>
          <w:sz w:val="24"/>
          <w:szCs w:val="24"/>
        </w:rPr>
        <w:t>g</w:t>
      </w:r>
      <w:r w:rsidR="00906B22" w:rsidRPr="00012F08">
        <w:rPr>
          <w:rFonts w:asciiTheme="majorBidi" w:hAnsiTheme="majorBidi" w:cstheme="majorBidi"/>
          <w:sz w:val="24"/>
          <w:szCs w:val="24"/>
        </w:rPr>
        <w:t xml:space="preserve">old </w:t>
      </w:r>
      <w:r w:rsidRPr="00012F08">
        <w:rPr>
          <w:rFonts w:asciiTheme="majorBidi" w:hAnsiTheme="majorBidi" w:cstheme="majorBidi"/>
          <w:sz w:val="24"/>
          <w:szCs w:val="24"/>
        </w:rPr>
        <w:t>and China becoming dominant transmitters of shocks</w:t>
      </w:r>
      <w:r w:rsidR="00906B22">
        <w:rPr>
          <w:rFonts w:asciiTheme="majorBidi" w:hAnsiTheme="majorBidi" w:cstheme="majorBidi"/>
          <w:sz w:val="24"/>
          <w:szCs w:val="24"/>
        </w:rPr>
        <w:t>. During this period,</w:t>
      </w:r>
      <w:r w:rsidR="00906B22" w:rsidRPr="00012F08">
        <w:rPr>
          <w:rFonts w:asciiTheme="majorBidi" w:hAnsiTheme="majorBidi" w:cstheme="majorBidi"/>
          <w:sz w:val="24"/>
          <w:szCs w:val="24"/>
        </w:rPr>
        <w:t xml:space="preserve"> </w:t>
      </w:r>
      <w:r w:rsidRPr="00012F08">
        <w:rPr>
          <w:rFonts w:asciiTheme="majorBidi" w:hAnsiTheme="majorBidi" w:cstheme="majorBidi"/>
          <w:sz w:val="24"/>
          <w:szCs w:val="24"/>
        </w:rPr>
        <w:t>most other variables</w:t>
      </w:r>
      <w:r w:rsidR="003B30E2"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particularly </w:t>
      </w:r>
      <w:proofErr w:type="gramStart"/>
      <w:r w:rsidR="00906B22">
        <w:rPr>
          <w:rFonts w:asciiTheme="majorBidi" w:hAnsiTheme="majorBidi" w:cstheme="majorBidi"/>
          <w:sz w:val="24"/>
          <w:szCs w:val="24"/>
        </w:rPr>
        <w:t xml:space="preserve">the </w:t>
      </w:r>
      <w:r w:rsidRPr="00012F08">
        <w:rPr>
          <w:rFonts w:asciiTheme="majorBidi" w:hAnsiTheme="majorBidi" w:cstheme="majorBidi"/>
          <w:sz w:val="24"/>
          <w:szCs w:val="24"/>
        </w:rPr>
        <w:t>VIX</w:t>
      </w:r>
      <w:proofErr w:type="gramEnd"/>
      <w:r w:rsidRPr="00012F08">
        <w:rPr>
          <w:rFonts w:asciiTheme="majorBidi" w:hAnsiTheme="majorBidi" w:cstheme="majorBidi"/>
          <w:sz w:val="24"/>
          <w:szCs w:val="24"/>
        </w:rPr>
        <w:t xml:space="preserve"> and UCT</w:t>
      </w:r>
      <w:r w:rsidR="003B30E2" w:rsidRPr="00012F08">
        <w:rPr>
          <w:rFonts w:asciiTheme="majorBidi" w:hAnsiTheme="majorBidi" w:cstheme="majorBidi"/>
          <w:sz w:val="24"/>
          <w:szCs w:val="24"/>
        </w:rPr>
        <w:t xml:space="preserve">, </w:t>
      </w:r>
      <w:r w:rsidR="00906B22" w:rsidRPr="00012F08">
        <w:rPr>
          <w:rFonts w:asciiTheme="majorBidi" w:hAnsiTheme="majorBidi" w:cstheme="majorBidi"/>
          <w:sz w:val="24"/>
          <w:szCs w:val="24"/>
        </w:rPr>
        <w:t>act</w:t>
      </w:r>
      <w:r w:rsidR="00906B22">
        <w:rPr>
          <w:rFonts w:asciiTheme="majorBidi" w:hAnsiTheme="majorBidi" w:cstheme="majorBidi"/>
          <w:sz w:val="24"/>
          <w:szCs w:val="24"/>
        </w:rPr>
        <w:t>ed</w:t>
      </w:r>
      <w:r w:rsidR="00906B22"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as net recipients. Notably, </w:t>
      </w:r>
      <w:r w:rsidR="00906B22">
        <w:rPr>
          <w:rFonts w:asciiTheme="majorBidi" w:hAnsiTheme="majorBidi" w:cstheme="majorBidi"/>
          <w:sz w:val="24"/>
          <w:szCs w:val="24"/>
        </w:rPr>
        <w:t>g</w:t>
      </w:r>
      <w:r w:rsidR="00906B22" w:rsidRPr="00012F08">
        <w:rPr>
          <w:rFonts w:asciiTheme="majorBidi" w:hAnsiTheme="majorBidi" w:cstheme="majorBidi"/>
          <w:sz w:val="24"/>
          <w:szCs w:val="24"/>
        </w:rPr>
        <w:t xml:space="preserve">old’s </w:t>
      </w:r>
      <w:r w:rsidRPr="00012F08">
        <w:rPr>
          <w:rFonts w:asciiTheme="majorBidi" w:hAnsiTheme="majorBidi" w:cstheme="majorBidi"/>
          <w:sz w:val="24"/>
          <w:szCs w:val="24"/>
        </w:rPr>
        <w:t xml:space="preserve">transformation from a traditional </w:t>
      </w:r>
      <w:proofErr w:type="gramStart"/>
      <w:r w:rsidRPr="00012F08">
        <w:rPr>
          <w:rFonts w:asciiTheme="majorBidi" w:hAnsiTheme="majorBidi" w:cstheme="majorBidi"/>
          <w:sz w:val="24"/>
          <w:szCs w:val="24"/>
        </w:rPr>
        <w:t>safe haven</w:t>
      </w:r>
      <w:proofErr w:type="gramEnd"/>
      <w:r w:rsidRPr="00012F08">
        <w:rPr>
          <w:rFonts w:asciiTheme="majorBidi" w:hAnsiTheme="majorBidi" w:cstheme="majorBidi"/>
          <w:sz w:val="24"/>
          <w:szCs w:val="24"/>
        </w:rPr>
        <w:t xml:space="preserve"> to a transmitter </w:t>
      </w:r>
      <w:r w:rsidR="00906B22">
        <w:rPr>
          <w:rFonts w:asciiTheme="majorBidi" w:hAnsiTheme="majorBidi" w:cstheme="majorBidi"/>
          <w:sz w:val="24"/>
          <w:szCs w:val="24"/>
        </w:rPr>
        <w:t xml:space="preserve">of </w:t>
      </w:r>
      <w:r w:rsidR="00906B22" w:rsidRPr="00012F08">
        <w:rPr>
          <w:rFonts w:asciiTheme="majorBidi" w:hAnsiTheme="majorBidi" w:cstheme="majorBidi"/>
          <w:sz w:val="24"/>
          <w:szCs w:val="24"/>
        </w:rPr>
        <w:t>shock</w:t>
      </w:r>
      <w:r w:rsidR="00906B22">
        <w:rPr>
          <w:rFonts w:asciiTheme="majorBidi" w:hAnsiTheme="majorBidi" w:cstheme="majorBidi"/>
          <w:sz w:val="24"/>
          <w:szCs w:val="24"/>
        </w:rPr>
        <w:t xml:space="preserve">s </w:t>
      </w:r>
      <w:r w:rsidRPr="00012F08">
        <w:rPr>
          <w:rFonts w:asciiTheme="majorBidi" w:hAnsiTheme="majorBidi" w:cstheme="majorBidi"/>
          <w:sz w:val="24"/>
          <w:szCs w:val="24"/>
        </w:rPr>
        <w:t xml:space="preserve">reflects changing investor behavior </w:t>
      </w:r>
      <w:r w:rsidR="00906B22">
        <w:rPr>
          <w:rFonts w:asciiTheme="majorBidi" w:hAnsiTheme="majorBidi" w:cstheme="majorBidi"/>
          <w:sz w:val="24"/>
          <w:szCs w:val="24"/>
        </w:rPr>
        <w:t>during periods of</w:t>
      </w:r>
      <w:r w:rsidR="00906B22" w:rsidRPr="00012F08">
        <w:rPr>
          <w:rFonts w:asciiTheme="majorBidi" w:hAnsiTheme="majorBidi" w:cstheme="majorBidi"/>
          <w:sz w:val="24"/>
          <w:szCs w:val="24"/>
        </w:rPr>
        <w:t xml:space="preserve"> </w:t>
      </w:r>
      <w:r w:rsidRPr="00012F08">
        <w:rPr>
          <w:rFonts w:asciiTheme="majorBidi" w:hAnsiTheme="majorBidi" w:cstheme="majorBidi"/>
          <w:sz w:val="24"/>
          <w:szCs w:val="24"/>
        </w:rPr>
        <w:t>extreme uncertainty.</w:t>
      </w:r>
    </w:p>
    <w:p w14:paraId="7A29341A" w14:textId="76BE6AFA" w:rsidR="001D6C3B" w:rsidRPr="00012F08" w:rsidRDefault="001D6C3B" w:rsidP="001D6C3B">
      <w:pPr>
        <w:bidi w:val="0"/>
        <w:spacing w:line="276" w:lineRule="auto"/>
        <w:jc w:val="both"/>
        <w:rPr>
          <w:rFonts w:asciiTheme="majorBidi" w:hAnsiTheme="majorBidi" w:cstheme="majorBidi"/>
          <w:sz w:val="24"/>
          <w:szCs w:val="24"/>
        </w:rPr>
      </w:pPr>
      <w:r w:rsidRPr="00012F08">
        <w:rPr>
          <w:rFonts w:asciiTheme="majorBidi" w:hAnsiTheme="majorBidi" w:cstheme="majorBidi"/>
          <w:sz w:val="24"/>
          <w:szCs w:val="24"/>
        </w:rPr>
        <w:t>Dynamic connectedness indices confirm this structural shift</w:t>
      </w:r>
      <w:r w:rsidR="00906B22">
        <w:rPr>
          <w:rFonts w:asciiTheme="majorBidi" w:hAnsiTheme="majorBidi" w:cstheme="majorBidi"/>
          <w:sz w:val="24"/>
          <w:szCs w:val="24"/>
        </w:rPr>
        <w:t>.</w:t>
      </w:r>
      <w:r w:rsidR="00906B22" w:rsidRPr="00012F08">
        <w:rPr>
          <w:rFonts w:asciiTheme="majorBidi" w:hAnsiTheme="majorBidi" w:cstheme="majorBidi"/>
          <w:sz w:val="24"/>
          <w:szCs w:val="24"/>
        </w:rPr>
        <w:t xml:space="preserve"> </w:t>
      </w:r>
      <w:r w:rsidR="003B1C3C">
        <w:rPr>
          <w:rFonts w:asciiTheme="majorBidi" w:hAnsiTheme="majorBidi" w:cstheme="majorBidi"/>
          <w:sz w:val="24"/>
          <w:szCs w:val="24"/>
        </w:rPr>
        <w:t>T</w:t>
      </w:r>
      <w:r w:rsidR="003B1C3C" w:rsidRPr="00012F08">
        <w:rPr>
          <w:rFonts w:asciiTheme="majorBidi" w:hAnsiTheme="majorBidi" w:cstheme="majorBidi"/>
          <w:sz w:val="24"/>
          <w:szCs w:val="24"/>
        </w:rPr>
        <w:t xml:space="preserve">he </w:t>
      </w:r>
      <w:r w:rsidR="003B1C3C">
        <w:rPr>
          <w:rFonts w:asciiTheme="majorBidi" w:hAnsiTheme="majorBidi" w:cstheme="majorBidi"/>
          <w:sz w:val="24"/>
          <w:szCs w:val="24"/>
        </w:rPr>
        <w:t>T</w:t>
      </w:r>
      <w:r w:rsidR="003B1C3C" w:rsidRPr="00012F08">
        <w:rPr>
          <w:rFonts w:asciiTheme="majorBidi" w:hAnsiTheme="majorBidi" w:cstheme="majorBidi"/>
          <w:sz w:val="24"/>
          <w:szCs w:val="24"/>
        </w:rPr>
        <w:t xml:space="preserve">otal </w:t>
      </w:r>
      <w:r w:rsidR="003B1C3C">
        <w:rPr>
          <w:rFonts w:asciiTheme="majorBidi" w:hAnsiTheme="majorBidi" w:cstheme="majorBidi"/>
          <w:sz w:val="24"/>
          <w:szCs w:val="24"/>
        </w:rPr>
        <w:t>C</w:t>
      </w:r>
      <w:r w:rsidR="003B1C3C" w:rsidRPr="00012F08">
        <w:rPr>
          <w:rFonts w:asciiTheme="majorBidi" w:hAnsiTheme="majorBidi" w:cstheme="majorBidi"/>
          <w:sz w:val="24"/>
          <w:szCs w:val="24"/>
        </w:rPr>
        <w:t xml:space="preserve">onnectedness </w:t>
      </w:r>
      <w:r w:rsidR="003B1C3C">
        <w:rPr>
          <w:rFonts w:asciiTheme="majorBidi" w:hAnsiTheme="majorBidi" w:cstheme="majorBidi"/>
          <w:sz w:val="24"/>
          <w:szCs w:val="24"/>
        </w:rPr>
        <w:t>I</w:t>
      </w:r>
      <w:r w:rsidR="003B1C3C" w:rsidRPr="00012F08">
        <w:rPr>
          <w:rFonts w:asciiTheme="majorBidi" w:hAnsiTheme="majorBidi" w:cstheme="majorBidi"/>
          <w:sz w:val="24"/>
          <w:szCs w:val="24"/>
        </w:rPr>
        <w:t xml:space="preserve">ndex </w:t>
      </w:r>
      <w:r w:rsidRPr="00012F08">
        <w:rPr>
          <w:rFonts w:asciiTheme="majorBidi" w:hAnsiTheme="majorBidi" w:cstheme="majorBidi"/>
          <w:sz w:val="24"/>
          <w:szCs w:val="24"/>
        </w:rPr>
        <w:t xml:space="preserve">(TCI) nearly </w:t>
      </w:r>
      <w:r w:rsidR="003B1C3C" w:rsidRPr="00012F08">
        <w:rPr>
          <w:rFonts w:asciiTheme="majorBidi" w:hAnsiTheme="majorBidi" w:cstheme="majorBidi"/>
          <w:sz w:val="24"/>
          <w:szCs w:val="24"/>
        </w:rPr>
        <w:t>quadruple</w:t>
      </w:r>
      <w:r w:rsidR="003B1C3C">
        <w:rPr>
          <w:rFonts w:asciiTheme="majorBidi" w:hAnsiTheme="majorBidi" w:cstheme="majorBidi"/>
          <w:sz w:val="24"/>
          <w:szCs w:val="24"/>
        </w:rPr>
        <w:t>d</w:t>
      </w:r>
      <w:r w:rsidR="003B1C3C" w:rsidRPr="00012F08">
        <w:rPr>
          <w:rFonts w:asciiTheme="majorBidi" w:hAnsiTheme="majorBidi" w:cstheme="majorBidi"/>
          <w:sz w:val="24"/>
          <w:szCs w:val="24"/>
        </w:rPr>
        <w:t xml:space="preserve"> </w:t>
      </w:r>
      <w:r w:rsidRPr="00012F08">
        <w:rPr>
          <w:rFonts w:asciiTheme="majorBidi" w:hAnsiTheme="majorBidi" w:cstheme="majorBidi"/>
          <w:sz w:val="24"/>
          <w:szCs w:val="24"/>
        </w:rPr>
        <w:t xml:space="preserve">in the second </w:t>
      </w:r>
      <w:r w:rsidR="003B1C3C">
        <w:rPr>
          <w:rFonts w:asciiTheme="majorBidi" w:hAnsiTheme="majorBidi" w:cstheme="majorBidi"/>
          <w:sz w:val="24"/>
          <w:szCs w:val="24"/>
        </w:rPr>
        <w:t>sub</w:t>
      </w:r>
      <w:r w:rsidRPr="00012F08">
        <w:rPr>
          <w:rFonts w:asciiTheme="majorBidi" w:hAnsiTheme="majorBidi" w:cstheme="majorBidi"/>
          <w:sz w:val="24"/>
          <w:szCs w:val="24"/>
        </w:rPr>
        <w:t xml:space="preserve">period, indicating a more fragile and interlinked global system. These findings highlight the growing influence of tensions in shaping financial contagion patterns and </w:t>
      </w:r>
      <w:r w:rsidR="003B1C3C">
        <w:rPr>
          <w:rFonts w:asciiTheme="majorBidi" w:hAnsiTheme="majorBidi" w:cstheme="majorBidi"/>
          <w:sz w:val="24"/>
          <w:szCs w:val="24"/>
        </w:rPr>
        <w:t>hav</w:t>
      </w:r>
      <w:r w:rsidR="00591CBB">
        <w:rPr>
          <w:rFonts w:asciiTheme="majorBidi" w:hAnsiTheme="majorBidi" w:cstheme="majorBidi"/>
          <w:sz w:val="24"/>
          <w:szCs w:val="24"/>
        </w:rPr>
        <w:t>e</w:t>
      </w:r>
      <w:r w:rsidR="003B1C3C" w:rsidRPr="00012F08">
        <w:rPr>
          <w:rFonts w:asciiTheme="majorBidi" w:hAnsiTheme="majorBidi" w:cstheme="majorBidi"/>
          <w:sz w:val="24"/>
          <w:szCs w:val="24"/>
        </w:rPr>
        <w:t xml:space="preserve"> </w:t>
      </w:r>
      <w:r w:rsidRPr="00012F08">
        <w:rPr>
          <w:rFonts w:asciiTheme="majorBidi" w:hAnsiTheme="majorBidi" w:cstheme="majorBidi"/>
          <w:sz w:val="24"/>
          <w:szCs w:val="24"/>
        </w:rPr>
        <w:t>important policy implications. Investors and regulators must increasingly consider non-traditional sources</w:t>
      </w:r>
      <w:r w:rsidR="005A777E">
        <w:rPr>
          <w:rFonts w:asciiTheme="majorBidi" w:hAnsiTheme="majorBidi" w:cstheme="majorBidi"/>
          <w:sz w:val="24"/>
          <w:szCs w:val="24"/>
        </w:rPr>
        <w:t xml:space="preserve"> of </w:t>
      </w:r>
      <w:r w:rsidR="005A777E" w:rsidRPr="00012F08">
        <w:rPr>
          <w:rFonts w:asciiTheme="majorBidi" w:hAnsiTheme="majorBidi" w:cstheme="majorBidi"/>
          <w:sz w:val="24"/>
          <w:szCs w:val="24"/>
        </w:rPr>
        <w:t>risk</w:t>
      </w:r>
      <w:r w:rsidRPr="00012F08">
        <w:rPr>
          <w:rFonts w:asciiTheme="majorBidi" w:hAnsiTheme="majorBidi" w:cstheme="majorBidi"/>
          <w:sz w:val="24"/>
          <w:szCs w:val="24"/>
        </w:rPr>
        <w:t>, such as political conflict</w:t>
      </w:r>
      <w:r w:rsidR="00591CBB">
        <w:rPr>
          <w:rFonts w:asciiTheme="majorBidi" w:hAnsiTheme="majorBidi" w:cstheme="majorBidi"/>
          <w:sz w:val="24"/>
          <w:szCs w:val="24"/>
        </w:rPr>
        <w:t>s</w:t>
      </w:r>
      <w:r w:rsidRPr="00012F08">
        <w:rPr>
          <w:rFonts w:asciiTheme="majorBidi" w:hAnsiTheme="majorBidi" w:cstheme="majorBidi"/>
          <w:sz w:val="24"/>
          <w:szCs w:val="24"/>
        </w:rPr>
        <w:t>, in managing systemic risk</w:t>
      </w:r>
      <w:r w:rsidR="003B30E2" w:rsidRPr="00012F08">
        <w:rPr>
          <w:rFonts w:asciiTheme="majorBidi" w:hAnsiTheme="majorBidi" w:cstheme="majorBidi"/>
          <w:sz w:val="24"/>
          <w:szCs w:val="24"/>
        </w:rPr>
        <w:t>.</w:t>
      </w:r>
    </w:p>
    <w:p w14:paraId="72731FEE" w14:textId="77777777" w:rsidR="001D6C3B" w:rsidRPr="00012F08" w:rsidRDefault="001D6C3B" w:rsidP="001D6C3B">
      <w:pPr>
        <w:bidi w:val="0"/>
        <w:spacing w:line="276" w:lineRule="auto"/>
        <w:jc w:val="both"/>
        <w:rPr>
          <w:rFonts w:asciiTheme="majorBidi" w:hAnsiTheme="majorBidi" w:cstheme="majorBidi"/>
          <w:sz w:val="24"/>
          <w:szCs w:val="24"/>
        </w:rPr>
      </w:pPr>
    </w:p>
    <w:p w14:paraId="1F9D4D5A" w14:textId="77777777" w:rsidR="009A1F8C" w:rsidRPr="00012F08" w:rsidRDefault="009A1F8C" w:rsidP="009A1F8C">
      <w:pPr>
        <w:bidi w:val="0"/>
        <w:spacing w:line="276" w:lineRule="auto"/>
        <w:jc w:val="both"/>
        <w:rPr>
          <w:rFonts w:asciiTheme="majorBidi" w:hAnsiTheme="majorBidi" w:cstheme="majorBidi"/>
          <w:sz w:val="24"/>
          <w:szCs w:val="24"/>
        </w:rPr>
      </w:pPr>
    </w:p>
    <w:p w14:paraId="416FA7DC" w14:textId="77777777" w:rsidR="009A1F8C" w:rsidRPr="00012F08" w:rsidRDefault="009A1F8C" w:rsidP="009A1F8C">
      <w:pPr>
        <w:bidi w:val="0"/>
        <w:spacing w:line="276" w:lineRule="auto"/>
        <w:jc w:val="both"/>
        <w:rPr>
          <w:rFonts w:asciiTheme="majorBidi" w:hAnsiTheme="majorBidi" w:cstheme="majorBidi"/>
          <w:sz w:val="24"/>
          <w:szCs w:val="24"/>
        </w:rPr>
      </w:pPr>
    </w:p>
    <w:p w14:paraId="2E712608" w14:textId="77777777" w:rsidR="009A1F8C" w:rsidRPr="00012F08" w:rsidRDefault="009A1F8C" w:rsidP="009A1F8C">
      <w:pPr>
        <w:bidi w:val="0"/>
        <w:spacing w:line="276" w:lineRule="auto"/>
        <w:jc w:val="both"/>
        <w:rPr>
          <w:rFonts w:asciiTheme="majorBidi" w:hAnsiTheme="majorBidi" w:cstheme="majorBidi"/>
          <w:sz w:val="24"/>
          <w:szCs w:val="24"/>
        </w:rPr>
      </w:pPr>
    </w:p>
    <w:p w14:paraId="4485B2D7" w14:textId="77777777" w:rsidR="007B2FF9" w:rsidRPr="00012F08" w:rsidRDefault="007B2FF9" w:rsidP="009A1F8C">
      <w:pPr>
        <w:bidi w:val="0"/>
        <w:spacing w:line="276" w:lineRule="auto"/>
        <w:jc w:val="both"/>
        <w:rPr>
          <w:rFonts w:asciiTheme="majorBidi" w:hAnsiTheme="majorBidi" w:cstheme="majorBidi"/>
          <w:b/>
          <w:bCs/>
          <w:sz w:val="24"/>
          <w:szCs w:val="24"/>
        </w:rPr>
      </w:pPr>
    </w:p>
    <w:p w14:paraId="79091523" w14:textId="77777777" w:rsidR="007B2FF9" w:rsidRPr="00012F08" w:rsidRDefault="007B2FF9" w:rsidP="007B2FF9">
      <w:pPr>
        <w:bidi w:val="0"/>
        <w:spacing w:line="276" w:lineRule="auto"/>
        <w:jc w:val="both"/>
        <w:rPr>
          <w:rFonts w:asciiTheme="majorBidi" w:hAnsiTheme="majorBidi" w:cstheme="majorBidi"/>
          <w:b/>
          <w:bCs/>
          <w:sz w:val="24"/>
          <w:szCs w:val="24"/>
        </w:rPr>
      </w:pPr>
    </w:p>
    <w:p w14:paraId="0C25DD73" w14:textId="77777777" w:rsidR="007B2FF9" w:rsidRPr="00012F08" w:rsidRDefault="007B2FF9" w:rsidP="007B2FF9">
      <w:pPr>
        <w:bidi w:val="0"/>
        <w:spacing w:line="276" w:lineRule="auto"/>
        <w:jc w:val="both"/>
        <w:rPr>
          <w:rFonts w:asciiTheme="majorBidi" w:hAnsiTheme="majorBidi" w:cstheme="majorBidi"/>
          <w:b/>
          <w:bCs/>
          <w:sz w:val="24"/>
          <w:szCs w:val="24"/>
        </w:rPr>
      </w:pPr>
    </w:p>
    <w:p w14:paraId="764D6BB9" w14:textId="77777777" w:rsidR="001D6C3B" w:rsidRPr="00012F08" w:rsidRDefault="001D6C3B">
      <w:pPr>
        <w:bidi w:val="0"/>
        <w:rPr>
          <w:rFonts w:asciiTheme="majorBidi" w:hAnsiTheme="majorBidi" w:cstheme="majorBidi"/>
          <w:b/>
          <w:bCs/>
          <w:sz w:val="24"/>
          <w:szCs w:val="24"/>
        </w:rPr>
      </w:pPr>
      <w:r w:rsidRPr="00012F08">
        <w:rPr>
          <w:rFonts w:asciiTheme="majorBidi" w:hAnsiTheme="majorBidi" w:cstheme="majorBidi"/>
          <w:b/>
          <w:bCs/>
          <w:sz w:val="24"/>
          <w:szCs w:val="24"/>
        </w:rPr>
        <w:br w:type="page"/>
      </w:r>
    </w:p>
    <w:p w14:paraId="5E442AD1" w14:textId="614384E0" w:rsidR="009A1F8C" w:rsidRPr="00012F08" w:rsidRDefault="009A1F8C" w:rsidP="007B2FF9">
      <w:pPr>
        <w:bidi w:val="0"/>
        <w:spacing w:line="276" w:lineRule="auto"/>
        <w:jc w:val="both"/>
        <w:rPr>
          <w:rFonts w:asciiTheme="majorBidi" w:hAnsiTheme="majorBidi" w:cstheme="majorBidi"/>
          <w:b/>
          <w:bCs/>
          <w:sz w:val="24"/>
          <w:szCs w:val="24"/>
        </w:rPr>
      </w:pPr>
      <w:r w:rsidRPr="00012F08">
        <w:rPr>
          <w:rFonts w:asciiTheme="majorBidi" w:hAnsiTheme="majorBidi" w:cstheme="majorBidi"/>
          <w:b/>
          <w:bCs/>
          <w:sz w:val="24"/>
          <w:szCs w:val="24"/>
        </w:rPr>
        <w:t>References</w:t>
      </w:r>
    </w:p>
    <w:p w14:paraId="3CD1EC72" w14:textId="77777777" w:rsidR="00B00E67" w:rsidRPr="00012F08" w:rsidRDefault="00B00E67" w:rsidP="00B00E67">
      <w:pPr>
        <w:bidi w:val="0"/>
        <w:ind w:left="720" w:hanging="720"/>
        <w:jc w:val="both"/>
        <w:rPr>
          <w:rFonts w:asciiTheme="majorBidi" w:hAnsiTheme="majorBidi" w:cstheme="majorBidi"/>
          <w:shd w:val="clear" w:color="auto" w:fill="FFFFFF"/>
        </w:rPr>
      </w:pPr>
      <w:r w:rsidRPr="00012F08">
        <w:rPr>
          <w:rFonts w:asciiTheme="majorBidi" w:hAnsiTheme="majorBidi" w:cstheme="majorBidi"/>
          <w:color w:val="222222"/>
          <w:shd w:val="clear" w:color="auto" w:fill="FFFFFF"/>
        </w:rPr>
        <w:t>Aharon, D. Y., &amp; Demir, E. (2021). NFTs and Asset Class Spillovers: Lessons from the Period around the COVID-19 Pandemic. </w:t>
      </w:r>
      <w:r w:rsidRPr="00012F08">
        <w:rPr>
          <w:rFonts w:asciiTheme="majorBidi" w:hAnsiTheme="majorBidi" w:cstheme="majorBidi"/>
          <w:i/>
          <w:iCs/>
          <w:color w:val="222222"/>
          <w:shd w:val="clear" w:color="auto" w:fill="FFFFFF"/>
        </w:rPr>
        <w:t>Finance Research Letters</w:t>
      </w:r>
      <w:r w:rsidRPr="00012F08">
        <w:rPr>
          <w:rFonts w:asciiTheme="majorBidi" w:hAnsiTheme="majorBidi" w:cstheme="majorBidi"/>
          <w:color w:val="222222"/>
          <w:shd w:val="clear" w:color="auto" w:fill="FFFFFF"/>
        </w:rPr>
        <w:t>, 102515.</w:t>
      </w:r>
      <w:r w:rsidRPr="00012F08">
        <w:rPr>
          <w:rFonts w:asciiTheme="majorBidi" w:hAnsiTheme="majorBidi" w:cstheme="majorBidi"/>
          <w:color w:val="222222"/>
          <w:shd w:val="clear" w:color="auto" w:fill="FFFFFF"/>
          <w:rtl/>
        </w:rPr>
        <w:t>‏</w:t>
      </w:r>
    </w:p>
    <w:p w14:paraId="5C68B55E" w14:textId="77777777" w:rsidR="00B00E67" w:rsidRPr="00012F08" w:rsidRDefault="00B00E67" w:rsidP="00B00E67">
      <w:pPr>
        <w:bidi w:val="0"/>
        <w:ind w:left="720" w:hanging="720"/>
        <w:jc w:val="both"/>
        <w:rPr>
          <w:rFonts w:asciiTheme="majorBidi" w:hAnsiTheme="majorBidi" w:cstheme="majorBidi"/>
          <w:color w:val="222222"/>
          <w:shd w:val="clear" w:color="auto" w:fill="FFFFFF"/>
        </w:rPr>
      </w:pPr>
      <w:r w:rsidRPr="00012F08">
        <w:rPr>
          <w:rFonts w:asciiTheme="majorBidi" w:hAnsiTheme="majorBidi" w:cstheme="majorBidi"/>
          <w:color w:val="222222"/>
          <w:shd w:val="clear" w:color="auto" w:fill="FFFFFF"/>
        </w:rPr>
        <w:t>Aharon, D. Y., Demir, E., &amp; Ersan, O. (2023). Where do tourism tokens travel to and from? </w:t>
      </w:r>
      <w:r w:rsidRPr="00012F08">
        <w:rPr>
          <w:rFonts w:asciiTheme="majorBidi" w:hAnsiTheme="majorBidi" w:cstheme="majorBidi"/>
          <w:i/>
          <w:iCs/>
          <w:color w:val="222222"/>
          <w:shd w:val="clear" w:color="auto" w:fill="FFFFFF"/>
        </w:rPr>
        <w:t>Current Issues in Tourism</w:t>
      </w:r>
      <w:r w:rsidRPr="00012F08">
        <w:rPr>
          <w:rFonts w:asciiTheme="majorBidi" w:hAnsiTheme="majorBidi" w:cstheme="majorBidi"/>
          <w:color w:val="222222"/>
          <w:shd w:val="clear" w:color="auto" w:fill="FFFFFF"/>
        </w:rPr>
        <w:t>, 1-23.</w:t>
      </w:r>
    </w:p>
    <w:p w14:paraId="5C12D726" w14:textId="77777777" w:rsidR="00B00E67" w:rsidRPr="00012F08" w:rsidRDefault="00B00E67" w:rsidP="00B00E67">
      <w:pPr>
        <w:bidi w:val="0"/>
        <w:ind w:left="720" w:hanging="720"/>
        <w:jc w:val="both"/>
        <w:rPr>
          <w:rFonts w:asciiTheme="majorBidi" w:hAnsiTheme="majorBidi" w:cstheme="majorBidi"/>
          <w:color w:val="222222"/>
          <w:shd w:val="clear" w:color="auto" w:fill="FFFFFF"/>
        </w:rPr>
      </w:pPr>
      <w:r w:rsidRPr="00012F08">
        <w:rPr>
          <w:rFonts w:asciiTheme="majorBidi" w:hAnsiTheme="majorBidi" w:cstheme="majorBidi"/>
          <w:color w:val="222222"/>
          <w:shd w:val="clear" w:color="auto" w:fill="FFFFFF"/>
        </w:rPr>
        <w:t>Aharon, D. Y., Umar, Z., &amp; Vo, X. V. (2021). Dynamic spillovers between the term structure of interest rates, bitcoin, and safe-haven currencies. </w:t>
      </w:r>
      <w:r w:rsidRPr="00012F08">
        <w:rPr>
          <w:rFonts w:asciiTheme="majorBidi" w:hAnsiTheme="majorBidi" w:cstheme="majorBidi"/>
          <w:i/>
          <w:iCs/>
          <w:color w:val="222222"/>
          <w:shd w:val="clear" w:color="auto" w:fill="FFFFFF"/>
        </w:rPr>
        <w:t>Financial Innovation</w:t>
      </w:r>
      <w:r w:rsidRPr="00012F08">
        <w:rPr>
          <w:rFonts w:asciiTheme="majorBidi" w:hAnsiTheme="majorBidi" w:cstheme="majorBidi"/>
          <w:color w:val="222222"/>
          <w:shd w:val="clear" w:color="auto" w:fill="FFFFFF"/>
        </w:rPr>
        <w:t>, 7(1), 1-25.</w:t>
      </w:r>
      <w:r w:rsidRPr="00012F08">
        <w:rPr>
          <w:rFonts w:asciiTheme="majorBidi" w:hAnsiTheme="majorBidi" w:cstheme="majorBidi"/>
          <w:color w:val="222222"/>
          <w:shd w:val="clear" w:color="auto" w:fill="FFFFFF"/>
          <w:rtl/>
        </w:rPr>
        <w:t>‏</w:t>
      </w:r>
    </w:p>
    <w:p w14:paraId="2F9FB1ED" w14:textId="77777777" w:rsidR="009B2A05" w:rsidRPr="00012F08" w:rsidRDefault="009B2A05" w:rsidP="009B2A05">
      <w:pPr>
        <w:bidi w:val="0"/>
        <w:ind w:left="720" w:hanging="720"/>
        <w:jc w:val="both"/>
        <w:rPr>
          <w:rFonts w:asciiTheme="majorBidi" w:hAnsiTheme="majorBidi" w:cstheme="majorBidi"/>
          <w:color w:val="222222"/>
          <w:shd w:val="clear" w:color="auto" w:fill="FFFFFF"/>
        </w:rPr>
      </w:pPr>
      <w:r w:rsidRPr="00012F08">
        <w:rPr>
          <w:rFonts w:asciiTheme="majorBidi" w:hAnsiTheme="majorBidi" w:cstheme="majorBidi"/>
          <w:color w:val="222222"/>
          <w:shd w:val="clear" w:color="auto" w:fill="FFFFFF"/>
        </w:rPr>
        <w:t xml:space="preserve">Ali, S., Ijaz, M. S., Yousaf, I., &amp; Li, Y. (2023). Connectedness and portfolio management between renewable energy tokens and metals: Evidence from TVP-VAR approach. </w:t>
      </w:r>
      <w:r w:rsidRPr="00012F08">
        <w:rPr>
          <w:rFonts w:asciiTheme="majorBidi" w:hAnsiTheme="majorBidi" w:cstheme="majorBidi"/>
          <w:i/>
          <w:iCs/>
          <w:color w:val="222222"/>
          <w:shd w:val="clear" w:color="auto" w:fill="FFFFFF"/>
        </w:rPr>
        <w:t>Energy Economics</w:t>
      </w:r>
      <w:r w:rsidRPr="00012F08">
        <w:rPr>
          <w:rFonts w:asciiTheme="majorBidi" w:hAnsiTheme="majorBidi" w:cstheme="majorBidi"/>
          <w:color w:val="222222"/>
          <w:shd w:val="clear" w:color="auto" w:fill="FFFFFF"/>
        </w:rPr>
        <w:t>, 127, 107103.</w:t>
      </w:r>
    </w:p>
    <w:p w14:paraId="173C39D3" w14:textId="724D1303" w:rsidR="009A1F8C" w:rsidRPr="00012F08" w:rsidRDefault="009A1F8C" w:rsidP="00B00E67">
      <w:pPr>
        <w:bidi w:val="0"/>
        <w:ind w:left="720" w:hanging="720"/>
        <w:rPr>
          <w:rFonts w:ascii="Times New Roman" w:hAnsi="Times New Roman" w:cs="Times New Roman"/>
        </w:rPr>
      </w:pPr>
      <w:r w:rsidRPr="00012F08">
        <w:rPr>
          <w:rFonts w:ascii="Times New Roman" w:hAnsi="Times New Roman" w:cs="Times New Roman"/>
        </w:rPr>
        <w:t xml:space="preserve">Antonakakis, N., Gabauer, D. 2017. Refined Measures of Dynamic Connectedness Based on TVP-VAR. </w:t>
      </w:r>
      <w:r w:rsidRPr="00012F08">
        <w:rPr>
          <w:rFonts w:ascii="Times New Roman" w:hAnsi="Times New Roman" w:cs="Times New Roman"/>
          <w:i/>
          <w:iCs/>
        </w:rPr>
        <w:t>Journal of Risk and Financial Management</w:t>
      </w:r>
      <w:r w:rsidRPr="00012F08">
        <w:rPr>
          <w:rFonts w:ascii="Times New Roman" w:hAnsi="Times New Roman" w:cs="Times New Roman"/>
        </w:rPr>
        <w:t xml:space="preserve">, 10(1), 8. </w:t>
      </w:r>
      <w:hyperlink r:id="rId9" w:history="1">
        <w:r w:rsidRPr="00012F08">
          <w:rPr>
            <w:rStyle w:val="Hyperlink"/>
            <w:rFonts w:ascii="Times New Roman" w:hAnsi="Times New Roman" w:cs="Times New Roman"/>
          </w:rPr>
          <w:t>https://doi.org/10.3390/jrfm13040084</w:t>
        </w:r>
      </w:hyperlink>
    </w:p>
    <w:p w14:paraId="71E9567D" w14:textId="77777777" w:rsidR="00903904" w:rsidRPr="00012F08" w:rsidRDefault="00903904" w:rsidP="00903904">
      <w:pPr>
        <w:bidi w:val="0"/>
        <w:ind w:left="720" w:hanging="720"/>
        <w:jc w:val="both"/>
        <w:rPr>
          <w:rFonts w:asciiTheme="majorBidi" w:hAnsiTheme="majorBidi" w:cstheme="majorBidi"/>
          <w:color w:val="222222"/>
          <w:shd w:val="clear" w:color="auto" w:fill="FFFFFF"/>
        </w:rPr>
      </w:pPr>
      <w:r w:rsidRPr="00AA6BB1">
        <w:rPr>
          <w:rFonts w:asciiTheme="majorBidi" w:hAnsiTheme="majorBidi" w:cstheme="majorBidi"/>
          <w:color w:val="222222"/>
          <w:shd w:val="clear" w:color="auto" w:fill="FFFFFF"/>
        </w:rPr>
        <w:t xml:space="preserve">Baur, D. G., &amp; Lucey, B. M. (2010). </w:t>
      </w:r>
      <w:r w:rsidRPr="00012F08">
        <w:rPr>
          <w:rFonts w:asciiTheme="majorBidi" w:hAnsiTheme="majorBidi" w:cstheme="majorBidi"/>
          <w:color w:val="222222"/>
          <w:shd w:val="clear" w:color="auto" w:fill="FFFFFF"/>
        </w:rPr>
        <w:t xml:space="preserve">Is Gold a Hedge or a Safe Haven? An Analysis of Stocks, Bonds and Gold. </w:t>
      </w:r>
      <w:r w:rsidRPr="00012F08">
        <w:rPr>
          <w:rFonts w:asciiTheme="majorBidi" w:hAnsiTheme="majorBidi" w:cstheme="majorBidi"/>
          <w:i/>
          <w:iCs/>
          <w:color w:val="222222"/>
          <w:shd w:val="clear" w:color="auto" w:fill="FFFFFF"/>
        </w:rPr>
        <w:t>Financial Review</w:t>
      </w:r>
      <w:r w:rsidRPr="00012F08">
        <w:rPr>
          <w:rFonts w:asciiTheme="majorBidi" w:hAnsiTheme="majorBidi" w:cstheme="majorBidi"/>
          <w:color w:val="222222"/>
          <w:shd w:val="clear" w:color="auto" w:fill="FFFFFF"/>
        </w:rPr>
        <w:t xml:space="preserve">, 45(2), 217–229. </w:t>
      </w:r>
      <w:hyperlink r:id="rId10" w:history="1">
        <w:r w:rsidRPr="00012F08">
          <w:rPr>
            <w:rStyle w:val="Hyperlink"/>
            <w:rFonts w:asciiTheme="majorBidi" w:hAnsiTheme="majorBidi"/>
            <w:shd w:val="clear" w:color="auto" w:fill="FFFFFF"/>
          </w:rPr>
          <w:t>https://doi.org/10.1111/j.1540-6288.2010.00244.x</w:t>
        </w:r>
      </w:hyperlink>
    </w:p>
    <w:p w14:paraId="7C830314" w14:textId="77777777" w:rsidR="009A1F8C" w:rsidRPr="00674425" w:rsidRDefault="009A1F8C" w:rsidP="009A1F8C">
      <w:pPr>
        <w:bidi w:val="0"/>
        <w:ind w:left="720" w:hanging="720"/>
        <w:rPr>
          <w:rFonts w:ascii="Times New Roman" w:hAnsi="Times New Roman" w:cs="Times New Roman"/>
        </w:rPr>
      </w:pPr>
      <w:r w:rsidRPr="00012F08">
        <w:rPr>
          <w:rFonts w:ascii="Times New Roman" w:hAnsi="Times New Roman" w:cs="Times New Roman"/>
        </w:rPr>
        <w:t xml:space="preserve">Baur, D.G., McDermott, T.K. 2010. Is gold </w:t>
      </w:r>
      <w:proofErr w:type="gramStart"/>
      <w:r w:rsidRPr="00012F08">
        <w:rPr>
          <w:rFonts w:ascii="Times New Roman" w:hAnsi="Times New Roman" w:cs="Times New Roman"/>
        </w:rPr>
        <w:t>a safe haven</w:t>
      </w:r>
      <w:proofErr w:type="gramEnd"/>
      <w:r w:rsidRPr="00012F08">
        <w:rPr>
          <w:rFonts w:ascii="Times New Roman" w:hAnsi="Times New Roman" w:cs="Times New Roman"/>
        </w:rPr>
        <w:t xml:space="preserve">? International evidence. </w:t>
      </w:r>
      <w:r w:rsidRPr="00012F08">
        <w:rPr>
          <w:rFonts w:ascii="Times New Roman" w:hAnsi="Times New Roman" w:cs="Times New Roman"/>
          <w:i/>
          <w:iCs/>
        </w:rPr>
        <w:t>Journal of Banking &amp; Finance,</w:t>
      </w:r>
      <w:r w:rsidRPr="00012F08">
        <w:rPr>
          <w:rFonts w:ascii="Times New Roman" w:hAnsi="Times New Roman" w:cs="Times New Roman"/>
        </w:rPr>
        <w:t xml:space="preserve"> 34(8), 1886–1898. </w:t>
      </w:r>
      <w:hyperlink r:id="rId11" w:history="1">
        <w:r w:rsidRPr="00674425">
          <w:rPr>
            <w:rStyle w:val="Hyperlink"/>
            <w:rFonts w:ascii="Times New Roman" w:hAnsi="Times New Roman" w:cs="Times New Roman"/>
          </w:rPr>
          <w:t>https://doi.org/10.1016/j.jbankfin.2009.12.008</w:t>
        </w:r>
      </w:hyperlink>
      <w:r w:rsidRPr="00674425">
        <w:rPr>
          <w:rFonts w:ascii="Times New Roman" w:hAnsi="Times New Roman" w:cs="Times New Roman"/>
        </w:rPr>
        <w:t xml:space="preserve"> </w:t>
      </w:r>
    </w:p>
    <w:p w14:paraId="6E277080" w14:textId="77777777" w:rsidR="009B2A05" w:rsidRPr="00012F08" w:rsidRDefault="009B2A05" w:rsidP="009B2A05">
      <w:pPr>
        <w:bidi w:val="0"/>
        <w:ind w:left="720" w:hanging="720"/>
        <w:rPr>
          <w:rFonts w:ascii="Times New Roman" w:hAnsi="Times New Roman" w:cs="Times New Roman"/>
        </w:rPr>
      </w:pPr>
      <w:r w:rsidRPr="00012F08">
        <w:rPr>
          <w:rFonts w:ascii="Times New Roman" w:hAnsi="Times New Roman" w:cs="Times New Roman"/>
        </w:rPr>
        <w:t xml:space="preserve">Cai, Y. 2025. </w:t>
      </w:r>
      <w:r w:rsidRPr="00012F08">
        <w:rPr>
          <w:rStyle w:val="Emphasis"/>
          <w:rFonts w:ascii="Times New Roman" w:hAnsi="Times New Roman" w:cs="Times New Roman"/>
          <w:i w:val="0"/>
          <w:iCs w:val="0"/>
        </w:rPr>
        <w:t>US–China tensions, global supply chains pressure, and global economy</w:t>
      </w:r>
      <w:r w:rsidRPr="00012F08">
        <w:rPr>
          <w:rFonts w:ascii="Times New Roman" w:hAnsi="Times New Roman" w:cs="Times New Roman"/>
          <w:i/>
          <w:iCs/>
        </w:rPr>
        <w:t>.</w:t>
      </w:r>
      <w:r w:rsidRPr="00012F08">
        <w:rPr>
          <w:rFonts w:ascii="Times New Roman" w:hAnsi="Times New Roman" w:cs="Times New Roman"/>
        </w:rPr>
        <w:t xml:space="preserve"> </w:t>
      </w:r>
      <w:r w:rsidRPr="00012F08">
        <w:rPr>
          <w:rStyle w:val="Emphasis"/>
          <w:rFonts w:ascii="Times New Roman" w:hAnsi="Times New Roman" w:cs="Times New Roman"/>
        </w:rPr>
        <w:t>Economics Letters</w:t>
      </w:r>
      <w:r w:rsidRPr="00012F08">
        <w:rPr>
          <w:rFonts w:ascii="Times New Roman" w:hAnsi="Times New Roman" w:cs="Times New Roman"/>
        </w:rPr>
        <w:t xml:space="preserve">, April 2025. </w:t>
      </w:r>
      <w:hyperlink r:id="rId12" w:tgtFrame="_blank" w:tooltip="Persistent link using digital object identifier" w:history="1">
        <w:r w:rsidRPr="00012F08">
          <w:rPr>
            <w:rStyle w:val="Hyperlink"/>
            <w:rFonts w:ascii="Times New Roman" w:hAnsi="Times New Roman" w:cs="Times New Roman"/>
          </w:rPr>
          <w:t>https://doi.org/10.1016/j.econlet.2025.112283</w:t>
        </w:r>
      </w:hyperlink>
    </w:p>
    <w:p w14:paraId="491A15A5" w14:textId="51056AAF" w:rsidR="009A1F8C" w:rsidRPr="00012F08" w:rsidRDefault="009A1F8C" w:rsidP="009A1F8C">
      <w:pPr>
        <w:bidi w:val="0"/>
        <w:ind w:left="720" w:hanging="720"/>
        <w:rPr>
          <w:rFonts w:ascii="Times New Roman" w:hAnsi="Times New Roman" w:cs="Times New Roman"/>
        </w:rPr>
      </w:pPr>
      <w:r w:rsidRPr="00012F08">
        <w:rPr>
          <w:rFonts w:ascii="Times New Roman" w:hAnsi="Times New Roman" w:cs="Times New Roman"/>
        </w:rPr>
        <w:t>Caldara, D., Iacoviello, M. 2022. Measuring Geopolitical Risk. </w:t>
      </w:r>
      <w:r w:rsidRPr="00012F08">
        <w:rPr>
          <w:rFonts w:ascii="Times New Roman" w:hAnsi="Times New Roman" w:cs="Times New Roman"/>
          <w:i/>
          <w:iCs/>
        </w:rPr>
        <w:t>American Economic Review</w:t>
      </w:r>
      <w:r w:rsidRPr="00012F08">
        <w:rPr>
          <w:rFonts w:ascii="Times New Roman" w:hAnsi="Times New Roman" w:cs="Times New Roman"/>
        </w:rPr>
        <w:t> 112 (4): 1194–1225</w:t>
      </w:r>
      <w:r w:rsidRPr="00012F08">
        <w:rPr>
          <w:rFonts w:ascii="Times New Roman" w:hAnsi="Times New Roman" w:cs="Times New Roman"/>
          <w:b/>
          <w:bCs/>
        </w:rPr>
        <w:t xml:space="preserve">. </w:t>
      </w:r>
      <w:hyperlink r:id="rId13" w:history="1">
        <w:r w:rsidR="00B00E67" w:rsidRPr="00012F08">
          <w:rPr>
            <w:rStyle w:val="Hyperlink"/>
            <w:rFonts w:ascii="Times New Roman" w:hAnsi="Times New Roman" w:cs="Times New Roman"/>
          </w:rPr>
          <w:t>https://doi.org/10.1257/aer.20191823</w:t>
        </w:r>
      </w:hyperlink>
    </w:p>
    <w:p w14:paraId="07EC5529" w14:textId="77777777" w:rsidR="00B00E67" w:rsidRPr="00012F08" w:rsidRDefault="00B00E67" w:rsidP="00B26E99">
      <w:pPr>
        <w:bidi w:val="0"/>
        <w:spacing w:after="0" w:line="276" w:lineRule="auto"/>
        <w:ind w:left="720" w:hanging="720"/>
        <w:jc w:val="both"/>
        <w:rPr>
          <w:rFonts w:ascii="Times New Roman" w:eastAsia="Times New Roman" w:hAnsi="Times New Roman" w:cs="Times New Roman"/>
        </w:rPr>
      </w:pPr>
      <w:r w:rsidRPr="00012F08">
        <w:rPr>
          <w:rFonts w:ascii="Times New Roman" w:eastAsia="Times New Roman" w:hAnsi="Times New Roman" w:cs="Times New Roman"/>
        </w:rPr>
        <w:t xml:space="preserve">Elsayed, A. H., </w:t>
      </w:r>
      <w:proofErr w:type="spellStart"/>
      <w:r w:rsidRPr="00012F08">
        <w:rPr>
          <w:rFonts w:ascii="Times New Roman" w:eastAsia="Times New Roman" w:hAnsi="Times New Roman" w:cs="Times New Roman"/>
        </w:rPr>
        <w:t>Gozgor</w:t>
      </w:r>
      <w:proofErr w:type="spellEnd"/>
      <w:r w:rsidRPr="00012F08">
        <w:rPr>
          <w:rFonts w:ascii="Times New Roman" w:eastAsia="Times New Roman" w:hAnsi="Times New Roman" w:cs="Times New Roman"/>
        </w:rPr>
        <w:t xml:space="preserve">, G., &amp; Lau, C. K. M. (2022). Risk transmissions between bitcoin and traditional financial assets during the COVID-19 era: The role of global uncertainties. </w:t>
      </w:r>
      <w:r w:rsidRPr="00012F08">
        <w:rPr>
          <w:rFonts w:ascii="Times New Roman" w:eastAsia="Times New Roman" w:hAnsi="Times New Roman" w:cs="Times New Roman"/>
          <w:i/>
          <w:iCs/>
        </w:rPr>
        <w:t>International Review of Financial Analysis</w:t>
      </w:r>
      <w:r w:rsidRPr="00012F08">
        <w:rPr>
          <w:rFonts w:ascii="Times New Roman" w:eastAsia="Times New Roman" w:hAnsi="Times New Roman" w:cs="Times New Roman"/>
        </w:rPr>
        <w:t xml:space="preserve">, 81, 102069. </w:t>
      </w:r>
      <w:hyperlink r:id="rId14" w:history="1">
        <w:r w:rsidRPr="00012F08">
          <w:rPr>
            <w:rStyle w:val="Hyperlink"/>
            <w:rFonts w:ascii="Times New Roman" w:eastAsia="Times New Roman" w:hAnsi="Times New Roman" w:cs="Times New Roman"/>
          </w:rPr>
          <w:t>https://doi.org/10.1016/j.irfa.2022.102069</w:t>
        </w:r>
      </w:hyperlink>
      <w:r w:rsidRPr="00012F08">
        <w:rPr>
          <w:rStyle w:val="Hyperlink"/>
          <w:rFonts w:ascii="Times New Roman" w:eastAsia="Times New Roman" w:hAnsi="Times New Roman" w:cs="Times New Roman"/>
        </w:rPr>
        <w:t>.</w:t>
      </w:r>
    </w:p>
    <w:p w14:paraId="67736B02" w14:textId="77777777" w:rsidR="00B00E67" w:rsidRPr="00012F08" w:rsidRDefault="00B00E67" w:rsidP="00B26E99">
      <w:pPr>
        <w:bidi w:val="0"/>
        <w:spacing w:after="0" w:line="276" w:lineRule="auto"/>
        <w:ind w:left="720" w:hanging="720"/>
        <w:jc w:val="both"/>
        <w:rPr>
          <w:rStyle w:val="Hyperlink"/>
          <w:rFonts w:ascii="Times New Roman" w:eastAsia="Times New Roman" w:hAnsi="Times New Roman" w:cs="Times New Roman"/>
        </w:rPr>
      </w:pPr>
      <w:r w:rsidRPr="00012F08">
        <w:rPr>
          <w:rFonts w:ascii="Times New Roman" w:eastAsia="Times New Roman" w:hAnsi="Times New Roman" w:cs="Times New Roman"/>
        </w:rPr>
        <w:t xml:space="preserve">Ersan, O., Demir, E., &amp; Assaf, A. (2022). Connectedness among fan tokens and stocks of football clubs. </w:t>
      </w:r>
      <w:r w:rsidRPr="00012F08">
        <w:rPr>
          <w:rFonts w:ascii="Times New Roman" w:eastAsia="Times New Roman" w:hAnsi="Times New Roman" w:cs="Times New Roman"/>
          <w:i/>
          <w:iCs/>
        </w:rPr>
        <w:t>Research in International Business and Finance</w:t>
      </w:r>
      <w:r w:rsidRPr="00012F08">
        <w:rPr>
          <w:rFonts w:ascii="Times New Roman" w:eastAsia="Times New Roman" w:hAnsi="Times New Roman" w:cs="Times New Roman"/>
        </w:rPr>
        <w:t xml:space="preserve">, 63, 101780. </w:t>
      </w:r>
      <w:hyperlink r:id="rId15" w:history="1">
        <w:r w:rsidRPr="00012F08">
          <w:rPr>
            <w:rStyle w:val="Hyperlink"/>
            <w:rFonts w:ascii="Times New Roman" w:eastAsia="Times New Roman" w:hAnsi="Times New Roman" w:cs="Times New Roman"/>
          </w:rPr>
          <w:t>https://doi.org/10.1016/j.ribaf.2022.101780</w:t>
        </w:r>
      </w:hyperlink>
      <w:r w:rsidRPr="00012F08">
        <w:rPr>
          <w:rStyle w:val="Hyperlink"/>
          <w:rFonts w:ascii="Times New Roman" w:eastAsia="Times New Roman" w:hAnsi="Times New Roman" w:cs="Times New Roman"/>
        </w:rPr>
        <w:t>.</w:t>
      </w:r>
    </w:p>
    <w:p w14:paraId="47572DB1" w14:textId="77777777" w:rsidR="00B00E67" w:rsidRPr="00012F08" w:rsidRDefault="00B00E67" w:rsidP="00B26E99">
      <w:pPr>
        <w:bidi w:val="0"/>
        <w:spacing w:after="0" w:line="276" w:lineRule="auto"/>
        <w:ind w:left="720" w:hanging="720"/>
        <w:jc w:val="both"/>
        <w:rPr>
          <w:rFonts w:asciiTheme="majorBidi" w:hAnsiTheme="majorBidi" w:cstheme="majorBidi"/>
          <w:color w:val="222222"/>
          <w:shd w:val="clear" w:color="auto" w:fill="FFFFFF"/>
        </w:rPr>
      </w:pPr>
      <w:r w:rsidRPr="00012F08">
        <w:rPr>
          <w:rFonts w:asciiTheme="majorBidi" w:hAnsiTheme="majorBidi" w:cstheme="majorBidi"/>
          <w:color w:val="222222"/>
          <w:shd w:val="clear" w:color="auto" w:fill="FFFFFF"/>
        </w:rPr>
        <w:t>Goodell, J. W., Yadav, M. P., Ruan, J., Abedin, M. Z., &amp; Malhotra, N. (2023). Traditional Assets, Digital Assets and Renewable Energy: Investigating Connectedness during COVID-19 and the Russia-Ukraine war. </w:t>
      </w:r>
      <w:r w:rsidRPr="00012F08">
        <w:rPr>
          <w:rFonts w:asciiTheme="majorBidi" w:hAnsiTheme="majorBidi" w:cstheme="majorBidi"/>
          <w:i/>
          <w:iCs/>
          <w:color w:val="222222"/>
          <w:shd w:val="clear" w:color="auto" w:fill="FFFFFF"/>
        </w:rPr>
        <w:t>Finance Research Letters</w:t>
      </w:r>
      <w:r w:rsidRPr="00012F08">
        <w:rPr>
          <w:rFonts w:asciiTheme="majorBidi" w:hAnsiTheme="majorBidi" w:cstheme="majorBidi"/>
          <w:color w:val="222222"/>
          <w:shd w:val="clear" w:color="auto" w:fill="FFFFFF"/>
        </w:rPr>
        <w:t>, 104323.</w:t>
      </w:r>
    </w:p>
    <w:p w14:paraId="08BD2CB1" w14:textId="77777777" w:rsidR="009A1F8C" w:rsidRPr="00012F08" w:rsidRDefault="009A1F8C" w:rsidP="009A1F8C">
      <w:pPr>
        <w:bidi w:val="0"/>
        <w:ind w:left="720" w:hanging="720"/>
        <w:rPr>
          <w:rFonts w:ascii="Times New Roman" w:hAnsi="Times New Roman" w:cs="Times New Roman"/>
        </w:rPr>
      </w:pPr>
      <w:r w:rsidRPr="00012F08">
        <w:rPr>
          <w:rFonts w:ascii="Times New Roman" w:hAnsi="Times New Roman" w:cs="Times New Roman"/>
        </w:rPr>
        <w:t xml:space="preserve">He, </w:t>
      </w:r>
      <w:proofErr w:type="spellStart"/>
      <w:r w:rsidRPr="00012F08">
        <w:rPr>
          <w:rFonts w:ascii="Times New Roman" w:hAnsi="Times New Roman" w:cs="Times New Roman"/>
        </w:rPr>
        <w:t>Zh</w:t>
      </w:r>
      <w:proofErr w:type="spellEnd"/>
      <w:r w:rsidRPr="00012F08">
        <w:rPr>
          <w:rFonts w:ascii="Times New Roman" w:hAnsi="Times New Roman" w:cs="Times New Roman"/>
        </w:rPr>
        <w:t>. 2023. Geopolitical risks and investor sentiment: Causality and TVP</w:t>
      </w:r>
      <w:r w:rsidRPr="00012F08">
        <w:rPr>
          <w:rFonts w:ascii="Times New Roman" w:hAnsi="Times New Roman" w:cs="Times New Roman"/>
        </w:rPr>
        <w:noBreakHyphen/>
        <w:t xml:space="preserve">VAR analysis. </w:t>
      </w:r>
      <w:r w:rsidRPr="00012F08">
        <w:rPr>
          <w:rFonts w:ascii="Times New Roman" w:hAnsi="Times New Roman" w:cs="Times New Roman"/>
          <w:i/>
          <w:iCs/>
        </w:rPr>
        <w:t>North American Journal of Economics and Finance</w:t>
      </w:r>
      <w:r w:rsidRPr="00012F08">
        <w:rPr>
          <w:rFonts w:ascii="Times New Roman" w:hAnsi="Times New Roman" w:cs="Times New Roman"/>
        </w:rPr>
        <w:t xml:space="preserve">, 67. </w:t>
      </w:r>
      <w:hyperlink r:id="rId16" w:history="1">
        <w:r w:rsidRPr="00012F08">
          <w:rPr>
            <w:rStyle w:val="Hyperlink"/>
            <w:rFonts w:ascii="Times New Roman" w:hAnsi="Times New Roman" w:cs="Times New Roman"/>
          </w:rPr>
          <w:t>https://doi.org/10.1016/j.najef.2023.101947</w:t>
        </w:r>
      </w:hyperlink>
      <w:r w:rsidRPr="00012F08">
        <w:rPr>
          <w:rFonts w:ascii="Times New Roman" w:hAnsi="Times New Roman" w:cs="Times New Roman"/>
        </w:rPr>
        <w:t xml:space="preserve"> </w:t>
      </w:r>
    </w:p>
    <w:p w14:paraId="5C683C4B" w14:textId="77777777" w:rsidR="009A1F8C" w:rsidRPr="00012F08" w:rsidRDefault="009A1F8C" w:rsidP="009A1F8C">
      <w:pPr>
        <w:bidi w:val="0"/>
        <w:ind w:left="720" w:hanging="720"/>
        <w:rPr>
          <w:rFonts w:ascii="Times New Roman" w:hAnsi="Times New Roman" w:cs="Times New Roman"/>
        </w:rPr>
      </w:pPr>
      <w:r w:rsidRPr="00012F08">
        <w:rPr>
          <w:rFonts w:ascii="Times New Roman" w:hAnsi="Times New Roman" w:cs="Times New Roman"/>
        </w:rPr>
        <w:t xml:space="preserve">Jurado, K., Ludvigson, S. C., Ng, S. 2015. Measuring Uncertainty. </w:t>
      </w:r>
      <w:r w:rsidRPr="00012F08">
        <w:rPr>
          <w:rFonts w:ascii="Times New Roman" w:hAnsi="Times New Roman" w:cs="Times New Roman"/>
          <w:i/>
          <w:iCs/>
        </w:rPr>
        <w:t>American Economic Review,</w:t>
      </w:r>
      <w:r w:rsidRPr="00012F08">
        <w:rPr>
          <w:rFonts w:ascii="Times New Roman" w:hAnsi="Times New Roman" w:cs="Times New Roman"/>
        </w:rPr>
        <w:t xml:space="preserve"> 105(3), 1177–1216. </w:t>
      </w:r>
      <w:hyperlink r:id="rId17" w:history="1">
        <w:r w:rsidRPr="00012F08">
          <w:rPr>
            <w:rStyle w:val="Hyperlink"/>
            <w:rFonts w:ascii="Times New Roman" w:hAnsi="Times New Roman" w:cs="Times New Roman"/>
          </w:rPr>
          <w:t>https://doi.org/10.1257/aer.20131193</w:t>
        </w:r>
      </w:hyperlink>
      <w:r w:rsidRPr="00012F08">
        <w:rPr>
          <w:rFonts w:ascii="Times New Roman" w:hAnsi="Times New Roman" w:cs="Times New Roman"/>
        </w:rPr>
        <w:t xml:space="preserve"> </w:t>
      </w:r>
    </w:p>
    <w:p w14:paraId="0AE150AB" w14:textId="77777777" w:rsidR="004909FE" w:rsidRDefault="004909FE" w:rsidP="009A1F8C">
      <w:pPr>
        <w:bidi w:val="0"/>
        <w:ind w:left="720" w:hanging="720"/>
        <w:rPr>
          <w:rStyle w:val="Hyperlink"/>
          <w:rFonts w:ascii="Times New Roman" w:hAnsi="Times New Roman" w:cs="Times New Roman"/>
        </w:rPr>
      </w:pPr>
      <w:r w:rsidRPr="00AA6BB1">
        <w:rPr>
          <w:rFonts w:ascii="Times New Roman" w:hAnsi="Times New Roman" w:cs="Times New Roman"/>
        </w:rPr>
        <w:t xml:space="preserve">Li, S., Chen, H., Chen, G. 2025. </w:t>
      </w:r>
      <w:r w:rsidRPr="00012F08">
        <w:rPr>
          <w:rStyle w:val="Emphasis"/>
          <w:rFonts w:ascii="Times New Roman" w:hAnsi="Times New Roman" w:cs="Times New Roman"/>
          <w:i w:val="0"/>
          <w:iCs w:val="0"/>
        </w:rPr>
        <w:t>The US-China tension and fossil fuel energy price volatility relationship</w:t>
      </w:r>
      <w:r w:rsidRPr="00012F08">
        <w:rPr>
          <w:rFonts w:ascii="Times New Roman" w:hAnsi="Times New Roman" w:cs="Times New Roman"/>
          <w:i/>
          <w:iCs/>
        </w:rPr>
        <w:t xml:space="preserve">. </w:t>
      </w:r>
      <w:r w:rsidRPr="00012F08">
        <w:rPr>
          <w:rStyle w:val="Emphasis"/>
          <w:rFonts w:ascii="Times New Roman" w:hAnsi="Times New Roman" w:cs="Times New Roman"/>
        </w:rPr>
        <w:t>Finance Research Letters</w:t>
      </w:r>
      <w:r w:rsidRPr="00012F08">
        <w:rPr>
          <w:rFonts w:ascii="Times New Roman" w:hAnsi="Times New Roman" w:cs="Times New Roman"/>
        </w:rPr>
        <w:t xml:space="preserve">, March 2025. </w:t>
      </w:r>
      <w:hyperlink r:id="rId18" w:tgtFrame="_blank" w:tooltip="Persistent link using digital object identifier" w:history="1">
        <w:r w:rsidRPr="00012F08">
          <w:rPr>
            <w:rStyle w:val="Hyperlink"/>
            <w:rFonts w:ascii="Times New Roman" w:hAnsi="Times New Roman" w:cs="Times New Roman"/>
          </w:rPr>
          <w:t>https://doi.org/10.1016/j.frl.2024.106707</w:t>
        </w:r>
      </w:hyperlink>
    </w:p>
    <w:p w14:paraId="6D232094" w14:textId="77777777" w:rsidR="004909FE" w:rsidRPr="00AA6BB1" w:rsidRDefault="004909FE" w:rsidP="004909FE">
      <w:pPr>
        <w:bidi w:val="0"/>
        <w:ind w:left="720" w:hanging="720"/>
        <w:rPr>
          <w:rFonts w:ascii="Times New Roman" w:hAnsi="Times New Roman" w:cs="Times New Roman"/>
        </w:rPr>
      </w:pPr>
      <w:r w:rsidRPr="00012F08">
        <w:rPr>
          <w:rFonts w:ascii="Times New Roman" w:hAnsi="Times New Roman" w:cs="Times New Roman"/>
        </w:rPr>
        <w:t xml:space="preserve">Liu, L., </w:t>
      </w:r>
      <w:proofErr w:type="spellStart"/>
      <w:r w:rsidRPr="00012F08">
        <w:rPr>
          <w:rFonts w:ascii="Times New Roman" w:hAnsi="Times New Roman" w:cs="Times New Roman"/>
        </w:rPr>
        <w:t>Gozgor</w:t>
      </w:r>
      <w:proofErr w:type="spellEnd"/>
      <w:r w:rsidRPr="00012F08">
        <w:rPr>
          <w:rFonts w:ascii="Times New Roman" w:hAnsi="Times New Roman" w:cs="Times New Roman"/>
        </w:rPr>
        <w:t xml:space="preserve">, G., Pal, S. 2025. </w:t>
      </w:r>
      <w:r w:rsidRPr="00012F08">
        <w:rPr>
          <w:rStyle w:val="Emphasis"/>
          <w:rFonts w:ascii="Times New Roman" w:hAnsi="Times New Roman" w:cs="Times New Roman"/>
          <w:i w:val="0"/>
          <w:iCs w:val="0"/>
        </w:rPr>
        <w:t>The impact of the US-China tensions on FDI dynamics in emerging economies</w:t>
      </w:r>
      <w:r w:rsidRPr="00012F08">
        <w:rPr>
          <w:rFonts w:ascii="Times New Roman" w:hAnsi="Times New Roman" w:cs="Times New Roman"/>
          <w:i/>
          <w:iCs/>
        </w:rPr>
        <w:t>.</w:t>
      </w:r>
      <w:r w:rsidRPr="00012F08">
        <w:rPr>
          <w:rFonts w:ascii="Times New Roman" w:hAnsi="Times New Roman" w:cs="Times New Roman"/>
        </w:rPr>
        <w:t xml:space="preserve"> </w:t>
      </w:r>
      <w:r w:rsidRPr="00012F08">
        <w:rPr>
          <w:rStyle w:val="Emphasis"/>
          <w:rFonts w:ascii="Times New Roman" w:hAnsi="Times New Roman" w:cs="Times New Roman"/>
        </w:rPr>
        <w:t>Finance Research Letters</w:t>
      </w:r>
      <w:r w:rsidRPr="00012F08">
        <w:rPr>
          <w:rFonts w:ascii="Times New Roman" w:hAnsi="Times New Roman" w:cs="Times New Roman"/>
        </w:rPr>
        <w:t xml:space="preserve">, May 2025. </w:t>
      </w:r>
      <w:hyperlink r:id="rId19" w:tgtFrame="_blank" w:tooltip="Persistent link using digital object identifier" w:history="1">
        <w:r w:rsidRPr="00AA6BB1">
          <w:rPr>
            <w:rStyle w:val="Hyperlink"/>
            <w:rFonts w:ascii="Times New Roman" w:hAnsi="Times New Roman" w:cs="Times New Roman"/>
          </w:rPr>
          <w:t>https://doi.org/10.1016/j.frl.2025.107255</w:t>
        </w:r>
      </w:hyperlink>
      <w:r w:rsidRPr="00AA6BB1">
        <w:rPr>
          <w:rFonts w:ascii="Times New Roman" w:hAnsi="Times New Roman" w:cs="Times New Roman"/>
        </w:rPr>
        <w:t xml:space="preserve"> </w:t>
      </w:r>
    </w:p>
    <w:p w14:paraId="25DDF9B7" w14:textId="1EDFCDA7" w:rsidR="009A1F8C" w:rsidRPr="00012F08" w:rsidRDefault="009A1F8C" w:rsidP="004909FE">
      <w:pPr>
        <w:bidi w:val="0"/>
        <w:ind w:left="720" w:hanging="720"/>
        <w:rPr>
          <w:rFonts w:ascii="Times New Roman" w:hAnsi="Times New Roman" w:cs="Times New Roman"/>
        </w:rPr>
      </w:pPr>
      <w:r w:rsidRPr="00012F08">
        <w:rPr>
          <w:rFonts w:ascii="Times New Roman" w:hAnsi="Times New Roman" w:cs="Times New Roman"/>
        </w:rPr>
        <w:t xml:space="preserve">Liu, X., Zhang, X. 2024. Geopolitical risk and currency returns. </w:t>
      </w:r>
      <w:r w:rsidRPr="00012F08">
        <w:rPr>
          <w:rFonts w:ascii="Times New Roman" w:hAnsi="Times New Roman" w:cs="Times New Roman"/>
          <w:i/>
          <w:iCs/>
        </w:rPr>
        <w:t>Journal of Banking &amp; Finance</w:t>
      </w:r>
      <w:r w:rsidRPr="00012F08">
        <w:rPr>
          <w:rFonts w:ascii="Times New Roman" w:hAnsi="Times New Roman" w:cs="Times New Roman"/>
        </w:rPr>
        <w:t xml:space="preserve">, 161, 107097. </w:t>
      </w:r>
      <w:hyperlink r:id="rId20" w:history="1">
        <w:r w:rsidRPr="00012F08">
          <w:rPr>
            <w:rStyle w:val="Hyperlink"/>
            <w:rFonts w:ascii="Times New Roman" w:hAnsi="Times New Roman" w:cs="Times New Roman"/>
          </w:rPr>
          <w:t>https://doi.org/10.1016/j.jbankfin.2024.107097</w:t>
        </w:r>
      </w:hyperlink>
      <w:r w:rsidRPr="00012F08">
        <w:rPr>
          <w:rFonts w:ascii="Times New Roman" w:hAnsi="Times New Roman" w:cs="Times New Roman"/>
        </w:rPr>
        <w:t xml:space="preserve"> </w:t>
      </w:r>
    </w:p>
    <w:p w14:paraId="49555356" w14:textId="6505F7ED" w:rsidR="009B2A05" w:rsidRPr="00012F08" w:rsidRDefault="009A1F8C" w:rsidP="004909FE">
      <w:pPr>
        <w:bidi w:val="0"/>
        <w:ind w:left="720" w:hanging="720"/>
        <w:rPr>
          <w:rFonts w:ascii="Times New Roman" w:hAnsi="Times New Roman" w:cs="Times New Roman"/>
        </w:rPr>
      </w:pPr>
      <w:r w:rsidRPr="00012F08">
        <w:rPr>
          <w:rFonts w:ascii="Times New Roman" w:hAnsi="Times New Roman" w:cs="Times New Roman"/>
        </w:rPr>
        <w:t xml:space="preserve">Pastor, L., Veronesi, P. 2013. Political uncertainty and risk </w:t>
      </w:r>
      <w:proofErr w:type="gramStart"/>
      <w:r w:rsidRPr="00012F08">
        <w:rPr>
          <w:rFonts w:ascii="Times New Roman" w:hAnsi="Times New Roman" w:cs="Times New Roman"/>
        </w:rPr>
        <w:t>premia</w:t>
      </w:r>
      <w:proofErr w:type="gramEnd"/>
      <w:r w:rsidRPr="00012F08">
        <w:rPr>
          <w:rFonts w:ascii="Times New Roman" w:hAnsi="Times New Roman" w:cs="Times New Roman"/>
        </w:rPr>
        <w:t xml:space="preserve">. </w:t>
      </w:r>
      <w:r w:rsidRPr="00012F08">
        <w:rPr>
          <w:rFonts w:ascii="Times New Roman" w:hAnsi="Times New Roman" w:cs="Times New Roman"/>
          <w:i/>
          <w:iCs/>
        </w:rPr>
        <w:t>Journal of Financial Economics</w:t>
      </w:r>
      <w:r w:rsidRPr="00012F08">
        <w:rPr>
          <w:rFonts w:ascii="Times New Roman" w:hAnsi="Times New Roman" w:cs="Times New Roman"/>
        </w:rPr>
        <w:t xml:space="preserve">, 110(3), 520–545. </w:t>
      </w:r>
      <w:hyperlink r:id="rId21" w:tgtFrame="_blank" w:tooltip="Persistent link using digital object identifier" w:history="1">
        <w:r w:rsidRPr="00012F08">
          <w:rPr>
            <w:rStyle w:val="Hyperlink"/>
            <w:rFonts w:ascii="Times New Roman" w:hAnsi="Times New Roman" w:cs="Times New Roman"/>
          </w:rPr>
          <w:t>https://doi.org/10.1016/j.jfineco.2013.08.007</w:t>
        </w:r>
      </w:hyperlink>
    </w:p>
    <w:p w14:paraId="696AF4F0" w14:textId="77777777" w:rsidR="009B2A05" w:rsidRPr="00012F08" w:rsidRDefault="009B2A05" w:rsidP="009B2A05">
      <w:pPr>
        <w:bidi w:val="0"/>
        <w:ind w:left="720" w:hanging="720"/>
        <w:rPr>
          <w:rFonts w:ascii="Times New Roman" w:hAnsi="Times New Roman" w:cs="Times New Roman"/>
        </w:rPr>
      </w:pPr>
      <w:r w:rsidRPr="00012F08">
        <w:rPr>
          <w:rFonts w:ascii="Times New Roman" w:hAnsi="Times New Roman" w:cs="Times New Roman"/>
        </w:rPr>
        <w:t xml:space="preserve">Peng, C., Deng, H., Xie, J., Liu, X. 2025. </w:t>
      </w:r>
      <w:r w:rsidRPr="00012F08">
        <w:rPr>
          <w:rStyle w:val="Emphasis"/>
          <w:rFonts w:ascii="Times New Roman" w:hAnsi="Times New Roman" w:cs="Times New Roman"/>
          <w:i w:val="0"/>
          <w:iCs w:val="0"/>
        </w:rPr>
        <w:t>US-China Tension and Stock Market Performance in US and China: New Insights from Time-varying Quantile Causality Method</w:t>
      </w:r>
      <w:r w:rsidRPr="00012F08">
        <w:rPr>
          <w:rFonts w:ascii="Times New Roman" w:hAnsi="Times New Roman" w:cs="Times New Roman"/>
          <w:i/>
          <w:iCs/>
        </w:rPr>
        <w:t>.</w:t>
      </w:r>
      <w:r w:rsidRPr="00012F08">
        <w:rPr>
          <w:rFonts w:ascii="Times New Roman" w:hAnsi="Times New Roman" w:cs="Times New Roman"/>
        </w:rPr>
        <w:t xml:space="preserve"> </w:t>
      </w:r>
      <w:r w:rsidRPr="00012F08">
        <w:rPr>
          <w:rStyle w:val="Emphasis"/>
          <w:rFonts w:ascii="Times New Roman" w:hAnsi="Times New Roman" w:cs="Times New Roman"/>
        </w:rPr>
        <w:t>Finance Research Letters</w:t>
      </w:r>
      <w:r w:rsidRPr="00012F08">
        <w:rPr>
          <w:rFonts w:ascii="Times New Roman" w:hAnsi="Times New Roman" w:cs="Times New Roman"/>
        </w:rPr>
        <w:t xml:space="preserve">. </w:t>
      </w:r>
      <w:hyperlink r:id="rId22" w:history="1">
        <w:r w:rsidRPr="00012F08">
          <w:rPr>
            <w:rStyle w:val="Hyperlink"/>
            <w:rFonts w:ascii="Times New Roman" w:hAnsi="Times New Roman" w:cs="Times New Roman"/>
          </w:rPr>
          <w:t>https://doi.org/10.1016/j.frl.2025.107888</w:t>
        </w:r>
      </w:hyperlink>
    </w:p>
    <w:p w14:paraId="47438E34" w14:textId="77777777" w:rsidR="009B2A05" w:rsidRPr="00012F08" w:rsidRDefault="009B2A05" w:rsidP="009B2A05">
      <w:pPr>
        <w:bidi w:val="0"/>
        <w:ind w:left="720" w:hanging="720"/>
        <w:rPr>
          <w:rFonts w:ascii="Times New Roman" w:hAnsi="Times New Roman" w:cs="Times New Roman"/>
        </w:rPr>
      </w:pPr>
      <w:r w:rsidRPr="00012F08">
        <w:rPr>
          <w:rFonts w:ascii="Times New Roman" w:hAnsi="Times New Roman" w:cs="Times New Roman"/>
        </w:rPr>
        <w:t xml:space="preserve">Sha, F., Meng, J., Zheng, X., Jiang, Y. 2025. </w:t>
      </w:r>
      <w:r w:rsidRPr="00012F08">
        <w:rPr>
          <w:rStyle w:val="Emphasis"/>
          <w:rFonts w:ascii="Times New Roman" w:hAnsi="Times New Roman" w:cs="Times New Roman"/>
          <w:i w:val="0"/>
          <w:iCs w:val="0"/>
        </w:rPr>
        <w:t>Sustainability Under Fire: How China-US Tensions Impact Corporate ESG Performance?</w:t>
      </w:r>
      <w:r w:rsidRPr="00012F08">
        <w:rPr>
          <w:rFonts w:ascii="Times New Roman" w:hAnsi="Times New Roman" w:cs="Times New Roman"/>
        </w:rPr>
        <w:t xml:space="preserve"> </w:t>
      </w:r>
      <w:r w:rsidRPr="00012F08">
        <w:rPr>
          <w:rStyle w:val="Emphasis"/>
          <w:rFonts w:ascii="Times New Roman" w:hAnsi="Times New Roman" w:cs="Times New Roman"/>
        </w:rPr>
        <w:t>Finance Research Letters</w:t>
      </w:r>
      <w:r w:rsidRPr="00012F08">
        <w:rPr>
          <w:rFonts w:ascii="Times New Roman" w:hAnsi="Times New Roman" w:cs="Times New Roman"/>
        </w:rPr>
        <w:t xml:space="preserve">. </w:t>
      </w:r>
      <w:hyperlink r:id="rId23" w:history="1">
        <w:r w:rsidRPr="00012F08">
          <w:rPr>
            <w:rStyle w:val="Hyperlink"/>
            <w:rFonts w:ascii="Times New Roman" w:hAnsi="Times New Roman" w:cs="Times New Roman"/>
          </w:rPr>
          <w:t>https://doi.org/10.1016/j.frl.2025.107882</w:t>
        </w:r>
      </w:hyperlink>
    </w:p>
    <w:p w14:paraId="5CDE7962" w14:textId="27E70485" w:rsidR="006E3C88" w:rsidRDefault="009A1F8C" w:rsidP="006E3C88">
      <w:pPr>
        <w:bidi w:val="0"/>
        <w:ind w:left="720" w:hanging="720"/>
        <w:rPr>
          <w:rStyle w:val="Hyperlink"/>
          <w:rFonts w:ascii="Times New Roman" w:hAnsi="Times New Roman" w:cs="Times New Roman"/>
        </w:rPr>
      </w:pPr>
      <w:r w:rsidRPr="00012F08">
        <w:rPr>
          <w:rFonts w:ascii="Times New Roman" w:hAnsi="Times New Roman" w:cs="Times New Roman"/>
        </w:rPr>
        <w:t xml:space="preserve">Umar, Z., </w:t>
      </w:r>
      <w:proofErr w:type="spellStart"/>
      <w:r w:rsidRPr="00012F08">
        <w:rPr>
          <w:rFonts w:ascii="Times New Roman" w:hAnsi="Times New Roman" w:cs="Times New Roman"/>
        </w:rPr>
        <w:t>Gubareva</w:t>
      </w:r>
      <w:proofErr w:type="spellEnd"/>
      <w:r w:rsidRPr="00012F08">
        <w:rPr>
          <w:rFonts w:ascii="Times New Roman" w:hAnsi="Times New Roman" w:cs="Times New Roman"/>
        </w:rPr>
        <w:t xml:space="preserve">, M. 2020. </w:t>
      </w:r>
      <w:hyperlink r:id="rId24" w:history="1">
        <w:r w:rsidRPr="00012F08">
          <w:rPr>
            <w:rFonts w:ascii="Times New Roman" w:hAnsi="Times New Roman" w:cs="Times New Roman"/>
          </w:rPr>
          <w:t>A time–frequency analysis of the impact of the Covid-19 induced panic on the volatility of currency and cryptocurrency markets</w:t>
        </w:r>
      </w:hyperlink>
      <w:r w:rsidRPr="00012F08">
        <w:rPr>
          <w:rFonts w:ascii="Times New Roman" w:hAnsi="Times New Roman" w:cs="Times New Roman"/>
        </w:rPr>
        <w:t>. </w:t>
      </w:r>
      <w:hyperlink r:id="rId25" w:history="1">
        <w:r w:rsidRPr="00012F08">
          <w:rPr>
            <w:rFonts w:ascii="Times New Roman" w:hAnsi="Times New Roman" w:cs="Times New Roman"/>
            <w:i/>
            <w:iCs/>
          </w:rPr>
          <w:t>Journal of Behavioral and Experimental Finance</w:t>
        </w:r>
      </w:hyperlink>
      <w:r w:rsidRPr="00012F08">
        <w:rPr>
          <w:rFonts w:ascii="Times New Roman" w:hAnsi="Times New Roman" w:cs="Times New Roman"/>
          <w:i/>
          <w:iCs/>
        </w:rPr>
        <w:t xml:space="preserve">, </w:t>
      </w:r>
      <w:r w:rsidRPr="00012F08">
        <w:rPr>
          <w:rFonts w:ascii="Times New Roman" w:hAnsi="Times New Roman" w:cs="Times New Roman"/>
        </w:rPr>
        <w:t xml:space="preserve">28(C). </w:t>
      </w:r>
      <w:hyperlink r:id="rId26" w:history="1">
        <w:r w:rsidRPr="00012F08">
          <w:rPr>
            <w:rStyle w:val="Hyperlink"/>
            <w:rFonts w:ascii="Times New Roman" w:hAnsi="Times New Roman" w:cs="Times New Roman"/>
          </w:rPr>
          <w:t>https://doi.org/10.1016/j.jbef.2020.100404</w:t>
        </w:r>
      </w:hyperlink>
    </w:p>
    <w:p w14:paraId="15B8CD6F" w14:textId="77777777" w:rsidR="009B2A05" w:rsidRPr="00012F08" w:rsidRDefault="009B2A05" w:rsidP="009B2A05">
      <w:pPr>
        <w:bidi w:val="0"/>
        <w:spacing w:after="0" w:line="276" w:lineRule="auto"/>
        <w:ind w:left="720" w:hanging="720"/>
        <w:jc w:val="both"/>
        <w:rPr>
          <w:rFonts w:asciiTheme="majorBidi" w:hAnsiTheme="majorBidi" w:cstheme="majorBidi"/>
          <w:shd w:val="clear" w:color="auto" w:fill="FFFFFF"/>
        </w:rPr>
      </w:pPr>
      <w:r w:rsidRPr="00AA6BB1">
        <w:rPr>
          <w:rFonts w:asciiTheme="majorBidi" w:hAnsiTheme="majorBidi" w:cstheme="majorBidi"/>
          <w:shd w:val="clear" w:color="auto" w:fill="FFFFFF"/>
        </w:rPr>
        <w:t xml:space="preserve">Umar, Z., Polat, O., Choi, S.-Y., &amp; </w:t>
      </w:r>
      <w:proofErr w:type="spellStart"/>
      <w:r w:rsidRPr="00AA6BB1">
        <w:rPr>
          <w:rFonts w:asciiTheme="majorBidi" w:hAnsiTheme="majorBidi" w:cstheme="majorBidi"/>
          <w:shd w:val="clear" w:color="auto" w:fill="FFFFFF"/>
        </w:rPr>
        <w:t>Teplova</w:t>
      </w:r>
      <w:proofErr w:type="spellEnd"/>
      <w:r w:rsidRPr="00AA6BB1">
        <w:rPr>
          <w:rFonts w:asciiTheme="majorBidi" w:hAnsiTheme="majorBidi" w:cstheme="majorBidi"/>
          <w:shd w:val="clear" w:color="auto" w:fill="FFFFFF"/>
        </w:rPr>
        <w:t xml:space="preserve">, T. (2022). </w:t>
      </w:r>
      <w:r w:rsidRPr="00012F08">
        <w:rPr>
          <w:rFonts w:asciiTheme="majorBidi" w:hAnsiTheme="majorBidi" w:cstheme="majorBidi"/>
          <w:shd w:val="clear" w:color="auto" w:fill="FFFFFF"/>
        </w:rPr>
        <w:t xml:space="preserve">Dynamic connectedness between non-fungible tokens, decentralized finance, and conventional financial assets in a time-frequency framework. </w:t>
      </w:r>
      <w:r w:rsidRPr="00012F08">
        <w:rPr>
          <w:rFonts w:asciiTheme="majorBidi" w:hAnsiTheme="majorBidi" w:cstheme="majorBidi"/>
          <w:i/>
          <w:iCs/>
          <w:shd w:val="clear" w:color="auto" w:fill="FFFFFF"/>
        </w:rPr>
        <w:t>Pacific-Basin Finance Journal</w:t>
      </w:r>
      <w:r w:rsidRPr="00012F08">
        <w:rPr>
          <w:rFonts w:asciiTheme="majorBidi" w:hAnsiTheme="majorBidi" w:cstheme="majorBidi"/>
          <w:shd w:val="clear" w:color="auto" w:fill="FFFFFF"/>
        </w:rPr>
        <w:t>, 76, 101876. https://doi.org/10.1016/j.pacfin.2022.101876.</w:t>
      </w:r>
    </w:p>
    <w:p w14:paraId="5BB23DD4" w14:textId="230CB66C" w:rsidR="00B02B00" w:rsidRPr="00012F08" w:rsidRDefault="00B02B00" w:rsidP="006E3C88">
      <w:pPr>
        <w:bidi w:val="0"/>
        <w:ind w:left="720" w:hanging="720"/>
        <w:rPr>
          <w:rFonts w:ascii="Times New Roman" w:hAnsi="Times New Roman" w:cs="Times New Roman"/>
        </w:rPr>
      </w:pPr>
      <w:r w:rsidRPr="00012F08">
        <w:rPr>
          <w:rFonts w:asciiTheme="majorBidi" w:hAnsiTheme="majorBidi" w:cstheme="majorBidi"/>
          <w:sz w:val="24"/>
          <w:szCs w:val="24"/>
        </w:rPr>
        <w:br w:type="page"/>
      </w:r>
    </w:p>
    <w:p w14:paraId="7A343E05" w14:textId="77777777"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rPr>
        <w:t>Table 1: Descriptive Statistics</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166"/>
        <w:gridCol w:w="1066"/>
        <w:gridCol w:w="1366"/>
        <w:gridCol w:w="1066"/>
        <w:gridCol w:w="1166"/>
        <w:gridCol w:w="1566"/>
        <w:gridCol w:w="1366"/>
      </w:tblGrid>
      <w:tr w:rsidR="00E338AF" w:rsidRPr="00012F08" w14:paraId="4C50AF9B" w14:textId="77777777" w:rsidTr="00B26E99">
        <w:trPr>
          <w:trHeight w:val="330"/>
        </w:trPr>
        <w:tc>
          <w:tcPr>
            <w:tcW w:w="1105" w:type="dxa"/>
            <w:tcBorders>
              <w:top w:val="single" w:sz="4" w:space="0" w:color="auto"/>
              <w:bottom w:val="single" w:sz="4" w:space="0" w:color="auto"/>
            </w:tcBorders>
          </w:tcPr>
          <w:p w14:paraId="413C3BAE" w14:textId="77777777" w:rsidR="00E338AF" w:rsidRPr="00012F08" w:rsidRDefault="00E338AF" w:rsidP="00E338AF">
            <w:pPr>
              <w:bidi w:val="0"/>
              <w:rPr>
                <w:rFonts w:asciiTheme="majorBidi" w:hAnsiTheme="majorBidi" w:cstheme="majorBidi"/>
                <w:sz w:val="20"/>
              </w:rPr>
            </w:pPr>
          </w:p>
        </w:tc>
        <w:tc>
          <w:tcPr>
            <w:tcW w:w="8762" w:type="dxa"/>
            <w:gridSpan w:val="7"/>
            <w:tcBorders>
              <w:top w:val="single" w:sz="4" w:space="0" w:color="auto"/>
              <w:bottom w:val="single" w:sz="4" w:space="0" w:color="auto"/>
            </w:tcBorders>
          </w:tcPr>
          <w:p w14:paraId="3ECA5169" w14:textId="5526FE14"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 xml:space="preserve">Panel A. </w:t>
            </w:r>
            <w:r w:rsidR="00712A5A">
              <w:rPr>
                <w:rFonts w:asciiTheme="majorBidi" w:hAnsiTheme="majorBidi" w:cstheme="majorBidi"/>
                <w:b/>
                <w:bCs/>
                <w:sz w:val="20"/>
              </w:rPr>
              <w:t xml:space="preserve">Entire </w:t>
            </w:r>
            <w:r w:rsidRPr="00012F08">
              <w:rPr>
                <w:rFonts w:asciiTheme="majorBidi" w:hAnsiTheme="majorBidi" w:cstheme="majorBidi"/>
                <w:b/>
                <w:bCs/>
                <w:sz w:val="20"/>
              </w:rPr>
              <w:t>period</w:t>
            </w:r>
          </w:p>
          <w:p w14:paraId="72A202C2" w14:textId="0AC3CC52" w:rsidR="00E338AF" w:rsidRPr="00012F08" w:rsidRDefault="00986FDB" w:rsidP="00E338AF">
            <w:pPr>
              <w:bidi w:val="0"/>
              <w:jc w:val="center"/>
              <w:rPr>
                <w:rFonts w:asciiTheme="majorBidi" w:hAnsiTheme="majorBidi" w:cstheme="majorBidi"/>
                <w:i/>
                <w:iCs/>
                <w:sz w:val="20"/>
                <w:rtl/>
                <w:lang w:bidi="he-IL"/>
              </w:rPr>
            </w:pPr>
            <w:r w:rsidRPr="00012F08">
              <w:rPr>
                <w:rFonts w:asciiTheme="majorBidi" w:hAnsiTheme="majorBidi" w:cstheme="majorBidi"/>
                <w:b/>
                <w:bCs/>
                <w:sz w:val="20"/>
              </w:rPr>
              <w:t>(Jan 1993 – Feb 2024)</w:t>
            </w:r>
          </w:p>
        </w:tc>
      </w:tr>
      <w:tr w:rsidR="00E338AF" w:rsidRPr="00012F08" w14:paraId="12DB724C" w14:textId="77777777" w:rsidTr="00B26E99">
        <w:trPr>
          <w:trHeight w:val="357"/>
        </w:trPr>
        <w:tc>
          <w:tcPr>
            <w:tcW w:w="1105" w:type="dxa"/>
            <w:tcBorders>
              <w:top w:val="single" w:sz="4" w:space="0" w:color="auto"/>
              <w:bottom w:val="single" w:sz="4" w:space="0" w:color="auto"/>
            </w:tcBorders>
          </w:tcPr>
          <w:p w14:paraId="4E6DB323" w14:textId="77777777" w:rsidR="00E338AF" w:rsidRPr="00012F08" w:rsidRDefault="00E338AF" w:rsidP="00E338AF">
            <w:pPr>
              <w:bidi w:val="0"/>
              <w:rPr>
                <w:rFonts w:asciiTheme="majorBidi" w:hAnsiTheme="majorBidi" w:cstheme="majorBidi"/>
                <w:sz w:val="20"/>
              </w:rPr>
            </w:pPr>
          </w:p>
        </w:tc>
        <w:tc>
          <w:tcPr>
            <w:tcW w:w="1166" w:type="dxa"/>
            <w:tcBorders>
              <w:top w:val="single" w:sz="4" w:space="0" w:color="auto"/>
              <w:bottom w:val="single" w:sz="4" w:space="0" w:color="auto"/>
            </w:tcBorders>
            <w:vAlign w:val="center"/>
          </w:tcPr>
          <w:p w14:paraId="617E19C8" w14:textId="2E1AD61E"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UCT</w:t>
            </w:r>
          </w:p>
        </w:tc>
        <w:tc>
          <w:tcPr>
            <w:tcW w:w="1066" w:type="dxa"/>
            <w:tcBorders>
              <w:top w:val="single" w:sz="4" w:space="0" w:color="auto"/>
              <w:bottom w:val="single" w:sz="4" w:space="0" w:color="auto"/>
            </w:tcBorders>
            <w:vAlign w:val="center"/>
          </w:tcPr>
          <w:p w14:paraId="3DB00637" w14:textId="2EC75728"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S&amp;P</w:t>
            </w:r>
          </w:p>
        </w:tc>
        <w:tc>
          <w:tcPr>
            <w:tcW w:w="1366" w:type="dxa"/>
            <w:tcBorders>
              <w:top w:val="single" w:sz="4" w:space="0" w:color="auto"/>
              <w:bottom w:val="single" w:sz="4" w:space="0" w:color="auto"/>
            </w:tcBorders>
            <w:vAlign w:val="center"/>
          </w:tcPr>
          <w:p w14:paraId="24EB4FC9" w14:textId="07A2E4A6"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CHINA</w:t>
            </w:r>
          </w:p>
        </w:tc>
        <w:tc>
          <w:tcPr>
            <w:tcW w:w="1066" w:type="dxa"/>
            <w:tcBorders>
              <w:top w:val="single" w:sz="4" w:space="0" w:color="auto"/>
              <w:bottom w:val="single" w:sz="4" w:space="0" w:color="auto"/>
            </w:tcBorders>
            <w:vAlign w:val="center"/>
          </w:tcPr>
          <w:p w14:paraId="7260A9C2" w14:textId="6B3ABA0A"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Gold</w:t>
            </w:r>
          </w:p>
        </w:tc>
        <w:tc>
          <w:tcPr>
            <w:tcW w:w="1166" w:type="dxa"/>
            <w:tcBorders>
              <w:top w:val="single" w:sz="4" w:space="0" w:color="auto"/>
              <w:bottom w:val="single" w:sz="4" w:space="0" w:color="auto"/>
            </w:tcBorders>
            <w:vAlign w:val="center"/>
          </w:tcPr>
          <w:p w14:paraId="015D6C38" w14:textId="64D39D4A"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VIX</w:t>
            </w:r>
          </w:p>
        </w:tc>
        <w:tc>
          <w:tcPr>
            <w:tcW w:w="1566" w:type="dxa"/>
            <w:tcBorders>
              <w:top w:val="single" w:sz="4" w:space="0" w:color="auto"/>
              <w:bottom w:val="single" w:sz="4" w:space="0" w:color="auto"/>
            </w:tcBorders>
            <w:vAlign w:val="center"/>
          </w:tcPr>
          <w:p w14:paraId="780D53D1" w14:textId="0A0E0E6C"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USD/CNY</w:t>
            </w:r>
          </w:p>
        </w:tc>
        <w:tc>
          <w:tcPr>
            <w:tcW w:w="1366" w:type="dxa"/>
            <w:tcBorders>
              <w:top w:val="single" w:sz="4" w:space="0" w:color="auto"/>
              <w:bottom w:val="single" w:sz="4" w:space="0" w:color="auto"/>
            </w:tcBorders>
            <w:vAlign w:val="center"/>
          </w:tcPr>
          <w:p w14:paraId="325570F7" w14:textId="785CEF95"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Oil</w:t>
            </w:r>
          </w:p>
        </w:tc>
      </w:tr>
      <w:tr w:rsidR="00B26E99" w:rsidRPr="00012F08" w14:paraId="07A067EB" w14:textId="77777777" w:rsidTr="00B26E99">
        <w:trPr>
          <w:trHeight w:val="330"/>
        </w:trPr>
        <w:tc>
          <w:tcPr>
            <w:tcW w:w="1105" w:type="dxa"/>
            <w:tcBorders>
              <w:top w:val="single" w:sz="4" w:space="0" w:color="auto"/>
            </w:tcBorders>
            <w:vAlign w:val="bottom"/>
          </w:tcPr>
          <w:p w14:paraId="07BC9ACA" w14:textId="5618E68F" w:rsidR="00B26E99" w:rsidRPr="00012F08" w:rsidRDefault="00B26E99" w:rsidP="00B26E99">
            <w:pPr>
              <w:bidi w:val="0"/>
              <w:rPr>
                <w:rFonts w:asciiTheme="majorBidi" w:hAnsiTheme="majorBidi" w:cstheme="majorBidi"/>
                <w:b/>
                <w:bCs/>
                <w:sz w:val="20"/>
              </w:rPr>
            </w:pPr>
            <w:r w:rsidRPr="00012F08">
              <w:rPr>
                <w:rFonts w:asciiTheme="majorBidi" w:hAnsiTheme="majorBidi" w:cstheme="majorBidi"/>
                <w:b/>
                <w:bCs/>
                <w:sz w:val="20"/>
              </w:rPr>
              <w:t>Mean</w:t>
            </w:r>
          </w:p>
        </w:tc>
        <w:tc>
          <w:tcPr>
            <w:tcW w:w="1166" w:type="dxa"/>
            <w:tcBorders>
              <w:top w:val="single" w:sz="4" w:space="0" w:color="auto"/>
            </w:tcBorders>
            <w:vAlign w:val="bottom"/>
          </w:tcPr>
          <w:p w14:paraId="698AEE4E" w14:textId="5DA83D9B"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0.020</w:t>
            </w:r>
          </w:p>
        </w:tc>
        <w:tc>
          <w:tcPr>
            <w:tcW w:w="1066" w:type="dxa"/>
            <w:tcBorders>
              <w:top w:val="single" w:sz="4" w:space="0" w:color="auto"/>
            </w:tcBorders>
            <w:vAlign w:val="bottom"/>
          </w:tcPr>
          <w:p w14:paraId="11E505A6" w14:textId="1A505D72"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0.008</w:t>
            </w:r>
          </w:p>
        </w:tc>
        <w:tc>
          <w:tcPr>
            <w:tcW w:w="1366" w:type="dxa"/>
            <w:tcBorders>
              <w:top w:val="single" w:sz="4" w:space="0" w:color="auto"/>
            </w:tcBorders>
            <w:vAlign w:val="bottom"/>
          </w:tcPr>
          <w:p w14:paraId="1A166695" w14:textId="181D94BD"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0.007</w:t>
            </w:r>
          </w:p>
        </w:tc>
        <w:tc>
          <w:tcPr>
            <w:tcW w:w="1066" w:type="dxa"/>
            <w:tcBorders>
              <w:top w:val="single" w:sz="4" w:space="0" w:color="auto"/>
            </w:tcBorders>
            <w:vAlign w:val="bottom"/>
          </w:tcPr>
          <w:p w14:paraId="686A1B39" w14:textId="41DFE496"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0.006</w:t>
            </w:r>
          </w:p>
        </w:tc>
        <w:tc>
          <w:tcPr>
            <w:tcW w:w="1166" w:type="dxa"/>
            <w:tcBorders>
              <w:top w:val="single" w:sz="4" w:space="0" w:color="auto"/>
            </w:tcBorders>
            <w:vAlign w:val="bottom"/>
          </w:tcPr>
          <w:p w14:paraId="49A34348" w14:textId="455124BC"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0.022</w:t>
            </w:r>
          </w:p>
        </w:tc>
        <w:tc>
          <w:tcPr>
            <w:tcW w:w="1566" w:type="dxa"/>
            <w:tcBorders>
              <w:top w:val="single" w:sz="4" w:space="0" w:color="auto"/>
            </w:tcBorders>
            <w:vAlign w:val="bottom"/>
          </w:tcPr>
          <w:p w14:paraId="1758F860" w14:textId="54FB1CC2"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0.001</w:t>
            </w:r>
          </w:p>
        </w:tc>
        <w:tc>
          <w:tcPr>
            <w:tcW w:w="1366" w:type="dxa"/>
            <w:tcBorders>
              <w:top w:val="single" w:sz="4" w:space="0" w:color="auto"/>
            </w:tcBorders>
            <w:vAlign w:val="bottom"/>
          </w:tcPr>
          <w:p w14:paraId="4B3D3ED6" w14:textId="408B1DDC"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0.009</w:t>
            </w:r>
          </w:p>
        </w:tc>
      </w:tr>
      <w:tr w:rsidR="00B26E99" w:rsidRPr="00012F08" w14:paraId="574E18F9" w14:textId="77777777" w:rsidTr="00B26E99">
        <w:trPr>
          <w:trHeight w:val="357"/>
        </w:trPr>
        <w:tc>
          <w:tcPr>
            <w:tcW w:w="1105" w:type="dxa"/>
            <w:vAlign w:val="bottom"/>
          </w:tcPr>
          <w:p w14:paraId="2FBF637C" w14:textId="227518B4" w:rsidR="00B26E99" w:rsidRPr="00012F08" w:rsidRDefault="00B26E99" w:rsidP="00B26E99">
            <w:pPr>
              <w:bidi w:val="0"/>
              <w:rPr>
                <w:rFonts w:asciiTheme="majorBidi" w:hAnsiTheme="majorBidi" w:cstheme="majorBidi"/>
                <w:b/>
                <w:bCs/>
                <w:sz w:val="20"/>
              </w:rPr>
            </w:pPr>
            <w:r w:rsidRPr="00012F08">
              <w:rPr>
                <w:rFonts w:asciiTheme="majorBidi" w:hAnsiTheme="majorBidi" w:cstheme="majorBidi"/>
                <w:b/>
                <w:bCs/>
                <w:sz w:val="20"/>
              </w:rPr>
              <w:t>Median</w:t>
            </w:r>
          </w:p>
        </w:tc>
        <w:tc>
          <w:tcPr>
            <w:tcW w:w="1166" w:type="dxa"/>
            <w:vAlign w:val="bottom"/>
          </w:tcPr>
          <w:p w14:paraId="5C585FF7" w14:textId="34056387"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0.005</w:t>
            </w:r>
          </w:p>
        </w:tc>
        <w:tc>
          <w:tcPr>
            <w:tcW w:w="1066" w:type="dxa"/>
            <w:vAlign w:val="bottom"/>
          </w:tcPr>
          <w:p w14:paraId="4566715A" w14:textId="4DC80D61"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0.012</w:t>
            </w:r>
          </w:p>
        </w:tc>
        <w:tc>
          <w:tcPr>
            <w:tcW w:w="1366" w:type="dxa"/>
            <w:vAlign w:val="bottom"/>
          </w:tcPr>
          <w:p w14:paraId="061775BF" w14:textId="0EB62C31"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0.003</w:t>
            </w:r>
          </w:p>
        </w:tc>
        <w:tc>
          <w:tcPr>
            <w:tcW w:w="1066" w:type="dxa"/>
            <w:vAlign w:val="bottom"/>
          </w:tcPr>
          <w:p w14:paraId="4D0CD104" w14:textId="7DCA0121"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0.000</w:t>
            </w:r>
          </w:p>
        </w:tc>
        <w:tc>
          <w:tcPr>
            <w:tcW w:w="1166" w:type="dxa"/>
            <w:vAlign w:val="bottom"/>
          </w:tcPr>
          <w:p w14:paraId="7FBB5BDE" w14:textId="499A4B12"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-0.006</w:t>
            </w:r>
          </w:p>
        </w:tc>
        <w:tc>
          <w:tcPr>
            <w:tcW w:w="1566" w:type="dxa"/>
            <w:vAlign w:val="bottom"/>
          </w:tcPr>
          <w:p w14:paraId="51C0568C" w14:textId="3F3EC396"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0.000</w:t>
            </w:r>
          </w:p>
        </w:tc>
        <w:tc>
          <w:tcPr>
            <w:tcW w:w="1366" w:type="dxa"/>
            <w:vAlign w:val="bottom"/>
          </w:tcPr>
          <w:p w14:paraId="5AC51F49" w14:textId="65E2275C"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0.012</w:t>
            </w:r>
          </w:p>
        </w:tc>
      </w:tr>
      <w:tr w:rsidR="00B26E99" w:rsidRPr="00012F08" w14:paraId="7132486F" w14:textId="77777777" w:rsidTr="00B26E99">
        <w:trPr>
          <w:trHeight w:val="330"/>
        </w:trPr>
        <w:tc>
          <w:tcPr>
            <w:tcW w:w="1105" w:type="dxa"/>
            <w:vAlign w:val="bottom"/>
          </w:tcPr>
          <w:p w14:paraId="6A20E00C" w14:textId="0555F657" w:rsidR="00B26E99" w:rsidRPr="00012F08" w:rsidRDefault="00B26E99" w:rsidP="00B26E99">
            <w:pPr>
              <w:bidi w:val="0"/>
              <w:rPr>
                <w:rFonts w:asciiTheme="majorBidi" w:hAnsiTheme="majorBidi" w:cstheme="majorBidi"/>
                <w:b/>
                <w:bCs/>
                <w:sz w:val="20"/>
              </w:rPr>
            </w:pPr>
            <w:r w:rsidRPr="00012F08">
              <w:rPr>
                <w:rFonts w:asciiTheme="majorBidi" w:hAnsiTheme="majorBidi" w:cstheme="majorBidi"/>
                <w:b/>
                <w:bCs/>
                <w:sz w:val="20"/>
              </w:rPr>
              <w:t>Maximum</w:t>
            </w:r>
          </w:p>
        </w:tc>
        <w:tc>
          <w:tcPr>
            <w:tcW w:w="1166" w:type="dxa"/>
            <w:vAlign w:val="bottom"/>
          </w:tcPr>
          <w:p w14:paraId="0A40132A" w14:textId="300CD468"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1.390</w:t>
            </w:r>
          </w:p>
        </w:tc>
        <w:tc>
          <w:tcPr>
            <w:tcW w:w="1066" w:type="dxa"/>
            <w:vAlign w:val="bottom"/>
          </w:tcPr>
          <w:p w14:paraId="572BEDD3" w14:textId="773D6767"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0.127</w:t>
            </w:r>
          </w:p>
        </w:tc>
        <w:tc>
          <w:tcPr>
            <w:tcW w:w="1366" w:type="dxa"/>
            <w:vAlign w:val="bottom"/>
          </w:tcPr>
          <w:p w14:paraId="4B4FA100" w14:textId="09B4E184"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1.352</w:t>
            </w:r>
          </w:p>
        </w:tc>
        <w:tc>
          <w:tcPr>
            <w:tcW w:w="1066" w:type="dxa"/>
            <w:vAlign w:val="bottom"/>
          </w:tcPr>
          <w:p w14:paraId="48E065AD" w14:textId="7B3C4B9B"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0.172</w:t>
            </w:r>
          </w:p>
        </w:tc>
        <w:tc>
          <w:tcPr>
            <w:tcW w:w="1166" w:type="dxa"/>
            <w:vAlign w:val="bottom"/>
          </w:tcPr>
          <w:p w14:paraId="63A96E2B" w14:textId="532D8486"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1.346</w:t>
            </w:r>
          </w:p>
        </w:tc>
        <w:tc>
          <w:tcPr>
            <w:tcW w:w="1566" w:type="dxa"/>
            <w:vAlign w:val="bottom"/>
          </w:tcPr>
          <w:p w14:paraId="75F45D08" w14:textId="1441F567"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0.500</w:t>
            </w:r>
          </w:p>
        </w:tc>
        <w:tc>
          <w:tcPr>
            <w:tcW w:w="1366" w:type="dxa"/>
            <w:vAlign w:val="bottom"/>
          </w:tcPr>
          <w:p w14:paraId="3AA1EDF3" w14:textId="41703966"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0.884</w:t>
            </w:r>
          </w:p>
        </w:tc>
      </w:tr>
      <w:tr w:rsidR="00B26E99" w:rsidRPr="00012F08" w14:paraId="37DD1AA4" w14:textId="77777777" w:rsidTr="00B26E99">
        <w:trPr>
          <w:trHeight w:val="357"/>
        </w:trPr>
        <w:tc>
          <w:tcPr>
            <w:tcW w:w="1105" w:type="dxa"/>
            <w:vAlign w:val="bottom"/>
          </w:tcPr>
          <w:p w14:paraId="3609D99E" w14:textId="756BF5F1" w:rsidR="00B26E99" w:rsidRPr="00012F08" w:rsidRDefault="00B26E99" w:rsidP="00B26E99">
            <w:pPr>
              <w:bidi w:val="0"/>
              <w:rPr>
                <w:rFonts w:asciiTheme="majorBidi" w:hAnsiTheme="majorBidi" w:cstheme="majorBidi"/>
                <w:b/>
                <w:bCs/>
                <w:sz w:val="20"/>
              </w:rPr>
            </w:pPr>
            <w:r w:rsidRPr="00012F08">
              <w:rPr>
                <w:rFonts w:asciiTheme="majorBidi" w:hAnsiTheme="majorBidi" w:cstheme="majorBidi"/>
                <w:b/>
                <w:bCs/>
                <w:sz w:val="20"/>
              </w:rPr>
              <w:t>Minimum</w:t>
            </w:r>
          </w:p>
        </w:tc>
        <w:tc>
          <w:tcPr>
            <w:tcW w:w="1166" w:type="dxa"/>
            <w:vAlign w:val="bottom"/>
          </w:tcPr>
          <w:p w14:paraId="32EE5DF6" w14:textId="0956D4C0"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-0.609</w:t>
            </w:r>
          </w:p>
        </w:tc>
        <w:tc>
          <w:tcPr>
            <w:tcW w:w="1066" w:type="dxa"/>
            <w:vAlign w:val="bottom"/>
          </w:tcPr>
          <w:p w14:paraId="7D977EDB" w14:textId="632C834B"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-0.169</w:t>
            </w:r>
          </w:p>
        </w:tc>
        <w:tc>
          <w:tcPr>
            <w:tcW w:w="1366" w:type="dxa"/>
            <w:vAlign w:val="bottom"/>
          </w:tcPr>
          <w:p w14:paraId="37EA8541" w14:textId="3DB5C144"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-0.312</w:t>
            </w:r>
          </w:p>
        </w:tc>
        <w:tc>
          <w:tcPr>
            <w:tcW w:w="1066" w:type="dxa"/>
            <w:vAlign w:val="bottom"/>
          </w:tcPr>
          <w:p w14:paraId="3B06E575" w14:textId="00C43290"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-0.168</w:t>
            </w:r>
          </w:p>
        </w:tc>
        <w:tc>
          <w:tcPr>
            <w:tcW w:w="1166" w:type="dxa"/>
            <w:vAlign w:val="bottom"/>
          </w:tcPr>
          <w:p w14:paraId="129D80FD" w14:textId="01D45E29"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-0.459</w:t>
            </w:r>
          </w:p>
        </w:tc>
        <w:tc>
          <w:tcPr>
            <w:tcW w:w="1566" w:type="dxa"/>
            <w:vAlign w:val="bottom"/>
          </w:tcPr>
          <w:p w14:paraId="3F6A2853" w14:textId="4B2D05F0"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-0.034</w:t>
            </w:r>
          </w:p>
        </w:tc>
        <w:tc>
          <w:tcPr>
            <w:tcW w:w="1366" w:type="dxa"/>
            <w:vAlign w:val="bottom"/>
          </w:tcPr>
          <w:p w14:paraId="6699DDC1" w14:textId="1949B2A0"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-0.542</w:t>
            </w:r>
          </w:p>
        </w:tc>
      </w:tr>
      <w:tr w:rsidR="00B26E99" w:rsidRPr="00012F08" w14:paraId="45FA7C34" w14:textId="77777777" w:rsidTr="00B26E99">
        <w:trPr>
          <w:trHeight w:val="357"/>
        </w:trPr>
        <w:tc>
          <w:tcPr>
            <w:tcW w:w="1105" w:type="dxa"/>
            <w:vAlign w:val="bottom"/>
          </w:tcPr>
          <w:p w14:paraId="3853E423" w14:textId="5483FE64" w:rsidR="00B26E99" w:rsidRPr="00012F08" w:rsidRDefault="00B26E99" w:rsidP="00B26E99">
            <w:pPr>
              <w:bidi w:val="0"/>
              <w:rPr>
                <w:rFonts w:asciiTheme="majorBidi" w:hAnsiTheme="majorBidi" w:cstheme="majorBidi"/>
                <w:b/>
                <w:bCs/>
                <w:sz w:val="20"/>
              </w:rPr>
            </w:pPr>
            <w:r w:rsidRPr="00012F08">
              <w:rPr>
                <w:rFonts w:asciiTheme="majorBidi" w:hAnsiTheme="majorBidi" w:cstheme="majorBidi"/>
                <w:b/>
                <w:bCs/>
                <w:sz w:val="20"/>
              </w:rPr>
              <w:t>SD</w:t>
            </w:r>
          </w:p>
        </w:tc>
        <w:tc>
          <w:tcPr>
            <w:tcW w:w="1166" w:type="dxa"/>
            <w:vAlign w:val="bottom"/>
          </w:tcPr>
          <w:p w14:paraId="0563F566" w14:textId="3B56549B"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0.197</w:t>
            </w:r>
          </w:p>
        </w:tc>
        <w:tc>
          <w:tcPr>
            <w:tcW w:w="1066" w:type="dxa"/>
            <w:vAlign w:val="bottom"/>
          </w:tcPr>
          <w:p w14:paraId="66CA05FF" w14:textId="79F885C9"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0.043</w:t>
            </w:r>
          </w:p>
        </w:tc>
        <w:tc>
          <w:tcPr>
            <w:tcW w:w="1366" w:type="dxa"/>
            <w:vAlign w:val="bottom"/>
          </w:tcPr>
          <w:p w14:paraId="6F54ED76" w14:textId="4E317B29"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0.111</w:t>
            </w:r>
          </w:p>
        </w:tc>
        <w:tc>
          <w:tcPr>
            <w:tcW w:w="1066" w:type="dxa"/>
            <w:vAlign w:val="bottom"/>
          </w:tcPr>
          <w:p w14:paraId="2826C24D" w14:textId="5B4EB992"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0.045</w:t>
            </w:r>
          </w:p>
        </w:tc>
        <w:tc>
          <w:tcPr>
            <w:tcW w:w="1166" w:type="dxa"/>
            <w:vAlign w:val="bottom"/>
          </w:tcPr>
          <w:p w14:paraId="71F8D651" w14:textId="76320288"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0.223</w:t>
            </w:r>
          </w:p>
        </w:tc>
        <w:tc>
          <w:tcPr>
            <w:tcW w:w="1566" w:type="dxa"/>
            <w:vAlign w:val="bottom"/>
          </w:tcPr>
          <w:p w14:paraId="7242D32A" w14:textId="77981C34"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0.027</w:t>
            </w:r>
          </w:p>
        </w:tc>
        <w:tc>
          <w:tcPr>
            <w:tcW w:w="1366" w:type="dxa"/>
            <w:vAlign w:val="bottom"/>
          </w:tcPr>
          <w:p w14:paraId="08ABE846" w14:textId="217F0063"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0.106</w:t>
            </w:r>
          </w:p>
        </w:tc>
      </w:tr>
      <w:tr w:rsidR="00B26E99" w:rsidRPr="00012F08" w14:paraId="76A95A7E" w14:textId="77777777" w:rsidTr="00B26E99">
        <w:trPr>
          <w:trHeight w:val="357"/>
        </w:trPr>
        <w:tc>
          <w:tcPr>
            <w:tcW w:w="1105" w:type="dxa"/>
            <w:vAlign w:val="bottom"/>
          </w:tcPr>
          <w:p w14:paraId="55C3E2F9" w14:textId="60CBF08C" w:rsidR="00B26E99" w:rsidRPr="00012F08" w:rsidRDefault="00B26E99" w:rsidP="00B26E99">
            <w:pPr>
              <w:bidi w:val="0"/>
              <w:rPr>
                <w:rFonts w:asciiTheme="majorBidi" w:hAnsiTheme="majorBidi" w:cstheme="majorBidi"/>
                <w:b/>
                <w:bCs/>
                <w:sz w:val="20"/>
              </w:rPr>
            </w:pPr>
            <w:r w:rsidRPr="00012F08">
              <w:rPr>
                <w:rFonts w:asciiTheme="majorBidi" w:hAnsiTheme="majorBidi" w:cstheme="majorBidi"/>
                <w:b/>
                <w:bCs/>
                <w:sz w:val="20"/>
              </w:rPr>
              <w:t>Skewness</w:t>
            </w:r>
          </w:p>
        </w:tc>
        <w:tc>
          <w:tcPr>
            <w:tcW w:w="1166" w:type="dxa"/>
            <w:vAlign w:val="bottom"/>
          </w:tcPr>
          <w:p w14:paraId="56E75ED2" w14:textId="203E956E"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1.349</w:t>
            </w:r>
          </w:p>
        </w:tc>
        <w:tc>
          <w:tcPr>
            <w:tcW w:w="1066" w:type="dxa"/>
            <w:vAlign w:val="bottom"/>
          </w:tcPr>
          <w:p w14:paraId="052D7B81" w14:textId="1BF77108"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-0.590</w:t>
            </w:r>
          </w:p>
        </w:tc>
        <w:tc>
          <w:tcPr>
            <w:tcW w:w="1366" w:type="dxa"/>
            <w:vAlign w:val="bottom"/>
          </w:tcPr>
          <w:p w14:paraId="3CE7B5D7" w14:textId="7EB81219"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4.906</w:t>
            </w:r>
          </w:p>
        </w:tc>
        <w:tc>
          <w:tcPr>
            <w:tcW w:w="1066" w:type="dxa"/>
            <w:vAlign w:val="bottom"/>
          </w:tcPr>
          <w:p w14:paraId="2037D8DE" w14:textId="769B533F"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0.239</w:t>
            </w:r>
          </w:p>
        </w:tc>
        <w:tc>
          <w:tcPr>
            <w:tcW w:w="1166" w:type="dxa"/>
            <w:vAlign w:val="bottom"/>
          </w:tcPr>
          <w:p w14:paraId="1987755F" w14:textId="3FD595FE"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1.524</w:t>
            </w:r>
          </w:p>
        </w:tc>
        <w:tc>
          <w:tcPr>
            <w:tcW w:w="1566" w:type="dxa"/>
            <w:vAlign w:val="bottom"/>
          </w:tcPr>
          <w:p w14:paraId="7CAE843E" w14:textId="7FE7FFB8"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16.463</w:t>
            </w:r>
          </w:p>
        </w:tc>
        <w:tc>
          <w:tcPr>
            <w:tcW w:w="1366" w:type="dxa"/>
            <w:vAlign w:val="bottom"/>
          </w:tcPr>
          <w:p w14:paraId="4E142A58" w14:textId="024A3CDE"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1.124</w:t>
            </w:r>
          </w:p>
        </w:tc>
      </w:tr>
      <w:tr w:rsidR="00B26E99" w:rsidRPr="00012F08" w14:paraId="53915A53" w14:textId="77777777" w:rsidTr="00B26E99">
        <w:trPr>
          <w:trHeight w:val="357"/>
        </w:trPr>
        <w:tc>
          <w:tcPr>
            <w:tcW w:w="1105" w:type="dxa"/>
            <w:vAlign w:val="bottom"/>
          </w:tcPr>
          <w:p w14:paraId="3111BD44" w14:textId="28D31747" w:rsidR="00B26E99" w:rsidRPr="00012F08" w:rsidRDefault="00B26E99" w:rsidP="00B26E99">
            <w:pPr>
              <w:bidi w:val="0"/>
              <w:rPr>
                <w:rFonts w:asciiTheme="majorBidi" w:hAnsiTheme="majorBidi" w:cstheme="majorBidi"/>
                <w:b/>
                <w:bCs/>
                <w:sz w:val="20"/>
              </w:rPr>
            </w:pPr>
            <w:r w:rsidRPr="00012F08">
              <w:rPr>
                <w:rFonts w:asciiTheme="majorBidi" w:hAnsiTheme="majorBidi" w:cstheme="majorBidi"/>
                <w:b/>
                <w:bCs/>
                <w:sz w:val="20"/>
              </w:rPr>
              <w:t>Kurtosis</w:t>
            </w:r>
          </w:p>
        </w:tc>
        <w:tc>
          <w:tcPr>
            <w:tcW w:w="1166" w:type="dxa"/>
            <w:vAlign w:val="bottom"/>
          </w:tcPr>
          <w:p w14:paraId="1096A5C2" w14:textId="750DD069"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9.557</w:t>
            </w:r>
          </w:p>
        </w:tc>
        <w:tc>
          <w:tcPr>
            <w:tcW w:w="1066" w:type="dxa"/>
            <w:vAlign w:val="bottom"/>
          </w:tcPr>
          <w:p w14:paraId="7E61C4F6" w14:textId="2E013C17"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3.992</w:t>
            </w:r>
          </w:p>
        </w:tc>
        <w:tc>
          <w:tcPr>
            <w:tcW w:w="1366" w:type="dxa"/>
            <w:vAlign w:val="bottom"/>
          </w:tcPr>
          <w:p w14:paraId="07CE0822" w14:textId="006B1726"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61.159</w:t>
            </w:r>
          </w:p>
        </w:tc>
        <w:tc>
          <w:tcPr>
            <w:tcW w:w="1066" w:type="dxa"/>
            <w:vAlign w:val="bottom"/>
          </w:tcPr>
          <w:p w14:paraId="061AB016" w14:textId="2763C9A6"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3.826</w:t>
            </w:r>
          </w:p>
        </w:tc>
        <w:tc>
          <w:tcPr>
            <w:tcW w:w="1166" w:type="dxa"/>
            <w:vAlign w:val="bottom"/>
          </w:tcPr>
          <w:p w14:paraId="48E1E427" w14:textId="3A3BABAA"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8.086</w:t>
            </w:r>
          </w:p>
        </w:tc>
        <w:tc>
          <w:tcPr>
            <w:tcW w:w="1566" w:type="dxa"/>
            <w:vAlign w:val="bottom"/>
          </w:tcPr>
          <w:p w14:paraId="1CFA93CC" w14:textId="1E356D3E"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301.241</w:t>
            </w:r>
          </w:p>
        </w:tc>
        <w:tc>
          <w:tcPr>
            <w:tcW w:w="1366" w:type="dxa"/>
            <w:vAlign w:val="bottom"/>
          </w:tcPr>
          <w:p w14:paraId="5404B49A" w14:textId="02ACA278"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16.822</w:t>
            </w:r>
          </w:p>
        </w:tc>
      </w:tr>
      <w:tr w:rsidR="00B26E99" w:rsidRPr="00012F08" w14:paraId="57E6AA04" w14:textId="77777777" w:rsidTr="00B26E99">
        <w:trPr>
          <w:trHeight w:val="330"/>
        </w:trPr>
        <w:tc>
          <w:tcPr>
            <w:tcW w:w="1105" w:type="dxa"/>
            <w:vAlign w:val="bottom"/>
          </w:tcPr>
          <w:p w14:paraId="0A430EF4" w14:textId="27E4CB01" w:rsidR="00B26E99" w:rsidRPr="00012F08" w:rsidRDefault="00B26E99" w:rsidP="00B26E99">
            <w:pPr>
              <w:bidi w:val="0"/>
              <w:rPr>
                <w:rFonts w:asciiTheme="majorBidi" w:hAnsiTheme="majorBidi" w:cstheme="majorBidi"/>
                <w:b/>
                <w:bCs/>
                <w:sz w:val="20"/>
              </w:rPr>
            </w:pPr>
            <w:r w:rsidRPr="00012F08">
              <w:rPr>
                <w:rFonts w:asciiTheme="majorBidi" w:hAnsiTheme="majorBidi" w:cstheme="majorBidi"/>
                <w:b/>
                <w:bCs/>
                <w:sz w:val="20"/>
              </w:rPr>
              <w:t>JB</w:t>
            </w:r>
          </w:p>
        </w:tc>
        <w:tc>
          <w:tcPr>
            <w:tcW w:w="1166" w:type="dxa"/>
            <w:vAlign w:val="bottom"/>
          </w:tcPr>
          <w:p w14:paraId="49A1503A" w14:textId="4E126EF4"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781.346***</w:t>
            </w:r>
          </w:p>
        </w:tc>
        <w:tc>
          <w:tcPr>
            <w:tcW w:w="1066" w:type="dxa"/>
            <w:vAlign w:val="bottom"/>
          </w:tcPr>
          <w:p w14:paraId="4C8F93A4" w14:textId="34376DD1"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36.909***</w:t>
            </w:r>
          </w:p>
        </w:tc>
        <w:tc>
          <w:tcPr>
            <w:tcW w:w="1366" w:type="dxa"/>
            <w:vAlign w:val="bottom"/>
          </w:tcPr>
          <w:p w14:paraId="3B1FDADD" w14:textId="4D7CC956"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54066.112***</w:t>
            </w:r>
          </w:p>
        </w:tc>
        <w:tc>
          <w:tcPr>
            <w:tcW w:w="1066" w:type="dxa"/>
            <w:vAlign w:val="bottom"/>
          </w:tcPr>
          <w:p w14:paraId="501C136C" w14:textId="4744BCFC"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14.171***</w:t>
            </w:r>
          </w:p>
        </w:tc>
        <w:tc>
          <w:tcPr>
            <w:tcW w:w="1166" w:type="dxa"/>
            <w:vAlign w:val="bottom"/>
          </w:tcPr>
          <w:p w14:paraId="6021E67B" w14:textId="3312FA19"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546.423***</w:t>
            </w:r>
          </w:p>
        </w:tc>
        <w:tc>
          <w:tcPr>
            <w:tcW w:w="1566" w:type="dxa"/>
            <w:vAlign w:val="bottom"/>
          </w:tcPr>
          <w:p w14:paraId="0F93EB22" w14:textId="7A114FCB"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1399246.775***</w:t>
            </w:r>
          </w:p>
        </w:tc>
        <w:tc>
          <w:tcPr>
            <w:tcW w:w="1366" w:type="dxa"/>
            <w:vAlign w:val="bottom"/>
          </w:tcPr>
          <w:p w14:paraId="38B020CA" w14:textId="052F203A"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3047.810***</w:t>
            </w:r>
          </w:p>
        </w:tc>
      </w:tr>
      <w:tr w:rsidR="00B26E99" w:rsidRPr="00012F08" w14:paraId="4A8E60D6" w14:textId="77777777" w:rsidTr="00B26E99">
        <w:trPr>
          <w:trHeight w:val="357"/>
        </w:trPr>
        <w:tc>
          <w:tcPr>
            <w:tcW w:w="1105" w:type="dxa"/>
            <w:vAlign w:val="bottom"/>
          </w:tcPr>
          <w:p w14:paraId="471543FA" w14:textId="0E869D1C" w:rsidR="00B26E99" w:rsidRPr="00012F08" w:rsidRDefault="00B26E99" w:rsidP="00B26E99">
            <w:pPr>
              <w:bidi w:val="0"/>
              <w:rPr>
                <w:rFonts w:asciiTheme="majorBidi" w:hAnsiTheme="majorBidi" w:cstheme="majorBidi"/>
                <w:b/>
                <w:bCs/>
                <w:sz w:val="20"/>
              </w:rPr>
            </w:pPr>
            <w:r w:rsidRPr="00012F08">
              <w:rPr>
                <w:rFonts w:asciiTheme="majorBidi" w:hAnsiTheme="majorBidi" w:cstheme="majorBidi"/>
                <w:b/>
                <w:bCs/>
                <w:sz w:val="20"/>
              </w:rPr>
              <w:t>ERS</w:t>
            </w:r>
          </w:p>
        </w:tc>
        <w:tc>
          <w:tcPr>
            <w:tcW w:w="1166" w:type="dxa"/>
            <w:vAlign w:val="bottom"/>
          </w:tcPr>
          <w:p w14:paraId="15DDB693" w14:textId="512A2717"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-7.341***</w:t>
            </w:r>
          </w:p>
        </w:tc>
        <w:tc>
          <w:tcPr>
            <w:tcW w:w="1066" w:type="dxa"/>
            <w:vAlign w:val="bottom"/>
          </w:tcPr>
          <w:p w14:paraId="75B1D654" w14:textId="592A8DBF"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-7.537***</w:t>
            </w:r>
          </w:p>
        </w:tc>
        <w:tc>
          <w:tcPr>
            <w:tcW w:w="1366" w:type="dxa"/>
            <w:vAlign w:val="bottom"/>
          </w:tcPr>
          <w:p w14:paraId="427845CF" w14:textId="508CC3E8"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-3.481***</w:t>
            </w:r>
          </w:p>
        </w:tc>
        <w:tc>
          <w:tcPr>
            <w:tcW w:w="1066" w:type="dxa"/>
            <w:vAlign w:val="bottom"/>
          </w:tcPr>
          <w:p w14:paraId="1B1AE241" w14:textId="43448E39"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-7.562***</w:t>
            </w:r>
          </w:p>
        </w:tc>
        <w:tc>
          <w:tcPr>
            <w:tcW w:w="1166" w:type="dxa"/>
            <w:vAlign w:val="bottom"/>
          </w:tcPr>
          <w:p w14:paraId="71669919" w14:textId="3810EC9C"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-9.476***</w:t>
            </w:r>
          </w:p>
        </w:tc>
        <w:tc>
          <w:tcPr>
            <w:tcW w:w="1566" w:type="dxa"/>
            <w:vAlign w:val="bottom"/>
          </w:tcPr>
          <w:p w14:paraId="080C4AD9" w14:textId="7C51F695"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-7.471***</w:t>
            </w:r>
          </w:p>
        </w:tc>
        <w:tc>
          <w:tcPr>
            <w:tcW w:w="1366" w:type="dxa"/>
            <w:vAlign w:val="bottom"/>
          </w:tcPr>
          <w:p w14:paraId="5AA0168F" w14:textId="6F6DB121" w:rsidR="00B26E99" w:rsidRPr="00012F08" w:rsidRDefault="00B26E99" w:rsidP="00B26E99">
            <w:pPr>
              <w:bidi w:val="0"/>
              <w:jc w:val="center"/>
              <w:rPr>
                <w:rFonts w:asciiTheme="majorBidi" w:hAnsiTheme="majorBidi" w:cstheme="majorBidi"/>
                <w:sz w:val="20"/>
                <w:szCs w:val="20"/>
              </w:rPr>
            </w:pPr>
            <w:r w:rsidRPr="00012F08">
              <w:rPr>
                <w:rFonts w:asciiTheme="majorBidi" w:hAnsiTheme="majorBidi" w:cstheme="majorBidi"/>
                <w:color w:val="000000"/>
                <w:sz w:val="20"/>
                <w:szCs w:val="20"/>
              </w:rPr>
              <w:t>-9.433***</w:t>
            </w:r>
          </w:p>
        </w:tc>
      </w:tr>
      <w:tr w:rsidR="00E338AF" w:rsidRPr="00012F08" w14:paraId="194A600D" w14:textId="77777777" w:rsidTr="00B26E99">
        <w:trPr>
          <w:trHeight w:val="357"/>
        </w:trPr>
        <w:tc>
          <w:tcPr>
            <w:tcW w:w="1105" w:type="dxa"/>
            <w:tcBorders>
              <w:top w:val="single" w:sz="4" w:space="0" w:color="auto"/>
              <w:bottom w:val="single" w:sz="4" w:space="0" w:color="auto"/>
            </w:tcBorders>
          </w:tcPr>
          <w:p w14:paraId="0B12E549" w14:textId="77777777" w:rsidR="00E338AF" w:rsidRPr="00012F08" w:rsidRDefault="00E338AF" w:rsidP="00E338AF">
            <w:pPr>
              <w:bidi w:val="0"/>
              <w:rPr>
                <w:rFonts w:asciiTheme="majorBidi" w:hAnsiTheme="majorBidi" w:cstheme="majorBidi"/>
                <w:b/>
                <w:bCs/>
                <w:sz w:val="20"/>
              </w:rPr>
            </w:pPr>
          </w:p>
        </w:tc>
        <w:tc>
          <w:tcPr>
            <w:tcW w:w="8762" w:type="dxa"/>
            <w:gridSpan w:val="7"/>
            <w:tcBorders>
              <w:top w:val="single" w:sz="4" w:space="0" w:color="auto"/>
              <w:bottom w:val="single" w:sz="4" w:space="0" w:color="auto"/>
            </w:tcBorders>
          </w:tcPr>
          <w:p w14:paraId="6EF2CCE7" w14:textId="13064A49"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 xml:space="preserve">Panel B. </w:t>
            </w:r>
            <w:r w:rsidR="00986FDB" w:rsidRPr="00012F08">
              <w:rPr>
                <w:rFonts w:asciiTheme="majorBidi" w:hAnsiTheme="majorBidi" w:cstheme="majorBidi"/>
                <w:b/>
                <w:bCs/>
                <w:sz w:val="20"/>
              </w:rPr>
              <w:t>Pre-Trade War Globalization Period</w:t>
            </w:r>
          </w:p>
          <w:p w14:paraId="73AB9A46" w14:textId="7FC40345" w:rsidR="00E338AF" w:rsidRPr="00012F08" w:rsidRDefault="00986FDB" w:rsidP="00E338AF">
            <w:pPr>
              <w:bidi w:val="0"/>
              <w:jc w:val="center"/>
              <w:rPr>
                <w:rFonts w:asciiTheme="majorBidi" w:hAnsiTheme="majorBidi" w:cstheme="majorBidi"/>
                <w:i/>
                <w:iCs/>
                <w:sz w:val="20"/>
              </w:rPr>
            </w:pPr>
            <w:r w:rsidRPr="00012F08">
              <w:rPr>
                <w:rFonts w:asciiTheme="majorBidi" w:hAnsiTheme="majorBidi" w:cstheme="majorBidi"/>
                <w:b/>
                <w:bCs/>
                <w:sz w:val="20"/>
              </w:rPr>
              <w:t>(Jan 1993 – Dec 2017)</w:t>
            </w:r>
          </w:p>
        </w:tc>
      </w:tr>
      <w:tr w:rsidR="00E338AF" w:rsidRPr="00012F08" w14:paraId="3FA03068" w14:textId="77777777" w:rsidTr="00B26E99">
        <w:trPr>
          <w:trHeight w:val="330"/>
        </w:trPr>
        <w:tc>
          <w:tcPr>
            <w:tcW w:w="1105" w:type="dxa"/>
            <w:tcBorders>
              <w:top w:val="single" w:sz="4" w:space="0" w:color="auto"/>
              <w:bottom w:val="single" w:sz="4" w:space="0" w:color="auto"/>
            </w:tcBorders>
          </w:tcPr>
          <w:p w14:paraId="5553867F" w14:textId="77777777" w:rsidR="00E338AF" w:rsidRPr="00012F08" w:rsidRDefault="00E338AF" w:rsidP="00E338AF">
            <w:pPr>
              <w:bidi w:val="0"/>
              <w:rPr>
                <w:rFonts w:asciiTheme="majorBidi" w:hAnsiTheme="majorBidi" w:cstheme="majorBidi"/>
                <w:sz w:val="20"/>
              </w:rPr>
            </w:pPr>
          </w:p>
        </w:tc>
        <w:tc>
          <w:tcPr>
            <w:tcW w:w="1166" w:type="dxa"/>
            <w:tcBorders>
              <w:top w:val="single" w:sz="4" w:space="0" w:color="auto"/>
              <w:bottom w:val="single" w:sz="4" w:space="0" w:color="auto"/>
            </w:tcBorders>
            <w:vAlign w:val="center"/>
          </w:tcPr>
          <w:p w14:paraId="005BA3B0" w14:textId="05BB0F83"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UCT</w:t>
            </w:r>
          </w:p>
        </w:tc>
        <w:tc>
          <w:tcPr>
            <w:tcW w:w="1066" w:type="dxa"/>
            <w:tcBorders>
              <w:top w:val="single" w:sz="4" w:space="0" w:color="auto"/>
              <w:bottom w:val="single" w:sz="4" w:space="0" w:color="auto"/>
            </w:tcBorders>
            <w:vAlign w:val="center"/>
          </w:tcPr>
          <w:p w14:paraId="56A3397A" w14:textId="0D4FA67F"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S&amp;P</w:t>
            </w:r>
          </w:p>
        </w:tc>
        <w:tc>
          <w:tcPr>
            <w:tcW w:w="1366" w:type="dxa"/>
            <w:tcBorders>
              <w:top w:val="single" w:sz="4" w:space="0" w:color="auto"/>
              <w:bottom w:val="single" w:sz="4" w:space="0" w:color="auto"/>
            </w:tcBorders>
            <w:vAlign w:val="center"/>
          </w:tcPr>
          <w:p w14:paraId="4EE0F368" w14:textId="498CBACA"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CHINA</w:t>
            </w:r>
          </w:p>
        </w:tc>
        <w:tc>
          <w:tcPr>
            <w:tcW w:w="1066" w:type="dxa"/>
            <w:tcBorders>
              <w:top w:val="single" w:sz="4" w:space="0" w:color="auto"/>
              <w:bottom w:val="single" w:sz="4" w:space="0" w:color="auto"/>
            </w:tcBorders>
            <w:vAlign w:val="center"/>
          </w:tcPr>
          <w:p w14:paraId="26E6CF33" w14:textId="4B12AA6A"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Gold</w:t>
            </w:r>
          </w:p>
        </w:tc>
        <w:tc>
          <w:tcPr>
            <w:tcW w:w="1166" w:type="dxa"/>
            <w:tcBorders>
              <w:top w:val="single" w:sz="4" w:space="0" w:color="auto"/>
              <w:bottom w:val="single" w:sz="4" w:space="0" w:color="auto"/>
            </w:tcBorders>
            <w:vAlign w:val="center"/>
          </w:tcPr>
          <w:p w14:paraId="7FA79903" w14:textId="46BBB817"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VIX</w:t>
            </w:r>
          </w:p>
        </w:tc>
        <w:tc>
          <w:tcPr>
            <w:tcW w:w="1566" w:type="dxa"/>
            <w:tcBorders>
              <w:top w:val="single" w:sz="4" w:space="0" w:color="auto"/>
              <w:bottom w:val="single" w:sz="4" w:space="0" w:color="auto"/>
            </w:tcBorders>
            <w:vAlign w:val="center"/>
          </w:tcPr>
          <w:p w14:paraId="5BA5FEDA" w14:textId="459FCB86"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USD/CNY</w:t>
            </w:r>
          </w:p>
        </w:tc>
        <w:tc>
          <w:tcPr>
            <w:tcW w:w="1366" w:type="dxa"/>
            <w:tcBorders>
              <w:top w:val="single" w:sz="4" w:space="0" w:color="auto"/>
              <w:bottom w:val="single" w:sz="4" w:space="0" w:color="auto"/>
            </w:tcBorders>
            <w:vAlign w:val="center"/>
          </w:tcPr>
          <w:p w14:paraId="0A2EC74B" w14:textId="708FE6B2"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Oil</w:t>
            </w:r>
          </w:p>
        </w:tc>
      </w:tr>
      <w:tr w:rsidR="003F5A67" w:rsidRPr="00012F08" w14:paraId="3F0B1A67" w14:textId="77777777" w:rsidTr="00B26E99">
        <w:trPr>
          <w:trHeight w:val="357"/>
        </w:trPr>
        <w:tc>
          <w:tcPr>
            <w:tcW w:w="1105" w:type="dxa"/>
            <w:tcBorders>
              <w:top w:val="single" w:sz="4" w:space="0" w:color="auto"/>
            </w:tcBorders>
            <w:vAlign w:val="bottom"/>
          </w:tcPr>
          <w:p w14:paraId="7F6DED67" w14:textId="097C8143"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Mean</w:t>
            </w:r>
          </w:p>
        </w:tc>
        <w:tc>
          <w:tcPr>
            <w:tcW w:w="1166" w:type="dxa"/>
            <w:tcBorders>
              <w:top w:val="single" w:sz="4" w:space="0" w:color="auto"/>
            </w:tcBorders>
            <w:vAlign w:val="bottom"/>
          </w:tcPr>
          <w:p w14:paraId="373990A3" w14:textId="12B074C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0.021</w:t>
            </w:r>
          </w:p>
        </w:tc>
        <w:tc>
          <w:tcPr>
            <w:tcW w:w="1066" w:type="dxa"/>
            <w:tcBorders>
              <w:top w:val="single" w:sz="4" w:space="0" w:color="auto"/>
            </w:tcBorders>
            <w:vAlign w:val="bottom"/>
          </w:tcPr>
          <w:p w14:paraId="366E9FBF" w14:textId="167CEE0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0.007</w:t>
            </w:r>
          </w:p>
        </w:tc>
        <w:tc>
          <w:tcPr>
            <w:tcW w:w="1366" w:type="dxa"/>
            <w:tcBorders>
              <w:top w:val="single" w:sz="4" w:space="0" w:color="auto"/>
            </w:tcBorders>
            <w:vAlign w:val="bottom"/>
          </w:tcPr>
          <w:p w14:paraId="4CF336C1" w14:textId="51C471EC"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0.009</w:t>
            </w:r>
          </w:p>
        </w:tc>
        <w:tc>
          <w:tcPr>
            <w:tcW w:w="1066" w:type="dxa"/>
            <w:tcBorders>
              <w:top w:val="single" w:sz="4" w:space="0" w:color="auto"/>
            </w:tcBorders>
            <w:vAlign w:val="bottom"/>
          </w:tcPr>
          <w:p w14:paraId="2988782F" w14:textId="78535817"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0.006</w:t>
            </w:r>
          </w:p>
        </w:tc>
        <w:tc>
          <w:tcPr>
            <w:tcW w:w="1166" w:type="dxa"/>
            <w:tcBorders>
              <w:top w:val="single" w:sz="4" w:space="0" w:color="auto"/>
            </w:tcBorders>
            <w:vAlign w:val="bottom"/>
          </w:tcPr>
          <w:p w14:paraId="73777664" w14:textId="30675B5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0.018</w:t>
            </w:r>
          </w:p>
        </w:tc>
        <w:tc>
          <w:tcPr>
            <w:tcW w:w="1566" w:type="dxa"/>
            <w:tcBorders>
              <w:top w:val="single" w:sz="4" w:space="0" w:color="auto"/>
            </w:tcBorders>
            <w:vAlign w:val="bottom"/>
          </w:tcPr>
          <w:p w14:paraId="4905D9EE" w14:textId="08283BE1"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0.001</w:t>
            </w:r>
          </w:p>
        </w:tc>
        <w:tc>
          <w:tcPr>
            <w:tcW w:w="1366" w:type="dxa"/>
            <w:tcBorders>
              <w:top w:val="single" w:sz="4" w:space="0" w:color="auto"/>
            </w:tcBorders>
            <w:vAlign w:val="bottom"/>
          </w:tcPr>
          <w:p w14:paraId="00866631" w14:textId="0A8DD25A"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0.008</w:t>
            </w:r>
          </w:p>
        </w:tc>
      </w:tr>
      <w:tr w:rsidR="003F5A67" w:rsidRPr="00012F08" w14:paraId="450ED7F7" w14:textId="77777777" w:rsidTr="00B26E99">
        <w:trPr>
          <w:trHeight w:val="330"/>
        </w:trPr>
        <w:tc>
          <w:tcPr>
            <w:tcW w:w="1105" w:type="dxa"/>
            <w:vAlign w:val="bottom"/>
          </w:tcPr>
          <w:p w14:paraId="31E5AC91" w14:textId="7135C1AE"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Median</w:t>
            </w:r>
          </w:p>
        </w:tc>
        <w:tc>
          <w:tcPr>
            <w:tcW w:w="1166" w:type="dxa"/>
            <w:vAlign w:val="bottom"/>
          </w:tcPr>
          <w:p w14:paraId="5319FB3C" w14:textId="7DCB6F3A"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0.004</w:t>
            </w:r>
          </w:p>
        </w:tc>
        <w:tc>
          <w:tcPr>
            <w:tcW w:w="1066" w:type="dxa"/>
            <w:vAlign w:val="bottom"/>
          </w:tcPr>
          <w:p w14:paraId="26C80E5B" w14:textId="00770E8B"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0.011</w:t>
            </w:r>
          </w:p>
        </w:tc>
        <w:tc>
          <w:tcPr>
            <w:tcW w:w="1366" w:type="dxa"/>
            <w:vAlign w:val="bottom"/>
          </w:tcPr>
          <w:p w14:paraId="63DB7F90" w14:textId="72759162"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0.006</w:t>
            </w:r>
          </w:p>
        </w:tc>
        <w:tc>
          <w:tcPr>
            <w:tcW w:w="1066" w:type="dxa"/>
            <w:vAlign w:val="bottom"/>
          </w:tcPr>
          <w:p w14:paraId="76B9B497" w14:textId="235740DC"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0.000</w:t>
            </w:r>
          </w:p>
        </w:tc>
        <w:tc>
          <w:tcPr>
            <w:tcW w:w="1166" w:type="dxa"/>
            <w:vAlign w:val="bottom"/>
          </w:tcPr>
          <w:p w14:paraId="4D51F9AB" w14:textId="655FF84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-0.006</w:t>
            </w:r>
          </w:p>
        </w:tc>
        <w:tc>
          <w:tcPr>
            <w:tcW w:w="1566" w:type="dxa"/>
            <w:vAlign w:val="bottom"/>
          </w:tcPr>
          <w:p w14:paraId="5CE3F5DA" w14:textId="2DC4E37C"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0.000</w:t>
            </w:r>
          </w:p>
        </w:tc>
        <w:tc>
          <w:tcPr>
            <w:tcW w:w="1366" w:type="dxa"/>
            <w:vAlign w:val="bottom"/>
          </w:tcPr>
          <w:p w14:paraId="305B9924" w14:textId="7557D327"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0.009</w:t>
            </w:r>
          </w:p>
        </w:tc>
      </w:tr>
      <w:tr w:rsidR="003F5A67" w:rsidRPr="00012F08" w14:paraId="33B1FDE8" w14:textId="77777777" w:rsidTr="00B26E99">
        <w:trPr>
          <w:trHeight w:val="330"/>
        </w:trPr>
        <w:tc>
          <w:tcPr>
            <w:tcW w:w="1105" w:type="dxa"/>
            <w:vAlign w:val="bottom"/>
          </w:tcPr>
          <w:p w14:paraId="657FE90F" w14:textId="53A1C8FB"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Maximum</w:t>
            </w:r>
          </w:p>
        </w:tc>
        <w:tc>
          <w:tcPr>
            <w:tcW w:w="1166" w:type="dxa"/>
            <w:vAlign w:val="bottom"/>
          </w:tcPr>
          <w:p w14:paraId="771CC57A" w14:textId="454C677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1.390</w:t>
            </w:r>
          </w:p>
        </w:tc>
        <w:tc>
          <w:tcPr>
            <w:tcW w:w="1066" w:type="dxa"/>
            <w:vAlign w:val="bottom"/>
          </w:tcPr>
          <w:p w14:paraId="25D0E224" w14:textId="1F2A3A71"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0.108</w:t>
            </w:r>
          </w:p>
        </w:tc>
        <w:tc>
          <w:tcPr>
            <w:tcW w:w="1366" w:type="dxa"/>
            <w:vAlign w:val="bottom"/>
          </w:tcPr>
          <w:p w14:paraId="59804CA1" w14:textId="3210BE5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1.352</w:t>
            </w:r>
          </w:p>
        </w:tc>
        <w:tc>
          <w:tcPr>
            <w:tcW w:w="1066" w:type="dxa"/>
            <w:vAlign w:val="bottom"/>
          </w:tcPr>
          <w:p w14:paraId="2A089641" w14:textId="4762FFC6"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0.172</w:t>
            </w:r>
          </w:p>
        </w:tc>
        <w:tc>
          <w:tcPr>
            <w:tcW w:w="1166" w:type="dxa"/>
            <w:vAlign w:val="bottom"/>
          </w:tcPr>
          <w:p w14:paraId="26790652" w14:textId="3BFB258C"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1.346</w:t>
            </w:r>
          </w:p>
        </w:tc>
        <w:tc>
          <w:tcPr>
            <w:tcW w:w="1566" w:type="dxa"/>
            <w:vAlign w:val="bottom"/>
          </w:tcPr>
          <w:p w14:paraId="0BF42EF1" w14:textId="2CDC44CD"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0.500</w:t>
            </w:r>
          </w:p>
        </w:tc>
        <w:tc>
          <w:tcPr>
            <w:tcW w:w="1366" w:type="dxa"/>
            <w:vAlign w:val="bottom"/>
          </w:tcPr>
          <w:p w14:paraId="31B97B0A" w14:textId="19483741"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0.366</w:t>
            </w:r>
          </w:p>
        </w:tc>
      </w:tr>
      <w:tr w:rsidR="003F5A67" w:rsidRPr="00012F08" w14:paraId="5E1828B5" w14:textId="77777777" w:rsidTr="00B26E99">
        <w:trPr>
          <w:trHeight w:val="330"/>
        </w:trPr>
        <w:tc>
          <w:tcPr>
            <w:tcW w:w="1105" w:type="dxa"/>
            <w:vAlign w:val="bottom"/>
          </w:tcPr>
          <w:p w14:paraId="2800A887" w14:textId="50A06DFA"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Minimum</w:t>
            </w:r>
          </w:p>
        </w:tc>
        <w:tc>
          <w:tcPr>
            <w:tcW w:w="1166" w:type="dxa"/>
            <w:vAlign w:val="bottom"/>
          </w:tcPr>
          <w:p w14:paraId="3C4E1072" w14:textId="027C76BC"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-0.609</w:t>
            </w:r>
          </w:p>
        </w:tc>
        <w:tc>
          <w:tcPr>
            <w:tcW w:w="1066" w:type="dxa"/>
            <w:vAlign w:val="bottom"/>
          </w:tcPr>
          <w:p w14:paraId="19D9B13F" w14:textId="7BE3ADA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-0.169</w:t>
            </w:r>
          </w:p>
        </w:tc>
        <w:tc>
          <w:tcPr>
            <w:tcW w:w="1366" w:type="dxa"/>
            <w:vAlign w:val="bottom"/>
          </w:tcPr>
          <w:p w14:paraId="4F716A78" w14:textId="688A226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-0.312</w:t>
            </w:r>
          </w:p>
        </w:tc>
        <w:tc>
          <w:tcPr>
            <w:tcW w:w="1066" w:type="dxa"/>
            <w:vAlign w:val="bottom"/>
          </w:tcPr>
          <w:p w14:paraId="4D0E5A5B" w14:textId="1656E3D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-0.168</w:t>
            </w:r>
          </w:p>
        </w:tc>
        <w:tc>
          <w:tcPr>
            <w:tcW w:w="1166" w:type="dxa"/>
            <w:vAlign w:val="bottom"/>
          </w:tcPr>
          <w:p w14:paraId="3AAD29F4" w14:textId="1E6FBD2C"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-0.385</w:t>
            </w:r>
          </w:p>
        </w:tc>
        <w:tc>
          <w:tcPr>
            <w:tcW w:w="1566" w:type="dxa"/>
            <w:vAlign w:val="bottom"/>
          </w:tcPr>
          <w:p w14:paraId="202F47C4" w14:textId="3FB90372"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-0.021</w:t>
            </w:r>
          </w:p>
        </w:tc>
        <w:tc>
          <w:tcPr>
            <w:tcW w:w="1366" w:type="dxa"/>
            <w:vAlign w:val="bottom"/>
          </w:tcPr>
          <w:p w14:paraId="50E0E0AD" w14:textId="37C60AAD"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-0.326</w:t>
            </w:r>
          </w:p>
        </w:tc>
      </w:tr>
      <w:tr w:rsidR="003F5A67" w:rsidRPr="00012F08" w14:paraId="65068C6E" w14:textId="77777777" w:rsidTr="00B26E99">
        <w:trPr>
          <w:trHeight w:val="357"/>
        </w:trPr>
        <w:tc>
          <w:tcPr>
            <w:tcW w:w="1105" w:type="dxa"/>
            <w:vAlign w:val="bottom"/>
          </w:tcPr>
          <w:p w14:paraId="5FDE9C1E" w14:textId="0415488C"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SD</w:t>
            </w:r>
          </w:p>
        </w:tc>
        <w:tc>
          <w:tcPr>
            <w:tcW w:w="1166" w:type="dxa"/>
            <w:vAlign w:val="bottom"/>
          </w:tcPr>
          <w:p w14:paraId="7A18081B" w14:textId="439455A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0.200</w:t>
            </w:r>
          </w:p>
        </w:tc>
        <w:tc>
          <w:tcPr>
            <w:tcW w:w="1066" w:type="dxa"/>
            <w:vAlign w:val="bottom"/>
          </w:tcPr>
          <w:p w14:paraId="06FBF284" w14:textId="2CA6DA76"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0.041</w:t>
            </w:r>
          </w:p>
        </w:tc>
        <w:tc>
          <w:tcPr>
            <w:tcW w:w="1366" w:type="dxa"/>
            <w:vAlign w:val="bottom"/>
          </w:tcPr>
          <w:p w14:paraId="0A936B6D" w14:textId="18179ED6"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0.122</w:t>
            </w:r>
          </w:p>
        </w:tc>
        <w:tc>
          <w:tcPr>
            <w:tcW w:w="1066" w:type="dxa"/>
            <w:vAlign w:val="bottom"/>
          </w:tcPr>
          <w:p w14:paraId="548CF449" w14:textId="5D35338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0.046</w:t>
            </w:r>
          </w:p>
        </w:tc>
        <w:tc>
          <w:tcPr>
            <w:tcW w:w="1166" w:type="dxa"/>
            <w:vAlign w:val="bottom"/>
          </w:tcPr>
          <w:p w14:paraId="3E847D7F" w14:textId="5D06E6A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0.204</w:t>
            </w:r>
          </w:p>
        </w:tc>
        <w:tc>
          <w:tcPr>
            <w:tcW w:w="1566" w:type="dxa"/>
            <w:vAlign w:val="bottom"/>
          </w:tcPr>
          <w:p w14:paraId="7BCF36F7" w14:textId="6CCBBDB4"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0.029</w:t>
            </w:r>
          </w:p>
        </w:tc>
        <w:tc>
          <w:tcPr>
            <w:tcW w:w="1366" w:type="dxa"/>
            <w:vAlign w:val="bottom"/>
          </w:tcPr>
          <w:p w14:paraId="577CAD05" w14:textId="5F399A33"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0.090</w:t>
            </w:r>
          </w:p>
        </w:tc>
      </w:tr>
      <w:tr w:rsidR="003F5A67" w:rsidRPr="00012F08" w14:paraId="5B12BB6B" w14:textId="77777777" w:rsidTr="00B26E99">
        <w:trPr>
          <w:trHeight w:val="330"/>
        </w:trPr>
        <w:tc>
          <w:tcPr>
            <w:tcW w:w="1105" w:type="dxa"/>
            <w:vAlign w:val="bottom"/>
          </w:tcPr>
          <w:p w14:paraId="47463C37" w14:textId="168F0F5E"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Skewness</w:t>
            </w:r>
          </w:p>
        </w:tc>
        <w:tc>
          <w:tcPr>
            <w:tcW w:w="1166" w:type="dxa"/>
            <w:vAlign w:val="bottom"/>
          </w:tcPr>
          <w:p w14:paraId="6C80E52A" w14:textId="3FDD8173"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1.442</w:t>
            </w:r>
          </w:p>
        </w:tc>
        <w:tc>
          <w:tcPr>
            <w:tcW w:w="1066" w:type="dxa"/>
            <w:vAlign w:val="bottom"/>
          </w:tcPr>
          <w:p w14:paraId="27E47EA3" w14:textId="2FBBFA56"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-0.697</w:t>
            </w:r>
          </w:p>
        </w:tc>
        <w:tc>
          <w:tcPr>
            <w:tcW w:w="1366" w:type="dxa"/>
            <w:vAlign w:val="bottom"/>
          </w:tcPr>
          <w:p w14:paraId="03DAE8CB" w14:textId="597F7BC0"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4.578</w:t>
            </w:r>
          </w:p>
        </w:tc>
        <w:tc>
          <w:tcPr>
            <w:tcW w:w="1066" w:type="dxa"/>
            <w:vAlign w:val="bottom"/>
          </w:tcPr>
          <w:p w14:paraId="0021625B" w14:textId="0ABB4BAC"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0.205</w:t>
            </w:r>
          </w:p>
        </w:tc>
        <w:tc>
          <w:tcPr>
            <w:tcW w:w="1166" w:type="dxa"/>
            <w:vAlign w:val="bottom"/>
          </w:tcPr>
          <w:p w14:paraId="1BC6EFCA" w14:textId="4E52AD92"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1.665</w:t>
            </w:r>
          </w:p>
        </w:tc>
        <w:tc>
          <w:tcPr>
            <w:tcW w:w="1566" w:type="dxa"/>
            <w:vAlign w:val="bottom"/>
          </w:tcPr>
          <w:p w14:paraId="39E9CABD" w14:textId="54D99AB2"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16.415</w:t>
            </w:r>
          </w:p>
        </w:tc>
        <w:tc>
          <w:tcPr>
            <w:tcW w:w="1366" w:type="dxa"/>
            <w:vAlign w:val="bottom"/>
          </w:tcPr>
          <w:p w14:paraId="591378EB" w14:textId="3B1084A4"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0.015</w:t>
            </w:r>
          </w:p>
        </w:tc>
      </w:tr>
      <w:tr w:rsidR="003F5A67" w:rsidRPr="00012F08" w14:paraId="782AFB6F" w14:textId="77777777" w:rsidTr="00B26E99">
        <w:trPr>
          <w:trHeight w:val="330"/>
        </w:trPr>
        <w:tc>
          <w:tcPr>
            <w:tcW w:w="1105" w:type="dxa"/>
            <w:vAlign w:val="bottom"/>
          </w:tcPr>
          <w:p w14:paraId="78ACCEDC" w14:textId="76ADAEAB"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Kurtosis</w:t>
            </w:r>
          </w:p>
        </w:tc>
        <w:tc>
          <w:tcPr>
            <w:tcW w:w="1166" w:type="dxa"/>
            <w:vAlign w:val="bottom"/>
          </w:tcPr>
          <w:p w14:paraId="1888C9B5" w14:textId="03BD6997"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10.400</w:t>
            </w:r>
          </w:p>
        </w:tc>
        <w:tc>
          <w:tcPr>
            <w:tcW w:w="1066" w:type="dxa"/>
            <w:vAlign w:val="bottom"/>
          </w:tcPr>
          <w:p w14:paraId="52AEDAED" w14:textId="14886973"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4.439</w:t>
            </w:r>
          </w:p>
        </w:tc>
        <w:tc>
          <w:tcPr>
            <w:tcW w:w="1366" w:type="dxa"/>
            <w:vAlign w:val="bottom"/>
          </w:tcPr>
          <w:p w14:paraId="19119C74" w14:textId="50421EF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52.209</w:t>
            </w:r>
          </w:p>
        </w:tc>
        <w:tc>
          <w:tcPr>
            <w:tcW w:w="1066" w:type="dxa"/>
            <w:vAlign w:val="bottom"/>
          </w:tcPr>
          <w:p w14:paraId="53ABC643" w14:textId="13AAE0CB"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3.895</w:t>
            </w:r>
          </w:p>
        </w:tc>
        <w:tc>
          <w:tcPr>
            <w:tcW w:w="1166" w:type="dxa"/>
            <w:vAlign w:val="bottom"/>
          </w:tcPr>
          <w:p w14:paraId="7FE1D40C" w14:textId="1D7E9747"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9.800</w:t>
            </w:r>
          </w:p>
        </w:tc>
        <w:tc>
          <w:tcPr>
            <w:tcW w:w="1566" w:type="dxa"/>
            <w:vAlign w:val="bottom"/>
          </w:tcPr>
          <w:p w14:paraId="1590DD27" w14:textId="1C7E35DE"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279.073</w:t>
            </w:r>
          </w:p>
        </w:tc>
        <w:tc>
          <w:tcPr>
            <w:tcW w:w="1366" w:type="dxa"/>
            <w:vAlign w:val="bottom"/>
          </w:tcPr>
          <w:p w14:paraId="7180E054" w14:textId="30E54C8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4.081</w:t>
            </w:r>
          </w:p>
        </w:tc>
      </w:tr>
      <w:tr w:rsidR="003F5A67" w:rsidRPr="00012F08" w14:paraId="36A820C1" w14:textId="77777777" w:rsidTr="00B26E99">
        <w:trPr>
          <w:trHeight w:val="357"/>
        </w:trPr>
        <w:tc>
          <w:tcPr>
            <w:tcW w:w="1105" w:type="dxa"/>
            <w:vAlign w:val="bottom"/>
          </w:tcPr>
          <w:p w14:paraId="23FCDA85" w14:textId="6CB80B47"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JB</w:t>
            </w:r>
          </w:p>
        </w:tc>
        <w:tc>
          <w:tcPr>
            <w:tcW w:w="1166" w:type="dxa"/>
            <w:vAlign w:val="bottom"/>
          </w:tcPr>
          <w:p w14:paraId="3657EA46" w14:textId="7BF3FFBF"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785.985***</w:t>
            </w:r>
          </w:p>
        </w:tc>
        <w:tc>
          <w:tcPr>
            <w:tcW w:w="1066" w:type="dxa"/>
            <w:vAlign w:val="bottom"/>
          </w:tcPr>
          <w:p w14:paraId="65C33D9E" w14:textId="5AA748CF"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50.029***</w:t>
            </w:r>
          </w:p>
        </w:tc>
        <w:tc>
          <w:tcPr>
            <w:tcW w:w="1366" w:type="dxa"/>
            <w:vAlign w:val="bottom"/>
          </w:tcPr>
          <w:p w14:paraId="0E1FCD76" w14:textId="5EA101F1"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31213.189***</w:t>
            </w:r>
          </w:p>
        </w:tc>
        <w:tc>
          <w:tcPr>
            <w:tcW w:w="1066" w:type="dxa"/>
            <w:vAlign w:val="bottom"/>
          </w:tcPr>
          <w:p w14:paraId="7519F364" w14:textId="61D4651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12.076***</w:t>
            </w:r>
          </w:p>
        </w:tc>
        <w:tc>
          <w:tcPr>
            <w:tcW w:w="1166" w:type="dxa"/>
            <w:vAlign w:val="bottom"/>
          </w:tcPr>
          <w:p w14:paraId="7F9B4720" w14:textId="2C37552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714.258***</w:t>
            </w:r>
          </w:p>
        </w:tc>
        <w:tc>
          <w:tcPr>
            <w:tcW w:w="1566" w:type="dxa"/>
            <w:vAlign w:val="bottom"/>
          </w:tcPr>
          <w:p w14:paraId="030483F3" w14:textId="61CAE101"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962958.704***</w:t>
            </w:r>
          </w:p>
        </w:tc>
        <w:tc>
          <w:tcPr>
            <w:tcW w:w="1366" w:type="dxa"/>
            <w:vAlign w:val="bottom"/>
          </w:tcPr>
          <w:p w14:paraId="5F46B55A" w14:textId="3F26DEC5"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14.580***</w:t>
            </w:r>
          </w:p>
        </w:tc>
      </w:tr>
      <w:tr w:rsidR="003F5A67" w:rsidRPr="00012F08" w14:paraId="2881B749" w14:textId="77777777" w:rsidTr="00B26E99">
        <w:trPr>
          <w:trHeight w:val="357"/>
        </w:trPr>
        <w:tc>
          <w:tcPr>
            <w:tcW w:w="1105" w:type="dxa"/>
            <w:tcBorders>
              <w:bottom w:val="single" w:sz="4" w:space="0" w:color="auto"/>
            </w:tcBorders>
            <w:vAlign w:val="bottom"/>
          </w:tcPr>
          <w:p w14:paraId="6AFD5B89" w14:textId="6470290E"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ERS</w:t>
            </w:r>
          </w:p>
        </w:tc>
        <w:tc>
          <w:tcPr>
            <w:tcW w:w="1166" w:type="dxa"/>
            <w:tcBorders>
              <w:bottom w:val="single" w:sz="4" w:space="0" w:color="auto"/>
            </w:tcBorders>
            <w:vAlign w:val="bottom"/>
          </w:tcPr>
          <w:p w14:paraId="5FDF3EB9" w14:textId="01A9C42F"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-6.488***</w:t>
            </w:r>
          </w:p>
        </w:tc>
        <w:tc>
          <w:tcPr>
            <w:tcW w:w="1066" w:type="dxa"/>
            <w:tcBorders>
              <w:bottom w:val="single" w:sz="4" w:space="0" w:color="auto"/>
            </w:tcBorders>
            <w:vAlign w:val="bottom"/>
          </w:tcPr>
          <w:p w14:paraId="5AAB3080" w14:textId="68D7F94B"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-6.496***</w:t>
            </w:r>
          </w:p>
        </w:tc>
        <w:tc>
          <w:tcPr>
            <w:tcW w:w="1366" w:type="dxa"/>
            <w:tcBorders>
              <w:bottom w:val="single" w:sz="4" w:space="0" w:color="auto"/>
            </w:tcBorders>
            <w:vAlign w:val="bottom"/>
          </w:tcPr>
          <w:p w14:paraId="1B88BEFA" w14:textId="40839142"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-3.536***</w:t>
            </w:r>
          </w:p>
        </w:tc>
        <w:tc>
          <w:tcPr>
            <w:tcW w:w="1066" w:type="dxa"/>
            <w:tcBorders>
              <w:bottom w:val="single" w:sz="4" w:space="0" w:color="auto"/>
            </w:tcBorders>
            <w:vAlign w:val="bottom"/>
          </w:tcPr>
          <w:p w14:paraId="43E89D01" w14:textId="12685C35"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-6.878***</w:t>
            </w:r>
          </w:p>
        </w:tc>
        <w:tc>
          <w:tcPr>
            <w:tcW w:w="1166" w:type="dxa"/>
            <w:tcBorders>
              <w:bottom w:val="single" w:sz="4" w:space="0" w:color="auto"/>
            </w:tcBorders>
            <w:vAlign w:val="bottom"/>
          </w:tcPr>
          <w:p w14:paraId="0E009A11" w14:textId="48A61ED1"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-7.955***</w:t>
            </w:r>
          </w:p>
        </w:tc>
        <w:tc>
          <w:tcPr>
            <w:tcW w:w="1566" w:type="dxa"/>
            <w:tcBorders>
              <w:bottom w:val="single" w:sz="4" w:space="0" w:color="auto"/>
            </w:tcBorders>
            <w:vAlign w:val="bottom"/>
          </w:tcPr>
          <w:p w14:paraId="07D03561" w14:textId="27F90F4B"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-6.698***</w:t>
            </w:r>
          </w:p>
        </w:tc>
        <w:tc>
          <w:tcPr>
            <w:tcW w:w="1366" w:type="dxa"/>
            <w:tcBorders>
              <w:bottom w:val="single" w:sz="4" w:space="0" w:color="auto"/>
            </w:tcBorders>
            <w:vAlign w:val="bottom"/>
          </w:tcPr>
          <w:p w14:paraId="6555D2B8" w14:textId="18CC8225"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-7.819***</w:t>
            </w:r>
          </w:p>
        </w:tc>
      </w:tr>
      <w:tr w:rsidR="00E338AF" w:rsidRPr="00012F08" w14:paraId="2D219786" w14:textId="77777777" w:rsidTr="00B26E99">
        <w:trPr>
          <w:trHeight w:val="357"/>
        </w:trPr>
        <w:tc>
          <w:tcPr>
            <w:tcW w:w="1105" w:type="dxa"/>
            <w:tcBorders>
              <w:top w:val="single" w:sz="4" w:space="0" w:color="auto"/>
              <w:bottom w:val="single" w:sz="4" w:space="0" w:color="auto"/>
            </w:tcBorders>
          </w:tcPr>
          <w:p w14:paraId="13612837" w14:textId="77777777" w:rsidR="00E338AF" w:rsidRPr="00012F08" w:rsidRDefault="00E338AF" w:rsidP="00E338AF">
            <w:pPr>
              <w:bidi w:val="0"/>
              <w:rPr>
                <w:rFonts w:asciiTheme="majorBidi" w:hAnsiTheme="majorBidi" w:cstheme="majorBidi"/>
                <w:sz w:val="20"/>
              </w:rPr>
            </w:pPr>
          </w:p>
        </w:tc>
        <w:tc>
          <w:tcPr>
            <w:tcW w:w="8762" w:type="dxa"/>
            <w:gridSpan w:val="7"/>
            <w:tcBorders>
              <w:top w:val="single" w:sz="4" w:space="0" w:color="auto"/>
              <w:bottom w:val="single" w:sz="4" w:space="0" w:color="auto"/>
            </w:tcBorders>
          </w:tcPr>
          <w:p w14:paraId="11507E68" w14:textId="058DE5D3" w:rsidR="00E338AF" w:rsidRPr="00012F08" w:rsidRDefault="00E338AF" w:rsidP="00E338AF">
            <w:pPr>
              <w:bidi w:val="0"/>
              <w:jc w:val="center"/>
              <w:rPr>
                <w:rFonts w:asciiTheme="majorBidi" w:hAnsiTheme="majorBidi" w:cstheme="majorBidi"/>
                <w:b/>
                <w:bCs/>
                <w:sz w:val="20"/>
              </w:rPr>
            </w:pPr>
            <w:r w:rsidRPr="00012F08">
              <w:rPr>
                <w:rFonts w:asciiTheme="majorBidi" w:hAnsiTheme="majorBidi" w:cstheme="majorBidi"/>
                <w:b/>
                <w:bCs/>
                <w:sz w:val="20"/>
              </w:rPr>
              <w:t xml:space="preserve">Panel C. </w:t>
            </w:r>
            <w:r w:rsidR="00986FDB" w:rsidRPr="00012F08">
              <w:rPr>
                <w:rFonts w:asciiTheme="majorBidi" w:hAnsiTheme="majorBidi" w:cstheme="majorBidi"/>
                <w:b/>
                <w:bCs/>
                <w:sz w:val="20"/>
              </w:rPr>
              <w:t>Trade War and Post-Pandemic Tensions</w:t>
            </w:r>
          </w:p>
          <w:p w14:paraId="580E06A4" w14:textId="07C711B3" w:rsidR="00E338AF" w:rsidRPr="00012F08" w:rsidRDefault="00E338AF" w:rsidP="00E338AF">
            <w:pPr>
              <w:bidi w:val="0"/>
              <w:jc w:val="center"/>
              <w:rPr>
                <w:rFonts w:asciiTheme="majorBidi" w:hAnsiTheme="majorBidi" w:cstheme="majorBidi"/>
                <w:i/>
                <w:iCs/>
                <w:sz w:val="20"/>
              </w:rPr>
            </w:pPr>
            <w:r w:rsidRPr="00012F08">
              <w:rPr>
                <w:rFonts w:asciiTheme="majorBidi" w:hAnsiTheme="majorBidi" w:cstheme="majorBidi"/>
                <w:b/>
                <w:bCs/>
                <w:sz w:val="20"/>
              </w:rPr>
              <w:t xml:space="preserve"> </w:t>
            </w:r>
            <w:r w:rsidR="00986FDB" w:rsidRPr="00012F08">
              <w:rPr>
                <w:rFonts w:asciiTheme="majorBidi" w:hAnsiTheme="majorBidi" w:cstheme="majorBidi"/>
                <w:b/>
                <w:bCs/>
                <w:sz w:val="20"/>
              </w:rPr>
              <w:t>(Jan 2018 – Feb 2024)</w:t>
            </w:r>
          </w:p>
        </w:tc>
      </w:tr>
      <w:tr w:rsidR="00E338AF" w:rsidRPr="00012F08" w14:paraId="6F16F75A" w14:textId="77777777" w:rsidTr="00B26E99">
        <w:trPr>
          <w:trHeight w:val="357"/>
        </w:trPr>
        <w:tc>
          <w:tcPr>
            <w:tcW w:w="1105" w:type="dxa"/>
            <w:tcBorders>
              <w:top w:val="single" w:sz="4" w:space="0" w:color="auto"/>
              <w:bottom w:val="single" w:sz="4" w:space="0" w:color="auto"/>
            </w:tcBorders>
          </w:tcPr>
          <w:p w14:paraId="7CBEB044" w14:textId="77777777" w:rsidR="00E338AF" w:rsidRPr="00012F08" w:rsidRDefault="00E338AF" w:rsidP="00E338AF">
            <w:pPr>
              <w:bidi w:val="0"/>
              <w:rPr>
                <w:rFonts w:asciiTheme="majorBidi" w:hAnsiTheme="majorBidi" w:cstheme="majorBidi"/>
                <w:sz w:val="20"/>
              </w:rPr>
            </w:pPr>
          </w:p>
        </w:tc>
        <w:tc>
          <w:tcPr>
            <w:tcW w:w="1166" w:type="dxa"/>
            <w:tcBorders>
              <w:top w:val="single" w:sz="4" w:space="0" w:color="auto"/>
              <w:bottom w:val="single" w:sz="4" w:space="0" w:color="auto"/>
            </w:tcBorders>
            <w:vAlign w:val="center"/>
          </w:tcPr>
          <w:p w14:paraId="3A7D1092" w14:textId="21961C88" w:rsidR="00E338AF" w:rsidRPr="00012F08" w:rsidRDefault="00E338AF" w:rsidP="00E338AF">
            <w:pPr>
              <w:bidi w:val="0"/>
              <w:jc w:val="both"/>
              <w:rPr>
                <w:rFonts w:asciiTheme="majorBidi" w:hAnsiTheme="majorBidi" w:cstheme="majorBidi"/>
                <w:b/>
                <w:bCs/>
                <w:sz w:val="20"/>
              </w:rPr>
            </w:pPr>
            <w:r w:rsidRPr="00012F08">
              <w:rPr>
                <w:rFonts w:asciiTheme="majorBidi" w:hAnsiTheme="majorBidi" w:cstheme="majorBidi"/>
                <w:b/>
                <w:bCs/>
                <w:sz w:val="20"/>
              </w:rPr>
              <w:t>UCT</w:t>
            </w:r>
          </w:p>
        </w:tc>
        <w:tc>
          <w:tcPr>
            <w:tcW w:w="1066" w:type="dxa"/>
            <w:tcBorders>
              <w:top w:val="single" w:sz="4" w:space="0" w:color="auto"/>
              <w:bottom w:val="single" w:sz="4" w:space="0" w:color="auto"/>
            </w:tcBorders>
            <w:vAlign w:val="center"/>
          </w:tcPr>
          <w:p w14:paraId="6AF19238" w14:textId="75AD0485" w:rsidR="00E338AF" w:rsidRPr="00012F08" w:rsidRDefault="00E338AF" w:rsidP="00E338AF">
            <w:pPr>
              <w:bidi w:val="0"/>
              <w:jc w:val="both"/>
              <w:rPr>
                <w:rFonts w:asciiTheme="majorBidi" w:hAnsiTheme="majorBidi" w:cstheme="majorBidi"/>
                <w:b/>
                <w:bCs/>
                <w:sz w:val="20"/>
              </w:rPr>
            </w:pPr>
            <w:r w:rsidRPr="00012F08">
              <w:rPr>
                <w:rFonts w:asciiTheme="majorBidi" w:hAnsiTheme="majorBidi" w:cstheme="majorBidi"/>
                <w:b/>
                <w:bCs/>
                <w:sz w:val="20"/>
              </w:rPr>
              <w:t>S&amp;P</w:t>
            </w:r>
          </w:p>
        </w:tc>
        <w:tc>
          <w:tcPr>
            <w:tcW w:w="1366" w:type="dxa"/>
            <w:tcBorders>
              <w:top w:val="single" w:sz="4" w:space="0" w:color="auto"/>
              <w:bottom w:val="single" w:sz="4" w:space="0" w:color="auto"/>
            </w:tcBorders>
            <w:vAlign w:val="center"/>
          </w:tcPr>
          <w:p w14:paraId="50835EBC" w14:textId="742951A7" w:rsidR="00E338AF" w:rsidRPr="00012F08" w:rsidRDefault="00E338AF" w:rsidP="00E338AF">
            <w:pPr>
              <w:bidi w:val="0"/>
              <w:jc w:val="both"/>
              <w:rPr>
                <w:rFonts w:asciiTheme="majorBidi" w:hAnsiTheme="majorBidi" w:cstheme="majorBidi"/>
                <w:b/>
                <w:bCs/>
                <w:sz w:val="20"/>
              </w:rPr>
            </w:pPr>
            <w:r w:rsidRPr="00012F08">
              <w:rPr>
                <w:rFonts w:asciiTheme="majorBidi" w:hAnsiTheme="majorBidi" w:cstheme="majorBidi"/>
                <w:b/>
                <w:bCs/>
                <w:sz w:val="20"/>
              </w:rPr>
              <w:t>CHINA</w:t>
            </w:r>
          </w:p>
        </w:tc>
        <w:tc>
          <w:tcPr>
            <w:tcW w:w="1066" w:type="dxa"/>
            <w:tcBorders>
              <w:top w:val="single" w:sz="4" w:space="0" w:color="auto"/>
              <w:bottom w:val="single" w:sz="4" w:space="0" w:color="auto"/>
            </w:tcBorders>
            <w:vAlign w:val="center"/>
          </w:tcPr>
          <w:p w14:paraId="5AD63DD1" w14:textId="3F17BB3E" w:rsidR="00E338AF" w:rsidRPr="00012F08" w:rsidRDefault="00E338AF" w:rsidP="00E338AF">
            <w:pPr>
              <w:bidi w:val="0"/>
              <w:jc w:val="both"/>
              <w:rPr>
                <w:rFonts w:asciiTheme="majorBidi" w:hAnsiTheme="majorBidi" w:cstheme="majorBidi"/>
                <w:b/>
                <w:bCs/>
                <w:sz w:val="20"/>
              </w:rPr>
            </w:pPr>
            <w:r w:rsidRPr="00012F08">
              <w:rPr>
                <w:rFonts w:asciiTheme="majorBidi" w:hAnsiTheme="majorBidi" w:cstheme="majorBidi"/>
                <w:b/>
                <w:bCs/>
                <w:sz w:val="20"/>
              </w:rPr>
              <w:t>Gold</w:t>
            </w:r>
          </w:p>
        </w:tc>
        <w:tc>
          <w:tcPr>
            <w:tcW w:w="1166" w:type="dxa"/>
            <w:tcBorders>
              <w:top w:val="single" w:sz="4" w:space="0" w:color="auto"/>
              <w:bottom w:val="single" w:sz="4" w:space="0" w:color="auto"/>
            </w:tcBorders>
            <w:vAlign w:val="center"/>
          </w:tcPr>
          <w:p w14:paraId="680E6DDD" w14:textId="4E03B5E8" w:rsidR="00E338AF" w:rsidRPr="00012F08" w:rsidRDefault="00E338AF" w:rsidP="00E338AF">
            <w:pPr>
              <w:bidi w:val="0"/>
              <w:jc w:val="both"/>
              <w:rPr>
                <w:rFonts w:asciiTheme="majorBidi" w:hAnsiTheme="majorBidi" w:cstheme="majorBidi"/>
                <w:b/>
                <w:bCs/>
                <w:sz w:val="20"/>
              </w:rPr>
            </w:pPr>
            <w:r w:rsidRPr="00012F08">
              <w:rPr>
                <w:rFonts w:asciiTheme="majorBidi" w:hAnsiTheme="majorBidi" w:cstheme="majorBidi"/>
                <w:b/>
                <w:bCs/>
                <w:sz w:val="20"/>
              </w:rPr>
              <w:t>VIX</w:t>
            </w:r>
          </w:p>
        </w:tc>
        <w:tc>
          <w:tcPr>
            <w:tcW w:w="1566" w:type="dxa"/>
            <w:tcBorders>
              <w:top w:val="single" w:sz="4" w:space="0" w:color="auto"/>
              <w:bottom w:val="single" w:sz="4" w:space="0" w:color="auto"/>
            </w:tcBorders>
            <w:vAlign w:val="center"/>
          </w:tcPr>
          <w:p w14:paraId="0C99A98E" w14:textId="1647AF55" w:rsidR="00E338AF" w:rsidRPr="00012F08" w:rsidRDefault="00E338AF" w:rsidP="00E338AF">
            <w:pPr>
              <w:bidi w:val="0"/>
              <w:jc w:val="both"/>
              <w:rPr>
                <w:rFonts w:asciiTheme="majorBidi" w:hAnsiTheme="majorBidi" w:cstheme="majorBidi"/>
                <w:b/>
                <w:bCs/>
                <w:sz w:val="20"/>
              </w:rPr>
            </w:pPr>
            <w:r w:rsidRPr="00012F08">
              <w:rPr>
                <w:rFonts w:asciiTheme="majorBidi" w:hAnsiTheme="majorBidi" w:cstheme="majorBidi"/>
                <w:b/>
                <w:bCs/>
                <w:sz w:val="20"/>
              </w:rPr>
              <w:t>USD/CNY</w:t>
            </w:r>
          </w:p>
        </w:tc>
        <w:tc>
          <w:tcPr>
            <w:tcW w:w="1366" w:type="dxa"/>
            <w:tcBorders>
              <w:top w:val="single" w:sz="4" w:space="0" w:color="auto"/>
              <w:bottom w:val="single" w:sz="4" w:space="0" w:color="auto"/>
            </w:tcBorders>
            <w:vAlign w:val="center"/>
          </w:tcPr>
          <w:p w14:paraId="7E0A6022" w14:textId="367BFFD5" w:rsidR="00E338AF" w:rsidRPr="00012F08" w:rsidRDefault="00E338AF" w:rsidP="00E338AF">
            <w:pPr>
              <w:bidi w:val="0"/>
              <w:jc w:val="both"/>
              <w:rPr>
                <w:rFonts w:asciiTheme="majorBidi" w:hAnsiTheme="majorBidi" w:cstheme="majorBidi"/>
                <w:b/>
                <w:bCs/>
                <w:sz w:val="20"/>
              </w:rPr>
            </w:pPr>
            <w:r w:rsidRPr="00012F08">
              <w:rPr>
                <w:rFonts w:asciiTheme="majorBidi" w:hAnsiTheme="majorBidi" w:cstheme="majorBidi"/>
                <w:b/>
                <w:bCs/>
                <w:sz w:val="20"/>
              </w:rPr>
              <w:t>Oil</w:t>
            </w:r>
          </w:p>
        </w:tc>
      </w:tr>
      <w:tr w:rsidR="003F5A67" w:rsidRPr="00012F08" w14:paraId="6C33CD20" w14:textId="77777777" w:rsidTr="00B26E99">
        <w:trPr>
          <w:trHeight w:val="357"/>
        </w:trPr>
        <w:tc>
          <w:tcPr>
            <w:tcW w:w="1105" w:type="dxa"/>
            <w:tcBorders>
              <w:top w:val="single" w:sz="4" w:space="0" w:color="auto"/>
            </w:tcBorders>
            <w:vAlign w:val="bottom"/>
          </w:tcPr>
          <w:p w14:paraId="5F1C3366" w14:textId="0A115653"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Mean</w:t>
            </w:r>
          </w:p>
        </w:tc>
        <w:tc>
          <w:tcPr>
            <w:tcW w:w="1166" w:type="dxa"/>
            <w:tcBorders>
              <w:top w:val="single" w:sz="4" w:space="0" w:color="auto"/>
            </w:tcBorders>
            <w:vAlign w:val="bottom"/>
          </w:tcPr>
          <w:p w14:paraId="57ECCC0F" w14:textId="003CA884"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0.017</w:t>
            </w:r>
          </w:p>
        </w:tc>
        <w:tc>
          <w:tcPr>
            <w:tcW w:w="1066" w:type="dxa"/>
            <w:tcBorders>
              <w:top w:val="single" w:sz="4" w:space="0" w:color="auto"/>
            </w:tcBorders>
            <w:vAlign w:val="bottom"/>
          </w:tcPr>
          <w:p w14:paraId="325D4CE4" w14:textId="3219907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0.010</w:t>
            </w:r>
          </w:p>
        </w:tc>
        <w:tc>
          <w:tcPr>
            <w:tcW w:w="1366" w:type="dxa"/>
            <w:tcBorders>
              <w:top w:val="single" w:sz="4" w:space="0" w:color="auto"/>
            </w:tcBorders>
            <w:vAlign w:val="bottom"/>
          </w:tcPr>
          <w:p w14:paraId="405BA0D1" w14:textId="19C80E22"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0.000</w:t>
            </w:r>
          </w:p>
        </w:tc>
        <w:tc>
          <w:tcPr>
            <w:tcW w:w="1066" w:type="dxa"/>
            <w:tcBorders>
              <w:top w:val="single" w:sz="4" w:space="0" w:color="auto"/>
            </w:tcBorders>
            <w:vAlign w:val="bottom"/>
          </w:tcPr>
          <w:p w14:paraId="1635518A" w14:textId="2AD2FB9B"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0.007</w:t>
            </w:r>
          </w:p>
        </w:tc>
        <w:tc>
          <w:tcPr>
            <w:tcW w:w="1166" w:type="dxa"/>
            <w:tcBorders>
              <w:top w:val="single" w:sz="4" w:space="0" w:color="auto"/>
            </w:tcBorders>
            <w:vAlign w:val="bottom"/>
          </w:tcPr>
          <w:p w14:paraId="1685C5EB" w14:textId="7B0B2732"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0.039</w:t>
            </w:r>
          </w:p>
        </w:tc>
        <w:tc>
          <w:tcPr>
            <w:tcW w:w="1566" w:type="dxa"/>
            <w:tcBorders>
              <w:top w:val="single" w:sz="4" w:space="0" w:color="auto"/>
            </w:tcBorders>
            <w:vAlign w:val="bottom"/>
          </w:tcPr>
          <w:p w14:paraId="25069759" w14:textId="75EBAAB6"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0.001</w:t>
            </w:r>
          </w:p>
        </w:tc>
        <w:tc>
          <w:tcPr>
            <w:tcW w:w="1366" w:type="dxa"/>
            <w:tcBorders>
              <w:top w:val="single" w:sz="4" w:space="0" w:color="auto"/>
            </w:tcBorders>
            <w:vAlign w:val="bottom"/>
          </w:tcPr>
          <w:p w14:paraId="08E8F60C" w14:textId="6D010A91"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0.015</w:t>
            </w:r>
          </w:p>
        </w:tc>
      </w:tr>
      <w:tr w:rsidR="003F5A67" w:rsidRPr="00012F08" w14:paraId="7316FC50" w14:textId="77777777" w:rsidTr="00B26E99">
        <w:trPr>
          <w:trHeight w:val="357"/>
        </w:trPr>
        <w:tc>
          <w:tcPr>
            <w:tcW w:w="1105" w:type="dxa"/>
            <w:vAlign w:val="bottom"/>
          </w:tcPr>
          <w:p w14:paraId="1A512942" w14:textId="0C5F717E"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Median</w:t>
            </w:r>
          </w:p>
        </w:tc>
        <w:tc>
          <w:tcPr>
            <w:tcW w:w="1166" w:type="dxa"/>
            <w:vAlign w:val="bottom"/>
          </w:tcPr>
          <w:p w14:paraId="36A87A5B" w14:textId="5BFF3FA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0.006</w:t>
            </w:r>
          </w:p>
        </w:tc>
        <w:tc>
          <w:tcPr>
            <w:tcW w:w="1066" w:type="dxa"/>
            <w:vAlign w:val="bottom"/>
          </w:tcPr>
          <w:p w14:paraId="786AC36E" w14:textId="6A39E7EB"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0.018</w:t>
            </w:r>
          </w:p>
        </w:tc>
        <w:tc>
          <w:tcPr>
            <w:tcW w:w="1366" w:type="dxa"/>
            <w:vAlign w:val="bottom"/>
          </w:tcPr>
          <w:p w14:paraId="32D85304" w14:textId="4A83250C"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-0.001</w:t>
            </w:r>
          </w:p>
        </w:tc>
        <w:tc>
          <w:tcPr>
            <w:tcW w:w="1066" w:type="dxa"/>
            <w:vAlign w:val="bottom"/>
          </w:tcPr>
          <w:p w14:paraId="2FF58444" w14:textId="24310ECF"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-0.003</w:t>
            </w:r>
          </w:p>
        </w:tc>
        <w:tc>
          <w:tcPr>
            <w:tcW w:w="1166" w:type="dxa"/>
            <w:vAlign w:val="bottom"/>
          </w:tcPr>
          <w:p w14:paraId="78DFE6F0" w14:textId="0911DFB0"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-0.018</w:t>
            </w:r>
          </w:p>
        </w:tc>
        <w:tc>
          <w:tcPr>
            <w:tcW w:w="1566" w:type="dxa"/>
            <w:vAlign w:val="bottom"/>
          </w:tcPr>
          <w:p w14:paraId="40AB74E8" w14:textId="0DBF172A"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0.001</w:t>
            </w:r>
          </w:p>
        </w:tc>
        <w:tc>
          <w:tcPr>
            <w:tcW w:w="1366" w:type="dxa"/>
            <w:vAlign w:val="bottom"/>
          </w:tcPr>
          <w:p w14:paraId="0CB0BB88" w14:textId="76E870E2"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0.020</w:t>
            </w:r>
          </w:p>
        </w:tc>
      </w:tr>
      <w:tr w:rsidR="003F5A67" w:rsidRPr="00012F08" w14:paraId="4A41232F" w14:textId="77777777" w:rsidTr="00B26E99">
        <w:trPr>
          <w:trHeight w:val="357"/>
        </w:trPr>
        <w:tc>
          <w:tcPr>
            <w:tcW w:w="1105" w:type="dxa"/>
            <w:vAlign w:val="bottom"/>
          </w:tcPr>
          <w:p w14:paraId="67110D76" w14:textId="21974819"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Maximum</w:t>
            </w:r>
          </w:p>
        </w:tc>
        <w:tc>
          <w:tcPr>
            <w:tcW w:w="1166" w:type="dxa"/>
            <w:vAlign w:val="bottom"/>
          </w:tcPr>
          <w:p w14:paraId="143E66F3" w14:textId="4E3F8B02"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0.675</w:t>
            </w:r>
          </w:p>
        </w:tc>
        <w:tc>
          <w:tcPr>
            <w:tcW w:w="1066" w:type="dxa"/>
            <w:vAlign w:val="bottom"/>
          </w:tcPr>
          <w:p w14:paraId="39002E27" w14:textId="76C49DC5"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0.127</w:t>
            </w:r>
          </w:p>
        </w:tc>
        <w:tc>
          <w:tcPr>
            <w:tcW w:w="1366" w:type="dxa"/>
            <w:vAlign w:val="bottom"/>
          </w:tcPr>
          <w:p w14:paraId="56F758A5" w14:textId="6FE58ACC"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0.138</w:t>
            </w:r>
          </w:p>
        </w:tc>
        <w:tc>
          <w:tcPr>
            <w:tcW w:w="1066" w:type="dxa"/>
            <w:vAlign w:val="bottom"/>
          </w:tcPr>
          <w:p w14:paraId="6A10A0E8" w14:textId="540A943E"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0.109</w:t>
            </w:r>
          </w:p>
        </w:tc>
        <w:tc>
          <w:tcPr>
            <w:tcW w:w="1166" w:type="dxa"/>
            <w:vAlign w:val="bottom"/>
          </w:tcPr>
          <w:p w14:paraId="1AF9E4DC" w14:textId="34E5EA2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1.129</w:t>
            </w:r>
          </w:p>
        </w:tc>
        <w:tc>
          <w:tcPr>
            <w:tcW w:w="1566" w:type="dxa"/>
            <w:vAlign w:val="bottom"/>
          </w:tcPr>
          <w:p w14:paraId="7FCD9A12" w14:textId="7355065A"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0.042</w:t>
            </w:r>
          </w:p>
        </w:tc>
        <w:tc>
          <w:tcPr>
            <w:tcW w:w="1366" w:type="dxa"/>
            <w:vAlign w:val="bottom"/>
          </w:tcPr>
          <w:p w14:paraId="0D9C8FB1" w14:textId="1FE19446"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0.884</w:t>
            </w:r>
          </w:p>
        </w:tc>
      </w:tr>
      <w:tr w:rsidR="003F5A67" w:rsidRPr="00012F08" w14:paraId="056E1CFF" w14:textId="77777777" w:rsidTr="00B26E99">
        <w:trPr>
          <w:trHeight w:val="357"/>
        </w:trPr>
        <w:tc>
          <w:tcPr>
            <w:tcW w:w="1105" w:type="dxa"/>
            <w:vAlign w:val="bottom"/>
          </w:tcPr>
          <w:p w14:paraId="3FEFB085" w14:textId="2A9ADEBE"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Minimum</w:t>
            </w:r>
          </w:p>
        </w:tc>
        <w:tc>
          <w:tcPr>
            <w:tcW w:w="1166" w:type="dxa"/>
            <w:vAlign w:val="bottom"/>
          </w:tcPr>
          <w:p w14:paraId="6953AE1D" w14:textId="2C01F25C"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-0.382</w:t>
            </w:r>
          </w:p>
        </w:tc>
        <w:tc>
          <w:tcPr>
            <w:tcW w:w="1066" w:type="dxa"/>
            <w:vAlign w:val="bottom"/>
          </w:tcPr>
          <w:p w14:paraId="4A4B7988" w14:textId="61BB7E5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-0.125</w:t>
            </w:r>
          </w:p>
        </w:tc>
        <w:tc>
          <w:tcPr>
            <w:tcW w:w="1366" w:type="dxa"/>
            <w:vAlign w:val="bottom"/>
          </w:tcPr>
          <w:p w14:paraId="4C823EEE" w14:textId="70EB0EBF"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-0.080</w:t>
            </w:r>
          </w:p>
        </w:tc>
        <w:tc>
          <w:tcPr>
            <w:tcW w:w="1066" w:type="dxa"/>
            <w:vAlign w:val="bottom"/>
          </w:tcPr>
          <w:p w14:paraId="3BB51936" w14:textId="04A19D3E"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-0.072</w:t>
            </w:r>
          </w:p>
        </w:tc>
        <w:tc>
          <w:tcPr>
            <w:tcW w:w="1166" w:type="dxa"/>
            <w:vAlign w:val="bottom"/>
          </w:tcPr>
          <w:p w14:paraId="2D9503E9" w14:textId="4719FDB5"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-0.459</w:t>
            </w:r>
          </w:p>
        </w:tc>
        <w:tc>
          <w:tcPr>
            <w:tcW w:w="1566" w:type="dxa"/>
            <w:vAlign w:val="bottom"/>
          </w:tcPr>
          <w:p w14:paraId="48C3CC93" w14:textId="4B26ECB5"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-0.034</w:t>
            </w:r>
          </w:p>
        </w:tc>
        <w:tc>
          <w:tcPr>
            <w:tcW w:w="1366" w:type="dxa"/>
            <w:vAlign w:val="bottom"/>
          </w:tcPr>
          <w:p w14:paraId="1A8BEF75" w14:textId="2F53C16F"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-0.542</w:t>
            </w:r>
          </w:p>
        </w:tc>
      </w:tr>
      <w:tr w:rsidR="003F5A67" w:rsidRPr="00012F08" w14:paraId="16376AF0" w14:textId="77777777" w:rsidTr="00B26E99">
        <w:trPr>
          <w:trHeight w:val="357"/>
        </w:trPr>
        <w:tc>
          <w:tcPr>
            <w:tcW w:w="1105" w:type="dxa"/>
            <w:vAlign w:val="bottom"/>
          </w:tcPr>
          <w:p w14:paraId="53DA73D6" w14:textId="02DBB600"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SD</w:t>
            </w:r>
          </w:p>
        </w:tc>
        <w:tc>
          <w:tcPr>
            <w:tcW w:w="1166" w:type="dxa"/>
            <w:vAlign w:val="bottom"/>
          </w:tcPr>
          <w:p w14:paraId="7E9AAC6F" w14:textId="3B308575"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0.185</w:t>
            </w:r>
          </w:p>
        </w:tc>
        <w:tc>
          <w:tcPr>
            <w:tcW w:w="1066" w:type="dxa"/>
            <w:vAlign w:val="bottom"/>
          </w:tcPr>
          <w:p w14:paraId="0ED61A69" w14:textId="4F7CB3F1"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0.052</w:t>
            </w:r>
          </w:p>
        </w:tc>
        <w:tc>
          <w:tcPr>
            <w:tcW w:w="1366" w:type="dxa"/>
            <w:vAlign w:val="bottom"/>
          </w:tcPr>
          <w:p w14:paraId="46BFD9D4" w14:textId="7E10079A"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0.045</w:t>
            </w:r>
          </w:p>
        </w:tc>
        <w:tc>
          <w:tcPr>
            <w:tcW w:w="1066" w:type="dxa"/>
            <w:vAlign w:val="bottom"/>
          </w:tcPr>
          <w:p w14:paraId="49146FE2" w14:textId="4800A41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0.039</w:t>
            </w:r>
          </w:p>
        </w:tc>
        <w:tc>
          <w:tcPr>
            <w:tcW w:w="1166" w:type="dxa"/>
            <w:vAlign w:val="bottom"/>
          </w:tcPr>
          <w:p w14:paraId="30151116" w14:textId="5BA3FE04"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0.291</w:t>
            </w:r>
          </w:p>
        </w:tc>
        <w:tc>
          <w:tcPr>
            <w:tcW w:w="1566" w:type="dxa"/>
            <w:vAlign w:val="bottom"/>
          </w:tcPr>
          <w:p w14:paraId="333D469E" w14:textId="3D54BC5D"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0.016</w:t>
            </w:r>
          </w:p>
        </w:tc>
        <w:tc>
          <w:tcPr>
            <w:tcW w:w="1366" w:type="dxa"/>
            <w:vAlign w:val="bottom"/>
          </w:tcPr>
          <w:p w14:paraId="50CAFC21" w14:textId="76CB1E9D"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0.154</w:t>
            </w:r>
          </w:p>
        </w:tc>
      </w:tr>
      <w:tr w:rsidR="003F5A67" w:rsidRPr="00012F08" w14:paraId="7459A44A" w14:textId="77777777" w:rsidTr="00B26E99">
        <w:trPr>
          <w:trHeight w:val="357"/>
        </w:trPr>
        <w:tc>
          <w:tcPr>
            <w:tcW w:w="1105" w:type="dxa"/>
            <w:vAlign w:val="bottom"/>
          </w:tcPr>
          <w:p w14:paraId="670E30B5" w14:textId="108137BD"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Skewness</w:t>
            </w:r>
          </w:p>
        </w:tc>
        <w:tc>
          <w:tcPr>
            <w:tcW w:w="1166" w:type="dxa"/>
            <w:vAlign w:val="bottom"/>
          </w:tcPr>
          <w:p w14:paraId="266F8073" w14:textId="69625D47"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0.833</w:t>
            </w:r>
          </w:p>
        </w:tc>
        <w:tc>
          <w:tcPr>
            <w:tcW w:w="1066" w:type="dxa"/>
            <w:vAlign w:val="bottom"/>
          </w:tcPr>
          <w:p w14:paraId="1E9F7673" w14:textId="7DA14A86"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-0.400</w:t>
            </w:r>
          </w:p>
        </w:tc>
        <w:tc>
          <w:tcPr>
            <w:tcW w:w="1366" w:type="dxa"/>
            <w:vAlign w:val="bottom"/>
          </w:tcPr>
          <w:p w14:paraId="668FD5DE" w14:textId="2FB4FFCD"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0.480</w:t>
            </w:r>
          </w:p>
        </w:tc>
        <w:tc>
          <w:tcPr>
            <w:tcW w:w="1066" w:type="dxa"/>
            <w:vAlign w:val="bottom"/>
          </w:tcPr>
          <w:p w14:paraId="370C996A" w14:textId="4DC61E8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0.494</w:t>
            </w:r>
          </w:p>
        </w:tc>
        <w:tc>
          <w:tcPr>
            <w:tcW w:w="1166" w:type="dxa"/>
            <w:vAlign w:val="bottom"/>
          </w:tcPr>
          <w:p w14:paraId="79664355" w14:textId="448E370D"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1.102</w:t>
            </w:r>
          </w:p>
        </w:tc>
        <w:tc>
          <w:tcPr>
            <w:tcW w:w="1566" w:type="dxa"/>
            <w:vAlign w:val="bottom"/>
          </w:tcPr>
          <w:p w14:paraId="63320D30" w14:textId="1EE2B9ED"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0.303</w:t>
            </w:r>
          </w:p>
        </w:tc>
        <w:tc>
          <w:tcPr>
            <w:tcW w:w="1366" w:type="dxa"/>
            <w:vAlign w:val="bottom"/>
          </w:tcPr>
          <w:p w14:paraId="1230C747" w14:textId="7B038885"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1.775</w:t>
            </w:r>
          </w:p>
        </w:tc>
      </w:tr>
      <w:tr w:rsidR="003F5A67" w:rsidRPr="00012F08" w14:paraId="59D19D7F" w14:textId="77777777" w:rsidTr="00B26E99">
        <w:trPr>
          <w:trHeight w:val="357"/>
        </w:trPr>
        <w:tc>
          <w:tcPr>
            <w:tcW w:w="1105" w:type="dxa"/>
            <w:vAlign w:val="bottom"/>
          </w:tcPr>
          <w:p w14:paraId="2E009F3F" w14:textId="736B1334"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Kurtosis</w:t>
            </w:r>
          </w:p>
        </w:tc>
        <w:tc>
          <w:tcPr>
            <w:tcW w:w="1166" w:type="dxa"/>
            <w:vAlign w:val="bottom"/>
          </w:tcPr>
          <w:p w14:paraId="68EA112C" w14:textId="519944D6"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4.373</w:t>
            </w:r>
          </w:p>
        </w:tc>
        <w:tc>
          <w:tcPr>
            <w:tcW w:w="1066" w:type="dxa"/>
            <w:vAlign w:val="bottom"/>
          </w:tcPr>
          <w:p w14:paraId="76A1A44A" w14:textId="7FF29C95"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2.846</w:t>
            </w:r>
          </w:p>
        </w:tc>
        <w:tc>
          <w:tcPr>
            <w:tcW w:w="1366" w:type="dxa"/>
            <w:vAlign w:val="bottom"/>
          </w:tcPr>
          <w:p w14:paraId="3228ACE2" w14:textId="196DEDFA"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3.185</w:t>
            </w:r>
          </w:p>
        </w:tc>
        <w:tc>
          <w:tcPr>
            <w:tcW w:w="1066" w:type="dxa"/>
            <w:vAlign w:val="bottom"/>
          </w:tcPr>
          <w:p w14:paraId="5D7D39A2" w14:textId="294F4E63"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2.702</w:t>
            </w:r>
          </w:p>
        </w:tc>
        <w:tc>
          <w:tcPr>
            <w:tcW w:w="1166" w:type="dxa"/>
            <w:vAlign w:val="bottom"/>
          </w:tcPr>
          <w:p w14:paraId="2818EC65" w14:textId="627EF924"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4.632</w:t>
            </w:r>
          </w:p>
        </w:tc>
        <w:tc>
          <w:tcPr>
            <w:tcW w:w="1566" w:type="dxa"/>
            <w:vAlign w:val="bottom"/>
          </w:tcPr>
          <w:p w14:paraId="5F31B1C9" w14:textId="3C28B75D"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2.938</w:t>
            </w:r>
          </w:p>
        </w:tc>
        <w:tc>
          <w:tcPr>
            <w:tcW w:w="1366" w:type="dxa"/>
            <w:vAlign w:val="bottom"/>
          </w:tcPr>
          <w:p w14:paraId="107E56B8" w14:textId="010F4A19"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16.943</w:t>
            </w:r>
          </w:p>
        </w:tc>
      </w:tr>
      <w:tr w:rsidR="003F5A67" w:rsidRPr="00012F08" w14:paraId="24032EB4" w14:textId="77777777" w:rsidTr="00B26E99">
        <w:trPr>
          <w:trHeight w:val="357"/>
        </w:trPr>
        <w:tc>
          <w:tcPr>
            <w:tcW w:w="1105" w:type="dxa"/>
            <w:vAlign w:val="bottom"/>
          </w:tcPr>
          <w:p w14:paraId="5993E402" w14:textId="5FD38028"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JB</w:t>
            </w:r>
          </w:p>
        </w:tc>
        <w:tc>
          <w:tcPr>
            <w:tcW w:w="1166" w:type="dxa"/>
            <w:vAlign w:val="bottom"/>
          </w:tcPr>
          <w:p w14:paraId="199EF686" w14:textId="513D0BA0"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14.365***</w:t>
            </w:r>
          </w:p>
        </w:tc>
        <w:tc>
          <w:tcPr>
            <w:tcW w:w="1066" w:type="dxa"/>
            <w:vAlign w:val="bottom"/>
          </w:tcPr>
          <w:p w14:paraId="02642556" w14:textId="35EFC085"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2.042</w:t>
            </w:r>
          </w:p>
        </w:tc>
        <w:tc>
          <w:tcPr>
            <w:tcW w:w="1366" w:type="dxa"/>
            <w:vAlign w:val="bottom"/>
          </w:tcPr>
          <w:p w14:paraId="56F8FFA0" w14:textId="49B97CFE"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2.946</w:t>
            </w:r>
          </w:p>
        </w:tc>
        <w:tc>
          <w:tcPr>
            <w:tcW w:w="1066" w:type="dxa"/>
            <w:vAlign w:val="bottom"/>
          </w:tcPr>
          <w:p w14:paraId="29737D7D" w14:textId="6BFCEB7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3.285</w:t>
            </w:r>
          </w:p>
        </w:tc>
        <w:tc>
          <w:tcPr>
            <w:tcW w:w="1166" w:type="dxa"/>
            <w:vAlign w:val="bottom"/>
          </w:tcPr>
          <w:p w14:paraId="4EA1DF27" w14:textId="2DF3CDB8"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23.185***</w:t>
            </w:r>
          </w:p>
        </w:tc>
        <w:tc>
          <w:tcPr>
            <w:tcW w:w="1566" w:type="dxa"/>
            <w:vAlign w:val="bottom"/>
          </w:tcPr>
          <w:p w14:paraId="32FAC498" w14:textId="66B9762B"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1.147</w:t>
            </w:r>
          </w:p>
        </w:tc>
        <w:tc>
          <w:tcPr>
            <w:tcW w:w="1366" w:type="dxa"/>
            <w:vAlign w:val="bottom"/>
          </w:tcPr>
          <w:p w14:paraId="5954C47F" w14:textId="7D27E874"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638.247***</w:t>
            </w:r>
          </w:p>
        </w:tc>
      </w:tr>
      <w:tr w:rsidR="003F5A67" w:rsidRPr="00012F08" w14:paraId="4714C813" w14:textId="77777777" w:rsidTr="00B26E99">
        <w:trPr>
          <w:trHeight w:val="357"/>
        </w:trPr>
        <w:tc>
          <w:tcPr>
            <w:tcW w:w="1105" w:type="dxa"/>
            <w:tcBorders>
              <w:bottom w:val="single" w:sz="4" w:space="0" w:color="auto"/>
            </w:tcBorders>
            <w:vAlign w:val="bottom"/>
          </w:tcPr>
          <w:p w14:paraId="7C006E73" w14:textId="23F9D37D" w:rsidR="003F5A67" w:rsidRPr="00012F08" w:rsidRDefault="003F5A67" w:rsidP="003F5A67">
            <w:pPr>
              <w:bidi w:val="0"/>
              <w:rPr>
                <w:rFonts w:asciiTheme="majorBidi" w:hAnsiTheme="majorBidi" w:cstheme="majorBidi"/>
                <w:b/>
                <w:bCs/>
                <w:sz w:val="20"/>
              </w:rPr>
            </w:pPr>
            <w:r w:rsidRPr="00012F08">
              <w:rPr>
                <w:rFonts w:asciiTheme="majorBidi" w:hAnsiTheme="majorBidi" w:cstheme="majorBidi"/>
                <w:b/>
                <w:bCs/>
                <w:sz w:val="20"/>
              </w:rPr>
              <w:t>ERS</w:t>
            </w:r>
          </w:p>
        </w:tc>
        <w:tc>
          <w:tcPr>
            <w:tcW w:w="1166" w:type="dxa"/>
            <w:tcBorders>
              <w:bottom w:val="single" w:sz="4" w:space="0" w:color="auto"/>
            </w:tcBorders>
            <w:vAlign w:val="bottom"/>
          </w:tcPr>
          <w:p w14:paraId="379A2B3D" w14:textId="7520DE8E"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-2.199**</w:t>
            </w:r>
          </w:p>
        </w:tc>
        <w:tc>
          <w:tcPr>
            <w:tcW w:w="1066" w:type="dxa"/>
            <w:tcBorders>
              <w:bottom w:val="single" w:sz="4" w:space="0" w:color="auto"/>
            </w:tcBorders>
            <w:vAlign w:val="bottom"/>
          </w:tcPr>
          <w:p w14:paraId="30798792" w14:textId="0906D84A"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-2.130**</w:t>
            </w:r>
          </w:p>
        </w:tc>
        <w:tc>
          <w:tcPr>
            <w:tcW w:w="1366" w:type="dxa"/>
            <w:tcBorders>
              <w:bottom w:val="single" w:sz="4" w:space="0" w:color="auto"/>
            </w:tcBorders>
            <w:vAlign w:val="bottom"/>
          </w:tcPr>
          <w:p w14:paraId="4152BFA9" w14:textId="66A4352B"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-2.013*</w:t>
            </w:r>
          </w:p>
        </w:tc>
        <w:tc>
          <w:tcPr>
            <w:tcW w:w="1066" w:type="dxa"/>
            <w:tcBorders>
              <w:bottom w:val="single" w:sz="4" w:space="0" w:color="auto"/>
            </w:tcBorders>
            <w:vAlign w:val="bottom"/>
          </w:tcPr>
          <w:p w14:paraId="1E8F8526" w14:textId="4498ABDB"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-2.886***</w:t>
            </w:r>
          </w:p>
        </w:tc>
        <w:tc>
          <w:tcPr>
            <w:tcW w:w="1166" w:type="dxa"/>
            <w:tcBorders>
              <w:bottom w:val="single" w:sz="4" w:space="0" w:color="auto"/>
            </w:tcBorders>
            <w:vAlign w:val="bottom"/>
          </w:tcPr>
          <w:p w14:paraId="02F3B29D" w14:textId="3005C65A"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-3.021***</w:t>
            </w:r>
          </w:p>
        </w:tc>
        <w:tc>
          <w:tcPr>
            <w:tcW w:w="1566" w:type="dxa"/>
            <w:tcBorders>
              <w:bottom w:val="single" w:sz="4" w:space="0" w:color="auto"/>
            </w:tcBorders>
            <w:vAlign w:val="bottom"/>
          </w:tcPr>
          <w:p w14:paraId="5A17E02A" w14:textId="689743B5"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-1.548</w:t>
            </w:r>
          </w:p>
        </w:tc>
        <w:tc>
          <w:tcPr>
            <w:tcW w:w="1366" w:type="dxa"/>
            <w:tcBorders>
              <w:bottom w:val="single" w:sz="4" w:space="0" w:color="auto"/>
            </w:tcBorders>
            <w:vAlign w:val="bottom"/>
          </w:tcPr>
          <w:p w14:paraId="60FF8EC3" w14:textId="0E0D6EDE" w:rsidR="003F5A67" w:rsidRPr="00012F08" w:rsidRDefault="003F5A67" w:rsidP="003F5A67">
            <w:pPr>
              <w:bidi w:val="0"/>
              <w:jc w:val="center"/>
              <w:rPr>
                <w:rFonts w:asciiTheme="majorBidi" w:hAnsiTheme="majorBidi" w:cstheme="majorBidi"/>
                <w:color w:val="000000"/>
                <w:sz w:val="20"/>
                <w:szCs w:val="20"/>
              </w:rPr>
            </w:pPr>
            <w:r w:rsidRPr="00012F08">
              <w:rPr>
                <w:rFonts w:asciiTheme="majorBidi" w:hAnsiTheme="majorBidi" w:cstheme="majorBidi"/>
                <w:color w:val="000000"/>
                <w:sz w:val="20"/>
                <w:szCs w:val="20"/>
              </w:rPr>
              <w:t>-3.854***</w:t>
            </w:r>
          </w:p>
        </w:tc>
      </w:tr>
    </w:tbl>
    <w:p w14:paraId="66DB0870" w14:textId="5F72BB72" w:rsidR="00E338AF" w:rsidRPr="00012F08" w:rsidRDefault="00E338AF" w:rsidP="00B26E99">
      <w:pPr>
        <w:bidi w:val="0"/>
        <w:ind w:right="-625"/>
        <w:jc w:val="both"/>
        <w:rPr>
          <w:rFonts w:ascii="Times New Roman" w:eastAsia="PMingLiU" w:hAnsi="Times New Roman" w:cs="Times New Roman"/>
          <w:color w:val="000000"/>
          <w:sz w:val="18"/>
          <w:szCs w:val="20"/>
        </w:rPr>
      </w:pPr>
      <w:r w:rsidRPr="00012F08">
        <w:rPr>
          <w:rFonts w:ascii="Times New Roman" w:eastAsia="PMingLiU" w:hAnsi="Times New Roman" w:cs="Times New Roman"/>
          <w:b/>
          <w:color w:val="000000"/>
          <w:sz w:val="18"/>
          <w:szCs w:val="20"/>
        </w:rPr>
        <w:t>Notes:</w:t>
      </w:r>
      <w:r w:rsidRPr="00012F08">
        <w:rPr>
          <w:rFonts w:ascii="Times New Roman" w:eastAsia="PMingLiU" w:hAnsi="Times New Roman" w:cs="Times New Roman"/>
          <w:color w:val="000000"/>
          <w:sz w:val="18"/>
          <w:szCs w:val="20"/>
        </w:rPr>
        <w:t xml:space="preserve"> </w:t>
      </w:r>
      <w:r w:rsidR="00986FDB" w:rsidRPr="00012F08">
        <w:rPr>
          <w:rFonts w:ascii="Times New Roman" w:eastAsia="PMingLiU" w:hAnsi="Times New Roman" w:cs="Times New Roman"/>
          <w:color w:val="000000"/>
          <w:sz w:val="18"/>
          <w:szCs w:val="20"/>
        </w:rPr>
        <w:t>This table summarizes the descriptive statistics for the study</w:t>
      </w:r>
      <w:r w:rsidR="00712A5A">
        <w:rPr>
          <w:rFonts w:ascii="Times New Roman" w:eastAsia="PMingLiU" w:hAnsi="Times New Roman" w:cs="Times New Roman"/>
          <w:color w:val="000000"/>
          <w:sz w:val="18"/>
          <w:szCs w:val="20"/>
        </w:rPr>
        <w:t>’s</w:t>
      </w:r>
      <w:r w:rsidR="00986FDB" w:rsidRPr="00012F08">
        <w:rPr>
          <w:rFonts w:ascii="Times New Roman" w:eastAsia="PMingLiU" w:hAnsi="Times New Roman" w:cs="Times New Roman"/>
          <w:color w:val="000000"/>
          <w:sz w:val="18"/>
          <w:szCs w:val="20"/>
        </w:rPr>
        <w:t xml:space="preserve"> variables, including the mean,</w:t>
      </w:r>
      <w:r w:rsidR="006D22C9" w:rsidRPr="00012F08">
        <w:rPr>
          <w:rFonts w:ascii="Times New Roman" w:eastAsia="PMingLiU" w:hAnsi="Times New Roman" w:cs="Times New Roman"/>
          <w:color w:val="000000"/>
          <w:sz w:val="18"/>
          <w:szCs w:val="20"/>
        </w:rPr>
        <w:t xml:space="preserve"> median,</w:t>
      </w:r>
      <w:r w:rsidR="00986FDB" w:rsidRPr="00012F08">
        <w:rPr>
          <w:rFonts w:ascii="Times New Roman" w:eastAsia="PMingLiU" w:hAnsi="Times New Roman" w:cs="Times New Roman"/>
          <w:color w:val="000000"/>
          <w:sz w:val="18"/>
          <w:szCs w:val="20"/>
        </w:rPr>
        <w:t xml:space="preserve"> </w:t>
      </w:r>
      <w:r w:rsidR="00712A5A">
        <w:rPr>
          <w:rFonts w:ascii="Times New Roman" w:eastAsia="PMingLiU" w:hAnsi="Times New Roman" w:cs="Times New Roman"/>
          <w:color w:val="000000"/>
          <w:sz w:val="18"/>
          <w:szCs w:val="20"/>
        </w:rPr>
        <w:t>v</w:t>
      </w:r>
      <w:r w:rsidR="00712A5A" w:rsidRPr="00012F08">
        <w:rPr>
          <w:rFonts w:ascii="Times New Roman" w:eastAsia="PMingLiU" w:hAnsi="Times New Roman" w:cs="Times New Roman"/>
          <w:color w:val="000000"/>
          <w:sz w:val="18"/>
          <w:szCs w:val="20"/>
        </w:rPr>
        <w:t xml:space="preserve">ariance </w:t>
      </w:r>
      <w:r w:rsidR="00986FDB" w:rsidRPr="00012F08">
        <w:rPr>
          <w:rFonts w:ascii="Times New Roman" w:eastAsia="PMingLiU" w:hAnsi="Times New Roman" w:cs="Times New Roman"/>
          <w:color w:val="000000"/>
          <w:sz w:val="18"/>
          <w:szCs w:val="20"/>
        </w:rPr>
        <w:t>maximum, minimum</w:t>
      </w:r>
      <w:r w:rsidR="006D22C9" w:rsidRPr="00012F08">
        <w:rPr>
          <w:rFonts w:ascii="Times New Roman" w:eastAsia="PMingLiU" w:hAnsi="Times New Roman" w:cs="Times New Roman"/>
          <w:color w:val="000000"/>
          <w:sz w:val="18"/>
          <w:szCs w:val="20"/>
        </w:rPr>
        <w:t xml:space="preserve">, </w:t>
      </w:r>
      <w:r w:rsidR="00986FDB" w:rsidRPr="00012F08">
        <w:rPr>
          <w:rFonts w:ascii="Times New Roman" w:eastAsia="PMingLiU" w:hAnsi="Times New Roman" w:cs="Times New Roman"/>
          <w:color w:val="000000"/>
          <w:sz w:val="18"/>
          <w:szCs w:val="20"/>
        </w:rPr>
        <w:t xml:space="preserve">skewness, and kurtosis for each series. It also reports the </w:t>
      </w:r>
      <w:r w:rsidR="00712A5A">
        <w:rPr>
          <w:rFonts w:ascii="Times New Roman" w:eastAsia="PMingLiU" w:hAnsi="Times New Roman" w:cs="Times New Roman"/>
          <w:color w:val="000000"/>
          <w:sz w:val="18"/>
          <w:szCs w:val="20"/>
        </w:rPr>
        <w:t xml:space="preserve">results of the </w:t>
      </w:r>
      <w:r w:rsidR="00986FDB" w:rsidRPr="00012F08">
        <w:rPr>
          <w:rFonts w:ascii="Times New Roman" w:eastAsia="PMingLiU" w:hAnsi="Times New Roman" w:cs="Times New Roman"/>
          <w:color w:val="000000"/>
          <w:sz w:val="18"/>
          <w:szCs w:val="20"/>
        </w:rPr>
        <w:t xml:space="preserve">Jarque-Bera (1980) test for normality with p-values in parentheses, along with the total observation count for each period. Panel A provides the statistics for the entire sample (January 1993 to December 2024), while Panels B and C present the results for the </w:t>
      </w:r>
      <w:r w:rsidR="00712A5A" w:rsidRPr="00012F08">
        <w:rPr>
          <w:rFonts w:ascii="Times New Roman" w:eastAsia="PMingLiU" w:hAnsi="Times New Roman" w:cs="Times New Roman"/>
          <w:color w:val="000000"/>
          <w:sz w:val="18"/>
          <w:szCs w:val="20"/>
        </w:rPr>
        <w:t xml:space="preserve">pre-trade war globalization </w:t>
      </w:r>
      <w:r w:rsidR="00986FDB" w:rsidRPr="00012F08">
        <w:rPr>
          <w:rFonts w:ascii="Times New Roman" w:eastAsia="PMingLiU" w:hAnsi="Times New Roman" w:cs="Times New Roman"/>
          <w:color w:val="000000"/>
          <w:sz w:val="18"/>
          <w:szCs w:val="20"/>
        </w:rPr>
        <w:t xml:space="preserve">period (January 1993 to December 2017) and the </w:t>
      </w:r>
      <w:r w:rsidR="00712A5A" w:rsidRPr="00012F08">
        <w:rPr>
          <w:rFonts w:ascii="Times New Roman" w:eastAsia="PMingLiU" w:hAnsi="Times New Roman" w:cs="Times New Roman"/>
          <w:color w:val="000000"/>
          <w:sz w:val="18"/>
          <w:szCs w:val="20"/>
        </w:rPr>
        <w:t xml:space="preserve">trade war and post-pandemic </w:t>
      </w:r>
      <w:r w:rsidR="00986FDB" w:rsidRPr="00012F08">
        <w:rPr>
          <w:rFonts w:ascii="Times New Roman" w:eastAsia="PMingLiU" w:hAnsi="Times New Roman" w:cs="Times New Roman"/>
          <w:color w:val="000000"/>
          <w:sz w:val="18"/>
          <w:szCs w:val="20"/>
        </w:rPr>
        <w:t>period (January 2018 to December 2024), respectively</w:t>
      </w:r>
    </w:p>
    <w:p w14:paraId="60BE28E8" w14:textId="77777777" w:rsidR="00E338AF" w:rsidRPr="00012F08" w:rsidRDefault="00E338AF" w:rsidP="00E338AF">
      <w:pPr>
        <w:bidi w:val="0"/>
        <w:spacing w:line="360" w:lineRule="auto"/>
        <w:jc w:val="both"/>
        <w:rPr>
          <w:rFonts w:asciiTheme="majorBidi" w:hAnsiTheme="majorBidi" w:cstheme="majorBidi"/>
          <w:sz w:val="24"/>
          <w:szCs w:val="24"/>
        </w:rPr>
      </w:pPr>
    </w:p>
    <w:p w14:paraId="253F5931" w14:textId="761A3A1A" w:rsidR="00E338AF" w:rsidRPr="00012F08" w:rsidRDefault="00E338AF" w:rsidP="00E338AF">
      <w:pPr>
        <w:jc w:val="center"/>
        <w:rPr>
          <w:rFonts w:asciiTheme="majorBidi" w:hAnsiTheme="majorBidi" w:cstheme="majorBidi"/>
          <w:b/>
          <w:rtl/>
        </w:rPr>
      </w:pPr>
      <w:r w:rsidRPr="00012F08">
        <w:rPr>
          <w:rFonts w:asciiTheme="majorBidi" w:hAnsiTheme="majorBidi" w:cstheme="majorBidi"/>
          <w:b/>
        </w:rPr>
        <w:t>Table 3: Static Connectedness Tables</w:t>
      </w:r>
    </w:p>
    <w:tbl>
      <w:tblPr>
        <w:tblStyle w:val="TableGrid"/>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993"/>
        <w:gridCol w:w="1022"/>
        <w:gridCol w:w="1022"/>
        <w:gridCol w:w="98"/>
        <w:gridCol w:w="895"/>
        <w:gridCol w:w="1021"/>
        <w:gridCol w:w="1105"/>
        <w:gridCol w:w="1022"/>
        <w:gridCol w:w="1379"/>
      </w:tblGrid>
      <w:tr w:rsidR="00E338AF" w:rsidRPr="00012F08" w14:paraId="38213147" w14:textId="77777777" w:rsidTr="006A48EC">
        <w:trPr>
          <w:trHeight w:val="250"/>
        </w:trPr>
        <w:tc>
          <w:tcPr>
            <w:tcW w:w="1106" w:type="dxa"/>
            <w:tcBorders>
              <w:top w:val="single" w:sz="4" w:space="0" w:color="auto"/>
              <w:bottom w:val="single" w:sz="4" w:space="0" w:color="auto"/>
            </w:tcBorders>
          </w:tcPr>
          <w:p w14:paraId="0A4D7BEE" w14:textId="77777777" w:rsidR="00E338AF" w:rsidRPr="00012F08" w:rsidRDefault="00E338AF" w:rsidP="00E338AF">
            <w:pPr>
              <w:bidi w:val="0"/>
              <w:jc w:val="center"/>
              <w:rPr>
                <w:rFonts w:asciiTheme="majorBidi" w:hAnsiTheme="majorBidi" w:cstheme="majorBidi"/>
                <w:b/>
              </w:rPr>
            </w:pPr>
          </w:p>
        </w:tc>
        <w:tc>
          <w:tcPr>
            <w:tcW w:w="8557" w:type="dxa"/>
            <w:gridSpan w:val="9"/>
            <w:tcBorders>
              <w:top w:val="single" w:sz="4" w:space="0" w:color="auto"/>
              <w:bottom w:val="single" w:sz="4" w:space="0" w:color="auto"/>
            </w:tcBorders>
          </w:tcPr>
          <w:p w14:paraId="599805BE" w14:textId="495FB5C6" w:rsidR="00E338AF" w:rsidRPr="00012F08" w:rsidRDefault="00E338AF" w:rsidP="00E338AF">
            <w:pPr>
              <w:bidi w:val="0"/>
              <w:jc w:val="center"/>
              <w:rPr>
                <w:rFonts w:asciiTheme="majorBidi" w:hAnsiTheme="majorBidi" w:cstheme="majorBidi"/>
                <w:b/>
              </w:rPr>
            </w:pPr>
            <w:r w:rsidRPr="00012F08">
              <w:rPr>
                <w:rFonts w:ascii="Times New Roman" w:eastAsia="Times New Roman" w:hAnsi="Times New Roman" w:cs="Times New Roman"/>
                <w:b/>
                <w:bCs/>
                <w:sz w:val="20"/>
                <w:szCs w:val="20"/>
              </w:rPr>
              <w:t xml:space="preserve">Panel A. </w:t>
            </w:r>
            <w:r w:rsidR="00712A5A">
              <w:rPr>
                <w:rFonts w:ascii="Times New Roman" w:eastAsia="Times New Roman" w:hAnsi="Times New Roman" w:cs="Times New Roman"/>
                <w:b/>
                <w:bCs/>
                <w:sz w:val="20"/>
                <w:szCs w:val="20"/>
              </w:rPr>
              <w:t>Entire</w:t>
            </w:r>
            <w:r w:rsidR="00712A5A" w:rsidRPr="00012F08">
              <w:rPr>
                <w:rFonts w:ascii="Times New Roman" w:eastAsia="Times New Roman" w:hAnsi="Times New Roman" w:cs="Times New Roman"/>
                <w:b/>
                <w:bCs/>
                <w:sz w:val="20"/>
                <w:szCs w:val="20"/>
              </w:rPr>
              <w:t xml:space="preserve"> </w:t>
            </w:r>
            <w:r w:rsidRPr="00012F08">
              <w:rPr>
                <w:rFonts w:ascii="Times New Roman" w:eastAsia="Times New Roman" w:hAnsi="Times New Roman" w:cs="Times New Roman"/>
                <w:b/>
                <w:bCs/>
                <w:sz w:val="20"/>
                <w:szCs w:val="20"/>
              </w:rPr>
              <w:t>Period</w:t>
            </w:r>
            <w:r w:rsidR="00FD4F96" w:rsidRPr="00012F08">
              <w:rPr>
                <w:rFonts w:asciiTheme="majorBidi" w:hAnsiTheme="majorBidi" w:cstheme="majorBidi"/>
                <w:b/>
              </w:rPr>
              <w:t xml:space="preserve"> </w:t>
            </w:r>
            <w:r w:rsidR="00FD4F96" w:rsidRPr="00012F08">
              <w:rPr>
                <w:rFonts w:asciiTheme="majorBidi" w:hAnsiTheme="majorBidi" w:cstheme="majorBidi"/>
                <w:b/>
                <w:bCs/>
                <w:sz w:val="20"/>
              </w:rPr>
              <w:t>(Jan 1993 – Feb 2024)</w:t>
            </w:r>
          </w:p>
        </w:tc>
      </w:tr>
      <w:tr w:rsidR="00E338AF" w:rsidRPr="00012F08" w14:paraId="066AC367" w14:textId="77777777" w:rsidTr="006A48EC">
        <w:trPr>
          <w:trHeight w:val="250"/>
        </w:trPr>
        <w:tc>
          <w:tcPr>
            <w:tcW w:w="1106" w:type="dxa"/>
            <w:tcBorders>
              <w:top w:val="single" w:sz="4" w:space="0" w:color="auto"/>
              <w:bottom w:val="single" w:sz="4" w:space="0" w:color="auto"/>
            </w:tcBorders>
          </w:tcPr>
          <w:p w14:paraId="6C6C2FCE" w14:textId="77777777" w:rsidR="00E338AF" w:rsidRPr="00012F08" w:rsidRDefault="00E338AF" w:rsidP="00E338AF">
            <w:pPr>
              <w:bidi w:val="0"/>
              <w:jc w:val="center"/>
              <w:rPr>
                <w:rFonts w:asciiTheme="majorBidi" w:hAnsiTheme="majorBidi" w:cstheme="majorBidi"/>
                <w:b/>
              </w:rPr>
            </w:pPr>
          </w:p>
        </w:tc>
        <w:tc>
          <w:tcPr>
            <w:tcW w:w="993" w:type="dxa"/>
            <w:tcBorders>
              <w:top w:val="single" w:sz="4" w:space="0" w:color="auto"/>
              <w:bottom w:val="single" w:sz="4" w:space="0" w:color="auto"/>
            </w:tcBorders>
            <w:vAlign w:val="center"/>
          </w:tcPr>
          <w:p w14:paraId="0D72E8D3" w14:textId="4730E5BD"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UCT</w:t>
            </w:r>
          </w:p>
        </w:tc>
        <w:tc>
          <w:tcPr>
            <w:tcW w:w="1022" w:type="dxa"/>
            <w:tcBorders>
              <w:top w:val="single" w:sz="4" w:space="0" w:color="auto"/>
              <w:bottom w:val="single" w:sz="4" w:space="0" w:color="auto"/>
            </w:tcBorders>
            <w:vAlign w:val="center"/>
          </w:tcPr>
          <w:p w14:paraId="0C5AAB37" w14:textId="6E6550EE"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S&amp;P</w:t>
            </w:r>
          </w:p>
        </w:tc>
        <w:tc>
          <w:tcPr>
            <w:tcW w:w="1022" w:type="dxa"/>
            <w:tcBorders>
              <w:top w:val="single" w:sz="4" w:space="0" w:color="auto"/>
              <w:bottom w:val="single" w:sz="4" w:space="0" w:color="auto"/>
            </w:tcBorders>
            <w:vAlign w:val="center"/>
          </w:tcPr>
          <w:p w14:paraId="0D67182D" w14:textId="5B6A4302"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CHINA</w:t>
            </w:r>
          </w:p>
        </w:tc>
        <w:tc>
          <w:tcPr>
            <w:tcW w:w="993" w:type="dxa"/>
            <w:gridSpan w:val="2"/>
            <w:tcBorders>
              <w:top w:val="single" w:sz="4" w:space="0" w:color="auto"/>
              <w:bottom w:val="single" w:sz="4" w:space="0" w:color="auto"/>
            </w:tcBorders>
            <w:vAlign w:val="center"/>
          </w:tcPr>
          <w:p w14:paraId="47173CDB" w14:textId="1B4D4003"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Gold</w:t>
            </w:r>
          </w:p>
        </w:tc>
        <w:tc>
          <w:tcPr>
            <w:tcW w:w="1021" w:type="dxa"/>
            <w:tcBorders>
              <w:top w:val="single" w:sz="4" w:space="0" w:color="auto"/>
              <w:bottom w:val="single" w:sz="4" w:space="0" w:color="auto"/>
            </w:tcBorders>
            <w:vAlign w:val="center"/>
          </w:tcPr>
          <w:p w14:paraId="61867479" w14:textId="1BF8A8E4"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VIX</w:t>
            </w:r>
          </w:p>
        </w:tc>
        <w:tc>
          <w:tcPr>
            <w:tcW w:w="1105" w:type="dxa"/>
            <w:tcBorders>
              <w:top w:val="single" w:sz="4" w:space="0" w:color="auto"/>
              <w:bottom w:val="single" w:sz="4" w:space="0" w:color="auto"/>
            </w:tcBorders>
            <w:vAlign w:val="center"/>
          </w:tcPr>
          <w:p w14:paraId="7E2F3AC4" w14:textId="5525AFAD"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USD/CNY</w:t>
            </w:r>
          </w:p>
        </w:tc>
        <w:tc>
          <w:tcPr>
            <w:tcW w:w="1022" w:type="dxa"/>
            <w:tcBorders>
              <w:top w:val="single" w:sz="4" w:space="0" w:color="auto"/>
              <w:bottom w:val="single" w:sz="4" w:space="0" w:color="auto"/>
            </w:tcBorders>
            <w:vAlign w:val="center"/>
          </w:tcPr>
          <w:p w14:paraId="74EE7839" w14:textId="782DFDD0"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Oil</w:t>
            </w:r>
          </w:p>
        </w:tc>
        <w:tc>
          <w:tcPr>
            <w:tcW w:w="1379" w:type="dxa"/>
            <w:tcBorders>
              <w:top w:val="single" w:sz="4" w:space="0" w:color="auto"/>
              <w:bottom w:val="single" w:sz="4" w:space="0" w:color="auto"/>
            </w:tcBorders>
            <w:vAlign w:val="center"/>
          </w:tcPr>
          <w:p w14:paraId="7B8708D5" w14:textId="77777777" w:rsidR="00E338AF" w:rsidRPr="00012F08" w:rsidRDefault="00E338AF" w:rsidP="00E338AF">
            <w:pPr>
              <w:bidi w:val="0"/>
              <w:jc w:val="center"/>
              <w:rPr>
                <w:rFonts w:asciiTheme="majorBidi" w:hAnsiTheme="majorBidi" w:cstheme="majorBidi"/>
                <w:b/>
              </w:rPr>
            </w:pPr>
            <w:r w:rsidRPr="00012F08">
              <w:rPr>
                <w:rFonts w:ascii="Times New Roman" w:eastAsia="Times New Roman" w:hAnsi="Times New Roman" w:cs="Times New Roman"/>
                <w:b/>
                <w:bCs/>
                <w:color w:val="000000"/>
                <w:sz w:val="20"/>
                <w:szCs w:val="20"/>
              </w:rPr>
              <w:t>FROM</w:t>
            </w:r>
          </w:p>
        </w:tc>
      </w:tr>
      <w:tr w:rsidR="00080F8C" w:rsidRPr="00012F08" w14:paraId="63670F87" w14:textId="77777777" w:rsidTr="006A48EC">
        <w:trPr>
          <w:trHeight w:val="223"/>
        </w:trPr>
        <w:tc>
          <w:tcPr>
            <w:tcW w:w="1106" w:type="dxa"/>
            <w:tcBorders>
              <w:top w:val="single" w:sz="4" w:space="0" w:color="auto"/>
            </w:tcBorders>
            <w:vAlign w:val="center"/>
          </w:tcPr>
          <w:p w14:paraId="48D6E8CF" w14:textId="21DB42A0" w:rsidR="00080F8C" w:rsidRPr="00012F08" w:rsidRDefault="00080F8C" w:rsidP="00080F8C">
            <w:pPr>
              <w:bidi w:val="0"/>
              <w:rPr>
                <w:rFonts w:ascii="Times New Roman" w:eastAsia="Times New Roman" w:hAnsi="Times New Roman" w:cs="Times New Roman"/>
                <w:b/>
                <w:bCs/>
                <w:color w:val="000000"/>
                <w:sz w:val="20"/>
                <w:szCs w:val="20"/>
              </w:rPr>
            </w:pPr>
            <w:r w:rsidRPr="00012F08">
              <w:rPr>
                <w:rFonts w:ascii="Times New Roman" w:eastAsia="Times New Roman" w:hAnsi="Times New Roman" w:cs="Times New Roman"/>
                <w:b/>
                <w:bCs/>
                <w:color w:val="000000"/>
                <w:sz w:val="20"/>
                <w:szCs w:val="20"/>
              </w:rPr>
              <w:t>UCT</w:t>
            </w:r>
          </w:p>
        </w:tc>
        <w:tc>
          <w:tcPr>
            <w:tcW w:w="993" w:type="dxa"/>
            <w:tcBorders>
              <w:top w:val="single" w:sz="4" w:space="0" w:color="auto"/>
            </w:tcBorders>
            <w:vAlign w:val="bottom"/>
          </w:tcPr>
          <w:p w14:paraId="77AE3559" w14:textId="368FDC2C"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92.09</w:t>
            </w:r>
          </w:p>
        </w:tc>
        <w:tc>
          <w:tcPr>
            <w:tcW w:w="1022" w:type="dxa"/>
            <w:tcBorders>
              <w:top w:val="single" w:sz="4" w:space="0" w:color="auto"/>
            </w:tcBorders>
            <w:vAlign w:val="bottom"/>
          </w:tcPr>
          <w:p w14:paraId="7141839A" w14:textId="0317A833"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1.57</w:t>
            </w:r>
          </w:p>
        </w:tc>
        <w:tc>
          <w:tcPr>
            <w:tcW w:w="1022" w:type="dxa"/>
            <w:tcBorders>
              <w:top w:val="single" w:sz="4" w:space="0" w:color="auto"/>
            </w:tcBorders>
            <w:vAlign w:val="bottom"/>
          </w:tcPr>
          <w:p w14:paraId="796296EA" w14:textId="3512E168"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0.8</w:t>
            </w:r>
          </w:p>
        </w:tc>
        <w:tc>
          <w:tcPr>
            <w:tcW w:w="993" w:type="dxa"/>
            <w:gridSpan w:val="2"/>
            <w:tcBorders>
              <w:top w:val="single" w:sz="4" w:space="0" w:color="auto"/>
            </w:tcBorders>
            <w:vAlign w:val="bottom"/>
          </w:tcPr>
          <w:p w14:paraId="56448578" w14:textId="26AC2F67"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1.75</w:t>
            </w:r>
          </w:p>
        </w:tc>
        <w:tc>
          <w:tcPr>
            <w:tcW w:w="1021" w:type="dxa"/>
            <w:tcBorders>
              <w:top w:val="single" w:sz="4" w:space="0" w:color="auto"/>
            </w:tcBorders>
            <w:vAlign w:val="bottom"/>
          </w:tcPr>
          <w:p w14:paraId="1DC12D2E" w14:textId="31BB7CCF"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1.97</w:t>
            </w:r>
          </w:p>
        </w:tc>
        <w:tc>
          <w:tcPr>
            <w:tcW w:w="1105" w:type="dxa"/>
            <w:tcBorders>
              <w:top w:val="single" w:sz="4" w:space="0" w:color="auto"/>
            </w:tcBorders>
            <w:vAlign w:val="bottom"/>
          </w:tcPr>
          <w:p w14:paraId="16EEF65C" w14:textId="753DCE4E"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0.44</w:t>
            </w:r>
          </w:p>
        </w:tc>
        <w:tc>
          <w:tcPr>
            <w:tcW w:w="1022" w:type="dxa"/>
            <w:tcBorders>
              <w:top w:val="single" w:sz="4" w:space="0" w:color="auto"/>
            </w:tcBorders>
            <w:vAlign w:val="bottom"/>
          </w:tcPr>
          <w:p w14:paraId="686DE72F" w14:textId="7D51FF5D"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1.38</w:t>
            </w:r>
          </w:p>
        </w:tc>
        <w:tc>
          <w:tcPr>
            <w:tcW w:w="1379" w:type="dxa"/>
            <w:tcBorders>
              <w:top w:val="single" w:sz="4" w:space="0" w:color="auto"/>
            </w:tcBorders>
            <w:vAlign w:val="bottom"/>
          </w:tcPr>
          <w:p w14:paraId="5B4AE604" w14:textId="2395602C"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7.91</w:t>
            </w:r>
          </w:p>
        </w:tc>
      </w:tr>
      <w:tr w:rsidR="00080F8C" w:rsidRPr="00012F08" w14:paraId="61C112C3" w14:textId="77777777" w:rsidTr="006A48EC">
        <w:trPr>
          <w:trHeight w:val="223"/>
        </w:trPr>
        <w:tc>
          <w:tcPr>
            <w:tcW w:w="1106" w:type="dxa"/>
            <w:vAlign w:val="center"/>
          </w:tcPr>
          <w:p w14:paraId="03CB935A" w14:textId="1D1F43F2" w:rsidR="00080F8C" w:rsidRPr="00012F08" w:rsidRDefault="00080F8C" w:rsidP="00080F8C">
            <w:pPr>
              <w:bidi w:val="0"/>
              <w:rPr>
                <w:rFonts w:ascii="Times New Roman" w:eastAsia="Times New Roman" w:hAnsi="Times New Roman" w:cs="Times New Roman"/>
                <w:b/>
                <w:bCs/>
                <w:color w:val="000000"/>
                <w:sz w:val="20"/>
                <w:szCs w:val="20"/>
              </w:rPr>
            </w:pPr>
            <w:r w:rsidRPr="00012F08">
              <w:rPr>
                <w:rFonts w:ascii="Times New Roman" w:eastAsia="Times New Roman" w:hAnsi="Times New Roman" w:cs="Times New Roman"/>
                <w:b/>
                <w:bCs/>
                <w:color w:val="000000"/>
                <w:sz w:val="20"/>
                <w:szCs w:val="20"/>
              </w:rPr>
              <w:t>S&amp;P</w:t>
            </w:r>
          </w:p>
        </w:tc>
        <w:tc>
          <w:tcPr>
            <w:tcW w:w="993" w:type="dxa"/>
            <w:vAlign w:val="bottom"/>
          </w:tcPr>
          <w:p w14:paraId="33E086FD" w14:textId="2AA10F0B"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1.16</w:t>
            </w:r>
          </w:p>
        </w:tc>
        <w:tc>
          <w:tcPr>
            <w:tcW w:w="1022" w:type="dxa"/>
            <w:vAlign w:val="bottom"/>
          </w:tcPr>
          <w:p w14:paraId="47A76097" w14:textId="2620C0F2"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63.18</w:t>
            </w:r>
          </w:p>
        </w:tc>
        <w:tc>
          <w:tcPr>
            <w:tcW w:w="1022" w:type="dxa"/>
            <w:vAlign w:val="bottom"/>
          </w:tcPr>
          <w:p w14:paraId="7B316209" w14:textId="1F3CBB09"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2.11</w:t>
            </w:r>
          </w:p>
        </w:tc>
        <w:tc>
          <w:tcPr>
            <w:tcW w:w="993" w:type="dxa"/>
            <w:gridSpan w:val="2"/>
            <w:vAlign w:val="bottom"/>
          </w:tcPr>
          <w:p w14:paraId="308AE3AA" w14:textId="6902C673"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1.69</w:t>
            </w:r>
          </w:p>
        </w:tc>
        <w:tc>
          <w:tcPr>
            <w:tcW w:w="1021" w:type="dxa"/>
            <w:vAlign w:val="bottom"/>
          </w:tcPr>
          <w:p w14:paraId="5B4CB5EA" w14:textId="29AD667B"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27.37</w:t>
            </w:r>
          </w:p>
        </w:tc>
        <w:tc>
          <w:tcPr>
            <w:tcW w:w="1105" w:type="dxa"/>
            <w:vAlign w:val="bottom"/>
          </w:tcPr>
          <w:p w14:paraId="28EBC4F3" w14:textId="6E82084D"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0.94</w:t>
            </w:r>
          </w:p>
        </w:tc>
        <w:tc>
          <w:tcPr>
            <w:tcW w:w="1022" w:type="dxa"/>
            <w:vAlign w:val="bottom"/>
          </w:tcPr>
          <w:p w14:paraId="77EF6A2D" w14:textId="529F83EC"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3.55</w:t>
            </w:r>
          </w:p>
        </w:tc>
        <w:tc>
          <w:tcPr>
            <w:tcW w:w="1379" w:type="dxa"/>
            <w:vAlign w:val="bottom"/>
          </w:tcPr>
          <w:p w14:paraId="36C940A0" w14:textId="05B138F7"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36.82</w:t>
            </w:r>
          </w:p>
        </w:tc>
      </w:tr>
      <w:tr w:rsidR="00080F8C" w:rsidRPr="00012F08" w14:paraId="333A600C" w14:textId="77777777" w:rsidTr="006A48EC">
        <w:trPr>
          <w:trHeight w:val="232"/>
        </w:trPr>
        <w:tc>
          <w:tcPr>
            <w:tcW w:w="1106" w:type="dxa"/>
            <w:vAlign w:val="center"/>
          </w:tcPr>
          <w:p w14:paraId="46F9BE79" w14:textId="3238857B" w:rsidR="00080F8C" w:rsidRPr="00012F08" w:rsidRDefault="00080F8C" w:rsidP="00080F8C">
            <w:pPr>
              <w:bidi w:val="0"/>
              <w:rPr>
                <w:rFonts w:ascii="Times New Roman" w:eastAsia="Times New Roman" w:hAnsi="Times New Roman" w:cs="Times New Roman"/>
                <w:b/>
                <w:bCs/>
                <w:color w:val="000000"/>
                <w:sz w:val="20"/>
                <w:szCs w:val="20"/>
              </w:rPr>
            </w:pPr>
            <w:r w:rsidRPr="00012F08">
              <w:rPr>
                <w:rFonts w:ascii="Times New Roman" w:eastAsia="Times New Roman" w:hAnsi="Times New Roman" w:cs="Times New Roman"/>
                <w:b/>
                <w:bCs/>
                <w:color w:val="000000"/>
                <w:sz w:val="20"/>
                <w:szCs w:val="20"/>
              </w:rPr>
              <w:t>CHINA</w:t>
            </w:r>
          </w:p>
        </w:tc>
        <w:tc>
          <w:tcPr>
            <w:tcW w:w="993" w:type="dxa"/>
            <w:vAlign w:val="bottom"/>
          </w:tcPr>
          <w:p w14:paraId="760CF68E" w14:textId="719AAF2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1.61</w:t>
            </w:r>
          </w:p>
        </w:tc>
        <w:tc>
          <w:tcPr>
            <w:tcW w:w="1022" w:type="dxa"/>
            <w:vAlign w:val="bottom"/>
          </w:tcPr>
          <w:p w14:paraId="6A5B942E" w14:textId="220EB80B"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5.03</w:t>
            </w:r>
          </w:p>
        </w:tc>
        <w:tc>
          <w:tcPr>
            <w:tcW w:w="1022" w:type="dxa"/>
            <w:vAlign w:val="bottom"/>
          </w:tcPr>
          <w:p w14:paraId="56508672" w14:textId="776FB868"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86.37</w:t>
            </w:r>
          </w:p>
        </w:tc>
        <w:tc>
          <w:tcPr>
            <w:tcW w:w="993" w:type="dxa"/>
            <w:gridSpan w:val="2"/>
            <w:vAlign w:val="bottom"/>
          </w:tcPr>
          <w:p w14:paraId="6A42A62B" w14:textId="39D82A06"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0.93</w:t>
            </w:r>
          </w:p>
        </w:tc>
        <w:tc>
          <w:tcPr>
            <w:tcW w:w="1021" w:type="dxa"/>
            <w:vAlign w:val="bottom"/>
          </w:tcPr>
          <w:p w14:paraId="19EDA8E6" w14:textId="51C2E5ED"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3.57</w:t>
            </w:r>
          </w:p>
        </w:tc>
        <w:tc>
          <w:tcPr>
            <w:tcW w:w="1105" w:type="dxa"/>
            <w:vAlign w:val="bottom"/>
          </w:tcPr>
          <w:p w14:paraId="4D753AE6" w14:textId="1BC6A66B"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1.24</w:t>
            </w:r>
          </w:p>
        </w:tc>
        <w:tc>
          <w:tcPr>
            <w:tcW w:w="1022" w:type="dxa"/>
            <w:vAlign w:val="bottom"/>
          </w:tcPr>
          <w:p w14:paraId="25615E00" w14:textId="0DE9BC9D"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1.24</w:t>
            </w:r>
          </w:p>
        </w:tc>
        <w:tc>
          <w:tcPr>
            <w:tcW w:w="1379" w:type="dxa"/>
            <w:vAlign w:val="bottom"/>
          </w:tcPr>
          <w:p w14:paraId="235FF4AD" w14:textId="19D6EE83"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13.63</w:t>
            </w:r>
          </w:p>
        </w:tc>
      </w:tr>
      <w:tr w:rsidR="00080F8C" w:rsidRPr="00012F08" w14:paraId="3CE59E06" w14:textId="77777777" w:rsidTr="006A48EC">
        <w:trPr>
          <w:trHeight w:val="223"/>
        </w:trPr>
        <w:tc>
          <w:tcPr>
            <w:tcW w:w="1106" w:type="dxa"/>
            <w:vAlign w:val="center"/>
          </w:tcPr>
          <w:p w14:paraId="618385F9" w14:textId="7BA8D367" w:rsidR="00080F8C" w:rsidRPr="00012F08" w:rsidRDefault="00080F8C" w:rsidP="00080F8C">
            <w:pPr>
              <w:bidi w:val="0"/>
              <w:rPr>
                <w:rFonts w:ascii="Times New Roman" w:eastAsia="Times New Roman" w:hAnsi="Times New Roman" w:cs="Times New Roman"/>
                <w:b/>
                <w:bCs/>
                <w:color w:val="000000"/>
                <w:sz w:val="20"/>
                <w:szCs w:val="20"/>
              </w:rPr>
            </w:pPr>
            <w:r w:rsidRPr="00012F08">
              <w:rPr>
                <w:rFonts w:ascii="Times New Roman" w:eastAsia="Times New Roman" w:hAnsi="Times New Roman" w:cs="Times New Roman"/>
                <w:b/>
                <w:bCs/>
                <w:color w:val="000000"/>
                <w:sz w:val="20"/>
                <w:szCs w:val="20"/>
              </w:rPr>
              <w:t>Gold</w:t>
            </w:r>
          </w:p>
        </w:tc>
        <w:tc>
          <w:tcPr>
            <w:tcW w:w="993" w:type="dxa"/>
            <w:vAlign w:val="bottom"/>
          </w:tcPr>
          <w:p w14:paraId="0DB78497" w14:textId="4E41A18F"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1.91</w:t>
            </w:r>
          </w:p>
        </w:tc>
        <w:tc>
          <w:tcPr>
            <w:tcW w:w="1022" w:type="dxa"/>
            <w:vAlign w:val="bottom"/>
          </w:tcPr>
          <w:p w14:paraId="5466543E" w14:textId="136795B8"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1.5</w:t>
            </w:r>
          </w:p>
        </w:tc>
        <w:tc>
          <w:tcPr>
            <w:tcW w:w="1022" w:type="dxa"/>
            <w:vAlign w:val="bottom"/>
          </w:tcPr>
          <w:p w14:paraId="74BAC1FC" w14:textId="54F79500"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1.14</w:t>
            </w:r>
          </w:p>
        </w:tc>
        <w:tc>
          <w:tcPr>
            <w:tcW w:w="993" w:type="dxa"/>
            <w:gridSpan w:val="2"/>
            <w:vAlign w:val="bottom"/>
          </w:tcPr>
          <w:p w14:paraId="3BB0DD3A" w14:textId="043E9B94"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82.57</w:t>
            </w:r>
          </w:p>
        </w:tc>
        <w:tc>
          <w:tcPr>
            <w:tcW w:w="1021" w:type="dxa"/>
            <w:vAlign w:val="bottom"/>
          </w:tcPr>
          <w:p w14:paraId="0B23DD81" w14:textId="58201C49"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1.12</w:t>
            </w:r>
          </w:p>
        </w:tc>
        <w:tc>
          <w:tcPr>
            <w:tcW w:w="1105" w:type="dxa"/>
            <w:vAlign w:val="bottom"/>
          </w:tcPr>
          <w:p w14:paraId="79F552C2" w14:textId="4915059F"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9.74</w:t>
            </w:r>
          </w:p>
        </w:tc>
        <w:tc>
          <w:tcPr>
            <w:tcW w:w="1022" w:type="dxa"/>
            <w:vAlign w:val="bottom"/>
          </w:tcPr>
          <w:p w14:paraId="5374E5D2" w14:textId="0BAF9C1A"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2.03</w:t>
            </w:r>
          </w:p>
        </w:tc>
        <w:tc>
          <w:tcPr>
            <w:tcW w:w="1379" w:type="dxa"/>
            <w:vAlign w:val="bottom"/>
          </w:tcPr>
          <w:p w14:paraId="46A1812E" w14:textId="1E649CF1"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17.43</w:t>
            </w:r>
          </w:p>
        </w:tc>
      </w:tr>
      <w:tr w:rsidR="00080F8C" w:rsidRPr="00012F08" w14:paraId="7DCD67DE" w14:textId="77777777" w:rsidTr="006A48EC">
        <w:trPr>
          <w:trHeight w:val="223"/>
        </w:trPr>
        <w:tc>
          <w:tcPr>
            <w:tcW w:w="1106" w:type="dxa"/>
            <w:vAlign w:val="center"/>
          </w:tcPr>
          <w:p w14:paraId="4FEC1DA0" w14:textId="5519A594" w:rsidR="00080F8C" w:rsidRPr="00012F08" w:rsidRDefault="00080F8C" w:rsidP="00080F8C">
            <w:pPr>
              <w:bidi w:val="0"/>
              <w:rPr>
                <w:rFonts w:ascii="Times New Roman" w:eastAsia="Times New Roman" w:hAnsi="Times New Roman" w:cs="Times New Roman"/>
                <w:b/>
                <w:bCs/>
                <w:color w:val="000000"/>
                <w:sz w:val="20"/>
                <w:szCs w:val="20"/>
              </w:rPr>
            </w:pPr>
            <w:r w:rsidRPr="00012F08">
              <w:rPr>
                <w:rFonts w:ascii="Times New Roman" w:eastAsia="Times New Roman" w:hAnsi="Times New Roman" w:cs="Times New Roman"/>
                <w:b/>
                <w:bCs/>
                <w:color w:val="000000"/>
                <w:sz w:val="20"/>
                <w:szCs w:val="20"/>
              </w:rPr>
              <w:t>VIX</w:t>
            </w:r>
          </w:p>
        </w:tc>
        <w:tc>
          <w:tcPr>
            <w:tcW w:w="993" w:type="dxa"/>
            <w:vAlign w:val="bottom"/>
          </w:tcPr>
          <w:p w14:paraId="30396DF9" w14:textId="46869E59"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1.88</w:t>
            </w:r>
          </w:p>
        </w:tc>
        <w:tc>
          <w:tcPr>
            <w:tcW w:w="1022" w:type="dxa"/>
            <w:vAlign w:val="bottom"/>
          </w:tcPr>
          <w:p w14:paraId="263CC40C" w14:textId="7B4E24CF"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27.91</w:t>
            </w:r>
          </w:p>
        </w:tc>
        <w:tc>
          <w:tcPr>
            <w:tcW w:w="1022" w:type="dxa"/>
            <w:vAlign w:val="bottom"/>
          </w:tcPr>
          <w:p w14:paraId="0439CAFE" w14:textId="5D9E6EFE"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1.01</w:t>
            </w:r>
          </w:p>
        </w:tc>
        <w:tc>
          <w:tcPr>
            <w:tcW w:w="993" w:type="dxa"/>
            <w:gridSpan w:val="2"/>
            <w:vAlign w:val="bottom"/>
          </w:tcPr>
          <w:p w14:paraId="382D2274" w14:textId="1A7B557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1.6</w:t>
            </w:r>
          </w:p>
        </w:tc>
        <w:tc>
          <w:tcPr>
            <w:tcW w:w="1021" w:type="dxa"/>
            <w:vAlign w:val="bottom"/>
          </w:tcPr>
          <w:p w14:paraId="368F8E1D" w14:textId="253316E6"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61.63</w:t>
            </w:r>
          </w:p>
        </w:tc>
        <w:tc>
          <w:tcPr>
            <w:tcW w:w="1105" w:type="dxa"/>
            <w:vAlign w:val="bottom"/>
          </w:tcPr>
          <w:p w14:paraId="3C4BBD6F" w14:textId="52F55DAE"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2.92</w:t>
            </w:r>
          </w:p>
        </w:tc>
        <w:tc>
          <w:tcPr>
            <w:tcW w:w="1022" w:type="dxa"/>
            <w:vAlign w:val="bottom"/>
          </w:tcPr>
          <w:p w14:paraId="40AF2F6E" w14:textId="6B4B1B69"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2.92</w:t>
            </w:r>
          </w:p>
        </w:tc>
        <w:tc>
          <w:tcPr>
            <w:tcW w:w="1379" w:type="dxa"/>
            <w:vAlign w:val="bottom"/>
          </w:tcPr>
          <w:p w14:paraId="1BBB5C37" w14:textId="09ADDCE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38.37</w:t>
            </w:r>
          </w:p>
        </w:tc>
      </w:tr>
      <w:tr w:rsidR="00080F8C" w:rsidRPr="00012F08" w14:paraId="674AE879" w14:textId="77777777" w:rsidTr="006A48EC">
        <w:trPr>
          <w:trHeight w:val="232"/>
        </w:trPr>
        <w:tc>
          <w:tcPr>
            <w:tcW w:w="1106" w:type="dxa"/>
            <w:vAlign w:val="center"/>
          </w:tcPr>
          <w:p w14:paraId="4C16B133" w14:textId="04374B5B" w:rsidR="00080F8C" w:rsidRPr="00012F08" w:rsidRDefault="00080F8C" w:rsidP="00080F8C">
            <w:pPr>
              <w:bidi w:val="0"/>
              <w:rPr>
                <w:rFonts w:ascii="Times New Roman" w:eastAsia="Times New Roman" w:hAnsi="Times New Roman" w:cs="Times New Roman"/>
                <w:b/>
                <w:bCs/>
                <w:color w:val="000000"/>
                <w:sz w:val="20"/>
                <w:szCs w:val="20"/>
              </w:rPr>
            </w:pPr>
            <w:r w:rsidRPr="00012F08">
              <w:rPr>
                <w:rFonts w:ascii="Times New Roman" w:eastAsia="Times New Roman" w:hAnsi="Times New Roman" w:cs="Times New Roman"/>
                <w:b/>
                <w:bCs/>
                <w:color w:val="000000"/>
                <w:sz w:val="20"/>
                <w:szCs w:val="20"/>
              </w:rPr>
              <w:t>USD/CNY</w:t>
            </w:r>
          </w:p>
        </w:tc>
        <w:tc>
          <w:tcPr>
            <w:tcW w:w="993" w:type="dxa"/>
            <w:vAlign w:val="bottom"/>
          </w:tcPr>
          <w:p w14:paraId="1D98CD9E" w14:textId="7CAF91E0"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0.16</w:t>
            </w:r>
          </w:p>
        </w:tc>
        <w:tc>
          <w:tcPr>
            <w:tcW w:w="1022" w:type="dxa"/>
            <w:vAlign w:val="bottom"/>
          </w:tcPr>
          <w:p w14:paraId="0A14E2F2" w14:textId="168250A3"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0.5</w:t>
            </w:r>
          </w:p>
        </w:tc>
        <w:tc>
          <w:tcPr>
            <w:tcW w:w="1022" w:type="dxa"/>
            <w:vAlign w:val="bottom"/>
          </w:tcPr>
          <w:p w14:paraId="5E530866" w14:textId="0E206CD1"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0.78</w:t>
            </w:r>
          </w:p>
        </w:tc>
        <w:tc>
          <w:tcPr>
            <w:tcW w:w="993" w:type="dxa"/>
            <w:gridSpan w:val="2"/>
            <w:vAlign w:val="bottom"/>
          </w:tcPr>
          <w:p w14:paraId="32760A85" w14:textId="208141A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9.65</w:t>
            </w:r>
          </w:p>
        </w:tc>
        <w:tc>
          <w:tcPr>
            <w:tcW w:w="1021" w:type="dxa"/>
            <w:vAlign w:val="bottom"/>
          </w:tcPr>
          <w:p w14:paraId="757E6582" w14:textId="73A7E738"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0.44</w:t>
            </w:r>
          </w:p>
        </w:tc>
        <w:tc>
          <w:tcPr>
            <w:tcW w:w="1105" w:type="dxa"/>
            <w:vAlign w:val="bottom"/>
          </w:tcPr>
          <w:p w14:paraId="0D091A3A" w14:textId="38E2A4DA"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88.25</w:t>
            </w:r>
          </w:p>
        </w:tc>
        <w:tc>
          <w:tcPr>
            <w:tcW w:w="1022" w:type="dxa"/>
            <w:vAlign w:val="bottom"/>
          </w:tcPr>
          <w:p w14:paraId="313FC90F" w14:textId="15FA58D5"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0.22</w:t>
            </w:r>
          </w:p>
        </w:tc>
        <w:tc>
          <w:tcPr>
            <w:tcW w:w="1379" w:type="dxa"/>
            <w:vAlign w:val="bottom"/>
          </w:tcPr>
          <w:p w14:paraId="771121CF" w14:textId="56D3FBED"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11.75</w:t>
            </w:r>
          </w:p>
        </w:tc>
      </w:tr>
      <w:tr w:rsidR="00080F8C" w:rsidRPr="00012F08" w14:paraId="1292F654" w14:textId="77777777" w:rsidTr="006A48EC">
        <w:trPr>
          <w:trHeight w:val="223"/>
        </w:trPr>
        <w:tc>
          <w:tcPr>
            <w:tcW w:w="1106" w:type="dxa"/>
            <w:vAlign w:val="center"/>
          </w:tcPr>
          <w:p w14:paraId="3FC567E9" w14:textId="73E35311" w:rsidR="00080F8C" w:rsidRPr="00012F08" w:rsidRDefault="00080F8C" w:rsidP="00080F8C">
            <w:pPr>
              <w:bidi w:val="0"/>
              <w:rPr>
                <w:rFonts w:ascii="Times New Roman" w:eastAsia="Times New Roman" w:hAnsi="Times New Roman" w:cs="Times New Roman"/>
                <w:b/>
                <w:bCs/>
                <w:color w:val="000000"/>
                <w:sz w:val="20"/>
                <w:szCs w:val="20"/>
              </w:rPr>
            </w:pPr>
            <w:r w:rsidRPr="00012F08">
              <w:rPr>
                <w:rFonts w:ascii="Times New Roman" w:eastAsia="Times New Roman" w:hAnsi="Times New Roman" w:cs="Times New Roman"/>
                <w:b/>
                <w:bCs/>
                <w:color w:val="000000"/>
                <w:sz w:val="20"/>
                <w:szCs w:val="20"/>
              </w:rPr>
              <w:t>Oil</w:t>
            </w:r>
          </w:p>
        </w:tc>
        <w:tc>
          <w:tcPr>
            <w:tcW w:w="993" w:type="dxa"/>
            <w:vAlign w:val="bottom"/>
          </w:tcPr>
          <w:p w14:paraId="13303C73" w14:textId="1EAB1E31"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1.63</w:t>
            </w:r>
          </w:p>
        </w:tc>
        <w:tc>
          <w:tcPr>
            <w:tcW w:w="1022" w:type="dxa"/>
            <w:vAlign w:val="bottom"/>
          </w:tcPr>
          <w:p w14:paraId="3C8BC359" w14:textId="3B8128EA"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5.4</w:t>
            </w:r>
          </w:p>
        </w:tc>
        <w:tc>
          <w:tcPr>
            <w:tcW w:w="1022" w:type="dxa"/>
            <w:vAlign w:val="bottom"/>
          </w:tcPr>
          <w:p w14:paraId="58D1F051" w14:textId="0452D439"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0.73</w:t>
            </w:r>
          </w:p>
        </w:tc>
        <w:tc>
          <w:tcPr>
            <w:tcW w:w="993" w:type="dxa"/>
            <w:gridSpan w:val="2"/>
            <w:vAlign w:val="bottom"/>
          </w:tcPr>
          <w:p w14:paraId="08FD3C1B" w14:textId="4F4CC51A"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2.99</w:t>
            </w:r>
          </w:p>
        </w:tc>
        <w:tc>
          <w:tcPr>
            <w:tcW w:w="1021" w:type="dxa"/>
            <w:vAlign w:val="bottom"/>
          </w:tcPr>
          <w:p w14:paraId="75F781C4" w14:textId="57C057E1"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3.13</w:t>
            </w:r>
          </w:p>
        </w:tc>
        <w:tc>
          <w:tcPr>
            <w:tcW w:w="1105" w:type="dxa"/>
            <w:vAlign w:val="bottom"/>
          </w:tcPr>
          <w:p w14:paraId="333A319E" w14:textId="37EF0C1B"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0.22</w:t>
            </w:r>
          </w:p>
        </w:tc>
        <w:tc>
          <w:tcPr>
            <w:tcW w:w="1022" w:type="dxa"/>
            <w:vAlign w:val="bottom"/>
          </w:tcPr>
          <w:p w14:paraId="5A8E4626" w14:textId="4AF064B4"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82.89</w:t>
            </w:r>
          </w:p>
        </w:tc>
        <w:tc>
          <w:tcPr>
            <w:tcW w:w="1379" w:type="dxa"/>
            <w:vAlign w:val="bottom"/>
          </w:tcPr>
          <w:p w14:paraId="1F261226" w14:textId="4EA591C7"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17.11</w:t>
            </w:r>
          </w:p>
        </w:tc>
      </w:tr>
      <w:tr w:rsidR="00080F8C" w:rsidRPr="00012F08" w14:paraId="66F585F6" w14:textId="77777777" w:rsidTr="006A48EC">
        <w:trPr>
          <w:trHeight w:val="223"/>
        </w:trPr>
        <w:tc>
          <w:tcPr>
            <w:tcW w:w="1106" w:type="dxa"/>
          </w:tcPr>
          <w:p w14:paraId="2B00A2AC" w14:textId="77777777"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 xml:space="preserve">TO </w:t>
            </w:r>
          </w:p>
        </w:tc>
        <w:tc>
          <w:tcPr>
            <w:tcW w:w="993" w:type="dxa"/>
            <w:vAlign w:val="bottom"/>
          </w:tcPr>
          <w:p w14:paraId="526D7620" w14:textId="7A76D267"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8.35</w:t>
            </w:r>
          </w:p>
        </w:tc>
        <w:tc>
          <w:tcPr>
            <w:tcW w:w="1022" w:type="dxa"/>
            <w:vAlign w:val="bottom"/>
          </w:tcPr>
          <w:p w14:paraId="4C599B11" w14:textId="39CF4B60"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41.92</w:t>
            </w:r>
          </w:p>
        </w:tc>
        <w:tc>
          <w:tcPr>
            <w:tcW w:w="1022" w:type="dxa"/>
            <w:vAlign w:val="bottom"/>
          </w:tcPr>
          <w:p w14:paraId="249EB52B" w14:textId="626F092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6.56</w:t>
            </w:r>
          </w:p>
        </w:tc>
        <w:tc>
          <w:tcPr>
            <w:tcW w:w="993" w:type="dxa"/>
            <w:gridSpan w:val="2"/>
            <w:vAlign w:val="bottom"/>
          </w:tcPr>
          <w:p w14:paraId="7798EBDD" w14:textId="23A05476"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18.61</w:t>
            </w:r>
          </w:p>
        </w:tc>
        <w:tc>
          <w:tcPr>
            <w:tcW w:w="1021" w:type="dxa"/>
            <w:vAlign w:val="bottom"/>
          </w:tcPr>
          <w:p w14:paraId="409D74CC" w14:textId="7F1BFB85"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39.2</w:t>
            </w:r>
          </w:p>
        </w:tc>
        <w:tc>
          <w:tcPr>
            <w:tcW w:w="1105" w:type="dxa"/>
            <w:vAlign w:val="bottom"/>
          </w:tcPr>
          <w:p w14:paraId="73968528" w14:textId="11F4BD09"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11.35</w:t>
            </w:r>
          </w:p>
        </w:tc>
        <w:tc>
          <w:tcPr>
            <w:tcW w:w="1022" w:type="dxa"/>
            <w:vAlign w:val="bottom"/>
          </w:tcPr>
          <w:p w14:paraId="707F4192" w14:textId="546C07A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17.11</w:t>
            </w:r>
          </w:p>
        </w:tc>
        <w:tc>
          <w:tcPr>
            <w:tcW w:w="1379" w:type="dxa"/>
            <w:vAlign w:val="bottom"/>
          </w:tcPr>
          <w:p w14:paraId="5D03698F" w14:textId="477B829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143.02</w:t>
            </w:r>
          </w:p>
        </w:tc>
      </w:tr>
      <w:tr w:rsidR="00080F8C" w:rsidRPr="00012F08" w14:paraId="49F526AD" w14:textId="77777777" w:rsidTr="006A48EC">
        <w:trPr>
          <w:trHeight w:val="232"/>
        </w:trPr>
        <w:tc>
          <w:tcPr>
            <w:tcW w:w="1106" w:type="dxa"/>
          </w:tcPr>
          <w:p w14:paraId="74212799" w14:textId="77777777"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In. own</w:t>
            </w:r>
          </w:p>
        </w:tc>
        <w:tc>
          <w:tcPr>
            <w:tcW w:w="993" w:type="dxa"/>
            <w:vAlign w:val="bottom"/>
          </w:tcPr>
          <w:p w14:paraId="36F914BD" w14:textId="6B133AB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100.43</w:t>
            </w:r>
          </w:p>
        </w:tc>
        <w:tc>
          <w:tcPr>
            <w:tcW w:w="1022" w:type="dxa"/>
            <w:vAlign w:val="bottom"/>
          </w:tcPr>
          <w:p w14:paraId="0C9D6FC1" w14:textId="7078842D"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105.1</w:t>
            </w:r>
          </w:p>
        </w:tc>
        <w:tc>
          <w:tcPr>
            <w:tcW w:w="1022" w:type="dxa"/>
            <w:vAlign w:val="bottom"/>
          </w:tcPr>
          <w:p w14:paraId="0ED4F178" w14:textId="1EF27275"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92.93</w:t>
            </w:r>
          </w:p>
        </w:tc>
        <w:tc>
          <w:tcPr>
            <w:tcW w:w="993" w:type="dxa"/>
            <w:gridSpan w:val="2"/>
            <w:vAlign w:val="bottom"/>
          </w:tcPr>
          <w:p w14:paraId="1A403E78" w14:textId="4E94506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101.18</w:t>
            </w:r>
          </w:p>
        </w:tc>
        <w:tc>
          <w:tcPr>
            <w:tcW w:w="1021" w:type="dxa"/>
            <w:vAlign w:val="bottom"/>
          </w:tcPr>
          <w:p w14:paraId="2DA94C13" w14:textId="7AB58BEA"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101.23</w:t>
            </w:r>
          </w:p>
        </w:tc>
        <w:tc>
          <w:tcPr>
            <w:tcW w:w="1105" w:type="dxa"/>
            <w:vAlign w:val="bottom"/>
          </w:tcPr>
          <w:p w14:paraId="52D83D82" w14:textId="32E6DD31"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94.24</w:t>
            </w:r>
          </w:p>
        </w:tc>
        <w:tc>
          <w:tcPr>
            <w:tcW w:w="1022" w:type="dxa"/>
            <w:vAlign w:val="bottom"/>
          </w:tcPr>
          <w:p w14:paraId="4CBC7E71" w14:textId="391CFA8F"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100</w:t>
            </w:r>
          </w:p>
        </w:tc>
        <w:tc>
          <w:tcPr>
            <w:tcW w:w="1379" w:type="dxa"/>
          </w:tcPr>
          <w:p w14:paraId="764B8333" w14:textId="3ABD6441" w:rsidR="00080F8C" w:rsidRPr="00012F08" w:rsidRDefault="00080F8C" w:rsidP="00080F8C">
            <w:pPr>
              <w:bidi w:val="0"/>
              <w:jc w:val="center"/>
              <w:rPr>
                <w:rFonts w:asciiTheme="majorBidi" w:hAnsiTheme="majorBidi" w:cstheme="majorBidi"/>
                <w:b/>
                <w:sz w:val="20"/>
                <w:szCs w:val="20"/>
              </w:rPr>
            </w:pPr>
            <w:proofErr w:type="spellStart"/>
            <w:r w:rsidRPr="00012F08">
              <w:rPr>
                <w:rFonts w:asciiTheme="majorBidi" w:hAnsiTheme="majorBidi" w:cstheme="majorBidi"/>
                <w:b/>
                <w:bCs/>
                <w:sz w:val="20"/>
                <w:szCs w:val="20"/>
              </w:rPr>
              <w:t>cTCI</w:t>
            </w:r>
            <w:proofErr w:type="spellEnd"/>
            <w:r w:rsidRPr="00012F08">
              <w:rPr>
                <w:rFonts w:asciiTheme="majorBidi" w:hAnsiTheme="majorBidi" w:cstheme="majorBidi"/>
                <w:b/>
                <w:bCs/>
                <w:sz w:val="20"/>
                <w:szCs w:val="20"/>
              </w:rPr>
              <w:t>/TCI</w:t>
            </w:r>
          </w:p>
        </w:tc>
      </w:tr>
      <w:tr w:rsidR="00080F8C" w:rsidRPr="00012F08" w14:paraId="5E4E31C2" w14:textId="77777777" w:rsidTr="006A48EC">
        <w:trPr>
          <w:trHeight w:val="223"/>
        </w:trPr>
        <w:tc>
          <w:tcPr>
            <w:tcW w:w="1106" w:type="dxa"/>
          </w:tcPr>
          <w:p w14:paraId="5CD98B18" w14:textId="77777777"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NET</w:t>
            </w:r>
          </w:p>
        </w:tc>
        <w:tc>
          <w:tcPr>
            <w:tcW w:w="993" w:type="dxa"/>
            <w:vAlign w:val="bottom"/>
          </w:tcPr>
          <w:p w14:paraId="20BA062A" w14:textId="4B8A3973" w:rsidR="00080F8C" w:rsidRPr="00012F08" w:rsidRDefault="00080F8C" w:rsidP="00080F8C">
            <w:pPr>
              <w:bidi w:val="0"/>
              <w:jc w:val="center"/>
              <w:rPr>
                <w:rFonts w:asciiTheme="majorBidi" w:hAnsiTheme="majorBidi" w:cstheme="majorBidi"/>
                <w:b/>
                <w:color w:val="0000FF"/>
                <w:sz w:val="20"/>
                <w:szCs w:val="20"/>
              </w:rPr>
            </w:pPr>
            <w:r w:rsidRPr="00012F08">
              <w:rPr>
                <w:rFonts w:asciiTheme="majorBidi" w:hAnsiTheme="majorBidi" w:cstheme="majorBidi"/>
                <w:color w:val="0000FF"/>
                <w:sz w:val="20"/>
                <w:szCs w:val="20"/>
              </w:rPr>
              <w:t>0.43</w:t>
            </w:r>
          </w:p>
        </w:tc>
        <w:tc>
          <w:tcPr>
            <w:tcW w:w="1022" w:type="dxa"/>
            <w:vAlign w:val="bottom"/>
          </w:tcPr>
          <w:p w14:paraId="1B8B490F" w14:textId="4D089560" w:rsidR="00080F8C" w:rsidRPr="00012F08" w:rsidRDefault="00080F8C" w:rsidP="00080F8C">
            <w:pPr>
              <w:bidi w:val="0"/>
              <w:jc w:val="center"/>
              <w:rPr>
                <w:rFonts w:asciiTheme="majorBidi" w:hAnsiTheme="majorBidi" w:cstheme="majorBidi"/>
                <w:b/>
                <w:color w:val="0000FF"/>
                <w:sz w:val="20"/>
                <w:szCs w:val="20"/>
              </w:rPr>
            </w:pPr>
            <w:r w:rsidRPr="00012F08">
              <w:rPr>
                <w:rFonts w:asciiTheme="majorBidi" w:hAnsiTheme="majorBidi" w:cstheme="majorBidi"/>
                <w:color w:val="0000FF"/>
                <w:sz w:val="20"/>
                <w:szCs w:val="20"/>
              </w:rPr>
              <w:t>5.1</w:t>
            </w:r>
          </w:p>
        </w:tc>
        <w:tc>
          <w:tcPr>
            <w:tcW w:w="1022" w:type="dxa"/>
            <w:vAlign w:val="bottom"/>
          </w:tcPr>
          <w:p w14:paraId="497E8915" w14:textId="7ADB70D9" w:rsidR="00080F8C" w:rsidRPr="00012F08" w:rsidRDefault="00080F8C" w:rsidP="00080F8C">
            <w:pPr>
              <w:bidi w:val="0"/>
              <w:jc w:val="center"/>
              <w:rPr>
                <w:rFonts w:asciiTheme="majorBidi" w:hAnsiTheme="majorBidi" w:cstheme="majorBidi"/>
                <w:b/>
                <w:color w:val="EE0000"/>
                <w:sz w:val="20"/>
                <w:szCs w:val="20"/>
              </w:rPr>
            </w:pPr>
            <w:r w:rsidRPr="00012F08">
              <w:rPr>
                <w:rFonts w:asciiTheme="majorBidi" w:hAnsiTheme="majorBidi" w:cstheme="majorBidi"/>
                <w:color w:val="EE0000"/>
                <w:sz w:val="20"/>
                <w:szCs w:val="20"/>
              </w:rPr>
              <w:t>-7.07</w:t>
            </w:r>
          </w:p>
        </w:tc>
        <w:tc>
          <w:tcPr>
            <w:tcW w:w="993" w:type="dxa"/>
            <w:gridSpan w:val="2"/>
            <w:vAlign w:val="bottom"/>
          </w:tcPr>
          <w:p w14:paraId="165DD328" w14:textId="4492891E" w:rsidR="00080F8C" w:rsidRPr="00012F08" w:rsidRDefault="00080F8C" w:rsidP="00080F8C">
            <w:pPr>
              <w:bidi w:val="0"/>
              <w:jc w:val="center"/>
              <w:rPr>
                <w:rFonts w:asciiTheme="majorBidi" w:hAnsiTheme="majorBidi" w:cstheme="majorBidi"/>
                <w:b/>
                <w:color w:val="0000FF"/>
                <w:sz w:val="20"/>
                <w:szCs w:val="20"/>
              </w:rPr>
            </w:pPr>
            <w:r w:rsidRPr="00012F08">
              <w:rPr>
                <w:rFonts w:asciiTheme="majorBidi" w:hAnsiTheme="majorBidi" w:cstheme="majorBidi"/>
                <w:color w:val="0000FF"/>
                <w:sz w:val="20"/>
                <w:szCs w:val="20"/>
              </w:rPr>
              <w:t>1.19</w:t>
            </w:r>
          </w:p>
        </w:tc>
        <w:tc>
          <w:tcPr>
            <w:tcW w:w="1021" w:type="dxa"/>
            <w:vAlign w:val="bottom"/>
          </w:tcPr>
          <w:p w14:paraId="287A67EB" w14:textId="40095539" w:rsidR="00080F8C" w:rsidRPr="00012F08" w:rsidRDefault="00080F8C" w:rsidP="00080F8C">
            <w:pPr>
              <w:bidi w:val="0"/>
              <w:jc w:val="center"/>
              <w:rPr>
                <w:rFonts w:asciiTheme="majorBidi" w:hAnsiTheme="majorBidi" w:cstheme="majorBidi"/>
                <w:b/>
                <w:color w:val="0000FF"/>
                <w:sz w:val="20"/>
                <w:szCs w:val="20"/>
              </w:rPr>
            </w:pPr>
            <w:r w:rsidRPr="00012F08">
              <w:rPr>
                <w:rFonts w:asciiTheme="majorBidi" w:hAnsiTheme="majorBidi" w:cstheme="majorBidi"/>
                <w:color w:val="0000FF"/>
                <w:sz w:val="20"/>
                <w:szCs w:val="20"/>
              </w:rPr>
              <w:t>1.23</w:t>
            </w:r>
          </w:p>
        </w:tc>
        <w:tc>
          <w:tcPr>
            <w:tcW w:w="1105" w:type="dxa"/>
            <w:vAlign w:val="bottom"/>
          </w:tcPr>
          <w:p w14:paraId="7AF179A9" w14:textId="32305BED" w:rsidR="00080F8C" w:rsidRPr="00012F08" w:rsidRDefault="00080F8C" w:rsidP="00080F8C">
            <w:pPr>
              <w:bidi w:val="0"/>
              <w:jc w:val="center"/>
              <w:rPr>
                <w:rFonts w:asciiTheme="majorBidi" w:hAnsiTheme="majorBidi" w:cstheme="majorBidi"/>
                <w:b/>
                <w:color w:val="EE0000"/>
                <w:sz w:val="20"/>
                <w:szCs w:val="20"/>
              </w:rPr>
            </w:pPr>
            <w:r w:rsidRPr="00012F08">
              <w:rPr>
                <w:rFonts w:asciiTheme="majorBidi" w:hAnsiTheme="majorBidi" w:cstheme="majorBidi"/>
                <w:color w:val="EE0000"/>
                <w:sz w:val="20"/>
                <w:szCs w:val="20"/>
              </w:rPr>
              <w:t>-8.88</w:t>
            </w:r>
          </w:p>
        </w:tc>
        <w:tc>
          <w:tcPr>
            <w:tcW w:w="1022" w:type="dxa"/>
            <w:vAlign w:val="bottom"/>
          </w:tcPr>
          <w:p w14:paraId="1CD539B0" w14:textId="254D57B0" w:rsidR="00080F8C" w:rsidRPr="00012F08" w:rsidRDefault="00080F8C" w:rsidP="00080F8C">
            <w:pPr>
              <w:bidi w:val="0"/>
              <w:jc w:val="center"/>
              <w:rPr>
                <w:rFonts w:asciiTheme="majorBidi" w:hAnsiTheme="majorBidi" w:cstheme="majorBidi"/>
                <w:b/>
                <w:color w:val="EE0000"/>
                <w:sz w:val="20"/>
                <w:szCs w:val="20"/>
              </w:rPr>
            </w:pPr>
            <w:r w:rsidRPr="00012F08">
              <w:rPr>
                <w:rFonts w:asciiTheme="majorBidi" w:hAnsiTheme="majorBidi" w:cstheme="majorBidi"/>
                <w:color w:val="EE0000"/>
                <w:sz w:val="20"/>
                <w:szCs w:val="20"/>
              </w:rPr>
              <w:t>-5.76</w:t>
            </w:r>
          </w:p>
        </w:tc>
        <w:tc>
          <w:tcPr>
            <w:tcW w:w="1379" w:type="dxa"/>
          </w:tcPr>
          <w:p w14:paraId="3B12E0FE" w14:textId="760C15C8"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b/>
                <w:sz w:val="20"/>
                <w:szCs w:val="20"/>
              </w:rPr>
              <w:t>2</w:t>
            </w:r>
            <w:r w:rsidR="00830152" w:rsidRPr="00012F08">
              <w:rPr>
                <w:rFonts w:asciiTheme="majorBidi" w:hAnsiTheme="majorBidi" w:cstheme="majorBidi"/>
                <w:b/>
                <w:sz w:val="20"/>
                <w:szCs w:val="20"/>
              </w:rPr>
              <w:t>3</w:t>
            </w:r>
            <w:r w:rsidRPr="00012F08">
              <w:rPr>
                <w:rFonts w:asciiTheme="majorBidi" w:hAnsiTheme="majorBidi" w:cstheme="majorBidi"/>
                <w:b/>
                <w:sz w:val="20"/>
                <w:szCs w:val="20"/>
              </w:rPr>
              <w:t>.</w:t>
            </w:r>
            <w:r w:rsidR="00830152" w:rsidRPr="00012F08">
              <w:rPr>
                <w:rFonts w:asciiTheme="majorBidi" w:hAnsiTheme="majorBidi" w:cstheme="majorBidi"/>
                <w:b/>
                <w:sz w:val="20"/>
                <w:szCs w:val="20"/>
              </w:rPr>
              <w:t>84</w:t>
            </w:r>
            <w:r w:rsidRPr="00012F08">
              <w:rPr>
                <w:rFonts w:asciiTheme="majorBidi" w:hAnsiTheme="majorBidi" w:cstheme="majorBidi"/>
                <w:b/>
                <w:sz w:val="20"/>
                <w:szCs w:val="20"/>
              </w:rPr>
              <w:t>/</w:t>
            </w:r>
            <w:r w:rsidR="00830152" w:rsidRPr="00012F08">
              <w:rPr>
                <w:rFonts w:asciiTheme="majorBidi" w:hAnsiTheme="majorBidi" w:cstheme="majorBidi"/>
                <w:b/>
                <w:sz w:val="20"/>
                <w:szCs w:val="20"/>
              </w:rPr>
              <w:t>20</w:t>
            </w:r>
            <w:r w:rsidRPr="00012F08">
              <w:rPr>
                <w:rFonts w:asciiTheme="majorBidi" w:hAnsiTheme="majorBidi" w:cstheme="majorBidi"/>
                <w:b/>
                <w:sz w:val="20"/>
                <w:szCs w:val="20"/>
              </w:rPr>
              <w:t>.</w:t>
            </w:r>
            <w:r w:rsidR="00830152" w:rsidRPr="00012F08">
              <w:rPr>
                <w:rFonts w:asciiTheme="majorBidi" w:hAnsiTheme="majorBidi" w:cstheme="majorBidi"/>
                <w:b/>
                <w:sz w:val="20"/>
                <w:szCs w:val="20"/>
              </w:rPr>
              <w:t>43</w:t>
            </w:r>
          </w:p>
        </w:tc>
      </w:tr>
      <w:tr w:rsidR="00080F8C" w:rsidRPr="00012F08" w14:paraId="532138BC" w14:textId="77777777" w:rsidTr="006A48EC">
        <w:trPr>
          <w:trHeight w:val="250"/>
        </w:trPr>
        <w:tc>
          <w:tcPr>
            <w:tcW w:w="1106" w:type="dxa"/>
            <w:tcBorders>
              <w:bottom w:val="single" w:sz="4" w:space="0" w:color="auto"/>
            </w:tcBorders>
          </w:tcPr>
          <w:p w14:paraId="78D7D63C" w14:textId="5E0176E6"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NPT</w:t>
            </w:r>
          </w:p>
        </w:tc>
        <w:tc>
          <w:tcPr>
            <w:tcW w:w="993" w:type="dxa"/>
            <w:tcBorders>
              <w:bottom w:val="single" w:sz="4" w:space="0" w:color="auto"/>
            </w:tcBorders>
            <w:vAlign w:val="bottom"/>
          </w:tcPr>
          <w:p w14:paraId="0B42B82E" w14:textId="77860EB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w:t>
            </w:r>
          </w:p>
        </w:tc>
        <w:tc>
          <w:tcPr>
            <w:tcW w:w="1022" w:type="dxa"/>
            <w:tcBorders>
              <w:bottom w:val="single" w:sz="4" w:space="0" w:color="auto"/>
            </w:tcBorders>
            <w:vAlign w:val="bottom"/>
          </w:tcPr>
          <w:p w14:paraId="19A08445" w14:textId="1B105A81"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4</w:t>
            </w:r>
          </w:p>
        </w:tc>
        <w:tc>
          <w:tcPr>
            <w:tcW w:w="1022" w:type="dxa"/>
            <w:tcBorders>
              <w:bottom w:val="single" w:sz="4" w:space="0" w:color="auto"/>
            </w:tcBorders>
            <w:vAlign w:val="bottom"/>
          </w:tcPr>
          <w:p w14:paraId="3DFF1073" w14:textId="30BC5BB1"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w:t>
            </w:r>
          </w:p>
        </w:tc>
        <w:tc>
          <w:tcPr>
            <w:tcW w:w="993" w:type="dxa"/>
            <w:gridSpan w:val="2"/>
            <w:tcBorders>
              <w:bottom w:val="single" w:sz="4" w:space="0" w:color="auto"/>
            </w:tcBorders>
            <w:vAlign w:val="bottom"/>
          </w:tcPr>
          <w:p w14:paraId="7D26ED41" w14:textId="052072E1"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w:t>
            </w:r>
          </w:p>
        </w:tc>
        <w:tc>
          <w:tcPr>
            <w:tcW w:w="1021" w:type="dxa"/>
            <w:tcBorders>
              <w:bottom w:val="single" w:sz="4" w:space="0" w:color="auto"/>
            </w:tcBorders>
            <w:vAlign w:val="bottom"/>
          </w:tcPr>
          <w:p w14:paraId="5968E2E1" w14:textId="6851E6D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w:t>
            </w:r>
          </w:p>
        </w:tc>
        <w:tc>
          <w:tcPr>
            <w:tcW w:w="1105" w:type="dxa"/>
            <w:tcBorders>
              <w:bottom w:val="single" w:sz="4" w:space="0" w:color="auto"/>
            </w:tcBorders>
            <w:vAlign w:val="bottom"/>
          </w:tcPr>
          <w:p w14:paraId="27D4ACC7" w14:textId="0C302D17"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6</w:t>
            </w:r>
          </w:p>
        </w:tc>
        <w:tc>
          <w:tcPr>
            <w:tcW w:w="1022" w:type="dxa"/>
            <w:tcBorders>
              <w:bottom w:val="single" w:sz="4" w:space="0" w:color="auto"/>
            </w:tcBorders>
            <w:vAlign w:val="bottom"/>
          </w:tcPr>
          <w:p w14:paraId="24F51C5F" w14:textId="099A99D1"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w:t>
            </w:r>
          </w:p>
        </w:tc>
        <w:tc>
          <w:tcPr>
            <w:tcW w:w="1379" w:type="dxa"/>
            <w:tcBorders>
              <w:bottom w:val="single" w:sz="4" w:space="0" w:color="auto"/>
            </w:tcBorders>
          </w:tcPr>
          <w:p w14:paraId="6A4E2653" w14:textId="77777777" w:rsidR="00080F8C" w:rsidRPr="00012F08" w:rsidRDefault="00080F8C" w:rsidP="00080F8C">
            <w:pPr>
              <w:bidi w:val="0"/>
              <w:jc w:val="center"/>
              <w:rPr>
                <w:rFonts w:asciiTheme="majorBidi" w:hAnsiTheme="majorBidi" w:cstheme="majorBidi"/>
                <w:b/>
                <w:sz w:val="20"/>
                <w:szCs w:val="20"/>
              </w:rPr>
            </w:pPr>
          </w:p>
        </w:tc>
      </w:tr>
      <w:tr w:rsidR="00E338AF" w:rsidRPr="00012F08" w14:paraId="20300C2C" w14:textId="77777777" w:rsidTr="006A48EC">
        <w:trPr>
          <w:trHeight w:val="250"/>
        </w:trPr>
        <w:tc>
          <w:tcPr>
            <w:tcW w:w="1106" w:type="dxa"/>
            <w:tcBorders>
              <w:top w:val="single" w:sz="4" w:space="0" w:color="auto"/>
              <w:bottom w:val="single" w:sz="4" w:space="0" w:color="auto"/>
            </w:tcBorders>
          </w:tcPr>
          <w:p w14:paraId="3C8A646E" w14:textId="77777777" w:rsidR="00E338AF" w:rsidRPr="00012F08" w:rsidRDefault="00E338AF" w:rsidP="00E338AF">
            <w:pPr>
              <w:bidi w:val="0"/>
              <w:jc w:val="center"/>
              <w:rPr>
                <w:rFonts w:asciiTheme="majorBidi" w:hAnsiTheme="majorBidi" w:cstheme="majorBidi"/>
                <w:b/>
              </w:rPr>
            </w:pPr>
          </w:p>
        </w:tc>
        <w:tc>
          <w:tcPr>
            <w:tcW w:w="8557" w:type="dxa"/>
            <w:gridSpan w:val="9"/>
            <w:tcBorders>
              <w:top w:val="single" w:sz="4" w:space="0" w:color="auto"/>
              <w:bottom w:val="single" w:sz="4" w:space="0" w:color="auto"/>
            </w:tcBorders>
          </w:tcPr>
          <w:p w14:paraId="243BAB86" w14:textId="4AD96C44" w:rsidR="00E338AF" w:rsidRPr="00012F08" w:rsidRDefault="00E338AF" w:rsidP="00FD4F96">
            <w:pPr>
              <w:bidi w:val="0"/>
              <w:jc w:val="center"/>
              <w:rPr>
                <w:rFonts w:asciiTheme="majorBidi" w:hAnsiTheme="majorBidi" w:cstheme="majorBidi"/>
                <w:b/>
              </w:rPr>
            </w:pPr>
            <w:r w:rsidRPr="00012F08">
              <w:rPr>
                <w:rFonts w:asciiTheme="majorBidi" w:hAnsiTheme="majorBidi" w:cstheme="majorBidi"/>
                <w:b/>
                <w:bCs/>
                <w:sz w:val="20"/>
              </w:rPr>
              <w:t xml:space="preserve">Panel B. </w:t>
            </w:r>
            <w:r w:rsidR="00FD4F96" w:rsidRPr="00012F08">
              <w:rPr>
                <w:rFonts w:asciiTheme="majorBidi" w:hAnsiTheme="majorBidi" w:cstheme="majorBidi"/>
                <w:b/>
                <w:bCs/>
                <w:sz w:val="20"/>
              </w:rPr>
              <w:t xml:space="preserve"> Pre-Trade War Globalization </w:t>
            </w:r>
            <w:r w:rsidRPr="00012F08">
              <w:rPr>
                <w:rFonts w:asciiTheme="majorBidi" w:hAnsiTheme="majorBidi" w:cstheme="majorBidi"/>
                <w:b/>
                <w:bCs/>
                <w:sz w:val="20"/>
              </w:rPr>
              <w:t>Period</w:t>
            </w:r>
            <w:r w:rsidR="00FD4F96" w:rsidRPr="00012F08">
              <w:rPr>
                <w:rFonts w:asciiTheme="majorBidi" w:hAnsiTheme="majorBidi" w:cstheme="majorBidi"/>
                <w:b/>
              </w:rPr>
              <w:t xml:space="preserve"> </w:t>
            </w:r>
            <w:r w:rsidR="00FD4F96" w:rsidRPr="00012F08">
              <w:rPr>
                <w:rFonts w:asciiTheme="majorBidi" w:hAnsiTheme="majorBidi" w:cstheme="majorBidi"/>
                <w:b/>
                <w:bCs/>
                <w:sz w:val="20"/>
              </w:rPr>
              <w:t>(Jan 1993 – Dec 2017)</w:t>
            </w:r>
          </w:p>
        </w:tc>
      </w:tr>
      <w:tr w:rsidR="00E338AF" w:rsidRPr="00012F08" w14:paraId="50998033" w14:textId="77777777" w:rsidTr="006A48EC">
        <w:trPr>
          <w:trHeight w:val="250"/>
        </w:trPr>
        <w:tc>
          <w:tcPr>
            <w:tcW w:w="1106" w:type="dxa"/>
            <w:tcBorders>
              <w:top w:val="single" w:sz="4" w:space="0" w:color="auto"/>
              <w:bottom w:val="single" w:sz="4" w:space="0" w:color="auto"/>
            </w:tcBorders>
          </w:tcPr>
          <w:p w14:paraId="6E4FBB50" w14:textId="77777777" w:rsidR="00E338AF" w:rsidRPr="00012F08" w:rsidRDefault="00E338AF" w:rsidP="00E338AF">
            <w:pPr>
              <w:bidi w:val="0"/>
              <w:jc w:val="center"/>
              <w:rPr>
                <w:rFonts w:asciiTheme="majorBidi" w:hAnsiTheme="majorBidi" w:cstheme="majorBidi"/>
                <w:b/>
              </w:rPr>
            </w:pPr>
          </w:p>
        </w:tc>
        <w:tc>
          <w:tcPr>
            <w:tcW w:w="993" w:type="dxa"/>
            <w:tcBorders>
              <w:top w:val="single" w:sz="4" w:space="0" w:color="auto"/>
              <w:bottom w:val="single" w:sz="4" w:space="0" w:color="auto"/>
            </w:tcBorders>
            <w:vAlign w:val="center"/>
          </w:tcPr>
          <w:p w14:paraId="03D1E946" w14:textId="4E9EB018"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UCT</w:t>
            </w:r>
          </w:p>
        </w:tc>
        <w:tc>
          <w:tcPr>
            <w:tcW w:w="1022" w:type="dxa"/>
            <w:tcBorders>
              <w:top w:val="single" w:sz="4" w:space="0" w:color="auto"/>
              <w:bottom w:val="single" w:sz="4" w:space="0" w:color="auto"/>
            </w:tcBorders>
            <w:vAlign w:val="center"/>
          </w:tcPr>
          <w:p w14:paraId="26EEC3A0" w14:textId="1661592A"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S&amp;P</w:t>
            </w:r>
          </w:p>
        </w:tc>
        <w:tc>
          <w:tcPr>
            <w:tcW w:w="1022" w:type="dxa"/>
            <w:tcBorders>
              <w:top w:val="single" w:sz="4" w:space="0" w:color="auto"/>
              <w:bottom w:val="single" w:sz="4" w:space="0" w:color="auto"/>
            </w:tcBorders>
            <w:vAlign w:val="center"/>
          </w:tcPr>
          <w:p w14:paraId="30D39683" w14:textId="1B0C834A"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CHINA</w:t>
            </w:r>
          </w:p>
        </w:tc>
        <w:tc>
          <w:tcPr>
            <w:tcW w:w="993" w:type="dxa"/>
            <w:gridSpan w:val="2"/>
            <w:tcBorders>
              <w:top w:val="single" w:sz="4" w:space="0" w:color="auto"/>
              <w:bottom w:val="single" w:sz="4" w:space="0" w:color="auto"/>
            </w:tcBorders>
            <w:vAlign w:val="center"/>
          </w:tcPr>
          <w:p w14:paraId="4041DAB5" w14:textId="34ABD0E9"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Gold</w:t>
            </w:r>
          </w:p>
        </w:tc>
        <w:tc>
          <w:tcPr>
            <w:tcW w:w="1021" w:type="dxa"/>
            <w:tcBorders>
              <w:top w:val="single" w:sz="4" w:space="0" w:color="auto"/>
              <w:bottom w:val="single" w:sz="4" w:space="0" w:color="auto"/>
            </w:tcBorders>
            <w:vAlign w:val="center"/>
          </w:tcPr>
          <w:p w14:paraId="397037A8" w14:textId="72CEEFD5"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VIX</w:t>
            </w:r>
          </w:p>
        </w:tc>
        <w:tc>
          <w:tcPr>
            <w:tcW w:w="1105" w:type="dxa"/>
            <w:tcBorders>
              <w:top w:val="single" w:sz="4" w:space="0" w:color="auto"/>
              <w:bottom w:val="single" w:sz="4" w:space="0" w:color="auto"/>
            </w:tcBorders>
            <w:vAlign w:val="center"/>
          </w:tcPr>
          <w:p w14:paraId="21140312" w14:textId="6037D7FA"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USD/CNY</w:t>
            </w:r>
          </w:p>
        </w:tc>
        <w:tc>
          <w:tcPr>
            <w:tcW w:w="1022" w:type="dxa"/>
            <w:tcBorders>
              <w:top w:val="single" w:sz="4" w:space="0" w:color="auto"/>
              <w:bottom w:val="single" w:sz="4" w:space="0" w:color="auto"/>
            </w:tcBorders>
            <w:vAlign w:val="center"/>
          </w:tcPr>
          <w:p w14:paraId="17C6979E" w14:textId="24D70D70"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Oil</w:t>
            </w:r>
          </w:p>
        </w:tc>
        <w:tc>
          <w:tcPr>
            <w:tcW w:w="1379" w:type="dxa"/>
            <w:tcBorders>
              <w:top w:val="single" w:sz="4" w:space="0" w:color="auto"/>
              <w:bottom w:val="single" w:sz="4" w:space="0" w:color="auto"/>
            </w:tcBorders>
            <w:vAlign w:val="center"/>
          </w:tcPr>
          <w:p w14:paraId="38B34637" w14:textId="77777777" w:rsidR="00E338AF" w:rsidRPr="00012F08" w:rsidRDefault="00E338AF" w:rsidP="00E338AF">
            <w:pPr>
              <w:bidi w:val="0"/>
              <w:jc w:val="center"/>
              <w:rPr>
                <w:rFonts w:asciiTheme="majorBidi" w:hAnsiTheme="majorBidi" w:cstheme="majorBidi"/>
                <w:b/>
              </w:rPr>
            </w:pPr>
            <w:r w:rsidRPr="00012F08">
              <w:rPr>
                <w:rFonts w:ascii="Times New Roman" w:eastAsia="Times New Roman" w:hAnsi="Times New Roman" w:cs="Times New Roman"/>
                <w:b/>
                <w:bCs/>
                <w:color w:val="000000"/>
                <w:sz w:val="20"/>
                <w:szCs w:val="20"/>
              </w:rPr>
              <w:t>FROM</w:t>
            </w:r>
          </w:p>
        </w:tc>
      </w:tr>
      <w:tr w:rsidR="00080F8C" w:rsidRPr="00012F08" w14:paraId="3C467096" w14:textId="77777777" w:rsidTr="006A48EC">
        <w:trPr>
          <w:trHeight w:val="223"/>
        </w:trPr>
        <w:tc>
          <w:tcPr>
            <w:tcW w:w="1106" w:type="dxa"/>
            <w:tcBorders>
              <w:top w:val="single" w:sz="4" w:space="0" w:color="auto"/>
            </w:tcBorders>
            <w:vAlign w:val="center"/>
          </w:tcPr>
          <w:p w14:paraId="2BD804A9" w14:textId="210F45D9"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UCT</w:t>
            </w:r>
          </w:p>
        </w:tc>
        <w:tc>
          <w:tcPr>
            <w:tcW w:w="993" w:type="dxa"/>
            <w:tcBorders>
              <w:top w:val="single" w:sz="4" w:space="0" w:color="auto"/>
            </w:tcBorders>
            <w:vAlign w:val="bottom"/>
          </w:tcPr>
          <w:p w14:paraId="1937A2F6" w14:textId="6F08D8B6"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92.7</w:t>
            </w:r>
          </w:p>
        </w:tc>
        <w:tc>
          <w:tcPr>
            <w:tcW w:w="1022" w:type="dxa"/>
            <w:tcBorders>
              <w:top w:val="single" w:sz="4" w:space="0" w:color="auto"/>
            </w:tcBorders>
            <w:vAlign w:val="bottom"/>
          </w:tcPr>
          <w:p w14:paraId="06736980" w14:textId="4F463005"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1.46</w:t>
            </w:r>
          </w:p>
        </w:tc>
        <w:tc>
          <w:tcPr>
            <w:tcW w:w="1022" w:type="dxa"/>
            <w:tcBorders>
              <w:top w:val="single" w:sz="4" w:space="0" w:color="auto"/>
            </w:tcBorders>
            <w:vAlign w:val="bottom"/>
          </w:tcPr>
          <w:p w14:paraId="14A2F479" w14:textId="5480566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0.81</w:t>
            </w:r>
          </w:p>
        </w:tc>
        <w:tc>
          <w:tcPr>
            <w:tcW w:w="993" w:type="dxa"/>
            <w:gridSpan w:val="2"/>
            <w:tcBorders>
              <w:top w:val="single" w:sz="4" w:space="0" w:color="auto"/>
            </w:tcBorders>
            <w:vAlign w:val="bottom"/>
          </w:tcPr>
          <w:p w14:paraId="4A89766F" w14:textId="4C45F0C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1.96</w:t>
            </w:r>
          </w:p>
        </w:tc>
        <w:tc>
          <w:tcPr>
            <w:tcW w:w="1021" w:type="dxa"/>
            <w:tcBorders>
              <w:top w:val="single" w:sz="4" w:space="0" w:color="auto"/>
            </w:tcBorders>
            <w:vAlign w:val="bottom"/>
          </w:tcPr>
          <w:p w14:paraId="16916E2C" w14:textId="53FA30E6"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1.6</w:t>
            </w:r>
          </w:p>
        </w:tc>
        <w:tc>
          <w:tcPr>
            <w:tcW w:w="1105" w:type="dxa"/>
            <w:tcBorders>
              <w:top w:val="single" w:sz="4" w:space="0" w:color="auto"/>
            </w:tcBorders>
            <w:vAlign w:val="bottom"/>
          </w:tcPr>
          <w:p w14:paraId="643C4C66" w14:textId="776B6343"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0.52</w:t>
            </w:r>
          </w:p>
        </w:tc>
        <w:tc>
          <w:tcPr>
            <w:tcW w:w="1022" w:type="dxa"/>
            <w:tcBorders>
              <w:top w:val="single" w:sz="4" w:space="0" w:color="auto"/>
            </w:tcBorders>
            <w:vAlign w:val="bottom"/>
          </w:tcPr>
          <w:p w14:paraId="784BCAA8" w14:textId="47FF10D3"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0.95</w:t>
            </w:r>
          </w:p>
        </w:tc>
        <w:tc>
          <w:tcPr>
            <w:tcW w:w="1379" w:type="dxa"/>
            <w:tcBorders>
              <w:top w:val="single" w:sz="4" w:space="0" w:color="auto"/>
            </w:tcBorders>
            <w:vAlign w:val="bottom"/>
          </w:tcPr>
          <w:p w14:paraId="0EAA7490" w14:textId="5A1F5BF6"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7.3</w:t>
            </w:r>
          </w:p>
        </w:tc>
      </w:tr>
      <w:tr w:rsidR="00080F8C" w:rsidRPr="00012F08" w14:paraId="7244CC68" w14:textId="77777777" w:rsidTr="006A48EC">
        <w:trPr>
          <w:trHeight w:val="223"/>
        </w:trPr>
        <w:tc>
          <w:tcPr>
            <w:tcW w:w="1106" w:type="dxa"/>
            <w:vAlign w:val="center"/>
          </w:tcPr>
          <w:p w14:paraId="7559EDC6" w14:textId="6B8F9626"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S&amp;P</w:t>
            </w:r>
          </w:p>
        </w:tc>
        <w:tc>
          <w:tcPr>
            <w:tcW w:w="993" w:type="dxa"/>
            <w:vAlign w:val="bottom"/>
          </w:tcPr>
          <w:p w14:paraId="1603C97B" w14:textId="2D82D540"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1.15</w:t>
            </w:r>
          </w:p>
        </w:tc>
        <w:tc>
          <w:tcPr>
            <w:tcW w:w="1022" w:type="dxa"/>
            <w:vAlign w:val="bottom"/>
          </w:tcPr>
          <w:p w14:paraId="2A553399" w14:textId="04F79BAB"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64.82</w:t>
            </w:r>
          </w:p>
        </w:tc>
        <w:tc>
          <w:tcPr>
            <w:tcW w:w="1022" w:type="dxa"/>
            <w:vAlign w:val="bottom"/>
          </w:tcPr>
          <w:p w14:paraId="21A94C1A" w14:textId="017E9627"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1.59</w:t>
            </w:r>
          </w:p>
        </w:tc>
        <w:tc>
          <w:tcPr>
            <w:tcW w:w="993" w:type="dxa"/>
            <w:gridSpan w:val="2"/>
            <w:vAlign w:val="bottom"/>
          </w:tcPr>
          <w:p w14:paraId="76D93AEA" w14:textId="3F017575"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1.76</w:t>
            </w:r>
          </w:p>
        </w:tc>
        <w:tc>
          <w:tcPr>
            <w:tcW w:w="1021" w:type="dxa"/>
            <w:vAlign w:val="bottom"/>
          </w:tcPr>
          <w:p w14:paraId="06B60910" w14:textId="4CA8CA7D"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27.26</w:t>
            </w:r>
          </w:p>
        </w:tc>
        <w:tc>
          <w:tcPr>
            <w:tcW w:w="1105" w:type="dxa"/>
            <w:vAlign w:val="bottom"/>
          </w:tcPr>
          <w:p w14:paraId="10866D94" w14:textId="28423057"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0.91</w:t>
            </w:r>
          </w:p>
        </w:tc>
        <w:tc>
          <w:tcPr>
            <w:tcW w:w="1022" w:type="dxa"/>
            <w:vAlign w:val="bottom"/>
          </w:tcPr>
          <w:p w14:paraId="1026742D" w14:textId="109A136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2.52</w:t>
            </w:r>
          </w:p>
        </w:tc>
        <w:tc>
          <w:tcPr>
            <w:tcW w:w="1379" w:type="dxa"/>
            <w:vAlign w:val="bottom"/>
          </w:tcPr>
          <w:p w14:paraId="2E4398AC" w14:textId="0767C0AC"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35.18</w:t>
            </w:r>
          </w:p>
        </w:tc>
      </w:tr>
      <w:tr w:rsidR="00080F8C" w:rsidRPr="00012F08" w14:paraId="625DAE9B" w14:textId="77777777" w:rsidTr="006A48EC">
        <w:trPr>
          <w:trHeight w:val="232"/>
        </w:trPr>
        <w:tc>
          <w:tcPr>
            <w:tcW w:w="1106" w:type="dxa"/>
            <w:vAlign w:val="center"/>
          </w:tcPr>
          <w:p w14:paraId="5462AE63" w14:textId="11AE28BA"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CHINA</w:t>
            </w:r>
          </w:p>
        </w:tc>
        <w:tc>
          <w:tcPr>
            <w:tcW w:w="993" w:type="dxa"/>
            <w:vAlign w:val="bottom"/>
          </w:tcPr>
          <w:p w14:paraId="68C8E880" w14:textId="5A2EBA50"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1.73</w:t>
            </w:r>
          </w:p>
        </w:tc>
        <w:tc>
          <w:tcPr>
            <w:tcW w:w="1022" w:type="dxa"/>
            <w:vAlign w:val="bottom"/>
          </w:tcPr>
          <w:p w14:paraId="7E8C5CD9" w14:textId="37FF5BD9"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4.73</w:t>
            </w:r>
          </w:p>
        </w:tc>
        <w:tc>
          <w:tcPr>
            <w:tcW w:w="1022" w:type="dxa"/>
            <w:vAlign w:val="bottom"/>
          </w:tcPr>
          <w:p w14:paraId="69D2F5AD" w14:textId="1A45E585"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86.77</w:t>
            </w:r>
          </w:p>
        </w:tc>
        <w:tc>
          <w:tcPr>
            <w:tcW w:w="993" w:type="dxa"/>
            <w:gridSpan w:val="2"/>
            <w:vAlign w:val="bottom"/>
          </w:tcPr>
          <w:p w14:paraId="5D27EFFF" w14:textId="65B4F235"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0.93</w:t>
            </w:r>
          </w:p>
        </w:tc>
        <w:tc>
          <w:tcPr>
            <w:tcW w:w="1021" w:type="dxa"/>
            <w:vAlign w:val="bottom"/>
          </w:tcPr>
          <w:p w14:paraId="602EF708" w14:textId="099E52D3"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3.53</w:t>
            </w:r>
          </w:p>
        </w:tc>
        <w:tc>
          <w:tcPr>
            <w:tcW w:w="1105" w:type="dxa"/>
            <w:vAlign w:val="bottom"/>
          </w:tcPr>
          <w:p w14:paraId="04C7CF3E" w14:textId="29C30B99"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1.02</w:t>
            </w:r>
          </w:p>
        </w:tc>
        <w:tc>
          <w:tcPr>
            <w:tcW w:w="1022" w:type="dxa"/>
            <w:vAlign w:val="bottom"/>
          </w:tcPr>
          <w:p w14:paraId="00662F21" w14:textId="4042E473"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1.29</w:t>
            </w:r>
          </w:p>
        </w:tc>
        <w:tc>
          <w:tcPr>
            <w:tcW w:w="1379" w:type="dxa"/>
            <w:vAlign w:val="bottom"/>
          </w:tcPr>
          <w:p w14:paraId="6B2AC1E7" w14:textId="5BEFC7C3"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13.23</w:t>
            </w:r>
          </w:p>
        </w:tc>
      </w:tr>
      <w:tr w:rsidR="00080F8C" w:rsidRPr="00012F08" w14:paraId="4375C2CE" w14:textId="77777777" w:rsidTr="006A48EC">
        <w:trPr>
          <w:trHeight w:val="223"/>
        </w:trPr>
        <w:tc>
          <w:tcPr>
            <w:tcW w:w="1106" w:type="dxa"/>
            <w:vAlign w:val="center"/>
          </w:tcPr>
          <w:p w14:paraId="3F0069EB" w14:textId="4E675010"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Gold</w:t>
            </w:r>
          </w:p>
        </w:tc>
        <w:tc>
          <w:tcPr>
            <w:tcW w:w="993" w:type="dxa"/>
            <w:vAlign w:val="bottom"/>
          </w:tcPr>
          <w:p w14:paraId="0DEC2EA5" w14:textId="69F2C3B8"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2.14</w:t>
            </w:r>
          </w:p>
        </w:tc>
        <w:tc>
          <w:tcPr>
            <w:tcW w:w="1022" w:type="dxa"/>
            <w:vAlign w:val="bottom"/>
          </w:tcPr>
          <w:p w14:paraId="38C6345A" w14:textId="65022219"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1.38</w:t>
            </w:r>
          </w:p>
        </w:tc>
        <w:tc>
          <w:tcPr>
            <w:tcW w:w="1022" w:type="dxa"/>
            <w:vAlign w:val="bottom"/>
          </w:tcPr>
          <w:p w14:paraId="26D33451" w14:textId="2A9EAA98"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1.01</w:t>
            </w:r>
          </w:p>
        </w:tc>
        <w:tc>
          <w:tcPr>
            <w:tcW w:w="993" w:type="dxa"/>
            <w:gridSpan w:val="2"/>
            <w:vAlign w:val="bottom"/>
          </w:tcPr>
          <w:p w14:paraId="0F8AD62E" w14:textId="2BD1C39D"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79.4</w:t>
            </w:r>
          </w:p>
        </w:tc>
        <w:tc>
          <w:tcPr>
            <w:tcW w:w="1021" w:type="dxa"/>
            <w:vAlign w:val="bottom"/>
          </w:tcPr>
          <w:p w14:paraId="5C475284" w14:textId="1BDEC5A0"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1.29</w:t>
            </w:r>
          </w:p>
        </w:tc>
        <w:tc>
          <w:tcPr>
            <w:tcW w:w="1105" w:type="dxa"/>
            <w:vAlign w:val="bottom"/>
          </w:tcPr>
          <w:p w14:paraId="37356772" w14:textId="3CAF74EE"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12.58</w:t>
            </w:r>
          </w:p>
        </w:tc>
        <w:tc>
          <w:tcPr>
            <w:tcW w:w="1022" w:type="dxa"/>
            <w:vAlign w:val="bottom"/>
          </w:tcPr>
          <w:p w14:paraId="16CE63EC" w14:textId="681E360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2.19</w:t>
            </w:r>
          </w:p>
        </w:tc>
        <w:tc>
          <w:tcPr>
            <w:tcW w:w="1379" w:type="dxa"/>
            <w:vAlign w:val="bottom"/>
          </w:tcPr>
          <w:p w14:paraId="06DC109B" w14:textId="3B883050"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20.6</w:t>
            </w:r>
          </w:p>
        </w:tc>
      </w:tr>
      <w:tr w:rsidR="00080F8C" w:rsidRPr="00012F08" w14:paraId="6BE1F86E" w14:textId="77777777" w:rsidTr="006A48EC">
        <w:trPr>
          <w:trHeight w:val="223"/>
        </w:trPr>
        <w:tc>
          <w:tcPr>
            <w:tcW w:w="1106" w:type="dxa"/>
            <w:vAlign w:val="center"/>
          </w:tcPr>
          <w:p w14:paraId="17BF3108" w14:textId="37CA5041"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VIX</w:t>
            </w:r>
          </w:p>
        </w:tc>
        <w:tc>
          <w:tcPr>
            <w:tcW w:w="993" w:type="dxa"/>
            <w:vAlign w:val="bottom"/>
          </w:tcPr>
          <w:p w14:paraId="1CC8AB5E" w14:textId="3A6E3393"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1.91</w:t>
            </w:r>
          </w:p>
        </w:tc>
        <w:tc>
          <w:tcPr>
            <w:tcW w:w="1022" w:type="dxa"/>
            <w:vAlign w:val="bottom"/>
          </w:tcPr>
          <w:p w14:paraId="5962F61C" w14:textId="6EC4D3A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27.28</w:t>
            </w:r>
          </w:p>
        </w:tc>
        <w:tc>
          <w:tcPr>
            <w:tcW w:w="1022" w:type="dxa"/>
            <w:vAlign w:val="bottom"/>
          </w:tcPr>
          <w:p w14:paraId="44887C85" w14:textId="3C92CED7"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0.7</w:t>
            </w:r>
          </w:p>
        </w:tc>
        <w:tc>
          <w:tcPr>
            <w:tcW w:w="993" w:type="dxa"/>
            <w:gridSpan w:val="2"/>
            <w:vAlign w:val="bottom"/>
          </w:tcPr>
          <w:p w14:paraId="431DC6D1" w14:textId="4ECEDC51"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2.09</w:t>
            </w:r>
          </w:p>
        </w:tc>
        <w:tc>
          <w:tcPr>
            <w:tcW w:w="1021" w:type="dxa"/>
            <w:vAlign w:val="bottom"/>
          </w:tcPr>
          <w:p w14:paraId="68612B39" w14:textId="681C2A04"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61.98</w:t>
            </w:r>
          </w:p>
        </w:tc>
        <w:tc>
          <w:tcPr>
            <w:tcW w:w="1105" w:type="dxa"/>
            <w:vAlign w:val="bottom"/>
          </w:tcPr>
          <w:p w14:paraId="72C407BD" w14:textId="50A6E7D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3.84</w:t>
            </w:r>
          </w:p>
        </w:tc>
        <w:tc>
          <w:tcPr>
            <w:tcW w:w="1022" w:type="dxa"/>
            <w:vAlign w:val="bottom"/>
          </w:tcPr>
          <w:p w14:paraId="6569DC49" w14:textId="7CA17CEB"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2.2</w:t>
            </w:r>
          </w:p>
        </w:tc>
        <w:tc>
          <w:tcPr>
            <w:tcW w:w="1379" w:type="dxa"/>
            <w:vAlign w:val="bottom"/>
          </w:tcPr>
          <w:p w14:paraId="2934DBD3" w14:textId="3C29E483"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38.02</w:t>
            </w:r>
          </w:p>
        </w:tc>
      </w:tr>
      <w:tr w:rsidR="00080F8C" w:rsidRPr="00012F08" w14:paraId="029D4B49" w14:textId="77777777" w:rsidTr="006A48EC">
        <w:trPr>
          <w:trHeight w:val="232"/>
        </w:trPr>
        <w:tc>
          <w:tcPr>
            <w:tcW w:w="1106" w:type="dxa"/>
            <w:vAlign w:val="center"/>
          </w:tcPr>
          <w:p w14:paraId="57047870" w14:textId="280D5A29"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USD/CNY</w:t>
            </w:r>
          </w:p>
        </w:tc>
        <w:tc>
          <w:tcPr>
            <w:tcW w:w="993" w:type="dxa"/>
            <w:vAlign w:val="bottom"/>
          </w:tcPr>
          <w:p w14:paraId="618D50DA" w14:textId="0B87019D"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0.1</w:t>
            </w:r>
          </w:p>
        </w:tc>
        <w:tc>
          <w:tcPr>
            <w:tcW w:w="1022" w:type="dxa"/>
            <w:vAlign w:val="bottom"/>
          </w:tcPr>
          <w:p w14:paraId="0563B82E" w14:textId="51D2D50B"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0.09</w:t>
            </w:r>
          </w:p>
        </w:tc>
        <w:tc>
          <w:tcPr>
            <w:tcW w:w="1022" w:type="dxa"/>
            <w:vAlign w:val="bottom"/>
          </w:tcPr>
          <w:p w14:paraId="5D9D6F49" w14:textId="6751A0B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0.6</w:t>
            </w:r>
          </w:p>
        </w:tc>
        <w:tc>
          <w:tcPr>
            <w:tcW w:w="993" w:type="dxa"/>
            <w:gridSpan w:val="2"/>
            <w:vAlign w:val="bottom"/>
          </w:tcPr>
          <w:p w14:paraId="7BC334A8" w14:textId="1CCC640A"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12.48</w:t>
            </w:r>
          </w:p>
        </w:tc>
        <w:tc>
          <w:tcPr>
            <w:tcW w:w="1021" w:type="dxa"/>
            <w:vAlign w:val="bottom"/>
          </w:tcPr>
          <w:p w14:paraId="0AC81BE0" w14:textId="2D27C029"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0.27</w:t>
            </w:r>
          </w:p>
        </w:tc>
        <w:tc>
          <w:tcPr>
            <w:tcW w:w="1105" w:type="dxa"/>
            <w:vAlign w:val="bottom"/>
          </w:tcPr>
          <w:p w14:paraId="39E22A2E" w14:textId="4B2CD858"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86.3</w:t>
            </w:r>
          </w:p>
        </w:tc>
        <w:tc>
          <w:tcPr>
            <w:tcW w:w="1022" w:type="dxa"/>
            <w:vAlign w:val="bottom"/>
          </w:tcPr>
          <w:p w14:paraId="3478FD54" w14:textId="1D7BF327"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0.15</w:t>
            </w:r>
          </w:p>
        </w:tc>
        <w:tc>
          <w:tcPr>
            <w:tcW w:w="1379" w:type="dxa"/>
            <w:vAlign w:val="bottom"/>
          </w:tcPr>
          <w:p w14:paraId="209B5875" w14:textId="2BE5BFF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13.7</w:t>
            </w:r>
          </w:p>
        </w:tc>
      </w:tr>
      <w:tr w:rsidR="00080F8C" w:rsidRPr="00012F08" w14:paraId="17F6AE4B" w14:textId="77777777" w:rsidTr="006A48EC">
        <w:trPr>
          <w:trHeight w:val="223"/>
        </w:trPr>
        <w:tc>
          <w:tcPr>
            <w:tcW w:w="1106" w:type="dxa"/>
            <w:vAlign w:val="center"/>
          </w:tcPr>
          <w:p w14:paraId="675DEDA2" w14:textId="31A3682B"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Oil</w:t>
            </w:r>
          </w:p>
        </w:tc>
        <w:tc>
          <w:tcPr>
            <w:tcW w:w="993" w:type="dxa"/>
            <w:vAlign w:val="bottom"/>
          </w:tcPr>
          <w:p w14:paraId="19724FF3" w14:textId="594E44F8"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1.5</w:t>
            </w:r>
          </w:p>
        </w:tc>
        <w:tc>
          <w:tcPr>
            <w:tcW w:w="1022" w:type="dxa"/>
            <w:vAlign w:val="bottom"/>
          </w:tcPr>
          <w:p w14:paraId="5171DD91" w14:textId="0E8B99EF"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3.87</w:t>
            </w:r>
          </w:p>
        </w:tc>
        <w:tc>
          <w:tcPr>
            <w:tcW w:w="1022" w:type="dxa"/>
            <w:vAlign w:val="bottom"/>
          </w:tcPr>
          <w:p w14:paraId="184DD7AC" w14:textId="5472B307"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0.67</w:t>
            </w:r>
          </w:p>
        </w:tc>
        <w:tc>
          <w:tcPr>
            <w:tcW w:w="993" w:type="dxa"/>
            <w:gridSpan w:val="2"/>
            <w:vAlign w:val="bottom"/>
          </w:tcPr>
          <w:p w14:paraId="7D57ACB5" w14:textId="0ABDA08B"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3.59</w:t>
            </w:r>
          </w:p>
        </w:tc>
        <w:tc>
          <w:tcPr>
            <w:tcW w:w="1021" w:type="dxa"/>
            <w:vAlign w:val="bottom"/>
          </w:tcPr>
          <w:p w14:paraId="2789AA0B" w14:textId="3C30C6DE"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3.72</w:t>
            </w:r>
          </w:p>
        </w:tc>
        <w:tc>
          <w:tcPr>
            <w:tcW w:w="1105" w:type="dxa"/>
            <w:vAlign w:val="bottom"/>
          </w:tcPr>
          <w:p w14:paraId="674D3F6F" w14:textId="4E27B31D"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1.24</w:t>
            </w:r>
          </w:p>
        </w:tc>
        <w:tc>
          <w:tcPr>
            <w:tcW w:w="1022" w:type="dxa"/>
            <w:vAlign w:val="bottom"/>
          </w:tcPr>
          <w:p w14:paraId="1987848E" w14:textId="36865025" w:rsidR="00080F8C" w:rsidRPr="00012F08" w:rsidRDefault="00080F8C" w:rsidP="00080F8C">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85.41</w:t>
            </w:r>
          </w:p>
        </w:tc>
        <w:tc>
          <w:tcPr>
            <w:tcW w:w="1379" w:type="dxa"/>
            <w:vAlign w:val="bottom"/>
          </w:tcPr>
          <w:p w14:paraId="7EF4FF64" w14:textId="5138602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14.59</w:t>
            </w:r>
          </w:p>
        </w:tc>
      </w:tr>
      <w:tr w:rsidR="00080F8C" w:rsidRPr="00012F08" w14:paraId="023C810C" w14:textId="77777777" w:rsidTr="006A48EC">
        <w:trPr>
          <w:trHeight w:val="223"/>
        </w:trPr>
        <w:tc>
          <w:tcPr>
            <w:tcW w:w="1106" w:type="dxa"/>
          </w:tcPr>
          <w:p w14:paraId="6D893C99" w14:textId="77777777" w:rsidR="00080F8C" w:rsidRPr="00012F08" w:rsidRDefault="00080F8C" w:rsidP="00080F8C">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 xml:space="preserve">TO </w:t>
            </w:r>
          </w:p>
        </w:tc>
        <w:tc>
          <w:tcPr>
            <w:tcW w:w="993" w:type="dxa"/>
            <w:vAlign w:val="bottom"/>
          </w:tcPr>
          <w:p w14:paraId="44E6B31E" w14:textId="20773EA7"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8.53</w:t>
            </w:r>
          </w:p>
        </w:tc>
        <w:tc>
          <w:tcPr>
            <w:tcW w:w="1022" w:type="dxa"/>
            <w:vAlign w:val="bottom"/>
          </w:tcPr>
          <w:p w14:paraId="61725159" w14:textId="5DC7EF1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38.8</w:t>
            </w:r>
          </w:p>
        </w:tc>
        <w:tc>
          <w:tcPr>
            <w:tcW w:w="1022" w:type="dxa"/>
            <w:vAlign w:val="bottom"/>
          </w:tcPr>
          <w:p w14:paraId="79A7C029" w14:textId="5140EC8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5.39</w:t>
            </w:r>
          </w:p>
        </w:tc>
        <w:tc>
          <w:tcPr>
            <w:tcW w:w="993" w:type="dxa"/>
            <w:gridSpan w:val="2"/>
            <w:vAlign w:val="bottom"/>
          </w:tcPr>
          <w:p w14:paraId="3383D643" w14:textId="105C8DF4"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22.8</w:t>
            </w:r>
          </w:p>
        </w:tc>
        <w:tc>
          <w:tcPr>
            <w:tcW w:w="1021" w:type="dxa"/>
            <w:vAlign w:val="bottom"/>
          </w:tcPr>
          <w:p w14:paraId="63BF9B6F" w14:textId="2F145411"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37.68</w:t>
            </w:r>
          </w:p>
        </w:tc>
        <w:tc>
          <w:tcPr>
            <w:tcW w:w="1105" w:type="dxa"/>
            <w:vAlign w:val="bottom"/>
          </w:tcPr>
          <w:p w14:paraId="48BADC06" w14:textId="5CD1F7FD"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20.12</w:t>
            </w:r>
          </w:p>
        </w:tc>
        <w:tc>
          <w:tcPr>
            <w:tcW w:w="1022" w:type="dxa"/>
            <w:vAlign w:val="bottom"/>
          </w:tcPr>
          <w:p w14:paraId="43979ED5" w14:textId="32D39CA6"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9.31</w:t>
            </w:r>
          </w:p>
        </w:tc>
        <w:tc>
          <w:tcPr>
            <w:tcW w:w="1379" w:type="dxa"/>
            <w:vAlign w:val="bottom"/>
          </w:tcPr>
          <w:p w14:paraId="2AB52440" w14:textId="13EE9692" w:rsidR="00080F8C" w:rsidRPr="00012F08" w:rsidRDefault="00080F8C" w:rsidP="00080F8C">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142.63</w:t>
            </w:r>
          </w:p>
        </w:tc>
      </w:tr>
      <w:tr w:rsidR="00830152" w:rsidRPr="00012F08" w14:paraId="6F6A4F54" w14:textId="77777777" w:rsidTr="006A48EC">
        <w:trPr>
          <w:trHeight w:val="232"/>
        </w:trPr>
        <w:tc>
          <w:tcPr>
            <w:tcW w:w="1106" w:type="dxa"/>
          </w:tcPr>
          <w:p w14:paraId="662F5C02" w14:textId="77777777"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In. own</w:t>
            </w:r>
          </w:p>
        </w:tc>
        <w:tc>
          <w:tcPr>
            <w:tcW w:w="993" w:type="dxa"/>
            <w:vAlign w:val="bottom"/>
          </w:tcPr>
          <w:p w14:paraId="41E9B0D7" w14:textId="68D5651A"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101.23</w:t>
            </w:r>
          </w:p>
        </w:tc>
        <w:tc>
          <w:tcPr>
            <w:tcW w:w="1022" w:type="dxa"/>
            <w:vAlign w:val="bottom"/>
          </w:tcPr>
          <w:p w14:paraId="3D31F91A" w14:textId="274D5C86"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103.62</w:t>
            </w:r>
          </w:p>
        </w:tc>
        <w:tc>
          <w:tcPr>
            <w:tcW w:w="1022" w:type="dxa"/>
            <w:vAlign w:val="bottom"/>
          </w:tcPr>
          <w:p w14:paraId="412E41D9" w14:textId="72AD792C"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92.16</w:t>
            </w:r>
          </w:p>
        </w:tc>
        <w:tc>
          <w:tcPr>
            <w:tcW w:w="993" w:type="dxa"/>
            <w:gridSpan w:val="2"/>
            <w:vAlign w:val="bottom"/>
          </w:tcPr>
          <w:p w14:paraId="26A0EEC9" w14:textId="3AA1FAE9"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102.2</w:t>
            </w:r>
          </w:p>
        </w:tc>
        <w:tc>
          <w:tcPr>
            <w:tcW w:w="1021" w:type="dxa"/>
            <w:vAlign w:val="bottom"/>
          </w:tcPr>
          <w:p w14:paraId="06F55D67" w14:textId="363A1144"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99.66</w:t>
            </w:r>
          </w:p>
        </w:tc>
        <w:tc>
          <w:tcPr>
            <w:tcW w:w="1105" w:type="dxa"/>
            <w:vAlign w:val="bottom"/>
          </w:tcPr>
          <w:p w14:paraId="0E0CFDBB" w14:textId="7BBC8839"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106.42</w:t>
            </w:r>
          </w:p>
        </w:tc>
        <w:tc>
          <w:tcPr>
            <w:tcW w:w="1022" w:type="dxa"/>
            <w:vAlign w:val="bottom"/>
          </w:tcPr>
          <w:p w14:paraId="236EA316" w14:textId="70A64C27"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94.72</w:t>
            </w:r>
          </w:p>
        </w:tc>
        <w:tc>
          <w:tcPr>
            <w:tcW w:w="1379" w:type="dxa"/>
          </w:tcPr>
          <w:p w14:paraId="667346A7" w14:textId="3B6EB1B2" w:rsidR="00830152" w:rsidRPr="00012F08" w:rsidRDefault="00830152" w:rsidP="00830152">
            <w:pPr>
              <w:bidi w:val="0"/>
              <w:jc w:val="center"/>
              <w:rPr>
                <w:rFonts w:asciiTheme="majorBidi" w:hAnsiTheme="majorBidi" w:cstheme="majorBidi"/>
                <w:b/>
                <w:sz w:val="20"/>
                <w:szCs w:val="20"/>
              </w:rPr>
            </w:pPr>
            <w:proofErr w:type="spellStart"/>
            <w:r w:rsidRPr="00012F08">
              <w:rPr>
                <w:rFonts w:asciiTheme="majorBidi" w:hAnsiTheme="majorBidi" w:cstheme="majorBidi"/>
                <w:b/>
                <w:bCs/>
                <w:sz w:val="20"/>
                <w:szCs w:val="20"/>
              </w:rPr>
              <w:t>cTCI</w:t>
            </w:r>
            <w:proofErr w:type="spellEnd"/>
            <w:r w:rsidRPr="00012F08">
              <w:rPr>
                <w:rFonts w:asciiTheme="majorBidi" w:hAnsiTheme="majorBidi" w:cstheme="majorBidi"/>
                <w:b/>
                <w:bCs/>
                <w:sz w:val="20"/>
                <w:szCs w:val="20"/>
              </w:rPr>
              <w:t>/TCI</w:t>
            </w:r>
          </w:p>
        </w:tc>
      </w:tr>
      <w:tr w:rsidR="00830152" w:rsidRPr="00012F08" w14:paraId="3D66E34E" w14:textId="77777777" w:rsidTr="006A48EC">
        <w:trPr>
          <w:trHeight w:val="223"/>
        </w:trPr>
        <w:tc>
          <w:tcPr>
            <w:tcW w:w="1106" w:type="dxa"/>
          </w:tcPr>
          <w:p w14:paraId="5C724179" w14:textId="77777777"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NET</w:t>
            </w:r>
          </w:p>
        </w:tc>
        <w:tc>
          <w:tcPr>
            <w:tcW w:w="993" w:type="dxa"/>
            <w:vAlign w:val="bottom"/>
          </w:tcPr>
          <w:p w14:paraId="2646B7D1" w14:textId="2707F0FC" w:rsidR="00830152" w:rsidRPr="00012F08" w:rsidRDefault="00830152" w:rsidP="00830152">
            <w:pPr>
              <w:bidi w:val="0"/>
              <w:jc w:val="center"/>
              <w:rPr>
                <w:rFonts w:asciiTheme="majorBidi" w:hAnsiTheme="majorBidi" w:cstheme="majorBidi"/>
                <w:b/>
                <w:bCs/>
                <w:color w:val="0000FF"/>
                <w:sz w:val="20"/>
                <w:szCs w:val="20"/>
              </w:rPr>
            </w:pPr>
            <w:r w:rsidRPr="00012F08">
              <w:rPr>
                <w:rFonts w:asciiTheme="majorBidi" w:hAnsiTheme="majorBidi" w:cstheme="majorBidi"/>
                <w:color w:val="0000FF"/>
                <w:sz w:val="20"/>
                <w:szCs w:val="20"/>
              </w:rPr>
              <w:t>1.23</w:t>
            </w:r>
          </w:p>
        </w:tc>
        <w:tc>
          <w:tcPr>
            <w:tcW w:w="1022" w:type="dxa"/>
            <w:vAlign w:val="bottom"/>
          </w:tcPr>
          <w:p w14:paraId="0206A63F" w14:textId="10214D2F" w:rsidR="00830152" w:rsidRPr="00012F08" w:rsidRDefault="00830152" w:rsidP="00830152">
            <w:pPr>
              <w:bidi w:val="0"/>
              <w:jc w:val="center"/>
              <w:rPr>
                <w:rFonts w:asciiTheme="majorBidi" w:hAnsiTheme="majorBidi" w:cstheme="majorBidi"/>
                <w:b/>
                <w:bCs/>
                <w:color w:val="0000FF"/>
                <w:sz w:val="20"/>
                <w:szCs w:val="20"/>
              </w:rPr>
            </w:pPr>
            <w:r w:rsidRPr="00012F08">
              <w:rPr>
                <w:rFonts w:asciiTheme="majorBidi" w:hAnsiTheme="majorBidi" w:cstheme="majorBidi"/>
                <w:color w:val="0000FF"/>
                <w:sz w:val="20"/>
                <w:szCs w:val="20"/>
              </w:rPr>
              <w:t>3.62</w:t>
            </w:r>
          </w:p>
        </w:tc>
        <w:tc>
          <w:tcPr>
            <w:tcW w:w="1022" w:type="dxa"/>
            <w:vAlign w:val="bottom"/>
          </w:tcPr>
          <w:p w14:paraId="54245FC8" w14:textId="14DC12BD" w:rsidR="00830152" w:rsidRPr="00012F08" w:rsidRDefault="00830152" w:rsidP="00830152">
            <w:pPr>
              <w:bidi w:val="0"/>
              <w:jc w:val="center"/>
              <w:rPr>
                <w:rFonts w:asciiTheme="majorBidi" w:hAnsiTheme="majorBidi" w:cstheme="majorBidi"/>
                <w:b/>
                <w:bCs/>
                <w:color w:val="EE0000"/>
                <w:sz w:val="20"/>
                <w:szCs w:val="20"/>
              </w:rPr>
            </w:pPr>
            <w:r w:rsidRPr="00012F08">
              <w:rPr>
                <w:rFonts w:asciiTheme="majorBidi" w:hAnsiTheme="majorBidi" w:cstheme="majorBidi"/>
                <w:color w:val="EE0000"/>
                <w:sz w:val="20"/>
                <w:szCs w:val="20"/>
              </w:rPr>
              <w:t>-7.84</w:t>
            </w:r>
          </w:p>
        </w:tc>
        <w:tc>
          <w:tcPr>
            <w:tcW w:w="993" w:type="dxa"/>
            <w:gridSpan w:val="2"/>
            <w:vAlign w:val="bottom"/>
          </w:tcPr>
          <w:p w14:paraId="127B4B89" w14:textId="5A69C3EF" w:rsidR="00830152" w:rsidRPr="00012F08" w:rsidRDefault="00830152" w:rsidP="00830152">
            <w:pPr>
              <w:bidi w:val="0"/>
              <w:jc w:val="center"/>
              <w:rPr>
                <w:rFonts w:asciiTheme="majorBidi" w:hAnsiTheme="majorBidi" w:cstheme="majorBidi"/>
                <w:b/>
                <w:bCs/>
                <w:color w:val="0000FF"/>
                <w:sz w:val="20"/>
                <w:szCs w:val="20"/>
              </w:rPr>
            </w:pPr>
            <w:r w:rsidRPr="00012F08">
              <w:rPr>
                <w:rFonts w:asciiTheme="majorBidi" w:hAnsiTheme="majorBidi" w:cstheme="majorBidi"/>
                <w:color w:val="0000FF"/>
                <w:sz w:val="20"/>
                <w:szCs w:val="20"/>
              </w:rPr>
              <w:t>2.2</w:t>
            </w:r>
          </w:p>
        </w:tc>
        <w:tc>
          <w:tcPr>
            <w:tcW w:w="1021" w:type="dxa"/>
            <w:vAlign w:val="bottom"/>
          </w:tcPr>
          <w:p w14:paraId="1F0D8304" w14:textId="461C50E4" w:rsidR="00830152" w:rsidRPr="00012F08" w:rsidRDefault="00830152" w:rsidP="00830152">
            <w:pPr>
              <w:bidi w:val="0"/>
              <w:jc w:val="center"/>
              <w:rPr>
                <w:rFonts w:asciiTheme="majorBidi" w:hAnsiTheme="majorBidi" w:cstheme="majorBidi"/>
                <w:b/>
                <w:bCs/>
                <w:color w:val="EE0000"/>
                <w:sz w:val="20"/>
                <w:szCs w:val="20"/>
              </w:rPr>
            </w:pPr>
            <w:r w:rsidRPr="00012F08">
              <w:rPr>
                <w:rFonts w:asciiTheme="majorBidi" w:hAnsiTheme="majorBidi" w:cstheme="majorBidi"/>
                <w:color w:val="EE0000"/>
                <w:sz w:val="20"/>
                <w:szCs w:val="20"/>
              </w:rPr>
              <w:t>-0.34</w:t>
            </w:r>
          </w:p>
        </w:tc>
        <w:tc>
          <w:tcPr>
            <w:tcW w:w="1105" w:type="dxa"/>
            <w:vAlign w:val="bottom"/>
          </w:tcPr>
          <w:p w14:paraId="6467E56D" w14:textId="1BA198D4" w:rsidR="00830152" w:rsidRPr="00012F08" w:rsidRDefault="00830152" w:rsidP="00830152">
            <w:pPr>
              <w:bidi w:val="0"/>
              <w:jc w:val="center"/>
              <w:rPr>
                <w:rFonts w:asciiTheme="majorBidi" w:hAnsiTheme="majorBidi" w:cstheme="majorBidi"/>
                <w:b/>
                <w:bCs/>
                <w:color w:val="0000FF"/>
                <w:sz w:val="20"/>
                <w:szCs w:val="20"/>
              </w:rPr>
            </w:pPr>
            <w:r w:rsidRPr="00012F08">
              <w:rPr>
                <w:rFonts w:asciiTheme="majorBidi" w:hAnsiTheme="majorBidi" w:cstheme="majorBidi"/>
                <w:color w:val="0000FF"/>
                <w:sz w:val="20"/>
                <w:szCs w:val="20"/>
              </w:rPr>
              <w:t>6.42</w:t>
            </w:r>
          </w:p>
        </w:tc>
        <w:tc>
          <w:tcPr>
            <w:tcW w:w="1022" w:type="dxa"/>
            <w:vAlign w:val="bottom"/>
          </w:tcPr>
          <w:p w14:paraId="00D9708D" w14:textId="7AC2685B" w:rsidR="00830152" w:rsidRPr="00012F08" w:rsidRDefault="00830152" w:rsidP="00830152">
            <w:pPr>
              <w:bidi w:val="0"/>
              <w:jc w:val="center"/>
              <w:rPr>
                <w:rFonts w:asciiTheme="majorBidi" w:hAnsiTheme="majorBidi" w:cstheme="majorBidi"/>
                <w:b/>
                <w:bCs/>
                <w:color w:val="EE0000"/>
                <w:sz w:val="20"/>
                <w:szCs w:val="20"/>
              </w:rPr>
            </w:pPr>
            <w:r w:rsidRPr="00012F08">
              <w:rPr>
                <w:rFonts w:asciiTheme="majorBidi" w:hAnsiTheme="majorBidi" w:cstheme="majorBidi"/>
                <w:color w:val="EE0000"/>
                <w:sz w:val="20"/>
                <w:szCs w:val="20"/>
              </w:rPr>
              <w:t>-5.28</w:t>
            </w:r>
          </w:p>
        </w:tc>
        <w:tc>
          <w:tcPr>
            <w:tcW w:w="1379" w:type="dxa"/>
            <w:vAlign w:val="bottom"/>
          </w:tcPr>
          <w:p w14:paraId="30BF7E8E" w14:textId="531C6E14" w:rsidR="00830152" w:rsidRPr="00012F08" w:rsidRDefault="00830152" w:rsidP="00830152">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23.77/20.38</w:t>
            </w:r>
          </w:p>
        </w:tc>
      </w:tr>
      <w:tr w:rsidR="00830152" w:rsidRPr="00012F08" w14:paraId="7446BC7C" w14:textId="77777777" w:rsidTr="002E2ABC">
        <w:trPr>
          <w:trHeight w:val="250"/>
        </w:trPr>
        <w:tc>
          <w:tcPr>
            <w:tcW w:w="1106" w:type="dxa"/>
            <w:tcBorders>
              <w:bottom w:val="single" w:sz="4" w:space="0" w:color="auto"/>
            </w:tcBorders>
          </w:tcPr>
          <w:p w14:paraId="2F2B04E3" w14:textId="2067C9F1"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NPT</w:t>
            </w:r>
          </w:p>
        </w:tc>
        <w:tc>
          <w:tcPr>
            <w:tcW w:w="993" w:type="dxa"/>
            <w:tcBorders>
              <w:bottom w:val="single" w:sz="4" w:space="0" w:color="auto"/>
            </w:tcBorders>
            <w:vAlign w:val="bottom"/>
          </w:tcPr>
          <w:p w14:paraId="206736A8" w14:textId="68039AB1"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4</w:t>
            </w:r>
          </w:p>
        </w:tc>
        <w:tc>
          <w:tcPr>
            <w:tcW w:w="1022" w:type="dxa"/>
            <w:tcBorders>
              <w:bottom w:val="single" w:sz="4" w:space="0" w:color="auto"/>
            </w:tcBorders>
            <w:vAlign w:val="bottom"/>
          </w:tcPr>
          <w:p w14:paraId="32A89BBB" w14:textId="0DA3F888"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4</w:t>
            </w:r>
          </w:p>
        </w:tc>
        <w:tc>
          <w:tcPr>
            <w:tcW w:w="1022" w:type="dxa"/>
            <w:tcBorders>
              <w:bottom w:val="single" w:sz="4" w:space="0" w:color="auto"/>
            </w:tcBorders>
            <w:vAlign w:val="bottom"/>
          </w:tcPr>
          <w:p w14:paraId="096B2077" w14:textId="2E59453C"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w:t>
            </w:r>
          </w:p>
        </w:tc>
        <w:tc>
          <w:tcPr>
            <w:tcW w:w="993" w:type="dxa"/>
            <w:gridSpan w:val="2"/>
            <w:tcBorders>
              <w:bottom w:val="single" w:sz="4" w:space="0" w:color="auto"/>
            </w:tcBorders>
            <w:vAlign w:val="bottom"/>
          </w:tcPr>
          <w:p w14:paraId="6DC92C4D" w14:textId="76E40870"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w:t>
            </w:r>
          </w:p>
        </w:tc>
        <w:tc>
          <w:tcPr>
            <w:tcW w:w="1021" w:type="dxa"/>
            <w:tcBorders>
              <w:bottom w:val="single" w:sz="4" w:space="0" w:color="auto"/>
            </w:tcBorders>
            <w:vAlign w:val="bottom"/>
          </w:tcPr>
          <w:p w14:paraId="59B57338" w14:textId="077B5C6E"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w:t>
            </w:r>
          </w:p>
        </w:tc>
        <w:tc>
          <w:tcPr>
            <w:tcW w:w="1105" w:type="dxa"/>
            <w:tcBorders>
              <w:bottom w:val="single" w:sz="4" w:space="0" w:color="auto"/>
            </w:tcBorders>
            <w:vAlign w:val="bottom"/>
          </w:tcPr>
          <w:p w14:paraId="2111FEE4" w14:textId="5FFD4EEB"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6</w:t>
            </w:r>
          </w:p>
        </w:tc>
        <w:tc>
          <w:tcPr>
            <w:tcW w:w="1022" w:type="dxa"/>
            <w:tcBorders>
              <w:bottom w:val="single" w:sz="4" w:space="0" w:color="auto"/>
            </w:tcBorders>
            <w:vAlign w:val="bottom"/>
          </w:tcPr>
          <w:p w14:paraId="4A6C389C" w14:textId="34074C12"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w:t>
            </w:r>
          </w:p>
        </w:tc>
        <w:tc>
          <w:tcPr>
            <w:tcW w:w="1379" w:type="dxa"/>
            <w:tcBorders>
              <w:bottom w:val="single" w:sz="4" w:space="0" w:color="auto"/>
            </w:tcBorders>
          </w:tcPr>
          <w:p w14:paraId="34C492F6" w14:textId="77777777" w:rsidR="00830152" w:rsidRPr="00012F08" w:rsidRDefault="00830152" w:rsidP="00830152">
            <w:pPr>
              <w:bidi w:val="0"/>
              <w:jc w:val="center"/>
              <w:rPr>
                <w:rFonts w:asciiTheme="majorBidi" w:hAnsiTheme="majorBidi" w:cstheme="majorBidi"/>
                <w:b/>
                <w:sz w:val="20"/>
                <w:szCs w:val="20"/>
              </w:rPr>
            </w:pPr>
          </w:p>
        </w:tc>
      </w:tr>
      <w:tr w:rsidR="00E338AF" w:rsidRPr="00012F08" w14:paraId="4D6A8CBB" w14:textId="77777777" w:rsidTr="006A48EC">
        <w:trPr>
          <w:trHeight w:val="250"/>
        </w:trPr>
        <w:tc>
          <w:tcPr>
            <w:tcW w:w="1106" w:type="dxa"/>
            <w:tcBorders>
              <w:top w:val="single" w:sz="4" w:space="0" w:color="auto"/>
              <w:bottom w:val="single" w:sz="4" w:space="0" w:color="auto"/>
            </w:tcBorders>
          </w:tcPr>
          <w:p w14:paraId="58B9C812" w14:textId="77777777" w:rsidR="00E338AF" w:rsidRPr="00012F08" w:rsidRDefault="00E338AF" w:rsidP="00E338AF">
            <w:pPr>
              <w:bidi w:val="0"/>
              <w:jc w:val="center"/>
              <w:rPr>
                <w:rFonts w:asciiTheme="majorBidi" w:hAnsiTheme="majorBidi" w:cstheme="majorBidi"/>
                <w:b/>
              </w:rPr>
            </w:pPr>
          </w:p>
        </w:tc>
        <w:tc>
          <w:tcPr>
            <w:tcW w:w="8557" w:type="dxa"/>
            <w:gridSpan w:val="9"/>
            <w:tcBorders>
              <w:top w:val="single" w:sz="4" w:space="0" w:color="auto"/>
              <w:bottom w:val="single" w:sz="4" w:space="0" w:color="auto"/>
            </w:tcBorders>
          </w:tcPr>
          <w:p w14:paraId="6A3D5173" w14:textId="68E7C37A" w:rsidR="00E338AF" w:rsidRPr="00012F08" w:rsidRDefault="00E338AF" w:rsidP="00E338AF">
            <w:pPr>
              <w:bidi w:val="0"/>
              <w:jc w:val="center"/>
              <w:rPr>
                <w:rFonts w:asciiTheme="majorBidi" w:hAnsiTheme="majorBidi" w:cstheme="majorBidi"/>
                <w:b/>
              </w:rPr>
            </w:pPr>
            <w:r w:rsidRPr="00012F08">
              <w:rPr>
                <w:rFonts w:ascii="Times New Roman" w:eastAsia="Times New Roman" w:hAnsi="Times New Roman" w:cs="Times New Roman"/>
                <w:b/>
                <w:bCs/>
                <w:sz w:val="20"/>
                <w:szCs w:val="20"/>
              </w:rPr>
              <w:t xml:space="preserve">Panel C. </w:t>
            </w:r>
            <w:r w:rsidR="00FD4F96" w:rsidRPr="00012F08">
              <w:rPr>
                <w:rFonts w:asciiTheme="majorBidi" w:hAnsiTheme="majorBidi" w:cstheme="majorBidi"/>
                <w:b/>
                <w:bCs/>
                <w:sz w:val="20"/>
              </w:rPr>
              <w:t>Trade War and Post-Pandemic Tensions” (Jan 2018 – Feb 2024)</w:t>
            </w:r>
          </w:p>
        </w:tc>
      </w:tr>
      <w:tr w:rsidR="00E338AF" w:rsidRPr="00012F08" w14:paraId="5E4787A0" w14:textId="77777777" w:rsidTr="00830152">
        <w:trPr>
          <w:trHeight w:val="240"/>
        </w:trPr>
        <w:tc>
          <w:tcPr>
            <w:tcW w:w="1106" w:type="dxa"/>
            <w:tcBorders>
              <w:top w:val="single" w:sz="4" w:space="0" w:color="auto"/>
              <w:bottom w:val="single" w:sz="4" w:space="0" w:color="auto"/>
            </w:tcBorders>
          </w:tcPr>
          <w:p w14:paraId="0BA5C79D" w14:textId="77777777" w:rsidR="00E338AF" w:rsidRPr="00012F08" w:rsidRDefault="00E338AF" w:rsidP="00E338AF">
            <w:pPr>
              <w:bidi w:val="0"/>
              <w:rPr>
                <w:rFonts w:asciiTheme="majorBidi" w:hAnsiTheme="majorBidi" w:cstheme="majorBidi"/>
                <w:b/>
              </w:rPr>
            </w:pPr>
          </w:p>
        </w:tc>
        <w:tc>
          <w:tcPr>
            <w:tcW w:w="993" w:type="dxa"/>
            <w:tcBorders>
              <w:top w:val="single" w:sz="4" w:space="0" w:color="auto"/>
              <w:bottom w:val="single" w:sz="4" w:space="0" w:color="auto"/>
            </w:tcBorders>
            <w:vAlign w:val="center"/>
          </w:tcPr>
          <w:p w14:paraId="71E7982A" w14:textId="0FD40565"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UCT</w:t>
            </w:r>
          </w:p>
        </w:tc>
        <w:tc>
          <w:tcPr>
            <w:tcW w:w="1022" w:type="dxa"/>
            <w:tcBorders>
              <w:top w:val="single" w:sz="4" w:space="0" w:color="auto"/>
              <w:bottom w:val="single" w:sz="4" w:space="0" w:color="auto"/>
            </w:tcBorders>
            <w:vAlign w:val="center"/>
          </w:tcPr>
          <w:p w14:paraId="5CC5840F" w14:textId="485EB44C"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S&amp;P</w:t>
            </w:r>
          </w:p>
        </w:tc>
        <w:tc>
          <w:tcPr>
            <w:tcW w:w="1120" w:type="dxa"/>
            <w:gridSpan w:val="2"/>
            <w:tcBorders>
              <w:top w:val="single" w:sz="4" w:space="0" w:color="auto"/>
              <w:bottom w:val="single" w:sz="4" w:space="0" w:color="auto"/>
            </w:tcBorders>
            <w:vAlign w:val="center"/>
          </w:tcPr>
          <w:p w14:paraId="20681695" w14:textId="17811033"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CHINA</w:t>
            </w:r>
          </w:p>
        </w:tc>
        <w:tc>
          <w:tcPr>
            <w:tcW w:w="895" w:type="dxa"/>
            <w:tcBorders>
              <w:top w:val="single" w:sz="4" w:space="0" w:color="auto"/>
              <w:bottom w:val="single" w:sz="4" w:space="0" w:color="auto"/>
            </w:tcBorders>
            <w:vAlign w:val="center"/>
          </w:tcPr>
          <w:p w14:paraId="54371184" w14:textId="24B4B3E1"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Gold</w:t>
            </w:r>
          </w:p>
        </w:tc>
        <w:tc>
          <w:tcPr>
            <w:tcW w:w="1021" w:type="dxa"/>
            <w:tcBorders>
              <w:top w:val="single" w:sz="4" w:space="0" w:color="auto"/>
              <w:bottom w:val="single" w:sz="4" w:space="0" w:color="auto"/>
            </w:tcBorders>
            <w:vAlign w:val="center"/>
          </w:tcPr>
          <w:p w14:paraId="5FA7E86A" w14:textId="2AFA3EAE"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VIX</w:t>
            </w:r>
          </w:p>
        </w:tc>
        <w:tc>
          <w:tcPr>
            <w:tcW w:w="1105" w:type="dxa"/>
            <w:tcBorders>
              <w:top w:val="single" w:sz="4" w:space="0" w:color="auto"/>
              <w:bottom w:val="single" w:sz="4" w:space="0" w:color="auto"/>
            </w:tcBorders>
            <w:vAlign w:val="center"/>
          </w:tcPr>
          <w:p w14:paraId="478C2730" w14:textId="7FA74B22"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USD/CNY</w:t>
            </w:r>
          </w:p>
        </w:tc>
        <w:tc>
          <w:tcPr>
            <w:tcW w:w="1022" w:type="dxa"/>
            <w:tcBorders>
              <w:top w:val="single" w:sz="4" w:space="0" w:color="auto"/>
              <w:bottom w:val="single" w:sz="4" w:space="0" w:color="auto"/>
            </w:tcBorders>
            <w:vAlign w:val="center"/>
          </w:tcPr>
          <w:p w14:paraId="66C83FDE" w14:textId="50B04355" w:rsidR="00E338AF" w:rsidRPr="00012F08" w:rsidRDefault="00E338AF" w:rsidP="00E338AF">
            <w:pPr>
              <w:bidi w:val="0"/>
              <w:jc w:val="center"/>
              <w:rPr>
                <w:rFonts w:asciiTheme="majorBidi" w:hAnsiTheme="majorBidi" w:cstheme="majorBidi"/>
                <w:b/>
              </w:rPr>
            </w:pPr>
            <w:r w:rsidRPr="00012F08">
              <w:rPr>
                <w:rFonts w:asciiTheme="majorBidi" w:hAnsiTheme="majorBidi" w:cstheme="majorBidi"/>
                <w:b/>
                <w:bCs/>
                <w:sz w:val="20"/>
              </w:rPr>
              <w:t>Oil</w:t>
            </w:r>
          </w:p>
        </w:tc>
        <w:tc>
          <w:tcPr>
            <w:tcW w:w="1379" w:type="dxa"/>
            <w:tcBorders>
              <w:top w:val="single" w:sz="4" w:space="0" w:color="auto"/>
              <w:bottom w:val="single" w:sz="4" w:space="0" w:color="auto"/>
            </w:tcBorders>
            <w:vAlign w:val="center"/>
          </w:tcPr>
          <w:p w14:paraId="2B4702EA" w14:textId="77777777" w:rsidR="00E338AF" w:rsidRPr="00012F08" w:rsidRDefault="00E338AF" w:rsidP="00E338AF">
            <w:pPr>
              <w:bidi w:val="0"/>
              <w:jc w:val="center"/>
              <w:rPr>
                <w:rFonts w:asciiTheme="majorBidi" w:hAnsiTheme="majorBidi" w:cstheme="majorBidi"/>
                <w:b/>
              </w:rPr>
            </w:pPr>
            <w:r w:rsidRPr="00012F08">
              <w:rPr>
                <w:rFonts w:ascii="Times New Roman" w:eastAsia="Times New Roman" w:hAnsi="Times New Roman" w:cs="Times New Roman"/>
                <w:b/>
                <w:bCs/>
                <w:color w:val="000000"/>
                <w:sz w:val="20"/>
                <w:szCs w:val="20"/>
              </w:rPr>
              <w:t>FROM</w:t>
            </w:r>
          </w:p>
        </w:tc>
      </w:tr>
      <w:tr w:rsidR="00830152" w:rsidRPr="00012F08" w14:paraId="1742B7AD" w14:textId="77777777" w:rsidTr="00830152">
        <w:trPr>
          <w:trHeight w:val="232"/>
        </w:trPr>
        <w:tc>
          <w:tcPr>
            <w:tcW w:w="1106" w:type="dxa"/>
            <w:tcBorders>
              <w:top w:val="single" w:sz="4" w:space="0" w:color="auto"/>
            </w:tcBorders>
            <w:vAlign w:val="center"/>
          </w:tcPr>
          <w:p w14:paraId="792ADCF0" w14:textId="12A135DD"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UCT</w:t>
            </w:r>
          </w:p>
        </w:tc>
        <w:tc>
          <w:tcPr>
            <w:tcW w:w="993" w:type="dxa"/>
            <w:tcBorders>
              <w:top w:val="single" w:sz="4" w:space="0" w:color="auto"/>
            </w:tcBorders>
            <w:vAlign w:val="bottom"/>
          </w:tcPr>
          <w:p w14:paraId="7C6ADEE4" w14:textId="0C9DFAFC" w:rsidR="00830152" w:rsidRPr="00012F08" w:rsidRDefault="00830152" w:rsidP="00830152">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17.88</w:t>
            </w:r>
          </w:p>
        </w:tc>
        <w:tc>
          <w:tcPr>
            <w:tcW w:w="1022" w:type="dxa"/>
            <w:tcBorders>
              <w:top w:val="single" w:sz="4" w:space="0" w:color="auto"/>
            </w:tcBorders>
            <w:vAlign w:val="bottom"/>
          </w:tcPr>
          <w:p w14:paraId="2AF5CCD6" w14:textId="0957C07A"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9.26</w:t>
            </w:r>
          </w:p>
        </w:tc>
        <w:tc>
          <w:tcPr>
            <w:tcW w:w="1120" w:type="dxa"/>
            <w:gridSpan w:val="2"/>
            <w:tcBorders>
              <w:top w:val="single" w:sz="4" w:space="0" w:color="auto"/>
            </w:tcBorders>
            <w:vAlign w:val="bottom"/>
          </w:tcPr>
          <w:p w14:paraId="32BFF8E5" w14:textId="6D4E930A"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18.12</w:t>
            </w:r>
          </w:p>
        </w:tc>
        <w:tc>
          <w:tcPr>
            <w:tcW w:w="895" w:type="dxa"/>
            <w:tcBorders>
              <w:top w:val="single" w:sz="4" w:space="0" w:color="auto"/>
            </w:tcBorders>
            <w:vAlign w:val="bottom"/>
          </w:tcPr>
          <w:p w14:paraId="09BC4A27" w14:textId="13EEA642"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24.18</w:t>
            </w:r>
          </w:p>
        </w:tc>
        <w:tc>
          <w:tcPr>
            <w:tcW w:w="1021" w:type="dxa"/>
            <w:tcBorders>
              <w:top w:val="single" w:sz="4" w:space="0" w:color="auto"/>
            </w:tcBorders>
            <w:vAlign w:val="bottom"/>
          </w:tcPr>
          <w:p w14:paraId="17756F4C" w14:textId="7DAB64CF"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12.78</w:t>
            </w:r>
          </w:p>
        </w:tc>
        <w:tc>
          <w:tcPr>
            <w:tcW w:w="1105" w:type="dxa"/>
            <w:tcBorders>
              <w:top w:val="single" w:sz="4" w:space="0" w:color="auto"/>
            </w:tcBorders>
            <w:vAlign w:val="bottom"/>
          </w:tcPr>
          <w:p w14:paraId="0F3B61C5" w14:textId="532C56F1"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11.12</w:t>
            </w:r>
          </w:p>
        </w:tc>
        <w:tc>
          <w:tcPr>
            <w:tcW w:w="1022" w:type="dxa"/>
            <w:tcBorders>
              <w:top w:val="single" w:sz="4" w:space="0" w:color="auto"/>
            </w:tcBorders>
            <w:vAlign w:val="bottom"/>
          </w:tcPr>
          <w:p w14:paraId="74228E04" w14:textId="72CBFB48"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6.67</w:t>
            </w:r>
          </w:p>
        </w:tc>
        <w:tc>
          <w:tcPr>
            <w:tcW w:w="1379" w:type="dxa"/>
            <w:tcBorders>
              <w:top w:val="single" w:sz="4" w:space="0" w:color="auto"/>
            </w:tcBorders>
            <w:vAlign w:val="bottom"/>
          </w:tcPr>
          <w:p w14:paraId="6CAF2C48" w14:textId="7B4EA370"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82.12</w:t>
            </w:r>
          </w:p>
        </w:tc>
      </w:tr>
      <w:tr w:rsidR="00830152" w:rsidRPr="00012F08" w14:paraId="0A9AFBB1" w14:textId="77777777" w:rsidTr="00830152">
        <w:trPr>
          <w:trHeight w:val="223"/>
        </w:trPr>
        <w:tc>
          <w:tcPr>
            <w:tcW w:w="1106" w:type="dxa"/>
            <w:vAlign w:val="center"/>
          </w:tcPr>
          <w:p w14:paraId="758D2283" w14:textId="7A967155"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S&amp;P</w:t>
            </w:r>
          </w:p>
        </w:tc>
        <w:tc>
          <w:tcPr>
            <w:tcW w:w="993" w:type="dxa"/>
            <w:vAlign w:val="bottom"/>
          </w:tcPr>
          <w:p w14:paraId="42720469" w14:textId="5B24D267"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9.91</w:t>
            </w:r>
          </w:p>
        </w:tc>
        <w:tc>
          <w:tcPr>
            <w:tcW w:w="1022" w:type="dxa"/>
            <w:vAlign w:val="bottom"/>
          </w:tcPr>
          <w:p w14:paraId="2B1FFDB2" w14:textId="13BBC170" w:rsidR="00830152" w:rsidRPr="00012F08" w:rsidRDefault="00830152" w:rsidP="00830152">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21.4</w:t>
            </w:r>
          </w:p>
        </w:tc>
        <w:tc>
          <w:tcPr>
            <w:tcW w:w="1120" w:type="dxa"/>
            <w:gridSpan w:val="2"/>
            <w:vAlign w:val="bottom"/>
          </w:tcPr>
          <w:p w14:paraId="05546F6F" w14:textId="6FE21462"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19.73</w:t>
            </w:r>
          </w:p>
        </w:tc>
        <w:tc>
          <w:tcPr>
            <w:tcW w:w="895" w:type="dxa"/>
            <w:vAlign w:val="bottom"/>
          </w:tcPr>
          <w:p w14:paraId="134399AB" w14:textId="3DA515B8"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11.39</w:t>
            </w:r>
          </w:p>
        </w:tc>
        <w:tc>
          <w:tcPr>
            <w:tcW w:w="1021" w:type="dxa"/>
            <w:vAlign w:val="bottom"/>
          </w:tcPr>
          <w:p w14:paraId="236AEC45" w14:textId="697E7572"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22.07</w:t>
            </w:r>
          </w:p>
        </w:tc>
        <w:tc>
          <w:tcPr>
            <w:tcW w:w="1105" w:type="dxa"/>
            <w:vAlign w:val="bottom"/>
          </w:tcPr>
          <w:p w14:paraId="57F6E0EA" w14:textId="63B09883"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7.04</w:t>
            </w:r>
          </w:p>
        </w:tc>
        <w:tc>
          <w:tcPr>
            <w:tcW w:w="1022" w:type="dxa"/>
            <w:vAlign w:val="bottom"/>
          </w:tcPr>
          <w:p w14:paraId="351F66A5" w14:textId="59AEAABB"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8.45</w:t>
            </w:r>
          </w:p>
        </w:tc>
        <w:tc>
          <w:tcPr>
            <w:tcW w:w="1379" w:type="dxa"/>
            <w:vAlign w:val="bottom"/>
          </w:tcPr>
          <w:p w14:paraId="10B1A887" w14:textId="3ED12E72"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78.6</w:t>
            </w:r>
          </w:p>
        </w:tc>
      </w:tr>
      <w:tr w:rsidR="00830152" w:rsidRPr="00012F08" w14:paraId="7E8E5AD6" w14:textId="77777777" w:rsidTr="00830152">
        <w:trPr>
          <w:trHeight w:val="223"/>
        </w:trPr>
        <w:tc>
          <w:tcPr>
            <w:tcW w:w="1106" w:type="dxa"/>
            <w:vAlign w:val="center"/>
          </w:tcPr>
          <w:p w14:paraId="76B67510" w14:textId="64B028A2"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CHINA</w:t>
            </w:r>
          </w:p>
        </w:tc>
        <w:tc>
          <w:tcPr>
            <w:tcW w:w="993" w:type="dxa"/>
            <w:vAlign w:val="bottom"/>
          </w:tcPr>
          <w:p w14:paraId="50B5D6C1" w14:textId="79028786"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19.3</w:t>
            </w:r>
          </w:p>
        </w:tc>
        <w:tc>
          <w:tcPr>
            <w:tcW w:w="1022" w:type="dxa"/>
            <w:vAlign w:val="bottom"/>
          </w:tcPr>
          <w:p w14:paraId="6AFC9256" w14:textId="78DD7254"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11.66</w:t>
            </w:r>
          </w:p>
        </w:tc>
        <w:tc>
          <w:tcPr>
            <w:tcW w:w="1120" w:type="dxa"/>
            <w:gridSpan w:val="2"/>
            <w:vAlign w:val="bottom"/>
          </w:tcPr>
          <w:p w14:paraId="7686E07B" w14:textId="2F44F5AA" w:rsidR="00830152" w:rsidRPr="00012F08" w:rsidRDefault="00830152" w:rsidP="00830152">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23.66</w:t>
            </w:r>
          </w:p>
        </w:tc>
        <w:tc>
          <w:tcPr>
            <w:tcW w:w="895" w:type="dxa"/>
            <w:vAlign w:val="bottom"/>
          </w:tcPr>
          <w:p w14:paraId="2F5EB69C" w14:textId="75AA0E51"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13.09</w:t>
            </w:r>
          </w:p>
        </w:tc>
        <w:tc>
          <w:tcPr>
            <w:tcW w:w="1021" w:type="dxa"/>
            <w:vAlign w:val="bottom"/>
          </w:tcPr>
          <w:p w14:paraId="5F90561D" w14:textId="0DF21712"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w:t>
            </w:r>
          </w:p>
        </w:tc>
        <w:tc>
          <w:tcPr>
            <w:tcW w:w="1105" w:type="dxa"/>
            <w:vAlign w:val="bottom"/>
          </w:tcPr>
          <w:p w14:paraId="3F446F67" w14:textId="11009ACF"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11.12</w:t>
            </w:r>
          </w:p>
        </w:tc>
        <w:tc>
          <w:tcPr>
            <w:tcW w:w="1022" w:type="dxa"/>
            <w:vAlign w:val="bottom"/>
          </w:tcPr>
          <w:p w14:paraId="3F72863A" w14:textId="28136591"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8.18</w:t>
            </w:r>
          </w:p>
        </w:tc>
        <w:tc>
          <w:tcPr>
            <w:tcW w:w="1379" w:type="dxa"/>
            <w:vAlign w:val="bottom"/>
          </w:tcPr>
          <w:p w14:paraId="279447AC" w14:textId="37B98112"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76.34</w:t>
            </w:r>
          </w:p>
        </w:tc>
      </w:tr>
      <w:tr w:rsidR="00830152" w:rsidRPr="00012F08" w14:paraId="75612137" w14:textId="77777777" w:rsidTr="00830152">
        <w:trPr>
          <w:trHeight w:val="232"/>
        </w:trPr>
        <w:tc>
          <w:tcPr>
            <w:tcW w:w="1106" w:type="dxa"/>
            <w:vAlign w:val="center"/>
          </w:tcPr>
          <w:p w14:paraId="363FBD47" w14:textId="731AE7D8"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Gold</w:t>
            </w:r>
          </w:p>
        </w:tc>
        <w:tc>
          <w:tcPr>
            <w:tcW w:w="993" w:type="dxa"/>
            <w:vAlign w:val="bottom"/>
          </w:tcPr>
          <w:p w14:paraId="464D183F" w14:textId="33A5D1D1"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8.17</w:t>
            </w:r>
          </w:p>
        </w:tc>
        <w:tc>
          <w:tcPr>
            <w:tcW w:w="1022" w:type="dxa"/>
            <w:vAlign w:val="bottom"/>
          </w:tcPr>
          <w:p w14:paraId="16A7FF5B" w14:textId="6BF13898"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5.23</w:t>
            </w:r>
          </w:p>
        </w:tc>
        <w:tc>
          <w:tcPr>
            <w:tcW w:w="1120" w:type="dxa"/>
            <w:gridSpan w:val="2"/>
            <w:vAlign w:val="bottom"/>
          </w:tcPr>
          <w:p w14:paraId="45FC1110" w14:textId="63411C8D"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14.87</w:t>
            </w:r>
          </w:p>
        </w:tc>
        <w:tc>
          <w:tcPr>
            <w:tcW w:w="895" w:type="dxa"/>
            <w:vAlign w:val="bottom"/>
          </w:tcPr>
          <w:p w14:paraId="722765D5" w14:textId="68CA1C13" w:rsidR="00830152" w:rsidRPr="00012F08" w:rsidRDefault="00830152" w:rsidP="00830152">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38.77</w:t>
            </w:r>
          </w:p>
        </w:tc>
        <w:tc>
          <w:tcPr>
            <w:tcW w:w="1021" w:type="dxa"/>
            <w:vAlign w:val="bottom"/>
          </w:tcPr>
          <w:p w14:paraId="6C7A801B" w14:textId="26208B23"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6.11</w:t>
            </w:r>
          </w:p>
        </w:tc>
        <w:tc>
          <w:tcPr>
            <w:tcW w:w="1105" w:type="dxa"/>
            <w:vAlign w:val="bottom"/>
          </w:tcPr>
          <w:p w14:paraId="32918305" w14:textId="47D07E08"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19.17</w:t>
            </w:r>
          </w:p>
        </w:tc>
        <w:tc>
          <w:tcPr>
            <w:tcW w:w="1022" w:type="dxa"/>
            <w:vAlign w:val="bottom"/>
          </w:tcPr>
          <w:p w14:paraId="135C305C" w14:textId="54F5EFE1"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7.67</w:t>
            </w:r>
          </w:p>
        </w:tc>
        <w:tc>
          <w:tcPr>
            <w:tcW w:w="1379" w:type="dxa"/>
            <w:vAlign w:val="bottom"/>
          </w:tcPr>
          <w:p w14:paraId="52B7EF38" w14:textId="7DC020AF"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61.23</w:t>
            </w:r>
          </w:p>
        </w:tc>
      </w:tr>
      <w:tr w:rsidR="00830152" w:rsidRPr="00012F08" w14:paraId="39E3ABA2" w14:textId="77777777" w:rsidTr="00830152">
        <w:trPr>
          <w:trHeight w:val="223"/>
        </w:trPr>
        <w:tc>
          <w:tcPr>
            <w:tcW w:w="1106" w:type="dxa"/>
            <w:vAlign w:val="center"/>
          </w:tcPr>
          <w:p w14:paraId="2A442E12" w14:textId="489CC722"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VIX</w:t>
            </w:r>
          </w:p>
        </w:tc>
        <w:tc>
          <w:tcPr>
            <w:tcW w:w="993" w:type="dxa"/>
            <w:vAlign w:val="bottom"/>
          </w:tcPr>
          <w:p w14:paraId="14A84262" w14:textId="3AFB1FD7"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10.99</w:t>
            </w:r>
          </w:p>
        </w:tc>
        <w:tc>
          <w:tcPr>
            <w:tcW w:w="1022" w:type="dxa"/>
            <w:vAlign w:val="bottom"/>
          </w:tcPr>
          <w:p w14:paraId="160754EA" w14:textId="7DAC618B"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12.84</w:t>
            </w:r>
          </w:p>
        </w:tc>
        <w:tc>
          <w:tcPr>
            <w:tcW w:w="1120" w:type="dxa"/>
            <w:gridSpan w:val="2"/>
            <w:vAlign w:val="bottom"/>
          </w:tcPr>
          <w:p w14:paraId="32514809" w14:textId="4BEA25AC"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20.58</w:t>
            </w:r>
          </w:p>
        </w:tc>
        <w:tc>
          <w:tcPr>
            <w:tcW w:w="895" w:type="dxa"/>
            <w:vAlign w:val="bottom"/>
          </w:tcPr>
          <w:p w14:paraId="73454F7E" w14:textId="47068EF4"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18.76</w:t>
            </w:r>
          </w:p>
        </w:tc>
        <w:tc>
          <w:tcPr>
            <w:tcW w:w="1021" w:type="dxa"/>
            <w:vAlign w:val="bottom"/>
          </w:tcPr>
          <w:p w14:paraId="450786E4" w14:textId="5F59F9E3" w:rsidR="00830152" w:rsidRPr="00012F08" w:rsidRDefault="00830152" w:rsidP="00830152">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17.35</w:t>
            </w:r>
          </w:p>
        </w:tc>
        <w:tc>
          <w:tcPr>
            <w:tcW w:w="1105" w:type="dxa"/>
            <w:vAlign w:val="bottom"/>
          </w:tcPr>
          <w:p w14:paraId="4CCEA4E1" w14:textId="05190025"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12.59</w:t>
            </w:r>
          </w:p>
        </w:tc>
        <w:tc>
          <w:tcPr>
            <w:tcW w:w="1022" w:type="dxa"/>
            <w:vAlign w:val="bottom"/>
          </w:tcPr>
          <w:p w14:paraId="2E983397" w14:textId="1BE4CC33"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6.89</w:t>
            </w:r>
          </w:p>
        </w:tc>
        <w:tc>
          <w:tcPr>
            <w:tcW w:w="1379" w:type="dxa"/>
            <w:vAlign w:val="bottom"/>
          </w:tcPr>
          <w:p w14:paraId="1FFFF841" w14:textId="7F58F2A6"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82.65</w:t>
            </w:r>
          </w:p>
        </w:tc>
      </w:tr>
      <w:tr w:rsidR="00830152" w:rsidRPr="00012F08" w14:paraId="1A55FBF3" w14:textId="77777777" w:rsidTr="00830152">
        <w:trPr>
          <w:trHeight w:val="223"/>
        </w:trPr>
        <w:tc>
          <w:tcPr>
            <w:tcW w:w="1106" w:type="dxa"/>
            <w:vAlign w:val="center"/>
          </w:tcPr>
          <w:p w14:paraId="6E3C2D68" w14:textId="5562F427"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USD/CNY</w:t>
            </w:r>
          </w:p>
        </w:tc>
        <w:tc>
          <w:tcPr>
            <w:tcW w:w="993" w:type="dxa"/>
            <w:vAlign w:val="bottom"/>
          </w:tcPr>
          <w:p w14:paraId="15A6DA88" w14:textId="4A698894"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18.41</w:t>
            </w:r>
          </w:p>
        </w:tc>
        <w:tc>
          <w:tcPr>
            <w:tcW w:w="1022" w:type="dxa"/>
            <w:vAlign w:val="bottom"/>
          </w:tcPr>
          <w:p w14:paraId="3D1A4EAD" w14:textId="7AB221E1"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5</w:t>
            </w:r>
          </w:p>
        </w:tc>
        <w:tc>
          <w:tcPr>
            <w:tcW w:w="1120" w:type="dxa"/>
            <w:gridSpan w:val="2"/>
            <w:vAlign w:val="bottom"/>
          </w:tcPr>
          <w:p w14:paraId="35491053" w14:textId="6080FF66"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26.82</w:t>
            </w:r>
          </w:p>
        </w:tc>
        <w:tc>
          <w:tcPr>
            <w:tcW w:w="895" w:type="dxa"/>
            <w:vAlign w:val="bottom"/>
          </w:tcPr>
          <w:p w14:paraId="4F0412F3" w14:textId="65F5BD3B"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15.88</w:t>
            </w:r>
          </w:p>
        </w:tc>
        <w:tc>
          <w:tcPr>
            <w:tcW w:w="1021" w:type="dxa"/>
            <w:vAlign w:val="bottom"/>
          </w:tcPr>
          <w:p w14:paraId="6A57C31A" w14:textId="28CFD48F"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5.41</w:t>
            </w:r>
          </w:p>
        </w:tc>
        <w:tc>
          <w:tcPr>
            <w:tcW w:w="1105" w:type="dxa"/>
            <w:vAlign w:val="bottom"/>
          </w:tcPr>
          <w:p w14:paraId="43E49995" w14:textId="315F12A3" w:rsidR="00830152" w:rsidRPr="00012F08" w:rsidRDefault="00830152" w:rsidP="00830152">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17.8</w:t>
            </w:r>
          </w:p>
        </w:tc>
        <w:tc>
          <w:tcPr>
            <w:tcW w:w="1022" w:type="dxa"/>
            <w:vAlign w:val="bottom"/>
          </w:tcPr>
          <w:p w14:paraId="33E4BA81" w14:textId="608349BB"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7.18</w:t>
            </w:r>
          </w:p>
        </w:tc>
        <w:tc>
          <w:tcPr>
            <w:tcW w:w="1379" w:type="dxa"/>
            <w:vAlign w:val="bottom"/>
          </w:tcPr>
          <w:p w14:paraId="68D3A461" w14:textId="3A60B4B1"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82.2</w:t>
            </w:r>
          </w:p>
        </w:tc>
      </w:tr>
      <w:tr w:rsidR="00830152" w:rsidRPr="00012F08" w14:paraId="5E431719" w14:textId="77777777" w:rsidTr="00830152">
        <w:trPr>
          <w:trHeight w:val="232"/>
        </w:trPr>
        <w:tc>
          <w:tcPr>
            <w:tcW w:w="1106" w:type="dxa"/>
            <w:vAlign w:val="center"/>
          </w:tcPr>
          <w:p w14:paraId="6FAF6387" w14:textId="5E4FA2EB"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Oil</w:t>
            </w:r>
          </w:p>
        </w:tc>
        <w:tc>
          <w:tcPr>
            <w:tcW w:w="993" w:type="dxa"/>
            <w:vAlign w:val="bottom"/>
          </w:tcPr>
          <w:p w14:paraId="368A3279" w14:textId="53F372F8"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12.29</w:t>
            </w:r>
          </w:p>
        </w:tc>
        <w:tc>
          <w:tcPr>
            <w:tcW w:w="1022" w:type="dxa"/>
            <w:vAlign w:val="bottom"/>
          </w:tcPr>
          <w:p w14:paraId="6EBF0C51" w14:textId="1E63C13F"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11.88</w:t>
            </w:r>
          </w:p>
        </w:tc>
        <w:tc>
          <w:tcPr>
            <w:tcW w:w="1120" w:type="dxa"/>
            <w:gridSpan w:val="2"/>
            <w:vAlign w:val="bottom"/>
          </w:tcPr>
          <w:p w14:paraId="324880C1" w14:textId="3D58B26E"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7.24</w:t>
            </w:r>
          </w:p>
        </w:tc>
        <w:tc>
          <w:tcPr>
            <w:tcW w:w="895" w:type="dxa"/>
            <w:vAlign w:val="bottom"/>
          </w:tcPr>
          <w:p w14:paraId="2280335F" w14:textId="437F2D25"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14.08</w:t>
            </w:r>
          </w:p>
        </w:tc>
        <w:tc>
          <w:tcPr>
            <w:tcW w:w="1021" w:type="dxa"/>
            <w:vAlign w:val="bottom"/>
          </w:tcPr>
          <w:p w14:paraId="2B3F9363" w14:textId="21C6629B"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22.13</w:t>
            </w:r>
          </w:p>
        </w:tc>
        <w:tc>
          <w:tcPr>
            <w:tcW w:w="1105" w:type="dxa"/>
            <w:vAlign w:val="bottom"/>
          </w:tcPr>
          <w:p w14:paraId="41060891" w14:textId="69265D4A"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13.38</w:t>
            </w:r>
          </w:p>
        </w:tc>
        <w:tc>
          <w:tcPr>
            <w:tcW w:w="1022" w:type="dxa"/>
            <w:vAlign w:val="bottom"/>
          </w:tcPr>
          <w:p w14:paraId="1F838715" w14:textId="48817A81" w:rsidR="00830152" w:rsidRPr="00012F08" w:rsidRDefault="00830152" w:rsidP="00830152">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18.36</w:t>
            </w:r>
          </w:p>
        </w:tc>
        <w:tc>
          <w:tcPr>
            <w:tcW w:w="1379" w:type="dxa"/>
            <w:vAlign w:val="bottom"/>
          </w:tcPr>
          <w:p w14:paraId="13E1F365" w14:textId="4716CEAF"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81.64</w:t>
            </w:r>
          </w:p>
        </w:tc>
      </w:tr>
      <w:tr w:rsidR="00830152" w:rsidRPr="00012F08" w14:paraId="6222E90D" w14:textId="77777777" w:rsidTr="00830152">
        <w:trPr>
          <w:trHeight w:val="223"/>
        </w:trPr>
        <w:tc>
          <w:tcPr>
            <w:tcW w:w="1106" w:type="dxa"/>
          </w:tcPr>
          <w:p w14:paraId="4ED9F6C5" w14:textId="77777777"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 xml:space="preserve">TO </w:t>
            </w:r>
          </w:p>
        </w:tc>
        <w:tc>
          <w:tcPr>
            <w:tcW w:w="993" w:type="dxa"/>
            <w:vAlign w:val="bottom"/>
          </w:tcPr>
          <w:p w14:paraId="1ADCB17F" w14:textId="1E189971"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79.08</w:t>
            </w:r>
          </w:p>
        </w:tc>
        <w:tc>
          <w:tcPr>
            <w:tcW w:w="1022" w:type="dxa"/>
            <w:vAlign w:val="bottom"/>
          </w:tcPr>
          <w:p w14:paraId="1F920505" w14:textId="4D60FA44"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59.38</w:t>
            </w:r>
          </w:p>
        </w:tc>
        <w:tc>
          <w:tcPr>
            <w:tcW w:w="1120" w:type="dxa"/>
            <w:gridSpan w:val="2"/>
            <w:vAlign w:val="bottom"/>
          </w:tcPr>
          <w:p w14:paraId="3FD746EA" w14:textId="3CA45E53"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107.94</w:t>
            </w:r>
          </w:p>
        </w:tc>
        <w:tc>
          <w:tcPr>
            <w:tcW w:w="895" w:type="dxa"/>
            <w:vAlign w:val="bottom"/>
          </w:tcPr>
          <w:p w14:paraId="40C85E64" w14:textId="4D2AAF41"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97.38</w:t>
            </w:r>
          </w:p>
        </w:tc>
        <w:tc>
          <w:tcPr>
            <w:tcW w:w="1021" w:type="dxa"/>
            <w:vAlign w:val="bottom"/>
          </w:tcPr>
          <w:p w14:paraId="61DA04EF" w14:textId="78F4A47B"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81.55</w:t>
            </w:r>
          </w:p>
        </w:tc>
        <w:tc>
          <w:tcPr>
            <w:tcW w:w="1105" w:type="dxa"/>
            <w:vAlign w:val="bottom"/>
          </w:tcPr>
          <w:p w14:paraId="03FC202A" w14:textId="0EC0AB1D"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74.42</w:t>
            </w:r>
          </w:p>
        </w:tc>
        <w:tc>
          <w:tcPr>
            <w:tcW w:w="1022" w:type="dxa"/>
            <w:vAlign w:val="bottom"/>
          </w:tcPr>
          <w:p w14:paraId="7A6AAED7" w14:textId="637FE1BF"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45.04</w:t>
            </w:r>
          </w:p>
        </w:tc>
        <w:tc>
          <w:tcPr>
            <w:tcW w:w="1379" w:type="dxa"/>
            <w:vAlign w:val="bottom"/>
          </w:tcPr>
          <w:p w14:paraId="69C26829" w14:textId="0CDCCFFD"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544.78</w:t>
            </w:r>
          </w:p>
        </w:tc>
      </w:tr>
      <w:tr w:rsidR="00830152" w:rsidRPr="00012F08" w14:paraId="078588DE" w14:textId="77777777" w:rsidTr="00830152">
        <w:trPr>
          <w:trHeight w:val="223"/>
        </w:trPr>
        <w:tc>
          <w:tcPr>
            <w:tcW w:w="1106" w:type="dxa"/>
          </w:tcPr>
          <w:p w14:paraId="705370BC" w14:textId="77777777"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In. own</w:t>
            </w:r>
          </w:p>
        </w:tc>
        <w:tc>
          <w:tcPr>
            <w:tcW w:w="993" w:type="dxa"/>
            <w:vAlign w:val="bottom"/>
          </w:tcPr>
          <w:p w14:paraId="4C18D468" w14:textId="206F6044"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96.95</w:t>
            </w:r>
          </w:p>
        </w:tc>
        <w:tc>
          <w:tcPr>
            <w:tcW w:w="1022" w:type="dxa"/>
            <w:vAlign w:val="bottom"/>
          </w:tcPr>
          <w:p w14:paraId="6F997A36" w14:textId="2BB6D18E"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80.78</w:t>
            </w:r>
          </w:p>
        </w:tc>
        <w:tc>
          <w:tcPr>
            <w:tcW w:w="1120" w:type="dxa"/>
            <w:gridSpan w:val="2"/>
            <w:vAlign w:val="bottom"/>
          </w:tcPr>
          <w:p w14:paraId="6DF2610D" w14:textId="3D9CE72C"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131.61</w:t>
            </w:r>
          </w:p>
        </w:tc>
        <w:tc>
          <w:tcPr>
            <w:tcW w:w="895" w:type="dxa"/>
            <w:vAlign w:val="bottom"/>
          </w:tcPr>
          <w:p w14:paraId="06821E3F" w14:textId="628E2A08"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136.14</w:t>
            </w:r>
          </w:p>
        </w:tc>
        <w:tc>
          <w:tcPr>
            <w:tcW w:w="1021" w:type="dxa"/>
            <w:vAlign w:val="bottom"/>
          </w:tcPr>
          <w:p w14:paraId="48CF075D" w14:textId="33D4AE3B"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98.9</w:t>
            </w:r>
          </w:p>
        </w:tc>
        <w:tc>
          <w:tcPr>
            <w:tcW w:w="1105" w:type="dxa"/>
            <w:vAlign w:val="bottom"/>
          </w:tcPr>
          <w:p w14:paraId="495A68A1" w14:textId="2F083B44"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92.22</w:t>
            </w:r>
          </w:p>
        </w:tc>
        <w:tc>
          <w:tcPr>
            <w:tcW w:w="1022" w:type="dxa"/>
            <w:vAlign w:val="bottom"/>
          </w:tcPr>
          <w:p w14:paraId="2C6CCD45" w14:textId="62B155CC"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63.4</w:t>
            </w:r>
          </w:p>
        </w:tc>
        <w:tc>
          <w:tcPr>
            <w:tcW w:w="1379" w:type="dxa"/>
            <w:vAlign w:val="bottom"/>
          </w:tcPr>
          <w:p w14:paraId="650B8F4E" w14:textId="53A32C2C" w:rsidR="00830152" w:rsidRPr="00012F08" w:rsidRDefault="00830152" w:rsidP="00830152">
            <w:pPr>
              <w:bidi w:val="0"/>
              <w:jc w:val="center"/>
              <w:rPr>
                <w:rFonts w:asciiTheme="majorBidi" w:hAnsiTheme="majorBidi" w:cstheme="majorBidi"/>
                <w:b/>
                <w:sz w:val="20"/>
                <w:szCs w:val="20"/>
              </w:rPr>
            </w:pPr>
            <w:proofErr w:type="spellStart"/>
            <w:r w:rsidRPr="00012F08">
              <w:rPr>
                <w:rFonts w:asciiTheme="majorBidi" w:hAnsiTheme="majorBidi" w:cstheme="majorBidi"/>
                <w:b/>
                <w:bCs/>
                <w:sz w:val="20"/>
                <w:szCs w:val="20"/>
              </w:rPr>
              <w:t>cTCI</w:t>
            </w:r>
            <w:proofErr w:type="spellEnd"/>
            <w:r w:rsidRPr="00012F08">
              <w:rPr>
                <w:rFonts w:asciiTheme="majorBidi" w:hAnsiTheme="majorBidi" w:cstheme="majorBidi"/>
                <w:b/>
                <w:bCs/>
                <w:sz w:val="20"/>
                <w:szCs w:val="20"/>
              </w:rPr>
              <w:t>/TCI</w:t>
            </w:r>
          </w:p>
        </w:tc>
      </w:tr>
      <w:tr w:rsidR="00830152" w:rsidRPr="00012F08" w14:paraId="19C59545" w14:textId="77777777" w:rsidTr="00830152">
        <w:trPr>
          <w:trHeight w:val="232"/>
        </w:trPr>
        <w:tc>
          <w:tcPr>
            <w:tcW w:w="1106" w:type="dxa"/>
          </w:tcPr>
          <w:p w14:paraId="28E064D9" w14:textId="77777777"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NET</w:t>
            </w:r>
          </w:p>
        </w:tc>
        <w:tc>
          <w:tcPr>
            <w:tcW w:w="993" w:type="dxa"/>
            <w:vAlign w:val="bottom"/>
          </w:tcPr>
          <w:p w14:paraId="43899526" w14:textId="453C79BE" w:rsidR="00830152" w:rsidRPr="00012F08" w:rsidRDefault="00830152" w:rsidP="00830152">
            <w:pPr>
              <w:bidi w:val="0"/>
              <w:jc w:val="center"/>
              <w:rPr>
                <w:rFonts w:asciiTheme="majorBidi" w:hAnsiTheme="majorBidi" w:cstheme="majorBidi"/>
                <w:b/>
                <w:bCs/>
                <w:color w:val="EE0000"/>
                <w:sz w:val="20"/>
                <w:szCs w:val="20"/>
              </w:rPr>
            </w:pPr>
            <w:r w:rsidRPr="00012F08">
              <w:rPr>
                <w:rFonts w:asciiTheme="majorBidi" w:hAnsiTheme="majorBidi" w:cstheme="majorBidi"/>
                <w:color w:val="EE0000"/>
                <w:sz w:val="20"/>
                <w:szCs w:val="20"/>
              </w:rPr>
              <w:t>-3.05</w:t>
            </w:r>
          </w:p>
        </w:tc>
        <w:tc>
          <w:tcPr>
            <w:tcW w:w="1022" w:type="dxa"/>
            <w:vAlign w:val="bottom"/>
          </w:tcPr>
          <w:p w14:paraId="102BB51D" w14:textId="660145E0" w:rsidR="00830152" w:rsidRPr="00012F08" w:rsidRDefault="00830152" w:rsidP="00830152">
            <w:pPr>
              <w:bidi w:val="0"/>
              <w:jc w:val="center"/>
              <w:rPr>
                <w:rFonts w:asciiTheme="majorBidi" w:hAnsiTheme="majorBidi" w:cstheme="majorBidi"/>
                <w:b/>
                <w:bCs/>
                <w:color w:val="EE0000"/>
                <w:sz w:val="20"/>
                <w:szCs w:val="20"/>
              </w:rPr>
            </w:pPr>
            <w:r w:rsidRPr="00012F08">
              <w:rPr>
                <w:rFonts w:asciiTheme="majorBidi" w:hAnsiTheme="majorBidi" w:cstheme="majorBidi"/>
                <w:color w:val="EE0000"/>
                <w:sz w:val="20"/>
                <w:szCs w:val="20"/>
              </w:rPr>
              <w:t>-19.22</w:t>
            </w:r>
          </w:p>
        </w:tc>
        <w:tc>
          <w:tcPr>
            <w:tcW w:w="1120" w:type="dxa"/>
            <w:gridSpan w:val="2"/>
            <w:vAlign w:val="bottom"/>
          </w:tcPr>
          <w:p w14:paraId="77CFD8FF" w14:textId="63845BF7" w:rsidR="00830152" w:rsidRPr="00012F08" w:rsidRDefault="00830152" w:rsidP="00830152">
            <w:pPr>
              <w:bidi w:val="0"/>
              <w:jc w:val="center"/>
              <w:rPr>
                <w:rFonts w:asciiTheme="majorBidi" w:hAnsiTheme="majorBidi" w:cstheme="majorBidi"/>
                <w:b/>
                <w:bCs/>
                <w:color w:val="0000FF"/>
                <w:sz w:val="20"/>
                <w:szCs w:val="20"/>
              </w:rPr>
            </w:pPr>
            <w:r w:rsidRPr="00012F08">
              <w:rPr>
                <w:rFonts w:asciiTheme="majorBidi" w:hAnsiTheme="majorBidi" w:cstheme="majorBidi"/>
                <w:color w:val="0000FF"/>
                <w:sz w:val="20"/>
                <w:szCs w:val="20"/>
              </w:rPr>
              <w:t>31.61</w:t>
            </w:r>
          </w:p>
        </w:tc>
        <w:tc>
          <w:tcPr>
            <w:tcW w:w="895" w:type="dxa"/>
            <w:vAlign w:val="bottom"/>
          </w:tcPr>
          <w:p w14:paraId="7BC4A911" w14:textId="2602625B" w:rsidR="00830152" w:rsidRPr="00012F08" w:rsidRDefault="00830152" w:rsidP="00830152">
            <w:pPr>
              <w:bidi w:val="0"/>
              <w:jc w:val="center"/>
              <w:rPr>
                <w:rFonts w:asciiTheme="majorBidi" w:hAnsiTheme="majorBidi" w:cstheme="majorBidi"/>
                <w:b/>
                <w:bCs/>
                <w:color w:val="0000FF"/>
                <w:sz w:val="20"/>
                <w:szCs w:val="20"/>
              </w:rPr>
            </w:pPr>
            <w:r w:rsidRPr="00012F08">
              <w:rPr>
                <w:rFonts w:asciiTheme="majorBidi" w:hAnsiTheme="majorBidi" w:cstheme="majorBidi"/>
                <w:color w:val="0000FF"/>
                <w:sz w:val="20"/>
                <w:szCs w:val="20"/>
              </w:rPr>
              <w:t>36.14</w:t>
            </w:r>
          </w:p>
        </w:tc>
        <w:tc>
          <w:tcPr>
            <w:tcW w:w="1021" w:type="dxa"/>
            <w:vAlign w:val="bottom"/>
          </w:tcPr>
          <w:p w14:paraId="4296E9E3" w14:textId="15816001" w:rsidR="00830152" w:rsidRPr="00012F08" w:rsidRDefault="00830152" w:rsidP="00830152">
            <w:pPr>
              <w:bidi w:val="0"/>
              <w:jc w:val="center"/>
              <w:rPr>
                <w:rFonts w:asciiTheme="majorBidi" w:hAnsiTheme="majorBidi" w:cstheme="majorBidi"/>
                <w:b/>
                <w:bCs/>
                <w:color w:val="EE0000"/>
                <w:sz w:val="20"/>
                <w:szCs w:val="20"/>
              </w:rPr>
            </w:pPr>
            <w:r w:rsidRPr="00012F08">
              <w:rPr>
                <w:rFonts w:asciiTheme="majorBidi" w:hAnsiTheme="majorBidi" w:cstheme="majorBidi"/>
                <w:color w:val="EE0000"/>
                <w:sz w:val="20"/>
                <w:szCs w:val="20"/>
              </w:rPr>
              <w:t>-1.1</w:t>
            </w:r>
          </w:p>
        </w:tc>
        <w:tc>
          <w:tcPr>
            <w:tcW w:w="1105" w:type="dxa"/>
            <w:vAlign w:val="bottom"/>
          </w:tcPr>
          <w:p w14:paraId="329774EB" w14:textId="5E59D514" w:rsidR="00830152" w:rsidRPr="00012F08" w:rsidRDefault="00830152" w:rsidP="00830152">
            <w:pPr>
              <w:bidi w:val="0"/>
              <w:jc w:val="center"/>
              <w:rPr>
                <w:rFonts w:asciiTheme="majorBidi" w:hAnsiTheme="majorBidi" w:cstheme="majorBidi"/>
                <w:b/>
                <w:bCs/>
                <w:color w:val="EE0000"/>
                <w:sz w:val="20"/>
                <w:szCs w:val="20"/>
              </w:rPr>
            </w:pPr>
            <w:r w:rsidRPr="00012F08">
              <w:rPr>
                <w:rFonts w:asciiTheme="majorBidi" w:hAnsiTheme="majorBidi" w:cstheme="majorBidi"/>
                <w:color w:val="EE0000"/>
                <w:sz w:val="20"/>
                <w:szCs w:val="20"/>
              </w:rPr>
              <w:t>-7.78</w:t>
            </w:r>
          </w:p>
        </w:tc>
        <w:tc>
          <w:tcPr>
            <w:tcW w:w="1022" w:type="dxa"/>
            <w:vAlign w:val="bottom"/>
          </w:tcPr>
          <w:p w14:paraId="776D31D6" w14:textId="1B6D5402" w:rsidR="00830152" w:rsidRPr="00012F08" w:rsidRDefault="00830152" w:rsidP="00830152">
            <w:pPr>
              <w:bidi w:val="0"/>
              <w:jc w:val="center"/>
              <w:rPr>
                <w:rFonts w:asciiTheme="majorBidi" w:hAnsiTheme="majorBidi" w:cstheme="majorBidi"/>
                <w:b/>
                <w:bCs/>
                <w:color w:val="EE0000"/>
                <w:sz w:val="20"/>
                <w:szCs w:val="20"/>
              </w:rPr>
            </w:pPr>
            <w:r w:rsidRPr="00012F08">
              <w:rPr>
                <w:rFonts w:asciiTheme="majorBidi" w:hAnsiTheme="majorBidi" w:cstheme="majorBidi"/>
                <w:color w:val="EE0000"/>
                <w:sz w:val="20"/>
                <w:szCs w:val="20"/>
              </w:rPr>
              <w:t>-36.6</w:t>
            </w:r>
          </w:p>
        </w:tc>
        <w:tc>
          <w:tcPr>
            <w:tcW w:w="1379" w:type="dxa"/>
            <w:vAlign w:val="bottom"/>
          </w:tcPr>
          <w:p w14:paraId="331DD01C" w14:textId="38371493" w:rsidR="00830152" w:rsidRPr="00012F08" w:rsidRDefault="00830152" w:rsidP="00830152">
            <w:pPr>
              <w:bidi w:val="0"/>
              <w:jc w:val="center"/>
              <w:rPr>
                <w:rFonts w:asciiTheme="majorBidi" w:hAnsiTheme="majorBidi" w:cstheme="majorBidi"/>
                <w:b/>
                <w:bCs/>
                <w:sz w:val="20"/>
                <w:szCs w:val="20"/>
              </w:rPr>
            </w:pPr>
            <w:r w:rsidRPr="00012F08">
              <w:rPr>
                <w:rFonts w:asciiTheme="majorBidi" w:hAnsiTheme="majorBidi" w:cstheme="majorBidi"/>
                <w:b/>
                <w:bCs/>
                <w:color w:val="000000"/>
                <w:sz w:val="20"/>
                <w:szCs w:val="20"/>
              </w:rPr>
              <w:t>90.80/77.83</w:t>
            </w:r>
          </w:p>
        </w:tc>
      </w:tr>
      <w:tr w:rsidR="00830152" w:rsidRPr="00012F08" w14:paraId="5D0EAA4B" w14:textId="77777777" w:rsidTr="00830152">
        <w:trPr>
          <w:trHeight w:val="250"/>
        </w:trPr>
        <w:tc>
          <w:tcPr>
            <w:tcW w:w="1106" w:type="dxa"/>
            <w:tcBorders>
              <w:bottom w:val="single" w:sz="4" w:space="0" w:color="auto"/>
            </w:tcBorders>
          </w:tcPr>
          <w:p w14:paraId="4BFC3C67" w14:textId="48224F1D" w:rsidR="00830152" w:rsidRPr="00012F08" w:rsidRDefault="00830152" w:rsidP="00830152">
            <w:pPr>
              <w:bidi w:val="0"/>
              <w:rPr>
                <w:rFonts w:asciiTheme="majorBidi" w:hAnsiTheme="majorBidi" w:cstheme="majorBidi"/>
                <w:b/>
              </w:rPr>
            </w:pPr>
            <w:r w:rsidRPr="00012F08">
              <w:rPr>
                <w:rFonts w:ascii="Times New Roman" w:eastAsia="Times New Roman" w:hAnsi="Times New Roman" w:cs="Times New Roman"/>
                <w:b/>
                <w:bCs/>
                <w:color w:val="000000"/>
                <w:sz w:val="20"/>
                <w:szCs w:val="20"/>
              </w:rPr>
              <w:t>NPT</w:t>
            </w:r>
          </w:p>
        </w:tc>
        <w:tc>
          <w:tcPr>
            <w:tcW w:w="993" w:type="dxa"/>
            <w:tcBorders>
              <w:bottom w:val="single" w:sz="4" w:space="0" w:color="auto"/>
            </w:tcBorders>
            <w:vAlign w:val="bottom"/>
          </w:tcPr>
          <w:p w14:paraId="26A60812" w14:textId="4CF57F08"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4</w:t>
            </w:r>
          </w:p>
        </w:tc>
        <w:tc>
          <w:tcPr>
            <w:tcW w:w="1022" w:type="dxa"/>
            <w:tcBorders>
              <w:bottom w:val="single" w:sz="4" w:space="0" w:color="auto"/>
            </w:tcBorders>
            <w:vAlign w:val="bottom"/>
          </w:tcPr>
          <w:p w14:paraId="4A906D69" w14:textId="70AC6E46"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4</w:t>
            </w:r>
          </w:p>
        </w:tc>
        <w:tc>
          <w:tcPr>
            <w:tcW w:w="1120" w:type="dxa"/>
            <w:gridSpan w:val="2"/>
            <w:tcBorders>
              <w:bottom w:val="single" w:sz="4" w:space="0" w:color="auto"/>
            </w:tcBorders>
            <w:vAlign w:val="bottom"/>
          </w:tcPr>
          <w:p w14:paraId="21C22AF1" w14:textId="42CEADDA"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4</w:t>
            </w:r>
          </w:p>
        </w:tc>
        <w:tc>
          <w:tcPr>
            <w:tcW w:w="895" w:type="dxa"/>
            <w:tcBorders>
              <w:bottom w:val="single" w:sz="4" w:space="0" w:color="auto"/>
            </w:tcBorders>
            <w:vAlign w:val="bottom"/>
          </w:tcPr>
          <w:p w14:paraId="30F61234" w14:textId="58827A62"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4</w:t>
            </w:r>
          </w:p>
        </w:tc>
        <w:tc>
          <w:tcPr>
            <w:tcW w:w="1021" w:type="dxa"/>
            <w:tcBorders>
              <w:bottom w:val="single" w:sz="4" w:space="0" w:color="auto"/>
            </w:tcBorders>
            <w:vAlign w:val="bottom"/>
          </w:tcPr>
          <w:p w14:paraId="6B2526A3" w14:textId="61FE3AF9"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w:t>
            </w:r>
          </w:p>
        </w:tc>
        <w:tc>
          <w:tcPr>
            <w:tcW w:w="1105" w:type="dxa"/>
            <w:tcBorders>
              <w:bottom w:val="single" w:sz="4" w:space="0" w:color="auto"/>
            </w:tcBorders>
            <w:vAlign w:val="bottom"/>
          </w:tcPr>
          <w:p w14:paraId="0B481B94" w14:textId="57E68B2A"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3</w:t>
            </w:r>
          </w:p>
        </w:tc>
        <w:tc>
          <w:tcPr>
            <w:tcW w:w="1022" w:type="dxa"/>
            <w:tcBorders>
              <w:bottom w:val="single" w:sz="4" w:space="0" w:color="auto"/>
            </w:tcBorders>
            <w:vAlign w:val="bottom"/>
          </w:tcPr>
          <w:p w14:paraId="6856A0A7" w14:textId="39B73BA1" w:rsidR="00830152" w:rsidRPr="00012F08" w:rsidRDefault="00830152" w:rsidP="00830152">
            <w:pPr>
              <w:bidi w:val="0"/>
              <w:jc w:val="center"/>
              <w:rPr>
                <w:rFonts w:asciiTheme="majorBidi" w:hAnsiTheme="majorBidi" w:cstheme="majorBidi"/>
                <w:b/>
                <w:sz w:val="20"/>
                <w:szCs w:val="20"/>
              </w:rPr>
            </w:pPr>
            <w:r w:rsidRPr="00012F08">
              <w:rPr>
                <w:rFonts w:asciiTheme="majorBidi" w:hAnsiTheme="majorBidi" w:cstheme="majorBidi"/>
                <w:color w:val="000000"/>
                <w:sz w:val="20"/>
                <w:szCs w:val="20"/>
              </w:rPr>
              <w:t>1</w:t>
            </w:r>
          </w:p>
        </w:tc>
        <w:tc>
          <w:tcPr>
            <w:tcW w:w="1379" w:type="dxa"/>
            <w:tcBorders>
              <w:bottom w:val="single" w:sz="4" w:space="0" w:color="auto"/>
            </w:tcBorders>
          </w:tcPr>
          <w:p w14:paraId="5E5E2718" w14:textId="77777777" w:rsidR="00830152" w:rsidRPr="00012F08" w:rsidRDefault="00830152" w:rsidP="00830152">
            <w:pPr>
              <w:bidi w:val="0"/>
              <w:jc w:val="center"/>
              <w:rPr>
                <w:rFonts w:asciiTheme="majorBidi" w:hAnsiTheme="majorBidi" w:cstheme="majorBidi"/>
                <w:b/>
                <w:sz w:val="20"/>
                <w:szCs w:val="20"/>
              </w:rPr>
            </w:pPr>
          </w:p>
        </w:tc>
      </w:tr>
    </w:tbl>
    <w:p w14:paraId="16A7F2A3" w14:textId="01E2DFC8" w:rsidR="00E338AF" w:rsidRPr="00012F08" w:rsidRDefault="00E338AF" w:rsidP="00986FDB">
      <w:pPr>
        <w:bidi w:val="0"/>
        <w:ind w:right="-1050"/>
        <w:jc w:val="both"/>
        <w:rPr>
          <w:rFonts w:asciiTheme="majorBidi" w:hAnsiTheme="majorBidi" w:cstheme="majorBidi"/>
          <w:b/>
          <w:sz w:val="20"/>
          <w:szCs w:val="20"/>
        </w:rPr>
      </w:pPr>
      <w:r w:rsidRPr="00012F08">
        <w:rPr>
          <w:rFonts w:ascii="Times New Roman" w:eastAsia="PMingLiU" w:hAnsi="Times New Roman" w:cs="Times New Roman"/>
          <w:b/>
          <w:color w:val="000000"/>
          <w:sz w:val="18"/>
          <w:szCs w:val="18"/>
        </w:rPr>
        <w:t>Notes:</w:t>
      </w:r>
      <w:r w:rsidRPr="00012F08">
        <w:rPr>
          <w:rFonts w:ascii="Times New Roman" w:eastAsia="PMingLiU" w:hAnsi="Times New Roman" w:cs="Times New Roman"/>
          <w:iCs/>
          <w:color w:val="000000"/>
          <w:sz w:val="18"/>
          <w:szCs w:val="18"/>
        </w:rPr>
        <w:t xml:space="preserve"> </w:t>
      </w:r>
      <w:r w:rsidR="00986FDB" w:rsidRPr="00012F08">
        <w:rPr>
          <w:rFonts w:ascii="Times New Roman" w:eastAsia="PMingLiU" w:hAnsi="Times New Roman" w:cs="Times New Roman"/>
          <w:iCs/>
          <w:color w:val="000000"/>
          <w:sz w:val="18"/>
          <w:szCs w:val="18"/>
        </w:rPr>
        <w:t xml:space="preserve">This table presents </w:t>
      </w:r>
      <w:r w:rsidR="00712A5A">
        <w:rPr>
          <w:rFonts w:ascii="Times New Roman" w:eastAsia="PMingLiU" w:hAnsi="Times New Roman" w:cs="Times New Roman"/>
          <w:iCs/>
          <w:color w:val="000000"/>
          <w:sz w:val="18"/>
          <w:szCs w:val="18"/>
        </w:rPr>
        <w:t xml:space="preserve">the </w:t>
      </w:r>
      <w:r w:rsidR="00986FDB" w:rsidRPr="00012F08">
        <w:rPr>
          <w:rFonts w:ascii="Times New Roman" w:eastAsia="PMingLiU" w:hAnsi="Times New Roman" w:cs="Times New Roman"/>
          <w:iCs/>
          <w:color w:val="000000"/>
          <w:sz w:val="18"/>
          <w:szCs w:val="18"/>
        </w:rPr>
        <w:t xml:space="preserve">connectedness metrics </w:t>
      </w:r>
      <w:r w:rsidR="00712A5A">
        <w:rPr>
          <w:rFonts w:ascii="Times New Roman" w:eastAsia="PMingLiU" w:hAnsi="Times New Roman" w:cs="Times New Roman"/>
          <w:iCs/>
          <w:color w:val="000000"/>
          <w:sz w:val="18"/>
          <w:szCs w:val="18"/>
        </w:rPr>
        <w:t>for</w:t>
      </w:r>
      <w:r w:rsidR="00712A5A" w:rsidRPr="00012F08">
        <w:rPr>
          <w:rFonts w:ascii="Times New Roman" w:eastAsia="PMingLiU" w:hAnsi="Times New Roman" w:cs="Times New Roman"/>
          <w:iCs/>
          <w:color w:val="000000"/>
          <w:sz w:val="18"/>
          <w:szCs w:val="18"/>
        </w:rPr>
        <w:t xml:space="preserve"> </w:t>
      </w:r>
      <w:r w:rsidR="00986FDB" w:rsidRPr="00012F08">
        <w:rPr>
          <w:rFonts w:ascii="Times New Roman" w:eastAsia="PMingLiU" w:hAnsi="Times New Roman" w:cs="Times New Roman"/>
          <w:iCs/>
          <w:color w:val="000000"/>
          <w:sz w:val="18"/>
          <w:szCs w:val="18"/>
        </w:rPr>
        <w:t xml:space="preserve">the system variables based on a TVP-VAR forecast error variance decomposition. Panel A displays results for the entire sample period (January 1993 to December 2024), while Panels B and C summarize </w:t>
      </w:r>
      <w:r w:rsidR="00712A5A">
        <w:rPr>
          <w:rFonts w:ascii="Times New Roman" w:eastAsia="PMingLiU" w:hAnsi="Times New Roman" w:cs="Times New Roman"/>
          <w:iCs/>
          <w:color w:val="000000"/>
          <w:sz w:val="18"/>
          <w:szCs w:val="18"/>
        </w:rPr>
        <w:t xml:space="preserve">the </w:t>
      </w:r>
      <w:r w:rsidR="00986FDB" w:rsidRPr="00012F08">
        <w:rPr>
          <w:rFonts w:ascii="Times New Roman" w:eastAsia="PMingLiU" w:hAnsi="Times New Roman" w:cs="Times New Roman"/>
          <w:iCs/>
          <w:color w:val="000000"/>
          <w:sz w:val="18"/>
          <w:szCs w:val="18"/>
        </w:rPr>
        <w:t xml:space="preserve">findings for the </w:t>
      </w:r>
      <w:r w:rsidR="00712A5A" w:rsidRPr="00012F08">
        <w:rPr>
          <w:rFonts w:ascii="Times New Roman" w:eastAsia="PMingLiU" w:hAnsi="Times New Roman" w:cs="Times New Roman"/>
          <w:iCs/>
          <w:color w:val="000000"/>
          <w:sz w:val="18"/>
          <w:szCs w:val="18"/>
        </w:rPr>
        <w:t xml:space="preserve">pre-trade war globalization </w:t>
      </w:r>
      <w:r w:rsidR="00986FDB" w:rsidRPr="00012F08">
        <w:rPr>
          <w:rFonts w:ascii="Times New Roman" w:eastAsia="PMingLiU" w:hAnsi="Times New Roman" w:cs="Times New Roman"/>
          <w:iCs/>
          <w:color w:val="000000"/>
          <w:sz w:val="18"/>
          <w:szCs w:val="18"/>
        </w:rPr>
        <w:t xml:space="preserve">phase (January 1993 to December 2017) and the </w:t>
      </w:r>
      <w:r w:rsidR="00712A5A" w:rsidRPr="00012F08">
        <w:rPr>
          <w:rFonts w:ascii="Times New Roman" w:eastAsia="PMingLiU" w:hAnsi="Times New Roman" w:cs="Times New Roman"/>
          <w:iCs/>
          <w:color w:val="000000"/>
          <w:sz w:val="18"/>
          <w:szCs w:val="18"/>
        </w:rPr>
        <w:t xml:space="preserve">trade war and post-pandemic </w:t>
      </w:r>
      <w:r w:rsidR="00986FDB" w:rsidRPr="00012F08">
        <w:rPr>
          <w:rFonts w:ascii="Times New Roman" w:eastAsia="PMingLiU" w:hAnsi="Times New Roman" w:cs="Times New Roman"/>
          <w:iCs/>
          <w:color w:val="000000"/>
          <w:sz w:val="18"/>
          <w:szCs w:val="18"/>
        </w:rPr>
        <w:t>phase (January 2018 to December 2024), respectively.</w:t>
      </w:r>
      <w:r w:rsidR="000137E7">
        <w:rPr>
          <w:rFonts w:ascii="Times New Roman" w:eastAsia="PMingLiU" w:hAnsi="Times New Roman" w:cs="Times New Roman"/>
          <w:iCs/>
          <w:color w:val="000000"/>
          <w:sz w:val="18"/>
          <w:szCs w:val="18"/>
        </w:rPr>
        <w:t xml:space="preserve"> </w:t>
      </w:r>
    </w:p>
    <w:p w14:paraId="643AC8D4" w14:textId="77777777" w:rsidR="00E338AF" w:rsidRPr="00012F08" w:rsidRDefault="00E338AF" w:rsidP="00E338AF">
      <w:pPr>
        <w:bidi w:val="0"/>
        <w:jc w:val="both"/>
        <w:rPr>
          <w:rFonts w:asciiTheme="majorBidi" w:hAnsiTheme="majorBidi" w:cstheme="majorBidi"/>
          <w:b/>
          <w:sz w:val="20"/>
          <w:szCs w:val="20"/>
        </w:rPr>
      </w:pPr>
    </w:p>
    <w:p w14:paraId="6D018A8F" w14:textId="77777777" w:rsidR="00E338AF" w:rsidRPr="00012F08" w:rsidRDefault="00E338AF" w:rsidP="00E338AF">
      <w:pPr>
        <w:bidi w:val="0"/>
        <w:jc w:val="both"/>
        <w:rPr>
          <w:rFonts w:asciiTheme="majorBidi" w:hAnsiTheme="majorBidi" w:cstheme="majorBidi"/>
          <w:b/>
          <w:sz w:val="20"/>
          <w:szCs w:val="20"/>
        </w:rPr>
      </w:pPr>
    </w:p>
    <w:p w14:paraId="413F6281" w14:textId="77777777" w:rsidR="00E338AF" w:rsidRPr="00012F08" w:rsidRDefault="00E338AF" w:rsidP="00E338AF">
      <w:pPr>
        <w:bidi w:val="0"/>
        <w:jc w:val="both"/>
        <w:rPr>
          <w:rFonts w:asciiTheme="majorBidi" w:hAnsiTheme="majorBidi" w:cstheme="majorBidi"/>
          <w:b/>
          <w:sz w:val="20"/>
          <w:szCs w:val="20"/>
        </w:rPr>
      </w:pPr>
    </w:p>
    <w:p w14:paraId="61DE66A5" w14:textId="77777777" w:rsidR="00E338AF" w:rsidRPr="00012F08" w:rsidRDefault="00E338AF" w:rsidP="00E338AF">
      <w:pPr>
        <w:bidi w:val="0"/>
        <w:jc w:val="both"/>
        <w:rPr>
          <w:rFonts w:asciiTheme="majorBidi" w:hAnsiTheme="majorBidi" w:cstheme="majorBidi"/>
          <w:b/>
          <w:sz w:val="20"/>
          <w:szCs w:val="20"/>
        </w:rPr>
      </w:pPr>
    </w:p>
    <w:p w14:paraId="3271DA95" w14:textId="77777777" w:rsidR="00E338AF" w:rsidRPr="00012F08" w:rsidRDefault="00E338AF" w:rsidP="00E338AF">
      <w:pPr>
        <w:bidi w:val="0"/>
        <w:jc w:val="both"/>
        <w:rPr>
          <w:rFonts w:asciiTheme="majorBidi" w:hAnsiTheme="majorBidi" w:cstheme="majorBidi"/>
          <w:b/>
          <w:sz w:val="20"/>
          <w:szCs w:val="20"/>
        </w:rPr>
      </w:pPr>
    </w:p>
    <w:p w14:paraId="7DF50AA9" w14:textId="77777777" w:rsidR="00E338AF" w:rsidRPr="00012F08" w:rsidRDefault="00E338AF" w:rsidP="00E338AF">
      <w:pPr>
        <w:bidi w:val="0"/>
        <w:jc w:val="both"/>
        <w:rPr>
          <w:rFonts w:asciiTheme="majorBidi" w:hAnsiTheme="majorBidi" w:cstheme="majorBidi"/>
          <w:b/>
          <w:sz w:val="20"/>
          <w:szCs w:val="20"/>
        </w:rPr>
      </w:pPr>
    </w:p>
    <w:p w14:paraId="6B6B08DD" w14:textId="77777777" w:rsidR="00E338AF" w:rsidRPr="00012F08" w:rsidRDefault="00E338AF" w:rsidP="00E338AF">
      <w:pPr>
        <w:bidi w:val="0"/>
        <w:jc w:val="both"/>
        <w:rPr>
          <w:rFonts w:asciiTheme="majorBidi" w:hAnsiTheme="majorBidi" w:cstheme="majorBidi"/>
          <w:b/>
          <w:sz w:val="20"/>
          <w:szCs w:val="20"/>
        </w:rPr>
      </w:pPr>
    </w:p>
    <w:p w14:paraId="23044C19" w14:textId="77777777" w:rsidR="00E338AF" w:rsidRPr="00012F08" w:rsidRDefault="00E338AF" w:rsidP="00E338AF">
      <w:pPr>
        <w:bidi w:val="0"/>
        <w:jc w:val="both"/>
        <w:rPr>
          <w:rFonts w:asciiTheme="majorBidi" w:hAnsiTheme="majorBidi" w:cstheme="majorBidi"/>
          <w:b/>
          <w:sz w:val="20"/>
          <w:szCs w:val="20"/>
        </w:rPr>
      </w:pPr>
    </w:p>
    <w:p w14:paraId="7955F307" w14:textId="35AC4AA2" w:rsidR="00E338AF" w:rsidRPr="00012F08" w:rsidRDefault="00E338AF" w:rsidP="00E338AF">
      <w:pPr>
        <w:bidi w:val="0"/>
        <w:jc w:val="center"/>
        <w:rPr>
          <w:rFonts w:asciiTheme="majorBidi" w:hAnsiTheme="majorBidi" w:cstheme="majorBidi"/>
        </w:rPr>
      </w:pPr>
      <w:r w:rsidRPr="00012F08">
        <w:rPr>
          <w:rFonts w:asciiTheme="majorBidi" w:hAnsiTheme="majorBidi" w:cstheme="majorBidi"/>
          <w:b/>
        </w:rPr>
        <w:t>Figure 1</w:t>
      </w:r>
      <w:r w:rsidRPr="00012F08">
        <w:rPr>
          <w:rFonts w:asciiTheme="majorBidi" w:hAnsiTheme="majorBidi" w:cstheme="majorBidi"/>
          <w:b/>
          <w:bCs/>
        </w:rPr>
        <w:t>: Returns over the entire sample period</w:t>
      </w:r>
    </w:p>
    <w:p w14:paraId="21A70580" w14:textId="507B941C" w:rsidR="00E338AF" w:rsidRPr="00012F08" w:rsidRDefault="000137E7" w:rsidP="00E338AF">
      <w:pPr>
        <w:bidi w:val="0"/>
        <w:rPr>
          <w:rFonts w:asciiTheme="majorBidi" w:hAnsiTheme="majorBidi" w:cstheme="majorBidi"/>
          <w:b/>
          <w:bCs/>
          <w:sz w:val="20"/>
        </w:rPr>
      </w:pPr>
      <w:r>
        <w:rPr>
          <w:rFonts w:asciiTheme="majorBidi" w:hAnsiTheme="majorBidi" w:cstheme="majorBidi"/>
          <w:b/>
          <w:bCs/>
          <w:sz w:val="20"/>
        </w:rPr>
        <w:t>Entire</w:t>
      </w:r>
      <w:r w:rsidRPr="00012F08">
        <w:rPr>
          <w:rFonts w:asciiTheme="majorBidi" w:hAnsiTheme="majorBidi" w:cstheme="majorBidi"/>
          <w:b/>
          <w:bCs/>
          <w:sz w:val="20"/>
        </w:rPr>
        <w:t xml:space="preserve"> </w:t>
      </w:r>
      <w:r w:rsidR="00FD4F96" w:rsidRPr="00012F08">
        <w:rPr>
          <w:rFonts w:asciiTheme="majorBidi" w:hAnsiTheme="majorBidi" w:cstheme="majorBidi"/>
          <w:b/>
          <w:bCs/>
          <w:sz w:val="20"/>
        </w:rPr>
        <w:t>Period</w:t>
      </w:r>
    </w:p>
    <w:p w14:paraId="2842E402" w14:textId="361129B7" w:rsidR="00E338AF" w:rsidRPr="00012F08" w:rsidRDefault="000A4407" w:rsidP="00E338AF">
      <w:pPr>
        <w:bidi w:val="0"/>
        <w:rPr>
          <w:rFonts w:asciiTheme="majorBidi" w:hAnsiTheme="majorBidi" w:cstheme="majorBidi"/>
          <w:sz w:val="20"/>
        </w:rPr>
      </w:pPr>
      <w:r w:rsidRPr="00674425">
        <w:rPr>
          <w:noProof/>
        </w:rPr>
        <w:drawing>
          <wp:inline distT="0" distB="0" distL="0" distR="0" wp14:anchorId="4B7A2134" wp14:editId="64B29846">
            <wp:extent cx="5274310" cy="1824355"/>
            <wp:effectExtent l="0" t="0" r="2540" b="4445"/>
            <wp:docPr id="1354257557" name="Picture 3">
              <a:extLst xmlns:a="http://schemas.openxmlformats.org/drawingml/2006/main">
                <a:ext uri="{FF2B5EF4-FFF2-40B4-BE49-F238E27FC236}">
                  <a16:creationId xmlns:a16="http://schemas.microsoft.com/office/drawing/2014/main" id="{00000000-0008-0000-02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200-000004000000}"/>
                        </a:ext>
                      </a:extLst>
                    </pic:cNvPr>
                    <pic:cNvPicPr>
                      <a:picLocks noChangeAspect="1"/>
                    </pic:cNvPicPr>
                  </pic:nvPicPr>
                  <pic:blipFill>
                    <a:blip r:embed="rId27"/>
                    <a:stretch>
                      <a:fillRect/>
                    </a:stretch>
                  </pic:blipFill>
                  <pic:spPr>
                    <a:xfrm>
                      <a:off x="0" y="0"/>
                      <a:ext cx="5274310" cy="1824355"/>
                    </a:xfrm>
                    <a:prstGeom prst="rect">
                      <a:avLst/>
                    </a:prstGeom>
                  </pic:spPr>
                </pic:pic>
              </a:graphicData>
            </a:graphic>
          </wp:inline>
        </w:drawing>
      </w:r>
    </w:p>
    <w:p w14:paraId="475AE279" w14:textId="243A4B89" w:rsidR="00E338AF" w:rsidRPr="00012F08" w:rsidRDefault="00FD4F96" w:rsidP="00FD4F96">
      <w:pPr>
        <w:bidi w:val="0"/>
        <w:rPr>
          <w:rFonts w:asciiTheme="majorBidi" w:hAnsiTheme="majorBidi" w:cstheme="majorBidi"/>
          <w:b/>
          <w:bCs/>
          <w:sz w:val="20"/>
        </w:rPr>
      </w:pPr>
      <w:r w:rsidRPr="00012F08">
        <w:rPr>
          <w:rFonts w:asciiTheme="majorBidi" w:hAnsiTheme="majorBidi" w:cstheme="majorBidi"/>
          <w:b/>
          <w:bCs/>
          <w:sz w:val="20"/>
        </w:rPr>
        <w:t>Period 1: Pre-Trade War Globalization</w:t>
      </w:r>
    </w:p>
    <w:p w14:paraId="185009A5" w14:textId="511513E5" w:rsidR="005E0532" w:rsidRPr="00012F08" w:rsidRDefault="000A4407" w:rsidP="00FD4F96">
      <w:pPr>
        <w:bidi w:val="0"/>
        <w:rPr>
          <w:rFonts w:asciiTheme="majorBidi" w:hAnsiTheme="majorBidi" w:cstheme="majorBidi"/>
          <w:b/>
          <w:bCs/>
          <w:sz w:val="20"/>
        </w:rPr>
      </w:pPr>
      <w:r w:rsidRPr="00674425">
        <w:rPr>
          <w:noProof/>
        </w:rPr>
        <w:drawing>
          <wp:inline distT="0" distB="0" distL="0" distR="0" wp14:anchorId="30A91C12" wp14:editId="20DF075F">
            <wp:extent cx="5274310" cy="2003425"/>
            <wp:effectExtent l="0" t="0" r="2540" b="0"/>
            <wp:docPr id="2" name="Picture 1" descr="תמונה שמכילה טקסט, צילום מסך, עלילה, קו&#10;&#10;תוכן בינה מלאכותית גנרטיבית עשוי להיות שגוי.">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תמונה שמכילה טקסט, צילום מסך, עלילה, קו&#10;&#10;תוכן בינה מלאכותית גנרטיבית עשוי להיות שגוי.">
                      <a:extLst>
                        <a:ext uri="{FF2B5EF4-FFF2-40B4-BE49-F238E27FC236}">
                          <a16:creationId xmlns:a16="http://schemas.microsoft.com/office/drawing/2014/main" id="{00000000-0008-0000-0200-000002000000}"/>
                        </a:ext>
                      </a:extLst>
                    </pic:cNvPr>
                    <pic:cNvPicPr>
                      <a:picLocks noChangeAspect="1"/>
                    </pic:cNvPicPr>
                  </pic:nvPicPr>
                  <pic:blipFill>
                    <a:blip r:embed="rId28"/>
                    <a:stretch>
                      <a:fillRect/>
                    </a:stretch>
                  </pic:blipFill>
                  <pic:spPr>
                    <a:xfrm>
                      <a:off x="0" y="0"/>
                      <a:ext cx="5274310" cy="2003425"/>
                    </a:xfrm>
                    <a:prstGeom prst="rect">
                      <a:avLst/>
                    </a:prstGeom>
                  </pic:spPr>
                </pic:pic>
              </a:graphicData>
            </a:graphic>
          </wp:inline>
        </w:drawing>
      </w:r>
    </w:p>
    <w:p w14:paraId="6F855B9A" w14:textId="762AC395" w:rsidR="00E338AF" w:rsidRPr="00012F08" w:rsidRDefault="00FD4F96" w:rsidP="005E0532">
      <w:pPr>
        <w:bidi w:val="0"/>
        <w:rPr>
          <w:rFonts w:asciiTheme="majorBidi" w:hAnsiTheme="majorBidi" w:cstheme="majorBidi"/>
          <w:b/>
          <w:bCs/>
          <w:sz w:val="20"/>
        </w:rPr>
      </w:pPr>
      <w:r w:rsidRPr="00012F08">
        <w:rPr>
          <w:rFonts w:asciiTheme="majorBidi" w:hAnsiTheme="majorBidi" w:cstheme="majorBidi"/>
          <w:b/>
          <w:bCs/>
          <w:sz w:val="20"/>
        </w:rPr>
        <w:t>Period 2: Trade War and Post-Pandemic Tensions (Jan 2018 – Feb 2024)</w:t>
      </w:r>
    </w:p>
    <w:p w14:paraId="255DDAD5" w14:textId="7BC714DA" w:rsidR="000A4407" w:rsidRPr="00012F08" w:rsidRDefault="000A4407" w:rsidP="005E0532">
      <w:pPr>
        <w:bidi w:val="0"/>
        <w:jc w:val="both"/>
        <w:rPr>
          <w:rFonts w:asciiTheme="majorBidi" w:hAnsiTheme="majorBidi" w:cstheme="majorBidi"/>
          <w:sz w:val="20"/>
        </w:rPr>
      </w:pPr>
      <w:r w:rsidRPr="00674425">
        <w:rPr>
          <w:noProof/>
        </w:rPr>
        <w:drawing>
          <wp:inline distT="0" distB="0" distL="0" distR="0" wp14:anchorId="1F77DED7" wp14:editId="54819D43">
            <wp:extent cx="5274310" cy="1842135"/>
            <wp:effectExtent l="0" t="0" r="2540" b="5715"/>
            <wp:docPr id="690121629" name="Picture 2" descr="תמונה שמכילה טקסט, גופן, צילום מסך, קו&#10;&#10;תוכן בינה מלאכותית גנרטיבית עשוי להיות שגוי.">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21629" name="Picture 2" descr="תמונה שמכילה טקסט, גופן, צילום מסך, קו&#10;&#10;תוכן בינה מלאכותית גנרטיבית עשוי להיות שגוי.">
                      <a:extLst>
                        <a:ext uri="{FF2B5EF4-FFF2-40B4-BE49-F238E27FC236}">
                          <a16:creationId xmlns:a16="http://schemas.microsoft.com/office/drawing/2014/main" id="{00000000-0008-0000-0200-000003000000}"/>
                        </a:ext>
                      </a:extLst>
                    </pic:cNvPr>
                    <pic:cNvPicPr>
                      <a:picLocks noChangeAspect="1"/>
                    </pic:cNvPicPr>
                  </pic:nvPicPr>
                  <pic:blipFill>
                    <a:blip r:embed="rId29"/>
                    <a:stretch>
                      <a:fillRect/>
                    </a:stretch>
                  </pic:blipFill>
                  <pic:spPr>
                    <a:xfrm>
                      <a:off x="0" y="0"/>
                      <a:ext cx="5274310" cy="1842135"/>
                    </a:xfrm>
                    <a:prstGeom prst="rect">
                      <a:avLst/>
                    </a:prstGeom>
                  </pic:spPr>
                </pic:pic>
              </a:graphicData>
            </a:graphic>
          </wp:inline>
        </w:drawing>
      </w:r>
    </w:p>
    <w:p w14:paraId="32006B26" w14:textId="77777777" w:rsidR="000A4407" w:rsidRPr="00012F08" w:rsidRDefault="000A4407" w:rsidP="000A4407">
      <w:pPr>
        <w:bidi w:val="0"/>
        <w:jc w:val="both"/>
        <w:rPr>
          <w:rFonts w:asciiTheme="majorBidi" w:hAnsiTheme="majorBidi" w:cstheme="majorBidi"/>
          <w:sz w:val="20"/>
        </w:rPr>
      </w:pPr>
    </w:p>
    <w:p w14:paraId="211BBE15" w14:textId="3172183D" w:rsidR="005E0532" w:rsidRPr="00012F08" w:rsidRDefault="005E0532" w:rsidP="000A4407">
      <w:pPr>
        <w:bidi w:val="0"/>
        <w:jc w:val="both"/>
        <w:rPr>
          <w:rFonts w:asciiTheme="majorBidi" w:hAnsiTheme="majorBidi" w:cstheme="majorBidi"/>
          <w:sz w:val="20"/>
        </w:rPr>
      </w:pPr>
      <w:r w:rsidRPr="00012F08">
        <w:rPr>
          <w:rFonts w:asciiTheme="majorBidi" w:hAnsiTheme="majorBidi" w:cstheme="majorBidi"/>
          <w:sz w:val="20"/>
        </w:rPr>
        <w:t xml:space="preserve">Figure 1 displays the return series of the variables examined in the network analysis </w:t>
      </w:r>
      <w:r w:rsidR="000137E7">
        <w:rPr>
          <w:rFonts w:asciiTheme="majorBidi" w:hAnsiTheme="majorBidi" w:cstheme="majorBidi"/>
          <w:sz w:val="20"/>
        </w:rPr>
        <w:t>for</w:t>
      </w:r>
      <w:r w:rsidR="000137E7" w:rsidRPr="00012F08">
        <w:rPr>
          <w:rFonts w:asciiTheme="majorBidi" w:hAnsiTheme="majorBidi" w:cstheme="majorBidi"/>
          <w:sz w:val="20"/>
        </w:rPr>
        <w:t xml:space="preserve"> </w:t>
      </w:r>
      <w:r w:rsidRPr="00012F08">
        <w:rPr>
          <w:rFonts w:asciiTheme="majorBidi" w:hAnsiTheme="majorBidi" w:cstheme="majorBidi"/>
          <w:sz w:val="20"/>
        </w:rPr>
        <w:t xml:space="preserve">the </w:t>
      </w:r>
      <w:r w:rsidR="000137E7">
        <w:rPr>
          <w:rFonts w:asciiTheme="majorBidi" w:hAnsiTheme="majorBidi" w:cstheme="majorBidi"/>
          <w:sz w:val="20"/>
        </w:rPr>
        <w:t>entire</w:t>
      </w:r>
      <w:r w:rsidR="000137E7" w:rsidRPr="00012F08">
        <w:rPr>
          <w:rFonts w:asciiTheme="majorBidi" w:hAnsiTheme="majorBidi" w:cstheme="majorBidi"/>
          <w:sz w:val="20"/>
        </w:rPr>
        <w:t xml:space="preserve"> </w:t>
      </w:r>
      <w:r w:rsidRPr="00012F08">
        <w:rPr>
          <w:rFonts w:asciiTheme="majorBidi" w:hAnsiTheme="majorBidi" w:cstheme="majorBidi"/>
          <w:sz w:val="20"/>
        </w:rPr>
        <w:t xml:space="preserve">sample (January 1993 to February 2024) and the two subperiods analyzed in this study. The variables include the U.S.-China Tension Index (UCT), the S&amp;P 500 Index (S&amp;P), the CSI 300 Index (CHINA), </w:t>
      </w:r>
      <w:r w:rsidR="000137E7">
        <w:rPr>
          <w:rFonts w:asciiTheme="majorBidi" w:hAnsiTheme="majorBidi" w:cstheme="majorBidi"/>
          <w:sz w:val="20"/>
        </w:rPr>
        <w:t>g</w:t>
      </w:r>
      <w:r w:rsidR="000137E7" w:rsidRPr="00012F08">
        <w:rPr>
          <w:rFonts w:asciiTheme="majorBidi" w:hAnsiTheme="majorBidi" w:cstheme="majorBidi"/>
          <w:sz w:val="20"/>
        </w:rPr>
        <w:t xml:space="preserve">old </w:t>
      </w:r>
      <w:r w:rsidRPr="00012F08">
        <w:rPr>
          <w:rFonts w:asciiTheme="majorBidi" w:hAnsiTheme="majorBidi" w:cstheme="majorBidi"/>
          <w:sz w:val="20"/>
        </w:rPr>
        <w:t xml:space="preserve">prices (Gold), the VIX Index (VIX), the USD/CNY exchange rate (USD_CNY), and crude oil prices (Oil). The first panel shows the returns </w:t>
      </w:r>
      <w:r w:rsidR="000137E7">
        <w:rPr>
          <w:rFonts w:asciiTheme="majorBidi" w:hAnsiTheme="majorBidi" w:cstheme="majorBidi"/>
          <w:sz w:val="20"/>
        </w:rPr>
        <w:t>for</w:t>
      </w:r>
      <w:r w:rsidR="000137E7" w:rsidRPr="00012F08">
        <w:rPr>
          <w:rFonts w:asciiTheme="majorBidi" w:hAnsiTheme="majorBidi" w:cstheme="majorBidi"/>
          <w:sz w:val="20"/>
        </w:rPr>
        <w:t xml:space="preserve"> </w:t>
      </w:r>
      <w:r w:rsidRPr="00012F08">
        <w:rPr>
          <w:rFonts w:asciiTheme="majorBidi" w:hAnsiTheme="majorBidi" w:cstheme="majorBidi"/>
          <w:sz w:val="20"/>
        </w:rPr>
        <w:t xml:space="preserve">the entire sample, while the second panel focuses on the </w:t>
      </w:r>
      <w:r w:rsidR="000137E7" w:rsidRPr="00012F08">
        <w:rPr>
          <w:rFonts w:asciiTheme="majorBidi" w:hAnsiTheme="majorBidi" w:cstheme="majorBidi"/>
          <w:sz w:val="20"/>
        </w:rPr>
        <w:t xml:space="preserve">pre-trade war globalization </w:t>
      </w:r>
      <w:r w:rsidRPr="00012F08">
        <w:rPr>
          <w:rFonts w:asciiTheme="majorBidi" w:hAnsiTheme="majorBidi" w:cstheme="majorBidi"/>
          <w:sz w:val="20"/>
        </w:rPr>
        <w:t xml:space="preserve">period (January 1993 to December 2017). The third panel presents the returns during the </w:t>
      </w:r>
      <w:r w:rsidR="000137E7" w:rsidRPr="00012F08">
        <w:rPr>
          <w:rFonts w:asciiTheme="majorBidi" w:hAnsiTheme="majorBidi" w:cstheme="majorBidi"/>
          <w:sz w:val="20"/>
        </w:rPr>
        <w:t>trade war and post-pandemic tensions</w:t>
      </w:r>
      <w:r w:rsidRPr="00012F08">
        <w:rPr>
          <w:rFonts w:asciiTheme="majorBidi" w:hAnsiTheme="majorBidi" w:cstheme="majorBidi"/>
          <w:sz w:val="20"/>
        </w:rPr>
        <w:t xml:space="preserve"> period (January 2018 to February 2024).</w:t>
      </w:r>
    </w:p>
    <w:p w14:paraId="57B102C1" w14:textId="77777777" w:rsidR="007B2FF9" w:rsidRPr="00012F08" w:rsidRDefault="007B2FF9" w:rsidP="00F50D23">
      <w:pPr>
        <w:bidi w:val="0"/>
        <w:jc w:val="center"/>
        <w:rPr>
          <w:rFonts w:ascii="Times New Roman" w:hAnsi="Times New Roman" w:cs="Times New Roman"/>
          <w:b/>
          <w:bCs/>
        </w:rPr>
        <w:sectPr w:rsidR="007B2FF9" w:rsidRPr="00012F08" w:rsidSect="007B2FF9">
          <w:pgSz w:w="11906" w:h="16838"/>
          <w:pgMar w:top="1440" w:right="1800" w:bottom="1440" w:left="1276" w:header="708" w:footer="708" w:gutter="0"/>
          <w:cols w:space="708"/>
          <w:bidi/>
          <w:rtlGutter/>
          <w:docGrid w:linePitch="360"/>
        </w:sectPr>
      </w:pPr>
    </w:p>
    <w:p w14:paraId="31AEAE2B" w14:textId="793499D3" w:rsidR="00E338AF" w:rsidRPr="00012F08" w:rsidRDefault="00F50D23" w:rsidP="00F50D23">
      <w:pPr>
        <w:bidi w:val="0"/>
        <w:jc w:val="center"/>
        <w:rPr>
          <w:rFonts w:ascii="Times New Roman" w:hAnsi="Times New Roman" w:cs="Times New Roman"/>
          <w:b/>
          <w:bCs/>
        </w:rPr>
      </w:pPr>
      <w:r w:rsidRPr="00012F08">
        <w:rPr>
          <w:rFonts w:ascii="Times New Roman" w:hAnsi="Times New Roman" w:cs="Times New Roman"/>
          <w:b/>
          <w:bCs/>
        </w:rPr>
        <w:t>Figure 2: Evolution of Spillover Networks Across the Subperiods</w:t>
      </w:r>
    </w:p>
    <w:p w14:paraId="0FE0330F" w14:textId="0DF517F3" w:rsidR="00E338AF" w:rsidRPr="00012F08" w:rsidRDefault="007B2FF9" w:rsidP="00E338AF">
      <w:pPr>
        <w:ind w:firstLine="720"/>
        <w:rPr>
          <w:rFonts w:ascii="Times New Roman" w:hAnsi="Times New Roman" w:cs="Times New Roman"/>
          <w:rtl/>
        </w:rPr>
      </w:pPr>
      <w:r w:rsidRPr="00674425">
        <w:rPr>
          <w:noProof/>
        </w:rPr>
        <w:drawing>
          <wp:anchor distT="0" distB="0" distL="114300" distR="114300" simplePos="0" relativeHeight="251674624" behindDoc="0" locked="0" layoutInCell="1" allowOverlap="1" wp14:anchorId="7494E01D" wp14:editId="69A4FAC0">
            <wp:simplePos x="0" y="0"/>
            <wp:positionH relativeFrom="page">
              <wp:posOffset>4867275</wp:posOffset>
            </wp:positionH>
            <wp:positionV relativeFrom="paragraph">
              <wp:posOffset>127635</wp:posOffset>
            </wp:positionV>
            <wp:extent cx="2421255" cy="2437765"/>
            <wp:effectExtent l="0" t="0" r="0" b="635"/>
            <wp:wrapSquare wrapText="bothSides"/>
            <wp:docPr id="2057904402" name="Picture 2" descr="Plot object">
              <a:extLst xmlns:a="http://schemas.openxmlformats.org/drawingml/2006/main">
                <a:ext uri="{FF2B5EF4-FFF2-40B4-BE49-F238E27FC236}">
                  <a16:creationId xmlns:a16="http://schemas.microsoft.com/office/drawing/2014/main" id="{00000000-0008-0000-03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lot object">
                      <a:extLst>
                        <a:ext uri="{FF2B5EF4-FFF2-40B4-BE49-F238E27FC236}">
                          <a16:creationId xmlns:a16="http://schemas.microsoft.com/office/drawing/2014/main" id="{00000000-0008-0000-0300-000003000000}"/>
                        </a:ext>
                      </a:extLst>
                    </pic:cNvPr>
                    <pic:cNvPicPr>
                      <a:picLocks noChangeAspect="1"/>
                    </pic:cNvPicPr>
                  </pic:nvPicPr>
                  <pic:blipFill rotWithShape="1">
                    <a:blip r:embed="rId30">
                      <a:extLst>
                        <a:ext uri="{28A0092B-C50C-407E-A947-70E740481C1C}">
                          <a14:useLocalDpi xmlns:a14="http://schemas.microsoft.com/office/drawing/2010/main" val="0"/>
                        </a:ext>
                      </a:extLst>
                    </a:blip>
                    <a:srcRect l="27921" r="30030"/>
                    <a:stretch>
                      <a:fillRect/>
                    </a:stretch>
                  </pic:blipFill>
                  <pic:spPr bwMode="auto">
                    <a:xfrm>
                      <a:off x="0" y="0"/>
                      <a:ext cx="2421255" cy="2437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D4C905" w14:textId="0EA47682" w:rsidR="00E338AF" w:rsidRPr="00012F08" w:rsidRDefault="00F8707D" w:rsidP="00E338AF">
      <w:pPr>
        <w:ind w:firstLine="720"/>
        <w:rPr>
          <w:rFonts w:ascii="Times New Roman" w:hAnsi="Times New Roman" w:cs="Times New Roman"/>
          <w:rtl/>
        </w:rPr>
      </w:pPr>
      <w:r w:rsidRPr="00674425">
        <w:rPr>
          <w:noProof/>
        </w:rPr>
        <w:drawing>
          <wp:anchor distT="0" distB="0" distL="114300" distR="114300" simplePos="0" relativeHeight="251673600" behindDoc="0" locked="0" layoutInCell="1" allowOverlap="1" wp14:anchorId="4B718454" wp14:editId="329C5D07">
            <wp:simplePos x="0" y="0"/>
            <wp:positionH relativeFrom="margin">
              <wp:posOffset>359410</wp:posOffset>
            </wp:positionH>
            <wp:positionV relativeFrom="paragraph">
              <wp:posOffset>9525</wp:posOffset>
            </wp:positionV>
            <wp:extent cx="2618740" cy="2310130"/>
            <wp:effectExtent l="0" t="0" r="0" b="0"/>
            <wp:wrapSquare wrapText="bothSides"/>
            <wp:docPr id="1213083662" name="Picture 1" descr="Plot object">
              <a:extLst xmlns:a="http://schemas.openxmlformats.org/drawingml/2006/main">
                <a:ext uri="{FF2B5EF4-FFF2-40B4-BE49-F238E27FC236}">
                  <a16:creationId xmlns:a16="http://schemas.microsoft.com/office/drawing/2014/main" id="{00000000-0008-0000-03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lot object">
                      <a:extLst>
                        <a:ext uri="{FF2B5EF4-FFF2-40B4-BE49-F238E27FC236}">
                          <a16:creationId xmlns:a16="http://schemas.microsoft.com/office/drawing/2014/main" id="{00000000-0008-0000-0300-000002000000}"/>
                        </a:ext>
                      </a:extLst>
                    </pic:cNvPr>
                    <pic:cNvPicPr>
                      <a:picLocks noChangeAspect="1"/>
                    </pic:cNvPicPr>
                  </pic:nvPicPr>
                  <pic:blipFill rotWithShape="1">
                    <a:blip r:embed="rId31">
                      <a:extLst>
                        <a:ext uri="{28A0092B-C50C-407E-A947-70E740481C1C}">
                          <a14:useLocalDpi xmlns:a14="http://schemas.microsoft.com/office/drawing/2010/main" val="0"/>
                        </a:ext>
                      </a:extLst>
                    </a:blip>
                    <a:srcRect l="28832" r="30369"/>
                    <a:stretch>
                      <a:fillRect/>
                    </a:stretch>
                  </pic:blipFill>
                  <pic:spPr bwMode="auto">
                    <a:xfrm>
                      <a:off x="0" y="0"/>
                      <a:ext cx="2618740" cy="2310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80C70C" w14:textId="41726A30" w:rsidR="00E338AF" w:rsidRPr="00012F08" w:rsidRDefault="00E338AF" w:rsidP="00E338AF">
      <w:pPr>
        <w:ind w:firstLine="720"/>
        <w:rPr>
          <w:rFonts w:ascii="Times New Roman" w:hAnsi="Times New Roman" w:cs="Times New Roman"/>
          <w:rtl/>
        </w:rPr>
      </w:pPr>
    </w:p>
    <w:p w14:paraId="32C8A88C" w14:textId="77777777" w:rsidR="007B2FF9" w:rsidRPr="00012F08" w:rsidRDefault="007B2FF9" w:rsidP="009478F1">
      <w:pPr>
        <w:bidi w:val="0"/>
        <w:jc w:val="both"/>
        <w:rPr>
          <w:rFonts w:ascii="Times New Roman" w:hAnsi="Times New Roman" w:cs="Times New Roman"/>
          <w:b/>
          <w:bCs/>
        </w:rPr>
      </w:pPr>
    </w:p>
    <w:p w14:paraId="559D864C" w14:textId="77777777" w:rsidR="007B2FF9" w:rsidRPr="00012F08" w:rsidRDefault="007B2FF9" w:rsidP="007B2FF9">
      <w:pPr>
        <w:bidi w:val="0"/>
        <w:jc w:val="both"/>
        <w:rPr>
          <w:rFonts w:ascii="Times New Roman" w:hAnsi="Times New Roman" w:cs="Times New Roman"/>
          <w:b/>
          <w:bCs/>
        </w:rPr>
      </w:pPr>
    </w:p>
    <w:p w14:paraId="0A2C113D" w14:textId="77777777" w:rsidR="007B2FF9" w:rsidRPr="00012F08" w:rsidRDefault="007B2FF9" w:rsidP="007B2FF9">
      <w:pPr>
        <w:bidi w:val="0"/>
        <w:jc w:val="both"/>
        <w:rPr>
          <w:rFonts w:ascii="Times New Roman" w:hAnsi="Times New Roman" w:cs="Times New Roman"/>
          <w:b/>
          <w:bCs/>
        </w:rPr>
      </w:pPr>
    </w:p>
    <w:p w14:paraId="63EE1558" w14:textId="77777777" w:rsidR="007B2FF9" w:rsidRPr="00012F08" w:rsidRDefault="007B2FF9" w:rsidP="007B2FF9">
      <w:pPr>
        <w:bidi w:val="0"/>
        <w:jc w:val="both"/>
        <w:rPr>
          <w:rFonts w:ascii="Times New Roman" w:hAnsi="Times New Roman" w:cs="Times New Roman"/>
          <w:b/>
          <w:bCs/>
        </w:rPr>
      </w:pPr>
    </w:p>
    <w:p w14:paraId="3791B6EF" w14:textId="77777777" w:rsidR="007B2FF9" w:rsidRPr="00012F08" w:rsidRDefault="007B2FF9" w:rsidP="007B2FF9">
      <w:pPr>
        <w:bidi w:val="0"/>
        <w:jc w:val="both"/>
        <w:rPr>
          <w:rFonts w:ascii="Times New Roman" w:hAnsi="Times New Roman" w:cs="Times New Roman"/>
          <w:b/>
          <w:bCs/>
        </w:rPr>
      </w:pPr>
    </w:p>
    <w:p w14:paraId="3040FCB0" w14:textId="77777777" w:rsidR="007B2FF9" w:rsidRPr="00012F08" w:rsidRDefault="007B2FF9" w:rsidP="007B2FF9">
      <w:pPr>
        <w:bidi w:val="0"/>
        <w:jc w:val="both"/>
        <w:rPr>
          <w:rFonts w:ascii="Times New Roman" w:hAnsi="Times New Roman" w:cs="Times New Roman"/>
          <w:b/>
          <w:bCs/>
        </w:rPr>
      </w:pPr>
    </w:p>
    <w:p w14:paraId="27ADE61C" w14:textId="77777777" w:rsidR="007B2FF9" w:rsidRPr="00012F08" w:rsidRDefault="007B2FF9" w:rsidP="007B2FF9">
      <w:pPr>
        <w:bidi w:val="0"/>
        <w:jc w:val="both"/>
        <w:rPr>
          <w:rFonts w:ascii="Times New Roman" w:hAnsi="Times New Roman" w:cs="Times New Roman"/>
          <w:b/>
          <w:bCs/>
        </w:rPr>
      </w:pPr>
    </w:p>
    <w:p w14:paraId="1B448370" w14:textId="77777777" w:rsidR="007B2FF9" w:rsidRPr="00012F08" w:rsidRDefault="007B2FF9" w:rsidP="007B2FF9">
      <w:pPr>
        <w:bidi w:val="0"/>
        <w:jc w:val="both"/>
        <w:rPr>
          <w:rFonts w:ascii="Times New Roman" w:hAnsi="Times New Roman" w:cs="Times New Roman"/>
          <w:b/>
          <w:bCs/>
        </w:rPr>
      </w:pPr>
    </w:p>
    <w:p w14:paraId="12A9E1CA" w14:textId="77777777" w:rsidR="007B2FF9" w:rsidRPr="00012F08" w:rsidRDefault="007B2FF9" w:rsidP="007B2FF9">
      <w:pPr>
        <w:bidi w:val="0"/>
        <w:jc w:val="both"/>
        <w:rPr>
          <w:rFonts w:ascii="Times New Roman" w:hAnsi="Times New Roman" w:cs="Times New Roman"/>
          <w:b/>
          <w:bCs/>
        </w:rPr>
      </w:pPr>
    </w:p>
    <w:p w14:paraId="3F290367" w14:textId="77F7020C" w:rsidR="00E338AF" w:rsidRPr="00012F08" w:rsidRDefault="0041255A" w:rsidP="007B2FF9">
      <w:pPr>
        <w:bidi w:val="0"/>
        <w:jc w:val="both"/>
        <w:rPr>
          <w:rFonts w:ascii="Times New Roman" w:hAnsi="Times New Roman" w:cs="Times New Roman"/>
        </w:rPr>
      </w:pPr>
      <w:r w:rsidRPr="00012F08">
        <w:rPr>
          <w:rFonts w:ascii="Times New Roman" w:hAnsi="Times New Roman" w:cs="Times New Roman"/>
          <w:b/>
          <w:bCs/>
        </w:rPr>
        <w:t>Notes</w:t>
      </w:r>
      <w:r w:rsidRPr="00012F08">
        <w:rPr>
          <w:rFonts w:ascii="Times New Roman" w:hAnsi="Times New Roman" w:cs="Times New Roman"/>
        </w:rPr>
        <w:t xml:space="preserve">: The figure illustrates the network connectedness structures among the system variables based on the TVP-VAR forecast error variance decomposition across three periods. The </w:t>
      </w:r>
      <w:r w:rsidRPr="00674425">
        <w:rPr>
          <w:rFonts w:ascii="Times New Roman" w:hAnsi="Times New Roman" w:cs="Times New Roman"/>
        </w:rPr>
        <w:t>left</w:t>
      </w:r>
      <w:r w:rsidR="000137E7">
        <w:rPr>
          <w:rFonts w:ascii="Times New Roman" w:hAnsi="Times New Roman" w:cs="Times New Roman"/>
        </w:rPr>
        <w:t>-hand</w:t>
      </w:r>
      <w:r w:rsidRPr="00674425">
        <w:rPr>
          <w:rFonts w:ascii="Times New Roman" w:hAnsi="Times New Roman" w:cs="Times New Roman"/>
        </w:rPr>
        <w:t xml:space="preserve"> graph</w:t>
      </w:r>
      <w:r w:rsidRPr="000137E7">
        <w:rPr>
          <w:rFonts w:ascii="Times New Roman" w:hAnsi="Times New Roman" w:cs="Times New Roman"/>
        </w:rPr>
        <w:t xml:space="preserve"> depicts the network during the </w:t>
      </w:r>
      <w:r w:rsidR="000137E7" w:rsidRPr="000137E7">
        <w:rPr>
          <w:rFonts w:ascii="Times New Roman" w:hAnsi="Times New Roman" w:cs="Times New Roman"/>
        </w:rPr>
        <w:t xml:space="preserve">pre-trade war globalization </w:t>
      </w:r>
      <w:r w:rsidRPr="00674425">
        <w:rPr>
          <w:rFonts w:ascii="Times New Roman" w:hAnsi="Times New Roman" w:cs="Times New Roman"/>
        </w:rPr>
        <w:t>period (January 1993 to December 2017)</w:t>
      </w:r>
      <w:r w:rsidRPr="000137E7">
        <w:rPr>
          <w:rFonts w:ascii="Times New Roman" w:hAnsi="Times New Roman" w:cs="Times New Roman"/>
        </w:rPr>
        <w:t xml:space="preserve">, and the </w:t>
      </w:r>
      <w:r w:rsidRPr="00674425">
        <w:rPr>
          <w:rFonts w:ascii="Times New Roman" w:hAnsi="Times New Roman" w:cs="Times New Roman"/>
        </w:rPr>
        <w:t>right</w:t>
      </w:r>
      <w:r w:rsidR="000137E7">
        <w:rPr>
          <w:rFonts w:ascii="Times New Roman" w:hAnsi="Times New Roman" w:cs="Times New Roman"/>
        </w:rPr>
        <w:t>-hand</w:t>
      </w:r>
      <w:r w:rsidRPr="00674425">
        <w:rPr>
          <w:rFonts w:ascii="Times New Roman" w:hAnsi="Times New Roman" w:cs="Times New Roman"/>
        </w:rPr>
        <w:t xml:space="preserve"> graph</w:t>
      </w:r>
      <w:r w:rsidRPr="000137E7">
        <w:rPr>
          <w:rFonts w:ascii="Times New Roman" w:hAnsi="Times New Roman" w:cs="Times New Roman"/>
        </w:rPr>
        <w:t xml:space="preserve"> presents the network for the </w:t>
      </w:r>
      <w:r w:rsidR="000137E7" w:rsidRPr="000137E7">
        <w:rPr>
          <w:rFonts w:ascii="Times New Roman" w:hAnsi="Times New Roman" w:cs="Times New Roman"/>
        </w:rPr>
        <w:t xml:space="preserve">trade war and post-pandemic tensions </w:t>
      </w:r>
      <w:r w:rsidRPr="00674425">
        <w:rPr>
          <w:rFonts w:ascii="Times New Roman" w:hAnsi="Times New Roman" w:cs="Times New Roman"/>
        </w:rPr>
        <w:t>period (January 2018 to February 2024)</w:t>
      </w:r>
      <w:r w:rsidRPr="000137E7">
        <w:rPr>
          <w:rFonts w:ascii="Times New Roman" w:hAnsi="Times New Roman" w:cs="Times New Roman"/>
        </w:rPr>
        <w:t>.</w:t>
      </w:r>
      <w:r w:rsidRPr="00012F08">
        <w:rPr>
          <w:rFonts w:ascii="Times New Roman" w:hAnsi="Times New Roman" w:cs="Times New Roman"/>
        </w:rPr>
        <w:t xml:space="preserve"> The variables examined include the U.S.-China Tension Index (UCT), S&amp;P 500 Index (S&amp;P), CSI 300 Index (CHINA), Gold prices (Gold), VIX Index (VIX), USD/CNY exchange rate (USD_CNY), and crude oil prices (Oil). Arrow directions indicate the direction of spillovers, while the thickness of the connections reflects the magnitude of the transmission between nodes. The figure highlights the evolution from a less connected system in the earlier period to a densely interconnected structure in the later period, emphasizing how geopolitical tensions and global crises amplify systemic linkages across financial markets</w:t>
      </w:r>
    </w:p>
    <w:p w14:paraId="42CB9394" w14:textId="77777777" w:rsidR="00E338AF" w:rsidRPr="00012F08" w:rsidRDefault="00E338AF" w:rsidP="00E338AF">
      <w:pPr>
        <w:ind w:firstLine="720"/>
        <w:rPr>
          <w:rFonts w:ascii="Times New Roman" w:hAnsi="Times New Roman" w:cs="Times New Roman"/>
          <w:rtl/>
        </w:rPr>
      </w:pPr>
    </w:p>
    <w:p w14:paraId="604DEFAE" w14:textId="3C0C6001" w:rsidR="00E338AF" w:rsidRPr="00012F08" w:rsidRDefault="00E338AF" w:rsidP="00E338AF">
      <w:pPr>
        <w:bidi w:val="0"/>
        <w:rPr>
          <w:rFonts w:asciiTheme="majorBidi" w:hAnsiTheme="majorBidi" w:cstheme="majorBidi"/>
          <w:sz w:val="20"/>
        </w:rPr>
      </w:pPr>
    </w:p>
    <w:p w14:paraId="16B1275B" w14:textId="77777777" w:rsidR="007B2FF9" w:rsidRPr="00012F08" w:rsidRDefault="007B2FF9" w:rsidP="007B2FF9">
      <w:pPr>
        <w:bidi w:val="0"/>
        <w:jc w:val="center"/>
        <w:rPr>
          <w:rFonts w:asciiTheme="majorBidi" w:hAnsiTheme="majorBidi" w:cstheme="majorBidi"/>
          <w:b/>
          <w:bCs/>
          <w:sz w:val="20"/>
        </w:rPr>
      </w:pPr>
    </w:p>
    <w:p w14:paraId="3F3E2BCF" w14:textId="4E455F96" w:rsidR="001F0494" w:rsidRPr="00012F08" w:rsidRDefault="00D44147" w:rsidP="007B2FF9">
      <w:pPr>
        <w:bidi w:val="0"/>
        <w:jc w:val="center"/>
        <w:rPr>
          <w:rFonts w:asciiTheme="majorBidi" w:hAnsiTheme="majorBidi" w:cstheme="majorBidi"/>
          <w:sz w:val="20"/>
        </w:rPr>
      </w:pPr>
      <w:r w:rsidRPr="00012F08">
        <w:rPr>
          <w:rFonts w:asciiTheme="majorBidi" w:hAnsiTheme="majorBidi" w:cstheme="majorBidi"/>
          <w:b/>
          <w:bCs/>
          <w:sz w:val="20"/>
        </w:rPr>
        <w:t xml:space="preserve">Figure 3: </w:t>
      </w:r>
      <w:r w:rsidR="001F0494" w:rsidRPr="00012F08">
        <w:rPr>
          <w:rFonts w:asciiTheme="majorBidi" w:hAnsiTheme="majorBidi" w:cstheme="majorBidi"/>
          <w:b/>
          <w:bCs/>
          <w:sz w:val="20"/>
        </w:rPr>
        <w:t>Dynamic Total Connectedness Over the Full Sample Period (1993–2024)</w:t>
      </w:r>
    </w:p>
    <w:p w14:paraId="6A249F24" w14:textId="0F992EF7" w:rsidR="00E338AF" w:rsidRPr="00012F08" w:rsidRDefault="00000000" w:rsidP="00E338AF">
      <w:pPr>
        <w:bidi w:val="0"/>
        <w:rPr>
          <w:rFonts w:asciiTheme="majorBidi" w:hAnsiTheme="majorBidi" w:cstheme="majorBidi"/>
          <w:b/>
          <w:bCs/>
          <w:sz w:val="20"/>
        </w:rPr>
      </w:pPr>
      <w:r>
        <w:rPr>
          <w:rFonts w:asciiTheme="majorBidi" w:hAnsiTheme="majorBidi" w:cstheme="majorBidi"/>
          <w:noProof/>
          <w:sz w:val="20"/>
        </w:rPr>
        <w:pict w14:anchorId="6683C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margin-left:3pt;margin-top:9.55pt;width:683pt;height:254.15pt;z-index:251675648;mso-wrap-style:tight;mso-wrap-edited:f;mso-width-percent:0;mso-height-percent:0;mso-width-percent:0;mso-height-percent:0" filled="t" stroked="t">
            <v:imagedata r:id="rId32" o:title=""/>
            <w10:wrap anchorx="page"/>
          </v:shape>
        </w:pict>
      </w:r>
    </w:p>
    <w:p w14:paraId="2BF3CED3" w14:textId="77777777" w:rsidR="001F0494" w:rsidRPr="00012F08" w:rsidRDefault="001F0494" w:rsidP="001F0494">
      <w:pPr>
        <w:bidi w:val="0"/>
        <w:rPr>
          <w:rFonts w:asciiTheme="majorBidi" w:hAnsiTheme="majorBidi" w:cstheme="majorBidi"/>
          <w:sz w:val="20"/>
        </w:rPr>
      </w:pPr>
    </w:p>
    <w:p w14:paraId="7E94F90F" w14:textId="77777777" w:rsidR="00830152" w:rsidRPr="00012F08" w:rsidRDefault="00830152" w:rsidP="001F0494">
      <w:pPr>
        <w:tabs>
          <w:tab w:val="left" w:pos="12030"/>
        </w:tabs>
        <w:bidi w:val="0"/>
        <w:jc w:val="both"/>
        <w:rPr>
          <w:rFonts w:asciiTheme="majorBidi" w:hAnsiTheme="majorBidi" w:cstheme="majorBidi"/>
          <w:sz w:val="20"/>
        </w:rPr>
      </w:pPr>
    </w:p>
    <w:p w14:paraId="556C63BB" w14:textId="3378DE0D" w:rsidR="00830152" w:rsidRPr="00012F08" w:rsidRDefault="00830152" w:rsidP="00830152">
      <w:pPr>
        <w:tabs>
          <w:tab w:val="left" w:pos="12030"/>
        </w:tabs>
        <w:bidi w:val="0"/>
        <w:jc w:val="both"/>
        <w:rPr>
          <w:rFonts w:asciiTheme="majorBidi" w:hAnsiTheme="majorBidi" w:cstheme="majorBidi"/>
          <w:sz w:val="20"/>
        </w:rPr>
      </w:pPr>
    </w:p>
    <w:p w14:paraId="7D4E671C" w14:textId="77777777" w:rsidR="00830152" w:rsidRPr="00012F08" w:rsidRDefault="00830152" w:rsidP="00830152">
      <w:pPr>
        <w:tabs>
          <w:tab w:val="left" w:pos="12030"/>
        </w:tabs>
        <w:bidi w:val="0"/>
        <w:jc w:val="both"/>
        <w:rPr>
          <w:rFonts w:asciiTheme="majorBidi" w:hAnsiTheme="majorBidi" w:cstheme="majorBidi"/>
          <w:sz w:val="20"/>
        </w:rPr>
      </w:pPr>
    </w:p>
    <w:p w14:paraId="18C83B6D" w14:textId="77777777" w:rsidR="00830152" w:rsidRPr="00012F08" w:rsidRDefault="00830152" w:rsidP="00830152">
      <w:pPr>
        <w:tabs>
          <w:tab w:val="left" w:pos="12030"/>
        </w:tabs>
        <w:bidi w:val="0"/>
        <w:jc w:val="both"/>
        <w:rPr>
          <w:rFonts w:asciiTheme="majorBidi" w:hAnsiTheme="majorBidi" w:cstheme="majorBidi"/>
          <w:sz w:val="20"/>
        </w:rPr>
      </w:pPr>
    </w:p>
    <w:p w14:paraId="1094EFA4" w14:textId="77777777" w:rsidR="00830152" w:rsidRPr="00012F08" w:rsidRDefault="00830152" w:rsidP="00830152">
      <w:pPr>
        <w:tabs>
          <w:tab w:val="left" w:pos="12030"/>
        </w:tabs>
        <w:bidi w:val="0"/>
        <w:jc w:val="both"/>
        <w:rPr>
          <w:rFonts w:asciiTheme="majorBidi" w:hAnsiTheme="majorBidi" w:cstheme="majorBidi"/>
          <w:sz w:val="20"/>
        </w:rPr>
      </w:pPr>
    </w:p>
    <w:p w14:paraId="4997C77E" w14:textId="77777777" w:rsidR="00830152" w:rsidRPr="00012F08" w:rsidRDefault="00830152" w:rsidP="00830152">
      <w:pPr>
        <w:tabs>
          <w:tab w:val="left" w:pos="12030"/>
        </w:tabs>
        <w:bidi w:val="0"/>
        <w:jc w:val="both"/>
        <w:rPr>
          <w:rFonts w:asciiTheme="majorBidi" w:hAnsiTheme="majorBidi" w:cstheme="majorBidi"/>
          <w:sz w:val="20"/>
        </w:rPr>
      </w:pPr>
    </w:p>
    <w:p w14:paraId="79F6AD0A" w14:textId="77777777" w:rsidR="00830152" w:rsidRPr="00012F08" w:rsidRDefault="00830152" w:rsidP="00830152">
      <w:pPr>
        <w:tabs>
          <w:tab w:val="left" w:pos="12030"/>
        </w:tabs>
        <w:bidi w:val="0"/>
        <w:jc w:val="both"/>
        <w:rPr>
          <w:rFonts w:asciiTheme="majorBidi" w:hAnsiTheme="majorBidi" w:cstheme="majorBidi"/>
          <w:sz w:val="20"/>
        </w:rPr>
      </w:pPr>
    </w:p>
    <w:p w14:paraId="091892EF" w14:textId="77777777" w:rsidR="00830152" w:rsidRPr="00012F08" w:rsidRDefault="00830152" w:rsidP="00830152">
      <w:pPr>
        <w:tabs>
          <w:tab w:val="left" w:pos="12030"/>
        </w:tabs>
        <w:bidi w:val="0"/>
        <w:jc w:val="both"/>
        <w:rPr>
          <w:rFonts w:asciiTheme="majorBidi" w:hAnsiTheme="majorBidi" w:cstheme="majorBidi"/>
          <w:sz w:val="20"/>
        </w:rPr>
      </w:pPr>
    </w:p>
    <w:p w14:paraId="65062CE7" w14:textId="77777777" w:rsidR="00830152" w:rsidRPr="00012F08" w:rsidRDefault="00830152" w:rsidP="00830152">
      <w:pPr>
        <w:tabs>
          <w:tab w:val="left" w:pos="12030"/>
        </w:tabs>
        <w:bidi w:val="0"/>
        <w:jc w:val="both"/>
        <w:rPr>
          <w:rFonts w:asciiTheme="majorBidi" w:hAnsiTheme="majorBidi" w:cstheme="majorBidi"/>
          <w:sz w:val="20"/>
        </w:rPr>
      </w:pPr>
    </w:p>
    <w:p w14:paraId="40925F8F" w14:textId="77777777" w:rsidR="00830152" w:rsidRPr="00012F08" w:rsidRDefault="00830152" w:rsidP="00830152">
      <w:pPr>
        <w:tabs>
          <w:tab w:val="left" w:pos="12030"/>
        </w:tabs>
        <w:bidi w:val="0"/>
        <w:jc w:val="both"/>
        <w:rPr>
          <w:rFonts w:asciiTheme="majorBidi" w:hAnsiTheme="majorBidi" w:cstheme="majorBidi"/>
          <w:sz w:val="20"/>
        </w:rPr>
      </w:pPr>
    </w:p>
    <w:p w14:paraId="5B912C78" w14:textId="77777777" w:rsidR="00830152" w:rsidRPr="00012F08" w:rsidRDefault="00830152" w:rsidP="00830152">
      <w:pPr>
        <w:tabs>
          <w:tab w:val="left" w:pos="12030"/>
        </w:tabs>
        <w:bidi w:val="0"/>
        <w:jc w:val="both"/>
        <w:rPr>
          <w:rFonts w:asciiTheme="majorBidi" w:hAnsiTheme="majorBidi" w:cstheme="majorBidi"/>
          <w:sz w:val="20"/>
        </w:rPr>
      </w:pPr>
    </w:p>
    <w:p w14:paraId="71912809" w14:textId="77777777" w:rsidR="00830152" w:rsidRPr="00012F08" w:rsidRDefault="00830152" w:rsidP="00830152">
      <w:pPr>
        <w:tabs>
          <w:tab w:val="left" w:pos="12030"/>
        </w:tabs>
        <w:bidi w:val="0"/>
        <w:jc w:val="both"/>
        <w:rPr>
          <w:rFonts w:asciiTheme="majorBidi" w:hAnsiTheme="majorBidi" w:cstheme="majorBidi"/>
          <w:sz w:val="20"/>
        </w:rPr>
      </w:pPr>
    </w:p>
    <w:p w14:paraId="0F55230C" w14:textId="3F85BFB2" w:rsidR="001F0494" w:rsidRPr="00012F08" w:rsidRDefault="001F0494" w:rsidP="00830152">
      <w:pPr>
        <w:tabs>
          <w:tab w:val="left" w:pos="12030"/>
        </w:tabs>
        <w:bidi w:val="0"/>
        <w:jc w:val="both"/>
        <w:rPr>
          <w:rFonts w:asciiTheme="majorBidi" w:hAnsiTheme="majorBidi" w:cstheme="majorBidi"/>
          <w:sz w:val="20"/>
        </w:rPr>
      </w:pPr>
      <w:r w:rsidRPr="00012F08">
        <w:rPr>
          <w:rFonts w:asciiTheme="majorBidi" w:hAnsiTheme="majorBidi" w:cstheme="majorBidi"/>
          <w:sz w:val="20"/>
        </w:rPr>
        <w:t xml:space="preserve">Notes: The figure depicts the Total Connectedness Index (TCI) computed using a TVP-VAR forecast error variance decomposition across the full sample period from January 1993 to February 2024. The TCI measures the proportion of the forecast error variance in the system attributable to cross-variable spillovers, providing a dynamic indicator of systemic connectedness within the network of variables under examination: the U.S.-China Tension Index (UCT), S&amp;P 500 Index (S&amp;P), CSI 300 Index (CHINA), </w:t>
      </w:r>
      <w:r w:rsidR="006254F2">
        <w:rPr>
          <w:rFonts w:asciiTheme="majorBidi" w:hAnsiTheme="majorBidi" w:cstheme="majorBidi"/>
          <w:sz w:val="20"/>
        </w:rPr>
        <w:t>g</w:t>
      </w:r>
      <w:r w:rsidR="006254F2" w:rsidRPr="00012F08">
        <w:rPr>
          <w:rFonts w:asciiTheme="majorBidi" w:hAnsiTheme="majorBidi" w:cstheme="majorBidi"/>
          <w:sz w:val="20"/>
        </w:rPr>
        <w:t xml:space="preserve">old </w:t>
      </w:r>
      <w:r w:rsidRPr="00012F08">
        <w:rPr>
          <w:rFonts w:asciiTheme="majorBidi" w:hAnsiTheme="majorBidi" w:cstheme="majorBidi"/>
          <w:sz w:val="20"/>
        </w:rPr>
        <w:t>prices (Gold), VIX Index (VIX), USD/CNY exchange rate (USD_CNY), and crude oil prices (Oil). Higher values indicate periods of elevated interconnectedness, often corresponding to episodes of tensions, financial crises, and global shocks</w:t>
      </w:r>
      <w:r w:rsidR="006254F2">
        <w:rPr>
          <w:rFonts w:asciiTheme="majorBidi" w:hAnsiTheme="majorBidi" w:cstheme="majorBidi"/>
          <w:sz w:val="20"/>
        </w:rPr>
        <w:t>.</w:t>
      </w:r>
      <w:r w:rsidR="006254F2" w:rsidRPr="00012F08">
        <w:rPr>
          <w:rFonts w:asciiTheme="majorBidi" w:hAnsiTheme="majorBidi" w:cstheme="majorBidi"/>
          <w:sz w:val="20"/>
        </w:rPr>
        <w:t xml:space="preserve"> </w:t>
      </w:r>
      <w:r w:rsidR="006254F2">
        <w:rPr>
          <w:rFonts w:asciiTheme="majorBidi" w:hAnsiTheme="majorBidi" w:cstheme="majorBidi"/>
          <w:sz w:val="20"/>
        </w:rPr>
        <w:t>L</w:t>
      </w:r>
      <w:r w:rsidR="006254F2" w:rsidRPr="00012F08">
        <w:rPr>
          <w:rFonts w:asciiTheme="majorBidi" w:hAnsiTheme="majorBidi" w:cstheme="majorBidi"/>
          <w:sz w:val="20"/>
        </w:rPr>
        <w:t xml:space="preserve">ower </w:t>
      </w:r>
      <w:r w:rsidRPr="00012F08">
        <w:rPr>
          <w:rFonts w:asciiTheme="majorBidi" w:hAnsiTheme="majorBidi" w:cstheme="majorBidi"/>
          <w:sz w:val="20"/>
        </w:rPr>
        <w:t>values reflect periods of relative market segmentation and stability.</w:t>
      </w:r>
    </w:p>
    <w:p w14:paraId="4289A3C5" w14:textId="502E394F" w:rsidR="001F0494" w:rsidRPr="00012F08" w:rsidRDefault="001F0494" w:rsidP="001F0494">
      <w:pPr>
        <w:tabs>
          <w:tab w:val="left" w:pos="12030"/>
        </w:tabs>
        <w:bidi w:val="0"/>
        <w:rPr>
          <w:rFonts w:asciiTheme="majorBidi" w:hAnsiTheme="majorBidi" w:cstheme="majorBidi"/>
          <w:sz w:val="20"/>
        </w:rPr>
      </w:pPr>
      <w:r w:rsidRPr="00012F08">
        <w:rPr>
          <w:rFonts w:asciiTheme="majorBidi" w:hAnsiTheme="majorBidi" w:cstheme="majorBidi"/>
          <w:sz w:val="20"/>
        </w:rPr>
        <w:tab/>
      </w:r>
    </w:p>
    <w:p w14:paraId="2AF05BA6" w14:textId="77777777" w:rsidR="00A45A35" w:rsidRPr="00012F08" w:rsidRDefault="00A45A35" w:rsidP="00D44147">
      <w:pPr>
        <w:tabs>
          <w:tab w:val="left" w:pos="12030"/>
        </w:tabs>
        <w:bidi w:val="0"/>
        <w:jc w:val="center"/>
        <w:rPr>
          <w:rFonts w:asciiTheme="majorBidi" w:hAnsiTheme="majorBidi" w:cstheme="majorBidi"/>
          <w:b/>
          <w:bCs/>
          <w:sz w:val="20"/>
        </w:rPr>
      </w:pPr>
    </w:p>
    <w:p w14:paraId="7C8DAC7D" w14:textId="77777777" w:rsidR="00C836DB" w:rsidRPr="00012F08" w:rsidRDefault="00C836DB" w:rsidP="007B2FF9">
      <w:pPr>
        <w:tabs>
          <w:tab w:val="left" w:pos="12030"/>
        </w:tabs>
        <w:bidi w:val="0"/>
        <w:jc w:val="center"/>
        <w:rPr>
          <w:rFonts w:asciiTheme="majorBidi" w:hAnsiTheme="majorBidi" w:cstheme="majorBidi"/>
          <w:b/>
          <w:bCs/>
          <w:sz w:val="20"/>
        </w:rPr>
      </w:pPr>
    </w:p>
    <w:p w14:paraId="16857BF9" w14:textId="2BA0E7AB" w:rsidR="00D44147" w:rsidRPr="00012F08" w:rsidRDefault="00D44147" w:rsidP="00C836DB">
      <w:pPr>
        <w:tabs>
          <w:tab w:val="left" w:pos="12030"/>
        </w:tabs>
        <w:bidi w:val="0"/>
        <w:jc w:val="center"/>
        <w:rPr>
          <w:rFonts w:asciiTheme="majorBidi" w:hAnsiTheme="majorBidi" w:cstheme="majorBidi"/>
          <w:sz w:val="20"/>
        </w:rPr>
      </w:pPr>
      <w:r w:rsidRPr="00012F08">
        <w:rPr>
          <w:rFonts w:asciiTheme="majorBidi" w:hAnsiTheme="majorBidi" w:cstheme="majorBidi"/>
          <w:b/>
          <w:bCs/>
          <w:sz w:val="20"/>
        </w:rPr>
        <w:t xml:space="preserve">Figure 4: Dynamic Total Connectedness During </w:t>
      </w:r>
      <w:r w:rsidR="000F4294">
        <w:rPr>
          <w:rFonts w:asciiTheme="majorBidi" w:hAnsiTheme="majorBidi" w:cstheme="majorBidi"/>
          <w:b/>
          <w:bCs/>
          <w:sz w:val="20"/>
        </w:rPr>
        <w:t xml:space="preserve">the </w:t>
      </w:r>
      <w:r w:rsidRPr="00012F08">
        <w:rPr>
          <w:rFonts w:asciiTheme="majorBidi" w:hAnsiTheme="majorBidi" w:cstheme="majorBidi"/>
          <w:b/>
          <w:bCs/>
          <w:sz w:val="20"/>
        </w:rPr>
        <w:t>Pre-Trade War and Trade War/Post-Pandemic Periods</w:t>
      </w:r>
    </w:p>
    <w:p w14:paraId="1AEA2B2D" w14:textId="75733E62" w:rsidR="00E338AF" w:rsidRPr="00012F08" w:rsidRDefault="00E338AF" w:rsidP="00E338AF">
      <w:pPr>
        <w:bidi w:val="0"/>
        <w:rPr>
          <w:rFonts w:asciiTheme="majorBidi" w:hAnsiTheme="majorBidi" w:cstheme="majorBidi"/>
          <w:sz w:val="20"/>
        </w:rPr>
      </w:pPr>
    </w:p>
    <w:p w14:paraId="6D0D5B47" w14:textId="5DA6AB52" w:rsidR="00E338AF" w:rsidRPr="00012F08" w:rsidRDefault="00000000" w:rsidP="00E338AF">
      <w:pPr>
        <w:bidi w:val="0"/>
        <w:rPr>
          <w:rFonts w:asciiTheme="majorBidi" w:hAnsiTheme="majorBidi" w:cstheme="majorBidi"/>
          <w:sz w:val="20"/>
        </w:rPr>
      </w:pPr>
      <w:r>
        <w:rPr>
          <w:rFonts w:asciiTheme="majorBidi" w:hAnsiTheme="majorBidi" w:cstheme="majorBidi"/>
          <w:noProof/>
          <w:sz w:val="20"/>
        </w:rPr>
        <w:pict w14:anchorId="34517B53">
          <v:shape id="_x0000_s1030" type="#_x0000_t75" alt="" style="position:absolute;margin-left:-18.45pt;margin-top:19.85pt;width:329.65pt;height:179.9pt;z-index:251676672;mso-wrap-edited:f;mso-width-percent:0;mso-height-percent:0;mso-width-percent:0;mso-height-percent:0">
            <v:imagedata r:id="rId33" o:title=""/>
            <w10:wrap anchorx="page"/>
          </v:shape>
        </w:pict>
      </w:r>
    </w:p>
    <w:p w14:paraId="547E9FA1" w14:textId="5E074C38" w:rsidR="00E338AF" w:rsidRPr="00012F08" w:rsidRDefault="00000000" w:rsidP="00E338AF">
      <w:pPr>
        <w:bidi w:val="0"/>
        <w:rPr>
          <w:rFonts w:asciiTheme="majorBidi" w:hAnsiTheme="majorBidi" w:cstheme="majorBidi"/>
          <w:sz w:val="20"/>
        </w:rPr>
      </w:pPr>
      <w:r>
        <w:rPr>
          <w:rFonts w:asciiTheme="majorBidi" w:hAnsiTheme="majorBidi" w:cstheme="majorBidi"/>
          <w:noProof/>
          <w:sz w:val="20"/>
        </w:rPr>
        <w:pict w14:anchorId="483C2022">
          <v:shape id="_x0000_s1029" type="#_x0000_t75" alt="" style="position:absolute;margin-left:349.05pt;margin-top:9.75pt;width:337.95pt;height:170.35pt;z-index:251677696;mso-wrap-edited:f;mso-width-percent:0;mso-height-percent:0;mso-width-percent:0;mso-height-percent:0" filled="t" stroked="t">
            <v:imagedata r:id="rId34" o:title=""/>
            <w10:wrap anchorx="page"/>
          </v:shape>
        </w:pict>
      </w:r>
    </w:p>
    <w:p w14:paraId="68BFADB2" w14:textId="177493EC" w:rsidR="00E338AF" w:rsidRPr="00012F08" w:rsidRDefault="00E338AF" w:rsidP="00E338AF">
      <w:pPr>
        <w:bidi w:val="0"/>
        <w:rPr>
          <w:rFonts w:asciiTheme="majorBidi" w:hAnsiTheme="majorBidi" w:cstheme="majorBidi"/>
          <w:sz w:val="20"/>
        </w:rPr>
      </w:pPr>
    </w:p>
    <w:p w14:paraId="2B1903B8" w14:textId="64C0CE1D" w:rsidR="00E338AF" w:rsidRPr="00012F08" w:rsidRDefault="00E338AF" w:rsidP="00E338AF">
      <w:pPr>
        <w:bidi w:val="0"/>
        <w:rPr>
          <w:rFonts w:asciiTheme="majorBidi" w:hAnsiTheme="majorBidi" w:cstheme="majorBidi"/>
          <w:sz w:val="20"/>
        </w:rPr>
      </w:pPr>
    </w:p>
    <w:p w14:paraId="7EDBFA3E" w14:textId="19226C5E" w:rsidR="00E338AF" w:rsidRPr="00012F08" w:rsidRDefault="00E338AF" w:rsidP="00E338AF">
      <w:pPr>
        <w:bidi w:val="0"/>
        <w:rPr>
          <w:rFonts w:asciiTheme="majorBidi" w:hAnsiTheme="majorBidi" w:cstheme="majorBidi"/>
          <w:sz w:val="20"/>
        </w:rPr>
      </w:pPr>
    </w:p>
    <w:p w14:paraId="46ACBE2A" w14:textId="56F880DC" w:rsidR="00E338AF" w:rsidRPr="00012F08" w:rsidRDefault="00E338AF" w:rsidP="00E338AF">
      <w:pPr>
        <w:bidi w:val="0"/>
        <w:rPr>
          <w:rFonts w:asciiTheme="majorBidi" w:hAnsiTheme="majorBidi" w:cstheme="majorBidi"/>
          <w:sz w:val="20"/>
        </w:rPr>
      </w:pPr>
    </w:p>
    <w:p w14:paraId="1307F1A0" w14:textId="243D4CDB" w:rsidR="00E338AF" w:rsidRPr="00012F08" w:rsidRDefault="00E338AF" w:rsidP="00E338AF">
      <w:pPr>
        <w:bidi w:val="0"/>
        <w:rPr>
          <w:rFonts w:asciiTheme="majorBidi" w:hAnsiTheme="majorBidi" w:cstheme="majorBidi"/>
          <w:sz w:val="20"/>
        </w:rPr>
      </w:pPr>
    </w:p>
    <w:p w14:paraId="63131385" w14:textId="3FF3B956" w:rsidR="00E338AF" w:rsidRPr="00012F08" w:rsidRDefault="00E338AF" w:rsidP="00E338AF">
      <w:pPr>
        <w:bidi w:val="0"/>
        <w:rPr>
          <w:rFonts w:asciiTheme="majorBidi" w:hAnsiTheme="majorBidi" w:cstheme="majorBidi"/>
          <w:sz w:val="20"/>
        </w:rPr>
      </w:pPr>
    </w:p>
    <w:p w14:paraId="61E86977" w14:textId="1B318DCE" w:rsidR="00E338AF" w:rsidRPr="00012F08" w:rsidRDefault="00E338AF" w:rsidP="00E338AF">
      <w:pPr>
        <w:bidi w:val="0"/>
        <w:rPr>
          <w:rFonts w:asciiTheme="majorBidi" w:hAnsiTheme="majorBidi" w:cstheme="majorBidi"/>
          <w:sz w:val="20"/>
        </w:rPr>
      </w:pPr>
    </w:p>
    <w:p w14:paraId="52B51F9A" w14:textId="39C761D9" w:rsidR="00E338AF" w:rsidRPr="00012F08" w:rsidRDefault="00E338AF" w:rsidP="00E338AF">
      <w:pPr>
        <w:bidi w:val="0"/>
        <w:rPr>
          <w:rFonts w:asciiTheme="majorBidi" w:hAnsiTheme="majorBidi" w:cstheme="majorBidi"/>
          <w:sz w:val="20"/>
        </w:rPr>
      </w:pPr>
    </w:p>
    <w:p w14:paraId="16F9CFA0" w14:textId="3752D995" w:rsidR="00E338AF" w:rsidRPr="00012F08" w:rsidRDefault="00E338AF" w:rsidP="00E338AF">
      <w:pPr>
        <w:bidi w:val="0"/>
        <w:rPr>
          <w:rFonts w:asciiTheme="majorBidi" w:hAnsiTheme="majorBidi" w:cstheme="majorBidi"/>
          <w:sz w:val="20"/>
        </w:rPr>
      </w:pPr>
    </w:p>
    <w:p w14:paraId="73DF14C7" w14:textId="77777777" w:rsidR="00830152" w:rsidRPr="00012F08" w:rsidRDefault="00830152" w:rsidP="00830152">
      <w:pPr>
        <w:bidi w:val="0"/>
        <w:jc w:val="both"/>
        <w:rPr>
          <w:rFonts w:asciiTheme="majorBidi" w:hAnsiTheme="majorBidi" w:cstheme="majorBidi"/>
          <w:sz w:val="20"/>
        </w:rPr>
      </w:pPr>
    </w:p>
    <w:p w14:paraId="44560E81" w14:textId="2AB9CD27" w:rsidR="00D44147" w:rsidRPr="00012F08" w:rsidRDefault="00D44147" w:rsidP="00830152">
      <w:pPr>
        <w:bidi w:val="0"/>
        <w:jc w:val="both"/>
        <w:rPr>
          <w:rFonts w:asciiTheme="majorBidi" w:hAnsiTheme="majorBidi" w:cstheme="majorBidi"/>
          <w:sz w:val="20"/>
        </w:rPr>
        <w:sectPr w:rsidR="00D44147" w:rsidRPr="00012F08" w:rsidSect="007B2FF9">
          <w:pgSz w:w="16838" w:h="11906" w:orient="landscape"/>
          <w:pgMar w:top="1276" w:right="1440" w:bottom="1800" w:left="1440" w:header="708" w:footer="708" w:gutter="0"/>
          <w:cols w:space="708"/>
          <w:bidi/>
          <w:rtlGutter/>
          <w:docGrid w:linePitch="360"/>
        </w:sectPr>
      </w:pPr>
      <w:r w:rsidRPr="00012F08">
        <w:rPr>
          <w:rFonts w:asciiTheme="majorBidi" w:hAnsiTheme="majorBidi" w:cstheme="majorBidi"/>
          <w:sz w:val="20"/>
        </w:rPr>
        <w:t xml:space="preserve">Notes: The figure presents the Total Connectedness Index (TCI) computed from the TVP-VAR forecast error variance decomposition </w:t>
      </w:r>
      <w:r w:rsidR="000F4294">
        <w:rPr>
          <w:rFonts w:asciiTheme="majorBidi" w:hAnsiTheme="majorBidi" w:cstheme="majorBidi"/>
          <w:sz w:val="20"/>
        </w:rPr>
        <w:t xml:space="preserve">for </w:t>
      </w:r>
      <w:r w:rsidRPr="00012F08">
        <w:rPr>
          <w:rFonts w:asciiTheme="majorBidi" w:hAnsiTheme="majorBidi" w:cstheme="majorBidi"/>
          <w:sz w:val="20"/>
        </w:rPr>
        <w:t xml:space="preserve">two distinct </w:t>
      </w:r>
      <w:r w:rsidR="000F4294">
        <w:rPr>
          <w:rFonts w:asciiTheme="majorBidi" w:hAnsiTheme="majorBidi" w:cstheme="majorBidi"/>
          <w:sz w:val="20"/>
        </w:rPr>
        <w:t>sub</w:t>
      </w:r>
      <w:r w:rsidRPr="00012F08">
        <w:rPr>
          <w:rFonts w:asciiTheme="majorBidi" w:hAnsiTheme="majorBidi" w:cstheme="majorBidi"/>
          <w:sz w:val="20"/>
        </w:rPr>
        <w:t xml:space="preserve">periods in the analysis. The </w:t>
      </w:r>
      <w:r w:rsidR="000F4294">
        <w:rPr>
          <w:rFonts w:asciiTheme="majorBidi" w:hAnsiTheme="majorBidi" w:cstheme="majorBidi"/>
          <w:sz w:val="20"/>
        </w:rPr>
        <w:t>l</w:t>
      </w:r>
      <w:r w:rsidR="000F4294" w:rsidRPr="00674425">
        <w:rPr>
          <w:rFonts w:asciiTheme="majorBidi" w:hAnsiTheme="majorBidi" w:cstheme="majorBidi"/>
          <w:sz w:val="20"/>
        </w:rPr>
        <w:t>eft</w:t>
      </w:r>
      <w:r w:rsidR="000F4294">
        <w:rPr>
          <w:rFonts w:asciiTheme="majorBidi" w:hAnsiTheme="majorBidi" w:cstheme="majorBidi"/>
          <w:sz w:val="20"/>
        </w:rPr>
        <w:t>-hand</w:t>
      </w:r>
      <w:r w:rsidR="000F4294" w:rsidRPr="00674425">
        <w:rPr>
          <w:rFonts w:asciiTheme="majorBidi" w:hAnsiTheme="majorBidi" w:cstheme="majorBidi"/>
          <w:sz w:val="20"/>
        </w:rPr>
        <w:t xml:space="preserve"> </w:t>
      </w:r>
      <w:r w:rsidRPr="00674425">
        <w:rPr>
          <w:rFonts w:asciiTheme="majorBidi" w:hAnsiTheme="majorBidi" w:cstheme="majorBidi"/>
          <w:sz w:val="20"/>
        </w:rPr>
        <w:t>graph</w:t>
      </w:r>
      <w:r w:rsidRPr="000F4294">
        <w:rPr>
          <w:rFonts w:asciiTheme="majorBidi" w:hAnsiTheme="majorBidi" w:cstheme="majorBidi"/>
          <w:sz w:val="20"/>
        </w:rPr>
        <w:t xml:space="preserve"> corresponds to the </w:t>
      </w:r>
      <w:r w:rsidR="000F4294" w:rsidRPr="000F4294">
        <w:rPr>
          <w:rFonts w:asciiTheme="majorBidi" w:hAnsiTheme="majorBidi" w:cstheme="majorBidi"/>
          <w:sz w:val="20"/>
        </w:rPr>
        <w:t xml:space="preserve">pre-trade war globalization </w:t>
      </w:r>
      <w:r w:rsidRPr="00674425">
        <w:rPr>
          <w:rFonts w:asciiTheme="majorBidi" w:hAnsiTheme="majorBidi" w:cstheme="majorBidi"/>
          <w:sz w:val="20"/>
        </w:rPr>
        <w:t>period (January 1993 to December 2017)</w:t>
      </w:r>
      <w:r w:rsidRPr="000F4294">
        <w:rPr>
          <w:rFonts w:asciiTheme="majorBidi" w:hAnsiTheme="majorBidi" w:cstheme="majorBidi"/>
          <w:sz w:val="20"/>
        </w:rPr>
        <w:t xml:space="preserve">, while the </w:t>
      </w:r>
      <w:r w:rsidR="000F4294">
        <w:rPr>
          <w:rFonts w:asciiTheme="majorBidi" w:hAnsiTheme="majorBidi" w:cstheme="majorBidi"/>
          <w:sz w:val="20"/>
        </w:rPr>
        <w:t>r</w:t>
      </w:r>
      <w:r w:rsidR="000F4294" w:rsidRPr="00674425">
        <w:rPr>
          <w:rFonts w:asciiTheme="majorBidi" w:hAnsiTheme="majorBidi" w:cstheme="majorBidi"/>
          <w:sz w:val="20"/>
        </w:rPr>
        <w:t>ight</w:t>
      </w:r>
      <w:r w:rsidR="000F4294">
        <w:rPr>
          <w:rFonts w:asciiTheme="majorBidi" w:hAnsiTheme="majorBidi" w:cstheme="majorBidi"/>
          <w:sz w:val="20"/>
        </w:rPr>
        <w:t>-hand</w:t>
      </w:r>
      <w:r w:rsidR="000F4294" w:rsidRPr="00674425">
        <w:rPr>
          <w:rFonts w:asciiTheme="majorBidi" w:hAnsiTheme="majorBidi" w:cstheme="majorBidi"/>
          <w:sz w:val="20"/>
        </w:rPr>
        <w:t xml:space="preserve"> </w:t>
      </w:r>
      <w:r w:rsidRPr="00674425">
        <w:rPr>
          <w:rFonts w:asciiTheme="majorBidi" w:hAnsiTheme="majorBidi" w:cstheme="majorBidi"/>
          <w:sz w:val="20"/>
        </w:rPr>
        <w:t>graph</w:t>
      </w:r>
      <w:r w:rsidRPr="000F4294">
        <w:rPr>
          <w:rFonts w:asciiTheme="majorBidi" w:hAnsiTheme="majorBidi" w:cstheme="majorBidi"/>
          <w:sz w:val="20"/>
        </w:rPr>
        <w:t xml:space="preserve"> displays the TCI during the </w:t>
      </w:r>
      <w:r w:rsidR="000F4294" w:rsidRPr="000F4294">
        <w:rPr>
          <w:rFonts w:asciiTheme="majorBidi" w:hAnsiTheme="majorBidi" w:cstheme="majorBidi"/>
          <w:sz w:val="20"/>
        </w:rPr>
        <w:t xml:space="preserve">trade war </w:t>
      </w:r>
      <w:r w:rsidRPr="00674425">
        <w:rPr>
          <w:rFonts w:asciiTheme="majorBidi" w:hAnsiTheme="majorBidi" w:cstheme="majorBidi"/>
          <w:sz w:val="20"/>
        </w:rPr>
        <w:t xml:space="preserve">and </w:t>
      </w:r>
      <w:r w:rsidR="000F4294" w:rsidRPr="000F4294">
        <w:rPr>
          <w:rFonts w:asciiTheme="majorBidi" w:hAnsiTheme="majorBidi" w:cstheme="majorBidi"/>
          <w:sz w:val="20"/>
        </w:rPr>
        <w:t xml:space="preserve">post-pandemic tensions </w:t>
      </w:r>
      <w:r w:rsidRPr="00674425">
        <w:rPr>
          <w:rFonts w:asciiTheme="majorBidi" w:hAnsiTheme="majorBidi" w:cstheme="majorBidi"/>
          <w:sz w:val="20"/>
        </w:rPr>
        <w:t>period (January 2018 to February 2024)</w:t>
      </w:r>
      <w:r w:rsidRPr="000F4294">
        <w:rPr>
          <w:rFonts w:asciiTheme="majorBidi" w:hAnsiTheme="majorBidi" w:cstheme="majorBidi"/>
          <w:sz w:val="20"/>
        </w:rPr>
        <w:t>. The TCI captures the proportion of forecast error variance in the system attributable to cross-variable spillovers</w:t>
      </w:r>
      <w:r w:rsidR="001B31E1">
        <w:rPr>
          <w:rFonts w:asciiTheme="majorBidi" w:hAnsiTheme="majorBidi" w:cstheme="majorBidi"/>
          <w:sz w:val="20"/>
        </w:rPr>
        <w:t>. It serves</w:t>
      </w:r>
      <w:r w:rsidR="001B31E1" w:rsidRPr="000F4294">
        <w:rPr>
          <w:rFonts w:asciiTheme="majorBidi" w:hAnsiTheme="majorBidi" w:cstheme="majorBidi"/>
          <w:sz w:val="20"/>
        </w:rPr>
        <w:t xml:space="preserve"> </w:t>
      </w:r>
      <w:r w:rsidRPr="000F4294">
        <w:rPr>
          <w:rFonts w:asciiTheme="majorBidi" w:hAnsiTheme="majorBidi" w:cstheme="majorBidi"/>
          <w:sz w:val="20"/>
        </w:rPr>
        <w:t>as a dynamic indicator of systemic interconnectedness within the network of variables</w:t>
      </w:r>
      <w:r w:rsidRPr="00012F08">
        <w:rPr>
          <w:rFonts w:asciiTheme="majorBidi" w:hAnsiTheme="majorBidi" w:cstheme="majorBidi"/>
          <w:sz w:val="20"/>
        </w:rPr>
        <w:t xml:space="preserve">: </w:t>
      </w:r>
      <w:r w:rsidR="001B31E1">
        <w:rPr>
          <w:rFonts w:asciiTheme="majorBidi" w:hAnsiTheme="majorBidi" w:cstheme="majorBidi"/>
          <w:sz w:val="20"/>
        </w:rPr>
        <w:t xml:space="preserve">The </w:t>
      </w:r>
      <w:r w:rsidRPr="00012F08">
        <w:rPr>
          <w:rFonts w:asciiTheme="majorBidi" w:hAnsiTheme="majorBidi" w:cstheme="majorBidi"/>
          <w:sz w:val="20"/>
        </w:rPr>
        <w:t xml:space="preserve">U.S.-China Tension Index (UCT), S&amp;P 500 Index (S&amp;P), CSI 300 Index (CHINA), </w:t>
      </w:r>
      <w:r w:rsidR="001B31E1">
        <w:rPr>
          <w:rFonts w:asciiTheme="majorBidi" w:hAnsiTheme="majorBidi" w:cstheme="majorBidi"/>
          <w:sz w:val="20"/>
        </w:rPr>
        <w:t>g</w:t>
      </w:r>
      <w:r w:rsidR="001B31E1" w:rsidRPr="00012F08">
        <w:rPr>
          <w:rFonts w:asciiTheme="majorBidi" w:hAnsiTheme="majorBidi" w:cstheme="majorBidi"/>
          <w:sz w:val="20"/>
        </w:rPr>
        <w:t xml:space="preserve">old </w:t>
      </w:r>
      <w:r w:rsidRPr="00012F08">
        <w:rPr>
          <w:rFonts w:asciiTheme="majorBidi" w:hAnsiTheme="majorBidi" w:cstheme="majorBidi"/>
          <w:sz w:val="20"/>
        </w:rPr>
        <w:t xml:space="preserve">prices (Gold), VIX Index (VIX), USD/CNY exchange rate (USD_CNY), and crude oil prices (Oil). The increase in TCI levels and volatility in the later period </w:t>
      </w:r>
      <w:proofErr w:type="gramStart"/>
      <w:r w:rsidRPr="00012F08">
        <w:rPr>
          <w:rFonts w:asciiTheme="majorBidi" w:hAnsiTheme="majorBidi" w:cstheme="majorBidi"/>
          <w:sz w:val="20"/>
        </w:rPr>
        <w:t>highlight</w:t>
      </w:r>
      <w:proofErr w:type="gramEnd"/>
      <w:r w:rsidRPr="00012F08">
        <w:rPr>
          <w:rFonts w:asciiTheme="majorBidi" w:hAnsiTheme="majorBidi" w:cstheme="majorBidi"/>
          <w:sz w:val="20"/>
        </w:rPr>
        <w:t xml:space="preserve"> how tensions and global shocks have intensified systemic connectedness across markets</w:t>
      </w:r>
      <w:r w:rsidR="001B31E1">
        <w:rPr>
          <w:rFonts w:asciiTheme="majorBidi" w:hAnsiTheme="majorBidi" w:cstheme="majorBidi"/>
          <w:sz w:val="20"/>
        </w:rPr>
        <w:t>. This heightened connectedness</w:t>
      </w:r>
      <w:r w:rsidR="001B31E1" w:rsidRPr="00012F08">
        <w:rPr>
          <w:rFonts w:asciiTheme="majorBidi" w:hAnsiTheme="majorBidi" w:cstheme="majorBidi"/>
          <w:sz w:val="20"/>
        </w:rPr>
        <w:t xml:space="preserve"> contrast</w:t>
      </w:r>
      <w:r w:rsidR="001B31E1">
        <w:rPr>
          <w:rFonts w:asciiTheme="majorBidi" w:hAnsiTheme="majorBidi" w:cstheme="majorBidi"/>
          <w:sz w:val="20"/>
        </w:rPr>
        <w:t>s</w:t>
      </w:r>
      <w:r w:rsidR="001B31E1" w:rsidRPr="00012F08">
        <w:rPr>
          <w:rFonts w:asciiTheme="majorBidi" w:hAnsiTheme="majorBidi" w:cstheme="majorBidi"/>
          <w:sz w:val="20"/>
        </w:rPr>
        <w:t xml:space="preserve"> </w:t>
      </w:r>
      <w:r w:rsidRPr="00012F08">
        <w:rPr>
          <w:rFonts w:asciiTheme="majorBidi" w:hAnsiTheme="majorBidi" w:cstheme="majorBidi"/>
          <w:sz w:val="20"/>
        </w:rPr>
        <w:t xml:space="preserve">with the relatively </w:t>
      </w:r>
      <w:r w:rsidR="001B31E1">
        <w:rPr>
          <w:rFonts w:asciiTheme="majorBidi" w:hAnsiTheme="majorBidi" w:cstheme="majorBidi"/>
          <w:sz w:val="20"/>
        </w:rPr>
        <w:t>less connected and more stable situations</w:t>
      </w:r>
      <w:r w:rsidR="001B31E1" w:rsidRPr="00012F08">
        <w:rPr>
          <w:rFonts w:asciiTheme="majorBidi" w:hAnsiTheme="majorBidi" w:cstheme="majorBidi"/>
          <w:sz w:val="20"/>
        </w:rPr>
        <w:t xml:space="preserve"> </w:t>
      </w:r>
      <w:r w:rsidRPr="00012F08">
        <w:rPr>
          <w:rFonts w:asciiTheme="majorBidi" w:hAnsiTheme="majorBidi" w:cstheme="majorBidi"/>
          <w:sz w:val="20"/>
        </w:rPr>
        <w:t>observed during the earlier period of globalization.</w:t>
      </w:r>
      <w:r w:rsidRPr="00012F08">
        <w:rPr>
          <w:rFonts w:asciiTheme="majorBidi" w:hAnsiTheme="majorBidi" w:cstheme="majorBidi"/>
          <w:sz w:val="20"/>
        </w:rPr>
        <w:tab/>
      </w:r>
    </w:p>
    <w:p w14:paraId="60175865" w14:textId="0A36D8C8" w:rsidR="00A45A35" w:rsidRPr="00012F08" w:rsidRDefault="00A45A35" w:rsidP="00A45A35">
      <w:pPr>
        <w:bidi w:val="0"/>
        <w:jc w:val="center"/>
        <w:rPr>
          <w:rFonts w:asciiTheme="majorBidi" w:hAnsiTheme="majorBidi" w:cstheme="majorBidi"/>
          <w:sz w:val="24"/>
          <w:szCs w:val="24"/>
        </w:rPr>
      </w:pPr>
      <w:r w:rsidRPr="00012F08">
        <w:rPr>
          <w:rFonts w:asciiTheme="majorBidi" w:hAnsiTheme="majorBidi" w:cstheme="majorBidi"/>
          <w:b/>
          <w:bCs/>
          <w:sz w:val="24"/>
          <w:szCs w:val="24"/>
        </w:rPr>
        <w:t xml:space="preserve">Figure 5: Dynamic Net Connectedness of Each Variable </w:t>
      </w:r>
      <w:r w:rsidR="00CC1F2E">
        <w:rPr>
          <w:rFonts w:asciiTheme="majorBidi" w:hAnsiTheme="majorBidi" w:cstheme="majorBidi"/>
          <w:b/>
          <w:bCs/>
          <w:sz w:val="24"/>
          <w:szCs w:val="24"/>
        </w:rPr>
        <w:t>During</w:t>
      </w:r>
      <w:r w:rsidR="00CC1F2E" w:rsidRPr="00012F08">
        <w:rPr>
          <w:rFonts w:asciiTheme="majorBidi" w:hAnsiTheme="majorBidi" w:cstheme="majorBidi"/>
          <w:b/>
          <w:bCs/>
          <w:sz w:val="24"/>
          <w:szCs w:val="24"/>
        </w:rPr>
        <w:t xml:space="preserve"> </w:t>
      </w:r>
      <w:r w:rsidRPr="00012F08">
        <w:rPr>
          <w:rFonts w:asciiTheme="majorBidi" w:hAnsiTheme="majorBidi" w:cstheme="majorBidi"/>
          <w:b/>
          <w:bCs/>
          <w:sz w:val="24"/>
          <w:szCs w:val="24"/>
        </w:rPr>
        <w:t xml:space="preserve">the </w:t>
      </w:r>
      <w:r w:rsidR="00CC1F2E">
        <w:rPr>
          <w:rFonts w:asciiTheme="majorBidi" w:hAnsiTheme="majorBidi" w:cstheme="majorBidi"/>
          <w:b/>
          <w:bCs/>
          <w:sz w:val="24"/>
          <w:szCs w:val="24"/>
        </w:rPr>
        <w:t>Entire</w:t>
      </w:r>
      <w:r w:rsidR="00CC1F2E" w:rsidRPr="00012F08">
        <w:rPr>
          <w:rFonts w:asciiTheme="majorBidi" w:hAnsiTheme="majorBidi" w:cstheme="majorBidi"/>
          <w:b/>
          <w:bCs/>
          <w:sz w:val="24"/>
          <w:szCs w:val="24"/>
        </w:rPr>
        <w:t xml:space="preserve"> </w:t>
      </w:r>
      <w:r w:rsidRPr="00012F08">
        <w:rPr>
          <w:rFonts w:asciiTheme="majorBidi" w:hAnsiTheme="majorBidi" w:cstheme="majorBidi"/>
          <w:b/>
          <w:bCs/>
          <w:sz w:val="24"/>
          <w:szCs w:val="24"/>
        </w:rPr>
        <w:t>Sample Period (1993–2024)</w:t>
      </w:r>
    </w:p>
    <w:p w14:paraId="1A0EAAEB" w14:textId="76ED03C0" w:rsidR="0072697E" w:rsidRPr="00012F08" w:rsidRDefault="00000000" w:rsidP="0072697E">
      <w:pPr>
        <w:bidi w:val="0"/>
        <w:rPr>
          <w:rFonts w:asciiTheme="majorBidi" w:hAnsiTheme="majorBidi" w:cstheme="majorBidi"/>
          <w:sz w:val="24"/>
          <w:szCs w:val="24"/>
        </w:rPr>
      </w:pPr>
      <w:r>
        <w:rPr>
          <w:rFonts w:asciiTheme="majorBidi" w:hAnsiTheme="majorBidi" w:cstheme="majorBidi"/>
          <w:noProof/>
          <w:sz w:val="24"/>
          <w:szCs w:val="24"/>
        </w:rPr>
        <w:pict w14:anchorId="6FD3BF2E">
          <v:shape id="_x0000_s1028" type="#_x0000_t75" alt="" style="position:absolute;margin-left:41.3pt;margin-top:12.55pt;width:564.65pt;height:255.75pt;z-index:251678720;mso-wrap-style:tight;mso-wrap-edited:f;mso-width-percent:0;mso-height-percent:0;mso-width-percent:0;mso-height-percent:0" filled="t" stroked="t">
            <v:imagedata r:id="rId35" o:title=""/>
            <w10:wrap anchorx="page"/>
          </v:shape>
        </w:pict>
      </w:r>
    </w:p>
    <w:p w14:paraId="36E9976B" w14:textId="31BE4B1F" w:rsidR="0072697E" w:rsidRPr="00012F08" w:rsidRDefault="0072697E" w:rsidP="0072697E">
      <w:pPr>
        <w:bidi w:val="0"/>
        <w:rPr>
          <w:rFonts w:asciiTheme="majorBidi" w:hAnsiTheme="majorBidi" w:cstheme="majorBidi"/>
          <w:sz w:val="24"/>
          <w:szCs w:val="24"/>
        </w:rPr>
      </w:pPr>
    </w:p>
    <w:p w14:paraId="797C3C21" w14:textId="77777777" w:rsidR="0072697E" w:rsidRPr="00012F08" w:rsidRDefault="0072697E" w:rsidP="0072697E">
      <w:pPr>
        <w:bidi w:val="0"/>
        <w:rPr>
          <w:rFonts w:asciiTheme="majorBidi" w:hAnsiTheme="majorBidi" w:cstheme="majorBidi"/>
          <w:sz w:val="24"/>
          <w:szCs w:val="24"/>
        </w:rPr>
      </w:pPr>
    </w:p>
    <w:p w14:paraId="7A0E6787" w14:textId="77777777" w:rsidR="0072697E" w:rsidRPr="00012F08" w:rsidRDefault="0072697E" w:rsidP="0072697E">
      <w:pPr>
        <w:bidi w:val="0"/>
        <w:rPr>
          <w:rFonts w:asciiTheme="majorBidi" w:hAnsiTheme="majorBidi" w:cstheme="majorBidi"/>
          <w:sz w:val="24"/>
          <w:szCs w:val="24"/>
        </w:rPr>
      </w:pPr>
    </w:p>
    <w:p w14:paraId="32731105" w14:textId="5080C406" w:rsidR="0072697E" w:rsidRPr="00012F08" w:rsidRDefault="0072697E" w:rsidP="0072697E">
      <w:pPr>
        <w:bidi w:val="0"/>
        <w:rPr>
          <w:rFonts w:asciiTheme="majorBidi" w:hAnsiTheme="majorBidi" w:cstheme="majorBidi"/>
          <w:sz w:val="24"/>
          <w:szCs w:val="24"/>
        </w:rPr>
      </w:pPr>
    </w:p>
    <w:p w14:paraId="326A0FF0" w14:textId="77777777" w:rsidR="0072697E" w:rsidRPr="00012F08" w:rsidRDefault="0072697E" w:rsidP="0072697E">
      <w:pPr>
        <w:bidi w:val="0"/>
        <w:rPr>
          <w:rFonts w:asciiTheme="majorBidi" w:hAnsiTheme="majorBidi" w:cstheme="majorBidi"/>
          <w:sz w:val="24"/>
          <w:szCs w:val="24"/>
        </w:rPr>
      </w:pPr>
    </w:p>
    <w:p w14:paraId="4C4887D0" w14:textId="77777777" w:rsidR="0072697E" w:rsidRPr="00012F08" w:rsidRDefault="0072697E" w:rsidP="0072697E">
      <w:pPr>
        <w:bidi w:val="0"/>
        <w:rPr>
          <w:rFonts w:asciiTheme="majorBidi" w:hAnsiTheme="majorBidi" w:cstheme="majorBidi"/>
          <w:sz w:val="24"/>
          <w:szCs w:val="24"/>
        </w:rPr>
      </w:pPr>
    </w:p>
    <w:p w14:paraId="2C0AB5E0" w14:textId="77777777" w:rsidR="0072697E" w:rsidRPr="00012F08" w:rsidRDefault="0072697E" w:rsidP="0072697E">
      <w:pPr>
        <w:bidi w:val="0"/>
        <w:rPr>
          <w:rFonts w:asciiTheme="majorBidi" w:hAnsiTheme="majorBidi" w:cstheme="majorBidi"/>
          <w:sz w:val="24"/>
          <w:szCs w:val="24"/>
        </w:rPr>
      </w:pPr>
    </w:p>
    <w:p w14:paraId="65A66E1C" w14:textId="77777777" w:rsidR="0072697E" w:rsidRPr="00012F08" w:rsidRDefault="0072697E" w:rsidP="0072697E">
      <w:pPr>
        <w:bidi w:val="0"/>
        <w:rPr>
          <w:rFonts w:asciiTheme="majorBidi" w:hAnsiTheme="majorBidi" w:cstheme="majorBidi"/>
          <w:sz w:val="24"/>
          <w:szCs w:val="24"/>
        </w:rPr>
      </w:pPr>
    </w:p>
    <w:p w14:paraId="39141CD3" w14:textId="77777777" w:rsidR="0072697E" w:rsidRPr="00012F08" w:rsidRDefault="0072697E" w:rsidP="0072697E">
      <w:pPr>
        <w:bidi w:val="0"/>
        <w:rPr>
          <w:rFonts w:asciiTheme="majorBidi" w:hAnsiTheme="majorBidi" w:cstheme="majorBidi"/>
          <w:sz w:val="24"/>
          <w:szCs w:val="24"/>
        </w:rPr>
      </w:pPr>
    </w:p>
    <w:p w14:paraId="1DF850B4" w14:textId="77777777" w:rsidR="0072697E" w:rsidRPr="00012F08" w:rsidRDefault="0072697E" w:rsidP="0072697E">
      <w:pPr>
        <w:bidi w:val="0"/>
        <w:rPr>
          <w:rFonts w:asciiTheme="majorBidi" w:hAnsiTheme="majorBidi" w:cstheme="majorBidi"/>
          <w:sz w:val="24"/>
          <w:szCs w:val="24"/>
        </w:rPr>
      </w:pPr>
    </w:p>
    <w:p w14:paraId="1E7677B3" w14:textId="77777777" w:rsidR="00A45A35" w:rsidRPr="00012F08" w:rsidRDefault="00A45A35" w:rsidP="00A45A35">
      <w:pPr>
        <w:bidi w:val="0"/>
        <w:rPr>
          <w:rFonts w:asciiTheme="majorBidi" w:hAnsiTheme="majorBidi" w:cstheme="majorBidi"/>
          <w:sz w:val="24"/>
          <w:szCs w:val="24"/>
        </w:rPr>
      </w:pPr>
    </w:p>
    <w:p w14:paraId="4380F493" w14:textId="1195FFF2" w:rsidR="009B6E3B" w:rsidRPr="00012F08" w:rsidRDefault="009B6E3B" w:rsidP="009B6E3B">
      <w:pPr>
        <w:bidi w:val="0"/>
        <w:jc w:val="both"/>
        <w:rPr>
          <w:rFonts w:asciiTheme="majorBidi" w:hAnsiTheme="majorBidi" w:cstheme="majorBidi"/>
          <w:sz w:val="20"/>
          <w:szCs w:val="20"/>
        </w:rPr>
      </w:pPr>
      <w:r w:rsidRPr="00012F08">
        <w:rPr>
          <w:rFonts w:asciiTheme="majorBidi" w:hAnsiTheme="majorBidi" w:cstheme="majorBidi"/>
          <w:sz w:val="20"/>
          <w:szCs w:val="20"/>
        </w:rPr>
        <w:t xml:space="preserve">The figure displays the dynamic net connectedness of each variable in the system </w:t>
      </w:r>
      <w:r w:rsidR="00CC1F2E">
        <w:rPr>
          <w:rFonts w:asciiTheme="majorBidi" w:hAnsiTheme="majorBidi" w:cstheme="majorBidi"/>
          <w:sz w:val="20"/>
          <w:szCs w:val="20"/>
        </w:rPr>
        <w:t>during</w:t>
      </w:r>
      <w:r w:rsidR="00CC1F2E" w:rsidRPr="00012F08">
        <w:rPr>
          <w:rFonts w:asciiTheme="majorBidi" w:hAnsiTheme="majorBidi" w:cstheme="majorBidi"/>
          <w:sz w:val="20"/>
          <w:szCs w:val="20"/>
        </w:rPr>
        <w:t xml:space="preserve"> </w:t>
      </w:r>
      <w:r w:rsidRPr="00012F08">
        <w:rPr>
          <w:rFonts w:asciiTheme="majorBidi" w:hAnsiTheme="majorBidi" w:cstheme="majorBidi"/>
          <w:sz w:val="20"/>
          <w:szCs w:val="20"/>
        </w:rPr>
        <w:t xml:space="preserve">the </w:t>
      </w:r>
      <w:r w:rsidR="00CC1F2E">
        <w:rPr>
          <w:rFonts w:asciiTheme="majorBidi" w:hAnsiTheme="majorBidi" w:cstheme="majorBidi"/>
          <w:sz w:val="20"/>
          <w:szCs w:val="20"/>
        </w:rPr>
        <w:t>entire</w:t>
      </w:r>
      <w:r w:rsidR="00CC1F2E" w:rsidRPr="00012F08">
        <w:rPr>
          <w:rFonts w:asciiTheme="majorBidi" w:hAnsiTheme="majorBidi" w:cstheme="majorBidi"/>
          <w:sz w:val="20"/>
          <w:szCs w:val="20"/>
        </w:rPr>
        <w:t xml:space="preserve"> </w:t>
      </w:r>
      <w:r w:rsidRPr="00012F08">
        <w:rPr>
          <w:rFonts w:asciiTheme="majorBidi" w:hAnsiTheme="majorBidi" w:cstheme="majorBidi"/>
          <w:sz w:val="20"/>
          <w:szCs w:val="20"/>
        </w:rPr>
        <w:t>sample period from January 1993 to February 2024, derived from the TVP-VAR forecast error variance decomposition. Net connectedness is calculated as the difference between the spillovers transmitted to others and the spillovers received from others</w:t>
      </w:r>
      <w:r w:rsidR="00CC1F2E">
        <w:rPr>
          <w:rFonts w:asciiTheme="majorBidi" w:hAnsiTheme="majorBidi" w:cstheme="majorBidi"/>
          <w:sz w:val="20"/>
          <w:szCs w:val="20"/>
        </w:rPr>
        <w:t>. The calculation indicates</w:t>
      </w:r>
      <w:r w:rsidR="00CC1F2E" w:rsidRPr="00012F08">
        <w:rPr>
          <w:rFonts w:asciiTheme="majorBidi" w:hAnsiTheme="majorBidi" w:cstheme="majorBidi"/>
          <w:sz w:val="20"/>
          <w:szCs w:val="20"/>
        </w:rPr>
        <w:t xml:space="preserve"> </w:t>
      </w:r>
      <w:r w:rsidRPr="00012F08">
        <w:rPr>
          <w:rFonts w:asciiTheme="majorBidi" w:hAnsiTheme="majorBidi" w:cstheme="majorBidi"/>
          <w:sz w:val="20"/>
          <w:szCs w:val="20"/>
        </w:rPr>
        <w:t xml:space="preserve">whether a variable is acting as a </w:t>
      </w:r>
      <w:r w:rsidRPr="00674425">
        <w:rPr>
          <w:rFonts w:asciiTheme="majorBidi" w:hAnsiTheme="majorBidi" w:cstheme="majorBidi"/>
          <w:sz w:val="20"/>
          <w:szCs w:val="20"/>
        </w:rPr>
        <w:t>net transmitter (positive values)</w:t>
      </w:r>
      <w:r w:rsidRPr="00CC1F2E">
        <w:rPr>
          <w:rFonts w:asciiTheme="majorBidi" w:hAnsiTheme="majorBidi" w:cstheme="majorBidi"/>
          <w:sz w:val="20"/>
          <w:szCs w:val="20"/>
        </w:rPr>
        <w:t xml:space="preserve"> or </w:t>
      </w:r>
      <w:r w:rsidRPr="00674425">
        <w:rPr>
          <w:rFonts w:asciiTheme="majorBidi" w:hAnsiTheme="majorBidi" w:cstheme="majorBidi"/>
          <w:sz w:val="20"/>
          <w:szCs w:val="20"/>
        </w:rPr>
        <w:t>net receiver (negative values)</w:t>
      </w:r>
      <w:r w:rsidRPr="00CC1F2E">
        <w:rPr>
          <w:rFonts w:asciiTheme="majorBidi" w:hAnsiTheme="majorBidi" w:cstheme="majorBidi"/>
          <w:sz w:val="20"/>
          <w:szCs w:val="20"/>
        </w:rPr>
        <w:t xml:space="preserve"> of shocks within the system at each point in time. The variables examined include the U.S.-China Tension Index (UCT), </w:t>
      </w:r>
      <w:r w:rsidR="00CC1F2E">
        <w:rPr>
          <w:rFonts w:asciiTheme="majorBidi" w:hAnsiTheme="majorBidi" w:cstheme="majorBidi"/>
          <w:sz w:val="20"/>
          <w:szCs w:val="20"/>
        </w:rPr>
        <w:t>g</w:t>
      </w:r>
      <w:r w:rsidR="00CC1F2E" w:rsidRPr="00CC1F2E">
        <w:rPr>
          <w:rFonts w:asciiTheme="majorBidi" w:hAnsiTheme="majorBidi" w:cstheme="majorBidi"/>
          <w:sz w:val="20"/>
          <w:szCs w:val="20"/>
        </w:rPr>
        <w:t xml:space="preserve">old </w:t>
      </w:r>
      <w:r w:rsidRPr="00CC1F2E">
        <w:rPr>
          <w:rFonts w:asciiTheme="majorBidi" w:hAnsiTheme="majorBidi" w:cstheme="majorBidi"/>
          <w:sz w:val="20"/>
          <w:szCs w:val="20"/>
        </w:rPr>
        <w:t xml:space="preserve">prices (Gold), crude oil prices (Oil), </w:t>
      </w:r>
      <w:r w:rsidR="00CC1F2E">
        <w:rPr>
          <w:rFonts w:asciiTheme="majorBidi" w:hAnsiTheme="majorBidi" w:cstheme="majorBidi"/>
          <w:sz w:val="20"/>
          <w:szCs w:val="20"/>
        </w:rPr>
        <w:t xml:space="preserve">the </w:t>
      </w:r>
      <w:r w:rsidRPr="00CC1F2E">
        <w:rPr>
          <w:rFonts w:asciiTheme="majorBidi" w:hAnsiTheme="majorBidi" w:cstheme="majorBidi"/>
          <w:sz w:val="20"/>
          <w:szCs w:val="20"/>
        </w:rPr>
        <w:t>S&amp;P 500 Index (S&amp;P),</w:t>
      </w:r>
      <w:r w:rsidRPr="00012F08">
        <w:rPr>
          <w:rFonts w:asciiTheme="majorBidi" w:hAnsiTheme="majorBidi" w:cstheme="majorBidi"/>
          <w:sz w:val="20"/>
          <w:szCs w:val="20"/>
        </w:rPr>
        <w:t xml:space="preserve"> VIX Index (VIX), CSI 300 Index (CHINA), and the USD/CNY exchange rate (USD_CNY). The plots highlight shifts in the roles of these variables throughout different market regimes and geopolitical episodes</w:t>
      </w:r>
      <w:r w:rsidR="00CC1F2E">
        <w:rPr>
          <w:rFonts w:asciiTheme="majorBidi" w:hAnsiTheme="majorBidi" w:cstheme="majorBidi"/>
          <w:sz w:val="20"/>
          <w:szCs w:val="20"/>
        </w:rPr>
        <w:t>. They</w:t>
      </w:r>
      <w:r w:rsidR="00CC1F2E" w:rsidRPr="00012F08">
        <w:rPr>
          <w:rFonts w:asciiTheme="majorBidi" w:hAnsiTheme="majorBidi" w:cstheme="majorBidi"/>
          <w:sz w:val="20"/>
          <w:szCs w:val="20"/>
        </w:rPr>
        <w:t xml:space="preserve"> illustrat</w:t>
      </w:r>
      <w:r w:rsidR="00CC1F2E">
        <w:rPr>
          <w:rFonts w:asciiTheme="majorBidi" w:hAnsiTheme="majorBidi" w:cstheme="majorBidi"/>
          <w:sz w:val="20"/>
          <w:szCs w:val="20"/>
        </w:rPr>
        <w:t>e</w:t>
      </w:r>
      <w:r w:rsidR="00CC1F2E" w:rsidRPr="00012F08">
        <w:rPr>
          <w:rFonts w:asciiTheme="majorBidi" w:hAnsiTheme="majorBidi" w:cstheme="majorBidi"/>
          <w:sz w:val="20"/>
          <w:szCs w:val="20"/>
        </w:rPr>
        <w:t xml:space="preserve"> </w:t>
      </w:r>
      <w:r w:rsidRPr="00012F08">
        <w:rPr>
          <w:rFonts w:asciiTheme="majorBidi" w:hAnsiTheme="majorBidi" w:cstheme="majorBidi"/>
          <w:sz w:val="20"/>
          <w:szCs w:val="20"/>
        </w:rPr>
        <w:t xml:space="preserve">periods </w:t>
      </w:r>
      <w:r w:rsidR="00CC1F2E">
        <w:rPr>
          <w:rFonts w:asciiTheme="majorBidi" w:hAnsiTheme="majorBidi" w:cstheme="majorBidi"/>
          <w:sz w:val="20"/>
          <w:szCs w:val="20"/>
        </w:rPr>
        <w:t>in which</w:t>
      </w:r>
      <w:r w:rsidR="00CC1F2E" w:rsidRPr="00012F08">
        <w:rPr>
          <w:rFonts w:asciiTheme="majorBidi" w:hAnsiTheme="majorBidi" w:cstheme="majorBidi"/>
          <w:sz w:val="20"/>
          <w:szCs w:val="20"/>
        </w:rPr>
        <w:t xml:space="preserve"> </w:t>
      </w:r>
      <w:r w:rsidRPr="00012F08">
        <w:rPr>
          <w:rFonts w:asciiTheme="majorBidi" w:hAnsiTheme="majorBidi" w:cstheme="majorBidi"/>
          <w:sz w:val="20"/>
          <w:szCs w:val="20"/>
        </w:rPr>
        <w:t>specific markets or the tension index transitioned from absorbers</w:t>
      </w:r>
      <w:r w:rsidR="00CC1F2E">
        <w:rPr>
          <w:rFonts w:asciiTheme="majorBidi" w:hAnsiTheme="majorBidi" w:cstheme="majorBidi"/>
          <w:sz w:val="20"/>
          <w:szCs w:val="20"/>
        </w:rPr>
        <w:t xml:space="preserve"> of </w:t>
      </w:r>
      <w:r w:rsidR="00CC1F2E" w:rsidRPr="00012F08">
        <w:rPr>
          <w:rFonts w:asciiTheme="majorBidi" w:hAnsiTheme="majorBidi" w:cstheme="majorBidi"/>
          <w:sz w:val="20"/>
          <w:szCs w:val="20"/>
        </w:rPr>
        <w:t>shock</w:t>
      </w:r>
      <w:r w:rsidR="00CC1F2E">
        <w:rPr>
          <w:rFonts w:asciiTheme="majorBidi" w:hAnsiTheme="majorBidi" w:cstheme="majorBidi"/>
          <w:sz w:val="20"/>
          <w:szCs w:val="20"/>
        </w:rPr>
        <w:t>s</w:t>
      </w:r>
      <w:r w:rsidRPr="00012F08">
        <w:rPr>
          <w:rFonts w:asciiTheme="majorBidi" w:hAnsiTheme="majorBidi" w:cstheme="majorBidi"/>
          <w:sz w:val="20"/>
          <w:szCs w:val="20"/>
        </w:rPr>
        <w:t xml:space="preserve"> to transmitters</w:t>
      </w:r>
      <w:r w:rsidR="00CC1F2E">
        <w:rPr>
          <w:rFonts w:asciiTheme="majorBidi" w:hAnsiTheme="majorBidi" w:cstheme="majorBidi"/>
          <w:sz w:val="20"/>
          <w:szCs w:val="20"/>
        </w:rPr>
        <w:t xml:space="preserve"> of them</w:t>
      </w:r>
      <w:r w:rsidRPr="00012F08">
        <w:rPr>
          <w:rFonts w:asciiTheme="majorBidi" w:hAnsiTheme="majorBidi" w:cstheme="majorBidi"/>
          <w:sz w:val="20"/>
          <w:szCs w:val="20"/>
        </w:rPr>
        <w:t>, reflecting changes in systemic influence</w:t>
      </w:r>
      <w:r w:rsidR="00CC1F2E">
        <w:rPr>
          <w:rFonts w:asciiTheme="majorBidi" w:hAnsiTheme="majorBidi" w:cstheme="majorBidi"/>
          <w:sz w:val="20"/>
          <w:szCs w:val="20"/>
        </w:rPr>
        <w:t>s</w:t>
      </w:r>
      <w:r w:rsidRPr="00012F08">
        <w:rPr>
          <w:rFonts w:asciiTheme="majorBidi" w:hAnsiTheme="majorBidi" w:cstheme="majorBidi"/>
          <w:sz w:val="20"/>
          <w:szCs w:val="20"/>
        </w:rPr>
        <w:t xml:space="preserve"> </w:t>
      </w:r>
      <w:r w:rsidR="00CC1F2E">
        <w:rPr>
          <w:rFonts w:asciiTheme="majorBidi" w:hAnsiTheme="majorBidi" w:cstheme="majorBidi"/>
          <w:sz w:val="20"/>
          <w:szCs w:val="20"/>
        </w:rPr>
        <w:t>as</w:t>
      </w:r>
      <w:r w:rsidR="00CC1F2E" w:rsidRPr="00012F08">
        <w:rPr>
          <w:rFonts w:asciiTheme="majorBidi" w:hAnsiTheme="majorBidi" w:cstheme="majorBidi"/>
          <w:sz w:val="20"/>
          <w:szCs w:val="20"/>
        </w:rPr>
        <w:t xml:space="preserve"> </w:t>
      </w:r>
      <w:r w:rsidRPr="00012F08">
        <w:rPr>
          <w:rFonts w:asciiTheme="majorBidi" w:hAnsiTheme="majorBidi" w:cstheme="majorBidi"/>
          <w:sz w:val="20"/>
          <w:szCs w:val="20"/>
        </w:rPr>
        <w:t xml:space="preserve">global financial </w:t>
      </w:r>
      <w:r w:rsidR="00CC1F2E">
        <w:rPr>
          <w:rFonts w:asciiTheme="majorBidi" w:hAnsiTheme="majorBidi" w:cstheme="majorBidi"/>
          <w:sz w:val="20"/>
          <w:szCs w:val="20"/>
        </w:rPr>
        <w:t>markets became increasingly interconnected</w:t>
      </w:r>
      <w:r w:rsidRPr="00012F08">
        <w:rPr>
          <w:rFonts w:asciiTheme="majorBidi" w:hAnsiTheme="majorBidi" w:cstheme="majorBidi"/>
          <w:sz w:val="20"/>
          <w:szCs w:val="20"/>
        </w:rPr>
        <w:t>.</w:t>
      </w:r>
    </w:p>
    <w:p w14:paraId="046013F2" w14:textId="77777777" w:rsidR="00A45A35" w:rsidRPr="00012F08" w:rsidRDefault="00A45A35" w:rsidP="00A45A35">
      <w:pPr>
        <w:bidi w:val="0"/>
        <w:rPr>
          <w:rFonts w:asciiTheme="majorBidi" w:hAnsiTheme="majorBidi" w:cstheme="majorBidi"/>
          <w:sz w:val="24"/>
          <w:szCs w:val="24"/>
        </w:rPr>
      </w:pPr>
    </w:p>
    <w:p w14:paraId="52D31C94" w14:textId="56CB30DB" w:rsidR="009B6E3B" w:rsidRPr="00012F08" w:rsidRDefault="009B6E3B" w:rsidP="009B6E3B">
      <w:pPr>
        <w:tabs>
          <w:tab w:val="left" w:pos="1544"/>
        </w:tabs>
        <w:bidi w:val="0"/>
        <w:jc w:val="center"/>
        <w:rPr>
          <w:rFonts w:asciiTheme="majorBidi" w:hAnsiTheme="majorBidi" w:cstheme="majorBidi"/>
          <w:sz w:val="24"/>
          <w:szCs w:val="24"/>
        </w:rPr>
      </w:pPr>
      <w:r w:rsidRPr="00012F08">
        <w:rPr>
          <w:rFonts w:asciiTheme="majorBidi" w:hAnsiTheme="majorBidi" w:cstheme="majorBidi"/>
          <w:b/>
          <w:bCs/>
          <w:sz w:val="24"/>
          <w:szCs w:val="24"/>
        </w:rPr>
        <w:t>Figure 6: Dynamic Net Connectedness During the Pre-Trade War Globalization Period (1993–2017)</w:t>
      </w:r>
    </w:p>
    <w:p w14:paraId="689EF160" w14:textId="4C1E36D2" w:rsidR="0072697E" w:rsidRPr="00012F08" w:rsidRDefault="00000000" w:rsidP="0072697E">
      <w:pPr>
        <w:tabs>
          <w:tab w:val="left" w:pos="1544"/>
        </w:tabs>
        <w:bidi w:val="0"/>
        <w:rPr>
          <w:rFonts w:asciiTheme="majorBidi" w:hAnsiTheme="majorBidi" w:cstheme="majorBidi"/>
          <w:sz w:val="24"/>
          <w:szCs w:val="24"/>
        </w:rPr>
      </w:pPr>
      <w:r>
        <w:rPr>
          <w:rFonts w:asciiTheme="majorBidi" w:hAnsiTheme="majorBidi" w:cstheme="majorBidi"/>
          <w:noProof/>
          <w:sz w:val="24"/>
          <w:szCs w:val="24"/>
        </w:rPr>
        <w:pict w14:anchorId="68F5911B">
          <v:shape id="_x0000_s1027" type="#_x0000_t75" alt="" style="position:absolute;margin-left:23.35pt;margin-top:6.55pt;width:597pt;height:281.25pt;z-index:251679744;mso-wrap-edited:f;mso-width-percent:0;mso-height-percent:0;mso-width-percent:0;mso-height-percent:0" filled="t" stroked="t">
            <v:imagedata r:id="rId36" o:title=""/>
            <w10:wrap type="square" anchorx="page"/>
          </v:shape>
        </w:pict>
      </w:r>
      <w:r w:rsidR="0072697E" w:rsidRPr="00012F08">
        <w:rPr>
          <w:rFonts w:asciiTheme="majorBidi" w:hAnsiTheme="majorBidi" w:cstheme="majorBidi"/>
          <w:sz w:val="24"/>
          <w:szCs w:val="24"/>
        </w:rPr>
        <w:tab/>
      </w:r>
    </w:p>
    <w:p w14:paraId="6DB43F88" w14:textId="77777777" w:rsidR="0072697E" w:rsidRPr="00012F08" w:rsidRDefault="0072697E" w:rsidP="0072697E">
      <w:pPr>
        <w:tabs>
          <w:tab w:val="left" w:pos="1544"/>
        </w:tabs>
        <w:bidi w:val="0"/>
        <w:rPr>
          <w:rFonts w:asciiTheme="majorBidi" w:hAnsiTheme="majorBidi" w:cstheme="majorBidi"/>
          <w:sz w:val="24"/>
          <w:szCs w:val="24"/>
        </w:rPr>
      </w:pPr>
    </w:p>
    <w:p w14:paraId="6A62E246" w14:textId="77777777" w:rsidR="00511464" w:rsidRPr="00012F08" w:rsidRDefault="00511464" w:rsidP="009B6E3B">
      <w:pPr>
        <w:tabs>
          <w:tab w:val="left" w:pos="1544"/>
        </w:tabs>
        <w:bidi w:val="0"/>
        <w:jc w:val="both"/>
        <w:rPr>
          <w:rFonts w:asciiTheme="majorBidi" w:hAnsiTheme="majorBidi" w:cstheme="majorBidi"/>
          <w:sz w:val="20"/>
          <w:szCs w:val="20"/>
        </w:rPr>
      </w:pPr>
    </w:p>
    <w:p w14:paraId="15967514" w14:textId="77777777" w:rsidR="00511464" w:rsidRPr="00012F08" w:rsidRDefault="00511464" w:rsidP="00511464">
      <w:pPr>
        <w:tabs>
          <w:tab w:val="left" w:pos="1544"/>
        </w:tabs>
        <w:bidi w:val="0"/>
        <w:jc w:val="both"/>
        <w:rPr>
          <w:rFonts w:asciiTheme="majorBidi" w:hAnsiTheme="majorBidi" w:cstheme="majorBidi"/>
          <w:sz w:val="20"/>
          <w:szCs w:val="20"/>
        </w:rPr>
      </w:pPr>
    </w:p>
    <w:p w14:paraId="1869BF13" w14:textId="77777777" w:rsidR="00511464" w:rsidRPr="00012F08" w:rsidRDefault="00511464" w:rsidP="00511464">
      <w:pPr>
        <w:tabs>
          <w:tab w:val="left" w:pos="1544"/>
        </w:tabs>
        <w:bidi w:val="0"/>
        <w:jc w:val="both"/>
        <w:rPr>
          <w:rFonts w:asciiTheme="majorBidi" w:hAnsiTheme="majorBidi" w:cstheme="majorBidi"/>
          <w:sz w:val="20"/>
          <w:szCs w:val="20"/>
        </w:rPr>
      </w:pPr>
    </w:p>
    <w:p w14:paraId="7F8FCB82" w14:textId="77777777" w:rsidR="00511464" w:rsidRPr="00012F08" w:rsidRDefault="00511464" w:rsidP="00511464">
      <w:pPr>
        <w:tabs>
          <w:tab w:val="left" w:pos="1544"/>
        </w:tabs>
        <w:bidi w:val="0"/>
        <w:jc w:val="both"/>
        <w:rPr>
          <w:rFonts w:asciiTheme="majorBidi" w:hAnsiTheme="majorBidi" w:cstheme="majorBidi"/>
          <w:sz w:val="20"/>
          <w:szCs w:val="20"/>
        </w:rPr>
      </w:pPr>
    </w:p>
    <w:p w14:paraId="0A930682" w14:textId="77777777" w:rsidR="00511464" w:rsidRPr="00012F08" w:rsidRDefault="00511464" w:rsidP="00511464">
      <w:pPr>
        <w:tabs>
          <w:tab w:val="left" w:pos="1544"/>
        </w:tabs>
        <w:bidi w:val="0"/>
        <w:jc w:val="both"/>
        <w:rPr>
          <w:rFonts w:asciiTheme="majorBidi" w:hAnsiTheme="majorBidi" w:cstheme="majorBidi"/>
          <w:sz w:val="20"/>
          <w:szCs w:val="20"/>
        </w:rPr>
      </w:pPr>
    </w:p>
    <w:p w14:paraId="11D1BCD0" w14:textId="77777777" w:rsidR="00511464" w:rsidRPr="00012F08" w:rsidRDefault="00511464" w:rsidP="00511464">
      <w:pPr>
        <w:tabs>
          <w:tab w:val="left" w:pos="1544"/>
        </w:tabs>
        <w:bidi w:val="0"/>
        <w:jc w:val="both"/>
        <w:rPr>
          <w:rFonts w:asciiTheme="majorBidi" w:hAnsiTheme="majorBidi" w:cstheme="majorBidi"/>
          <w:sz w:val="20"/>
          <w:szCs w:val="20"/>
        </w:rPr>
      </w:pPr>
    </w:p>
    <w:p w14:paraId="179C4448" w14:textId="77777777" w:rsidR="00511464" w:rsidRPr="00012F08" w:rsidRDefault="00511464" w:rsidP="00511464">
      <w:pPr>
        <w:tabs>
          <w:tab w:val="left" w:pos="1544"/>
        </w:tabs>
        <w:bidi w:val="0"/>
        <w:jc w:val="both"/>
        <w:rPr>
          <w:rFonts w:asciiTheme="majorBidi" w:hAnsiTheme="majorBidi" w:cstheme="majorBidi"/>
          <w:sz w:val="20"/>
          <w:szCs w:val="20"/>
        </w:rPr>
      </w:pPr>
    </w:p>
    <w:p w14:paraId="131E05A8" w14:textId="77777777" w:rsidR="00511464" w:rsidRPr="00012F08" w:rsidRDefault="00511464" w:rsidP="00511464">
      <w:pPr>
        <w:tabs>
          <w:tab w:val="left" w:pos="1544"/>
        </w:tabs>
        <w:bidi w:val="0"/>
        <w:jc w:val="both"/>
        <w:rPr>
          <w:rFonts w:asciiTheme="majorBidi" w:hAnsiTheme="majorBidi" w:cstheme="majorBidi"/>
          <w:sz w:val="20"/>
          <w:szCs w:val="20"/>
        </w:rPr>
      </w:pPr>
    </w:p>
    <w:p w14:paraId="7EF2738F" w14:textId="77777777" w:rsidR="00511464" w:rsidRPr="00012F08" w:rsidRDefault="00511464" w:rsidP="00511464">
      <w:pPr>
        <w:tabs>
          <w:tab w:val="left" w:pos="1544"/>
        </w:tabs>
        <w:bidi w:val="0"/>
        <w:jc w:val="both"/>
        <w:rPr>
          <w:rFonts w:asciiTheme="majorBidi" w:hAnsiTheme="majorBidi" w:cstheme="majorBidi"/>
          <w:sz w:val="20"/>
          <w:szCs w:val="20"/>
        </w:rPr>
      </w:pPr>
    </w:p>
    <w:p w14:paraId="0996B428" w14:textId="77777777" w:rsidR="00511464" w:rsidRPr="00012F08" w:rsidRDefault="00511464" w:rsidP="00511464">
      <w:pPr>
        <w:tabs>
          <w:tab w:val="left" w:pos="1544"/>
        </w:tabs>
        <w:bidi w:val="0"/>
        <w:jc w:val="both"/>
        <w:rPr>
          <w:rFonts w:asciiTheme="majorBidi" w:hAnsiTheme="majorBidi" w:cstheme="majorBidi"/>
          <w:sz w:val="20"/>
          <w:szCs w:val="20"/>
        </w:rPr>
      </w:pPr>
    </w:p>
    <w:p w14:paraId="4DF0F718" w14:textId="77777777" w:rsidR="00511464" w:rsidRPr="00012F08" w:rsidRDefault="00511464" w:rsidP="00511464">
      <w:pPr>
        <w:tabs>
          <w:tab w:val="left" w:pos="1544"/>
        </w:tabs>
        <w:bidi w:val="0"/>
        <w:jc w:val="both"/>
        <w:rPr>
          <w:rFonts w:asciiTheme="majorBidi" w:hAnsiTheme="majorBidi" w:cstheme="majorBidi"/>
          <w:sz w:val="20"/>
          <w:szCs w:val="20"/>
        </w:rPr>
      </w:pPr>
    </w:p>
    <w:p w14:paraId="45F2F1D3" w14:textId="77777777" w:rsidR="00511464" w:rsidRPr="00012F08" w:rsidRDefault="00511464" w:rsidP="00511464">
      <w:pPr>
        <w:tabs>
          <w:tab w:val="left" w:pos="1544"/>
        </w:tabs>
        <w:bidi w:val="0"/>
        <w:jc w:val="both"/>
        <w:rPr>
          <w:rFonts w:asciiTheme="majorBidi" w:hAnsiTheme="majorBidi" w:cstheme="majorBidi"/>
          <w:sz w:val="20"/>
          <w:szCs w:val="20"/>
        </w:rPr>
      </w:pPr>
    </w:p>
    <w:p w14:paraId="2964D43A" w14:textId="77777777" w:rsidR="00511464" w:rsidRPr="00012F08" w:rsidRDefault="00511464" w:rsidP="00511464">
      <w:pPr>
        <w:tabs>
          <w:tab w:val="left" w:pos="1544"/>
        </w:tabs>
        <w:bidi w:val="0"/>
        <w:jc w:val="both"/>
        <w:rPr>
          <w:rFonts w:asciiTheme="majorBidi" w:hAnsiTheme="majorBidi" w:cstheme="majorBidi"/>
          <w:sz w:val="20"/>
          <w:szCs w:val="20"/>
        </w:rPr>
      </w:pPr>
    </w:p>
    <w:p w14:paraId="1C05F07A" w14:textId="63CE05EE" w:rsidR="009B6E3B" w:rsidRPr="00012F08" w:rsidRDefault="009B6E3B" w:rsidP="00511464">
      <w:pPr>
        <w:tabs>
          <w:tab w:val="left" w:pos="1544"/>
        </w:tabs>
        <w:bidi w:val="0"/>
        <w:jc w:val="both"/>
        <w:rPr>
          <w:rFonts w:asciiTheme="majorBidi" w:hAnsiTheme="majorBidi" w:cstheme="majorBidi"/>
          <w:sz w:val="20"/>
          <w:szCs w:val="20"/>
        </w:rPr>
      </w:pPr>
      <w:r w:rsidRPr="00012F08">
        <w:rPr>
          <w:rFonts w:asciiTheme="majorBidi" w:hAnsiTheme="majorBidi" w:cstheme="majorBidi"/>
          <w:sz w:val="20"/>
          <w:szCs w:val="20"/>
        </w:rPr>
        <w:t xml:space="preserve">The figure illustrates the dynamic net connectedness of each variable in the system during the </w:t>
      </w:r>
      <w:r w:rsidR="009F58C1" w:rsidRPr="00012F08">
        <w:rPr>
          <w:rFonts w:asciiTheme="majorBidi" w:hAnsiTheme="majorBidi" w:cstheme="majorBidi"/>
          <w:sz w:val="20"/>
          <w:szCs w:val="20"/>
        </w:rPr>
        <w:t xml:space="preserve">pre-trade war globalization </w:t>
      </w:r>
      <w:r w:rsidRPr="00012F08">
        <w:rPr>
          <w:rFonts w:asciiTheme="majorBidi" w:hAnsiTheme="majorBidi" w:cstheme="majorBidi"/>
          <w:sz w:val="20"/>
          <w:szCs w:val="20"/>
        </w:rPr>
        <w:t xml:space="preserve">period (January 1993 to December 2017), calculated from the TVP-VAR forecast error variance decomposition. Net </w:t>
      </w:r>
      <w:r w:rsidRPr="009F58C1">
        <w:rPr>
          <w:rFonts w:asciiTheme="majorBidi" w:hAnsiTheme="majorBidi" w:cstheme="majorBidi"/>
          <w:sz w:val="20"/>
          <w:szCs w:val="20"/>
        </w:rPr>
        <w:t xml:space="preserve">connectedness is measured as the difference between the spillovers each variable transmits to others and the spillovers it receives, indicating periods where a variable functions as a </w:t>
      </w:r>
      <w:r w:rsidRPr="00674425">
        <w:rPr>
          <w:rFonts w:asciiTheme="majorBidi" w:hAnsiTheme="majorBidi" w:cstheme="majorBidi"/>
          <w:sz w:val="20"/>
          <w:szCs w:val="20"/>
        </w:rPr>
        <w:t>net transmitter (positive values)</w:t>
      </w:r>
      <w:r w:rsidRPr="009F58C1">
        <w:rPr>
          <w:rFonts w:asciiTheme="majorBidi" w:hAnsiTheme="majorBidi" w:cstheme="majorBidi"/>
          <w:sz w:val="20"/>
          <w:szCs w:val="20"/>
        </w:rPr>
        <w:t xml:space="preserve"> or </w:t>
      </w:r>
      <w:r w:rsidRPr="00674425">
        <w:rPr>
          <w:rFonts w:asciiTheme="majorBidi" w:hAnsiTheme="majorBidi" w:cstheme="majorBidi"/>
          <w:sz w:val="20"/>
          <w:szCs w:val="20"/>
        </w:rPr>
        <w:t>net receiver (negative values)</w:t>
      </w:r>
      <w:r w:rsidRPr="009F58C1">
        <w:rPr>
          <w:rFonts w:asciiTheme="majorBidi" w:hAnsiTheme="majorBidi" w:cstheme="majorBidi"/>
          <w:sz w:val="20"/>
          <w:szCs w:val="20"/>
        </w:rPr>
        <w:t xml:space="preserve"> of</w:t>
      </w:r>
      <w:r w:rsidRPr="00012F08">
        <w:rPr>
          <w:rFonts w:asciiTheme="majorBidi" w:hAnsiTheme="majorBidi" w:cstheme="majorBidi"/>
          <w:sz w:val="20"/>
          <w:szCs w:val="20"/>
        </w:rPr>
        <w:t xml:space="preserve"> shocks. The variables displayed include the U.S.-China Tension Index (UCT), </w:t>
      </w:r>
      <w:r w:rsidR="001C2E20">
        <w:rPr>
          <w:rFonts w:asciiTheme="majorBidi" w:hAnsiTheme="majorBidi" w:cstheme="majorBidi"/>
          <w:sz w:val="20"/>
          <w:szCs w:val="20"/>
        </w:rPr>
        <w:t>g</w:t>
      </w:r>
      <w:r w:rsidR="009F58C1" w:rsidRPr="00012F08">
        <w:rPr>
          <w:rFonts w:asciiTheme="majorBidi" w:hAnsiTheme="majorBidi" w:cstheme="majorBidi"/>
          <w:sz w:val="20"/>
          <w:szCs w:val="20"/>
        </w:rPr>
        <w:t xml:space="preserve">old </w:t>
      </w:r>
      <w:r w:rsidRPr="00012F08">
        <w:rPr>
          <w:rFonts w:asciiTheme="majorBidi" w:hAnsiTheme="majorBidi" w:cstheme="majorBidi"/>
          <w:sz w:val="20"/>
          <w:szCs w:val="20"/>
        </w:rPr>
        <w:t xml:space="preserve">prices (Gold), crude oil prices (Oil), </w:t>
      </w:r>
      <w:r w:rsidR="009F58C1">
        <w:rPr>
          <w:rFonts w:asciiTheme="majorBidi" w:hAnsiTheme="majorBidi" w:cstheme="majorBidi"/>
          <w:sz w:val="20"/>
          <w:szCs w:val="20"/>
        </w:rPr>
        <w:t xml:space="preserve">the </w:t>
      </w:r>
      <w:r w:rsidRPr="00012F08">
        <w:rPr>
          <w:rFonts w:asciiTheme="majorBidi" w:hAnsiTheme="majorBidi" w:cstheme="majorBidi"/>
          <w:sz w:val="20"/>
          <w:szCs w:val="20"/>
        </w:rPr>
        <w:t xml:space="preserve">S&amp;P 500 Index (S&amp;P), VIX Index (VIX), CSI 300 Index (CHINA), and the USD/CNY exchange rate (USD_CNY). These dynamics provide insights into </w:t>
      </w:r>
      <w:r w:rsidR="009F58C1">
        <w:rPr>
          <w:rFonts w:asciiTheme="majorBidi" w:hAnsiTheme="majorBidi" w:cstheme="majorBidi"/>
          <w:sz w:val="20"/>
          <w:szCs w:val="20"/>
        </w:rPr>
        <w:t xml:space="preserve">the influence that these variables had on </w:t>
      </w:r>
      <w:r w:rsidRPr="00012F08">
        <w:rPr>
          <w:rFonts w:asciiTheme="majorBidi" w:hAnsiTheme="majorBidi" w:cstheme="majorBidi"/>
          <w:sz w:val="20"/>
          <w:szCs w:val="20"/>
        </w:rPr>
        <w:t>financial markets during a period characterized by increasing global integration, relative market stability, and the rise of China as a major economic player</w:t>
      </w:r>
      <w:r w:rsidR="009F58C1">
        <w:rPr>
          <w:rFonts w:asciiTheme="majorBidi" w:hAnsiTheme="majorBidi" w:cstheme="majorBidi"/>
          <w:sz w:val="20"/>
          <w:szCs w:val="20"/>
        </w:rPr>
        <w:t>. They also</w:t>
      </w:r>
      <w:r w:rsidR="009F58C1" w:rsidRPr="00012F08">
        <w:rPr>
          <w:rFonts w:asciiTheme="majorBidi" w:hAnsiTheme="majorBidi" w:cstheme="majorBidi"/>
          <w:sz w:val="20"/>
          <w:szCs w:val="20"/>
        </w:rPr>
        <w:t xml:space="preserve"> </w:t>
      </w:r>
      <w:r w:rsidRPr="00012F08">
        <w:rPr>
          <w:rFonts w:asciiTheme="majorBidi" w:hAnsiTheme="majorBidi" w:cstheme="majorBidi"/>
          <w:sz w:val="20"/>
          <w:szCs w:val="20"/>
        </w:rPr>
        <w:t>highlight instances of elevated spillover activity during localized market and geopolitical shocks.</w:t>
      </w:r>
    </w:p>
    <w:p w14:paraId="64D711F4" w14:textId="77777777" w:rsidR="0072697E" w:rsidRPr="00012F08" w:rsidRDefault="0072697E" w:rsidP="0072697E">
      <w:pPr>
        <w:tabs>
          <w:tab w:val="left" w:pos="1544"/>
        </w:tabs>
        <w:bidi w:val="0"/>
        <w:rPr>
          <w:rFonts w:asciiTheme="majorBidi" w:hAnsiTheme="majorBidi" w:cstheme="majorBidi"/>
          <w:sz w:val="24"/>
          <w:szCs w:val="24"/>
        </w:rPr>
      </w:pPr>
    </w:p>
    <w:p w14:paraId="79A4829F" w14:textId="585A466A" w:rsidR="009B6E3B" w:rsidRPr="00012F08" w:rsidRDefault="009B6E3B" w:rsidP="009B6E3B">
      <w:pPr>
        <w:tabs>
          <w:tab w:val="left" w:pos="1544"/>
        </w:tabs>
        <w:bidi w:val="0"/>
        <w:jc w:val="center"/>
        <w:rPr>
          <w:rFonts w:asciiTheme="majorBidi" w:hAnsiTheme="majorBidi" w:cstheme="majorBidi"/>
          <w:sz w:val="24"/>
          <w:szCs w:val="24"/>
        </w:rPr>
      </w:pPr>
      <w:r w:rsidRPr="00012F08">
        <w:rPr>
          <w:rFonts w:asciiTheme="majorBidi" w:hAnsiTheme="majorBidi" w:cstheme="majorBidi"/>
          <w:b/>
          <w:bCs/>
          <w:sz w:val="24"/>
          <w:szCs w:val="24"/>
        </w:rPr>
        <w:t>Figure 7: Dynamic Net Connectedness During the Trade War and Post-Pandemic Period (2018–2024)</w:t>
      </w:r>
    </w:p>
    <w:p w14:paraId="0D88D882" w14:textId="00B9CB1B" w:rsidR="0072697E" w:rsidRPr="00674425" w:rsidRDefault="00000000" w:rsidP="0072697E">
      <w:pPr>
        <w:tabs>
          <w:tab w:val="left" w:pos="1544"/>
        </w:tabs>
        <w:bidi w:val="0"/>
      </w:pPr>
      <w:r>
        <w:rPr>
          <w:noProof/>
        </w:rPr>
        <w:pict w14:anchorId="0BCA79BA">
          <v:shape id="_x0000_s1026" type="#_x0000_t75" alt="" style="position:absolute;margin-left:41.25pt;margin-top:2.9pt;width:602.7pt;height:280.5pt;z-index:251680768;mso-wrap-edited:f;mso-width-percent:0;mso-height-percent:0;mso-width-percent:0;mso-height-percent:0" filled="t" stroked="t">
            <v:imagedata r:id="rId37" o:title=""/>
            <w10:wrap type="square" anchorx="page"/>
          </v:shape>
        </w:pict>
      </w:r>
    </w:p>
    <w:p w14:paraId="6C581ECD" w14:textId="4DD1B281" w:rsidR="00511464" w:rsidRPr="00674425" w:rsidRDefault="00511464" w:rsidP="00511464">
      <w:pPr>
        <w:tabs>
          <w:tab w:val="left" w:pos="1544"/>
        </w:tabs>
        <w:bidi w:val="0"/>
      </w:pPr>
    </w:p>
    <w:p w14:paraId="43BC17CF" w14:textId="77777777" w:rsidR="00511464" w:rsidRPr="00012F08" w:rsidRDefault="00511464" w:rsidP="00511464">
      <w:pPr>
        <w:tabs>
          <w:tab w:val="left" w:pos="1544"/>
        </w:tabs>
        <w:bidi w:val="0"/>
        <w:rPr>
          <w:rFonts w:asciiTheme="majorBidi" w:hAnsiTheme="majorBidi" w:cstheme="majorBidi"/>
          <w:sz w:val="24"/>
          <w:szCs w:val="24"/>
        </w:rPr>
      </w:pPr>
    </w:p>
    <w:p w14:paraId="201B131D" w14:textId="77777777" w:rsidR="00511464" w:rsidRPr="00012F08" w:rsidRDefault="00511464" w:rsidP="00D750E5">
      <w:pPr>
        <w:tabs>
          <w:tab w:val="left" w:pos="1544"/>
        </w:tabs>
        <w:bidi w:val="0"/>
        <w:jc w:val="both"/>
        <w:rPr>
          <w:rFonts w:asciiTheme="majorBidi" w:hAnsiTheme="majorBidi" w:cstheme="majorBidi"/>
          <w:sz w:val="20"/>
          <w:szCs w:val="20"/>
        </w:rPr>
      </w:pPr>
    </w:p>
    <w:p w14:paraId="5BCD5808" w14:textId="77777777" w:rsidR="00511464" w:rsidRPr="00012F08" w:rsidRDefault="00511464" w:rsidP="00511464">
      <w:pPr>
        <w:tabs>
          <w:tab w:val="left" w:pos="1544"/>
        </w:tabs>
        <w:bidi w:val="0"/>
        <w:jc w:val="both"/>
        <w:rPr>
          <w:rFonts w:asciiTheme="majorBidi" w:hAnsiTheme="majorBidi" w:cstheme="majorBidi"/>
          <w:sz w:val="20"/>
          <w:szCs w:val="20"/>
        </w:rPr>
      </w:pPr>
    </w:p>
    <w:p w14:paraId="5B5AA3C4" w14:textId="77777777" w:rsidR="00511464" w:rsidRPr="00012F08" w:rsidRDefault="00511464" w:rsidP="00511464">
      <w:pPr>
        <w:tabs>
          <w:tab w:val="left" w:pos="1544"/>
        </w:tabs>
        <w:bidi w:val="0"/>
        <w:jc w:val="both"/>
        <w:rPr>
          <w:rFonts w:asciiTheme="majorBidi" w:hAnsiTheme="majorBidi" w:cstheme="majorBidi"/>
          <w:sz w:val="20"/>
          <w:szCs w:val="20"/>
        </w:rPr>
      </w:pPr>
    </w:p>
    <w:p w14:paraId="7EDDAD5B" w14:textId="77777777" w:rsidR="00511464" w:rsidRPr="00012F08" w:rsidRDefault="00511464" w:rsidP="00511464">
      <w:pPr>
        <w:tabs>
          <w:tab w:val="left" w:pos="1544"/>
        </w:tabs>
        <w:bidi w:val="0"/>
        <w:jc w:val="both"/>
        <w:rPr>
          <w:rFonts w:asciiTheme="majorBidi" w:hAnsiTheme="majorBidi" w:cstheme="majorBidi"/>
          <w:sz w:val="20"/>
          <w:szCs w:val="20"/>
        </w:rPr>
      </w:pPr>
    </w:p>
    <w:p w14:paraId="3E183AF8" w14:textId="77777777" w:rsidR="00511464" w:rsidRPr="00012F08" w:rsidRDefault="00511464" w:rsidP="00511464">
      <w:pPr>
        <w:tabs>
          <w:tab w:val="left" w:pos="1544"/>
        </w:tabs>
        <w:bidi w:val="0"/>
        <w:jc w:val="both"/>
        <w:rPr>
          <w:rFonts w:asciiTheme="majorBidi" w:hAnsiTheme="majorBidi" w:cstheme="majorBidi"/>
          <w:sz w:val="20"/>
          <w:szCs w:val="20"/>
        </w:rPr>
      </w:pPr>
    </w:p>
    <w:p w14:paraId="51CDAD32" w14:textId="77777777" w:rsidR="00511464" w:rsidRPr="00012F08" w:rsidRDefault="00511464" w:rsidP="00511464">
      <w:pPr>
        <w:tabs>
          <w:tab w:val="left" w:pos="1544"/>
        </w:tabs>
        <w:bidi w:val="0"/>
        <w:jc w:val="both"/>
        <w:rPr>
          <w:rFonts w:asciiTheme="majorBidi" w:hAnsiTheme="majorBidi" w:cstheme="majorBidi"/>
          <w:sz w:val="20"/>
          <w:szCs w:val="20"/>
        </w:rPr>
      </w:pPr>
    </w:p>
    <w:p w14:paraId="1CF8E210" w14:textId="77777777" w:rsidR="00511464" w:rsidRPr="00012F08" w:rsidRDefault="00511464" w:rsidP="00511464">
      <w:pPr>
        <w:tabs>
          <w:tab w:val="left" w:pos="1544"/>
        </w:tabs>
        <w:bidi w:val="0"/>
        <w:jc w:val="both"/>
        <w:rPr>
          <w:rFonts w:asciiTheme="majorBidi" w:hAnsiTheme="majorBidi" w:cstheme="majorBidi"/>
          <w:sz w:val="20"/>
          <w:szCs w:val="20"/>
        </w:rPr>
      </w:pPr>
    </w:p>
    <w:p w14:paraId="4C872D48" w14:textId="77777777" w:rsidR="00511464" w:rsidRPr="00012F08" w:rsidRDefault="00511464" w:rsidP="00511464">
      <w:pPr>
        <w:tabs>
          <w:tab w:val="left" w:pos="1544"/>
        </w:tabs>
        <w:bidi w:val="0"/>
        <w:jc w:val="both"/>
        <w:rPr>
          <w:rFonts w:asciiTheme="majorBidi" w:hAnsiTheme="majorBidi" w:cstheme="majorBidi"/>
          <w:sz w:val="20"/>
          <w:szCs w:val="20"/>
        </w:rPr>
      </w:pPr>
    </w:p>
    <w:p w14:paraId="6D5611C7" w14:textId="77777777" w:rsidR="00511464" w:rsidRPr="00012F08" w:rsidRDefault="00511464" w:rsidP="00511464">
      <w:pPr>
        <w:tabs>
          <w:tab w:val="left" w:pos="1544"/>
        </w:tabs>
        <w:bidi w:val="0"/>
        <w:jc w:val="both"/>
        <w:rPr>
          <w:rFonts w:asciiTheme="majorBidi" w:hAnsiTheme="majorBidi" w:cstheme="majorBidi"/>
          <w:sz w:val="20"/>
          <w:szCs w:val="20"/>
        </w:rPr>
      </w:pPr>
    </w:p>
    <w:p w14:paraId="6300EAAA" w14:textId="77777777" w:rsidR="00511464" w:rsidRPr="00012F08" w:rsidRDefault="00511464" w:rsidP="00511464">
      <w:pPr>
        <w:tabs>
          <w:tab w:val="left" w:pos="1544"/>
        </w:tabs>
        <w:bidi w:val="0"/>
        <w:jc w:val="both"/>
        <w:rPr>
          <w:rFonts w:asciiTheme="majorBidi" w:hAnsiTheme="majorBidi" w:cstheme="majorBidi"/>
          <w:sz w:val="20"/>
          <w:szCs w:val="20"/>
        </w:rPr>
      </w:pPr>
    </w:p>
    <w:p w14:paraId="27FDF332" w14:textId="77777777" w:rsidR="00511464" w:rsidRPr="00012F08" w:rsidRDefault="00511464" w:rsidP="00511464">
      <w:pPr>
        <w:tabs>
          <w:tab w:val="left" w:pos="1544"/>
        </w:tabs>
        <w:bidi w:val="0"/>
        <w:jc w:val="both"/>
        <w:rPr>
          <w:rFonts w:asciiTheme="majorBidi" w:hAnsiTheme="majorBidi" w:cstheme="majorBidi"/>
          <w:sz w:val="20"/>
          <w:szCs w:val="20"/>
        </w:rPr>
      </w:pPr>
    </w:p>
    <w:p w14:paraId="29CAB647" w14:textId="07FEEC3D" w:rsidR="0072697E" w:rsidRPr="00012F08" w:rsidRDefault="009B6E3B" w:rsidP="00511464">
      <w:pPr>
        <w:tabs>
          <w:tab w:val="left" w:pos="1544"/>
        </w:tabs>
        <w:bidi w:val="0"/>
        <w:jc w:val="both"/>
        <w:rPr>
          <w:rFonts w:asciiTheme="majorBidi" w:hAnsiTheme="majorBidi" w:cstheme="majorBidi"/>
          <w:sz w:val="24"/>
          <w:szCs w:val="24"/>
        </w:rPr>
      </w:pPr>
      <w:r w:rsidRPr="00012F08">
        <w:rPr>
          <w:rFonts w:asciiTheme="majorBidi" w:hAnsiTheme="majorBidi" w:cstheme="majorBidi"/>
          <w:sz w:val="20"/>
          <w:szCs w:val="20"/>
        </w:rPr>
        <w:t xml:space="preserve">The figure illustrates the dynamic net connectedness of each variable during the </w:t>
      </w:r>
      <w:r w:rsidR="001D6AD7" w:rsidRPr="00012F08">
        <w:rPr>
          <w:rFonts w:asciiTheme="majorBidi" w:hAnsiTheme="majorBidi" w:cstheme="majorBidi"/>
          <w:sz w:val="20"/>
          <w:szCs w:val="20"/>
        </w:rPr>
        <w:t xml:space="preserve">trade war and post-pandemic </w:t>
      </w:r>
      <w:r w:rsidRPr="00012F08">
        <w:rPr>
          <w:rFonts w:asciiTheme="majorBidi" w:hAnsiTheme="majorBidi" w:cstheme="majorBidi"/>
          <w:sz w:val="20"/>
          <w:szCs w:val="20"/>
        </w:rPr>
        <w:t xml:space="preserve">period (January 2018 to February 2024), computed using the TVP-VAR forecast error variance decomposition. Net connectedness represents the difference between </w:t>
      </w:r>
      <w:r w:rsidR="001D6AD7">
        <w:rPr>
          <w:rFonts w:asciiTheme="majorBidi" w:hAnsiTheme="majorBidi" w:cstheme="majorBidi"/>
          <w:sz w:val="20"/>
          <w:szCs w:val="20"/>
        </w:rPr>
        <w:t xml:space="preserve">the </w:t>
      </w:r>
      <w:r w:rsidRPr="00012F08">
        <w:rPr>
          <w:rFonts w:asciiTheme="majorBidi" w:hAnsiTheme="majorBidi" w:cstheme="majorBidi"/>
          <w:sz w:val="20"/>
          <w:szCs w:val="20"/>
        </w:rPr>
        <w:t xml:space="preserve">spillovers </w:t>
      </w:r>
      <w:r w:rsidR="001D6AD7">
        <w:rPr>
          <w:rFonts w:asciiTheme="majorBidi" w:hAnsiTheme="majorBidi" w:cstheme="majorBidi"/>
          <w:sz w:val="20"/>
          <w:szCs w:val="20"/>
        </w:rPr>
        <w:t xml:space="preserve">that </w:t>
      </w:r>
      <w:r w:rsidRPr="00012F08">
        <w:rPr>
          <w:rFonts w:asciiTheme="majorBidi" w:hAnsiTheme="majorBidi" w:cstheme="majorBidi"/>
          <w:sz w:val="20"/>
          <w:szCs w:val="20"/>
        </w:rPr>
        <w:t xml:space="preserve">a variable transmits to others and the spillovers it receives, indicating whether it is acting </w:t>
      </w:r>
      <w:r w:rsidRPr="001D6AD7">
        <w:rPr>
          <w:rFonts w:asciiTheme="majorBidi" w:hAnsiTheme="majorBidi" w:cstheme="majorBidi"/>
          <w:sz w:val="20"/>
          <w:szCs w:val="20"/>
        </w:rPr>
        <w:t xml:space="preserve">as a </w:t>
      </w:r>
      <w:r w:rsidRPr="00674425">
        <w:rPr>
          <w:rFonts w:asciiTheme="majorBidi" w:hAnsiTheme="majorBidi" w:cstheme="majorBidi"/>
          <w:sz w:val="20"/>
          <w:szCs w:val="20"/>
        </w:rPr>
        <w:t>net transmitter (positive values)</w:t>
      </w:r>
      <w:r w:rsidRPr="001D6AD7">
        <w:rPr>
          <w:rFonts w:asciiTheme="majorBidi" w:hAnsiTheme="majorBidi" w:cstheme="majorBidi"/>
          <w:sz w:val="20"/>
          <w:szCs w:val="20"/>
        </w:rPr>
        <w:t xml:space="preserve"> or </w:t>
      </w:r>
      <w:r w:rsidRPr="00674425">
        <w:rPr>
          <w:rFonts w:asciiTheme="majorBidi" w:hAnsiTheme="majorBidi" w:cstheme="majorBidi"/>
          <w:sz w:val="20"/>
          <w:szCs w:val="20"/>
        </w:rPr>
        <w:t>net receiver (negative values)</w:t>
      </w:r>
      <w:r w:rsidRPr="001D6AD7">
        <w:rPr>
          <w:rFonts w:asciiTheme="majorBidi" w:hAnsiTheme="majorBidi" w:cstheme="majorBidi"/>
          <w:sz w:val="20"/>
          <w:szCs w:val="20"/>
        </w:rPr>
        <w:t xml:space="preserve"> of shocks</w:t>
      </w:r>
      <w:r w:rsidRPr="00012F08">
        <w:rPr>
          <w:rFonts w:asciiTheme="majorBidi" w:hAnsiTheme="majorBidi" w:cstheme="majorBidi"/>
          <w:sz w:val="20"/>
          <w:szCs w:val="20"/>
        </w:rPr>
        <w:t xml:space="preserve"> over time. The variables displayed include the U.S.-China Tension Index (UCT), </w:t>
      </w:r>
      <w:r w:rsidR="001D6AD7">
        <w:rPr>
          <w:rFonts w:asciiTheme="majorBidi" w:hAnsiTheme="majorBidi" w:cstheme="majorBidi"/>
          <w:sz w:val="20"/>
          <w:szCs w:val="20"/>
        </w:rPr>
        <w:t>g</w:t>
      </w:r>
      <w:r w:rsidR="001D6AD7" w:rsidRPr="00012F08">
        <w:rPr>
          <w:rFonts w:asciiTheme="majorBidi" w:hAnsiTheme="majorBidi" w:cstheme="majorBidi"/>
          <w:sz w:val="20"/>
          <w:szCs w:val="20"/>
        </w:rPr>
        <w:t xml:space="preserve">old </w:t>
      </w:r>
      <w:r w:rsidRPr="00012F08">
        <w:rPr>
          <w:rFonts w:asciiTheme="majorBidi" w:hAnsiTheme="majorBidi" w:cstheme="majorBidi"/>
          <w:sz w:val="20"/>
          <w:szCs w:val="20"/>
        </w:rPr>
        <w:t xml:space="preserve">prices (Gold), crude oil prices (Oil), </w:t>
      </w:r>
      <w:r w:rsidR="001D6AD7">
        <w:rPr>
          <w:rFonts w:asciiTheme="majorBidi" w:hAnsiTheme="majorBidi" w:cstheme="majorBidi"/>
          <w:sz w:val="20"/>
          <w:szCs w:val="20"/>
        </w:rPr>
        <w:t xml:space="preserve">the </w:t>
      </w:r>
      <w:r w:rsidRPr="00012F08">
        <w:rPr>
          <w:rFonts w:asciiTheme="majorBidi" w:hAnsiTheme="majorBidi" w:cstheme="majorBidi"/>
          <w:sz w:val="20"/>
          <w:szCs w:val="20"/>
        </w:rPr>
        <w:t xml:space="preserve">S&amp;P 500 Index (S&amp;P), VIX Index (VIX), CSI 300 Index (CHINA), and the USD/CNY exchange rate (USD_CNY). The plots reveal distinct shifts in the roles of </w:t>
      </w:r>
      <w:r w:rsidR="001D6AD7">
        <w:rPr>
          <w:rFonts w:asciiTheme="majorBidi" w:hAnsiTheme="majorBidi" w:cstheme="majorBidi"/>
          <w:sz w:val="20"/>
          <w:szCs w:val="20"/>
        </w:rPr>
        <w:t xml:space="preserve">these </w:t>
      </w:r>
      <w:r w:rsidRPr="00012F08">
        <w:rPr>
          <w:rFonts w:asciiTheme="majorBidi" w:hAnsiTheme="majorBidi" w:cstheme="majorBidi"/>
          <w:sz w:val="20"/>
          <w:szCs w:val="20"/>
        </w:rPr>
        <w:t>variables during this turbulent period</w:t>
      </w:r>
      <w:r w:rsidR="001D6AD7">
        <w:rPr>
          <w:rFonts w:asciiTheme="majorBidi" w:hAnsiTheme="majorBidi" w:cstheme="majorBidi"/>
          <w:sz w:val="20"/>
          <w:szCs w:val="20"/>
        </w:rPr>
        <w:t>. They</w:t>
      </w:r>
      <w:r w:rsidR="001D6AD7" w:rsidRPr="00012F08">
        <w:rPr>
          <w:rFonts w:asciiTheme="majorBidi" w:hAnsiTheme="majorBidi" w:cstheme="majorBidi"/>
          <w:sz w:val="20"/>
          <w:szCs w:val="20"/>
        </w:rPr>
        <w:t xml:space="preserve"> </w:t>
      </w:r>
      <w:r w:rsidRPr="00012F08">
        <w:rPr>
          <w:rFonts w:asciiTheme="majorBidi" w:hAnsiTheme="majorBidi" w:cstheme="majorBidi"/>
          <w:sz w:val="20"/>
          <w:szCs w:val="20"/>
        </w:rPr>
        <w:t>highlight how geopolitical tensions, pandemic-related shocks, and global market stress have shaped the transmission of systemic risk across financial markets and commodities</w:t>
      </w:r>
      <w:r w:rsidR="001D6AD7">
        <w:rPr>
          <w:rFonts w:asciiTheme="majorBidi" w:hAnsiTheme="majorBidi" w:cstheme="majorBidi"/>
          <w:sz w:val="20"/>
          <w:szCs w:val="20"/>
        </w:rPr>
        <w:t xml:space="preserve">. </w:t>
      </w:r>
      <w:proofErr w:type="gramStart"/>
      <w:r w:rsidR="001D6AD7">
        <w:rPr>
          <w:rFonts w:asciiTheme="majorBidi" w:hAnsiTheme="majorBidi" w:cstheme="majorBidi"/>
          <w:sz w:val="20"/>
          <w:szCs w:val="20"/>
        </w:rPr>
        <w:t>In particular, they</w:t>
      </w:r>
      <w:proofErr w:type="gramEnd"/>
      <w:r w:rsidR="001D6AD7">
        <w:rPr>
          <w:rFonts w:asciiTheme="majorBidi" w:hAnsiTheme="majorBidi" w:cstheme="majorBidi"/>
          <w:sz w:val="20"/>
          <w:szCs w:val="20"/>
        </w:rPr>
        <w:t xml:space="preserve"> illustrate</w:t>
      </w:r>
      <w:r w:rsidR="001D6AD7" w:rsidRPr="00012F08">
        <w:rPr>
          <w:rFonts w:asciiTheme="majorBidi" w:hAnsiTheme="majorBidi" w:cstheme="majorBidi"/>
          <w:sz w:val="20"/>
          <w:szCs w:val="20"/>
        </w:rPr>
        <w:t xml:space="preserve"> </w:t>
      </w:r>
      <w:r w:rsidRPr="00012F08">
        <w:rPr>
          <w:rFonts w:asciiTheme="majorBidi" w:hAnsiTheme="majorBidi" w:cstheme="majorBidi"/>
          <w:sz w:val="20"/>
          <w:szCs w:val="20"/>
        </w:rPr>
        <w:t xml:space="preserve">pronounced periods of volatility-driven spillover </w:t>
      </w:r>
      <w:r w:rsidR="001D6AD7" w:rsidRPr="00012F08">
        <w:rPr>
          <w:rFonts w:asciiTheme="majorBidi" w:hAnsiTheme="majorBidi" w:cstheme="majorBidi"/>
          <w:sz w:val="20"/>
          <w:szCs w:val="20"/>
        </w:rPr>
        <w:t>activit</w:t>
      </w:r>
      <w:r w:rsidR="001D6AD7">
        <w:rPr>
          <w:rFonts w:asciiTheme="majorBidi" w:hAnsiTheme="majorBidi" w:cstheme="majorBidi"/>
          <w:sz w:val="20"/>
          <w:szCs w:val="20"/>
        </w:rPr>
        <w:t>ies</w:t>
      </w:r>
      <w:r w:rsidR="001D6AD7" w:rsidRPr="00012F08">
        <w:rPr>
          <w:rFonts w:asciiTheme="majorBidi" w:hAnsiTheme="majorBidi" w:cstheme="majorBidi"/>
          <w:sz w:val="20"/>
          <w:szCs w:val="20"/>
        </w:rPr>
        <w:t xml:space="preserve"> </w:t>
      </w:r>
      <w:r w:rsidRPr="00012F08">
        <w:rPr>
          <w:rFonts w:asciiTheme="majorBidi" w:hAnsiTheme="majorBidi" w:cstheme="majorBidi"/>
          <w:sz w:val="20"/>
          <w:szCs w:val="20"/>
        </w:rPr>
        <w:t xml:space="preserve">and role reversals </w:t>
      </w:r>
      <w:r w:rsidR="001D6AD7">
        <w:rPr>
          <w:rFonts w:asciiTheme="majorBidi" w:hAnsiTheme="majorBidi" w:cstheme="majorBidi"/>
          <w:sz w:val="20"/>
          <w:szCs w:val="20"/>
        </w:rPr>
        <w:t>in</w:t>
      </w:r>
      <w:r w:rsidR="001D6AD7" w:rsidRPr="00012F08">
        <w:rPr>
          <w:rFonts w:asciiTheme="majorBidi" w:hAnsiTheme="majorBidi" w:cstheme="majorBidi"/>
          <w:sz w:val="20"/>
          <w:szCs w:val="20"/>
        </w:rPr>
        <w:t xml:space="preserve"> </w:t>
      </w:r>
      <w:r w:rsidRPr="00012F08">
        <w:rPr>
          <w:rFonts w:asciiTheme="majorBidi" w:hAnsiTheme="majorBidi" w:cstheme="majorBidi"/>
          <w:sz w:val="20"/>
          <w:szCs w:val="20"/>
        </w:rPr>
        <w:t>key markets.</w:t>
      </w:r>
    </w:p>
    <w:p w14:paraId="73C07993" w14:textId="389004A2" w:rsidR="009506B2" w:rsidRPr="00012F08" w:rsidRDefault="009506B2" w:rsidP="009506B2">
      <w:pPr>
        <w:tabs>
          <w:tab w:val="left" w:pos="1544"/>
        </w:tabs>
        <w:bidi w:val="0"/>
        <w:rPr>
          <w:rFonts w:asciiTheme="majorBidi" w:hAnsiTheme="majorBidi" w:cstheme="majorBidi"/>
          <w:b/>
          <w:bCs/>
          <w:sz w:val="24"/>
          <w:szCs w:val="24"/>
        </w:rPr>
      </w:pPr>
      <w:r w:rsidRPr="00012F08">
        <w:rPr>
          <w:rFonts w:asciiTheme="majorBidi" w:hAnsiTheme="majorBidi" w:cstheme="majorBidi"/>
          <w:b/>
          <w:bCs/>
          <w:sz w:val="24"/>
          <w:szCs w:val="24"/>
        </w:rPr>
        <w:t>Appendix A: Selected Academic Studies on the Financial and Economic Effects of U.S.–China Tensions</w:t>
      </w:r>
      <w:r w:rsidRPr="00012F08">
        <w:rPr>
          <w:rFonts w:asciiTheme="majorBidi" w:hAnsiTheme="majorBidi" w:cstheme="majorBidi"/>
          <w:b/>
          <w:bCs/>
          <w:sz w:val="24"/>
          <w:szCs w:val="24"/>
        </w:rPr>
        <w:br/>
      </w:r>
    </w:p>
    <w:tbl>
      <w:tblPr>
        <w:tblStyle w:val="TableGrid"/>
        <w:tblW w:w="14046" w:type="dxa"/>
        <w:tblLook w:val="04A0" w:firstRow="1" w:lastRow="0" w:firstColumn="1" w:lastColumn="0" w:noHBand="0" w:noVBand="1"/>
      </w:tblPr>
      <w:tblGrid>
        <w:gridCol w:w="2710"/>
        <w:gridCol w:w="1359"/>
        <w:gridCol w:w="1372"/>
        <w:gridCol w:w="1555"/>
        <w:gridCol w:w="1295"/>
        <w:gridCol w:w="916"/>
        <w:gridCol w:w="1285"/>
        <w:gridCol w:w="1960"/>
        <w:gridCol w:w="1594"/>
      </w:tblGrid>
      <w:tr w:rsidR="009506B2" w:rsidRPr="00012F08" w14:paraId="0F582C7F" w14:textId="77777777" w:rsidTr="009506B2">
        <w:trPr>
          <w:trHeight w:val="20"/>
        </w:trPr>
        <w:tc>
          <w:tcPr>
            <w:tcW w:w="0" w:type="auto"/>
            <w:hideMark/>
          </w:tcPr>
          <w:p w14:paraId="3A04F291" w14:textId="77777777" w:rsidR="009506B2" w:rsidRPr="00012F08" w:rsidRDefault="009506B2" w:rsidP="00203467">
            <w:pPr>
              <w:bidi w:val="0"/>
              <w:jc w:val="center"/>
              <w:rPr>
                <w:rFonts w:ascii="Times New Roman" w:eastAsia="Times New Roman" w:hAnsi="Times New Roman" w:cs="Times New Roman"/>
                <w:b/>
                <w:bCs/>
                <w:sz w:val="18"/>
                <w:szCs w:val="18"/>
              </w:rPr>
            </w:pPr>
            <w:r w:rsidRPr="00012F08">
              <w:rPr>
                <w:rFonts w:ascii="Times New Roman" w:eastAsia="Times New Roman" w:hAnsi="Times New Roman" w:cs="Times New Roman"/>
                <w:b/>
                <w:bCs/>
                <w:sz w:val="18"/>
                <w:szCs w:val="18"/>
              </w:rPr>
              <w:t>Reference</w:t>
            </w:r>
          </w:p>
        </w:tc>
        <w:tc>
          <w:tcPr>
            <w:tcW w:w="0" w:type="auto"/>
            <w:hideMark/>
          </w:tcPr>
          <w:p w14:paraId="6ADA6962" w14:textId="77777777" w:rsidR="009506B2" w:rsidRPr="00012F08" w:rsidRDefault="009506B2" w:rsidP="00203467">
            <w:pPr>
              <w:bidi w:val="0"/>
              <w:jc w:val="center"/>
              <w:rPr>
                <w:rFonts w:ascii="Times New Roman" w:eastAsia="Times New Roman" w:hAnsi="Times New Roman" w:cs="Times New Roman"/>
                <w:b/>
                <w:bCs/>
                <w:sz w:val="18"/>
                <w:szCs w:val="18"/>
              </w:rPr>
            </w:pPr>
            <w:r w:rsidRPr="00012F08">
              <w:rPr>
                <w:rFonts w:ascii="Times New Roman" w:eastAsia="Times New Roman" w:hAnsi="Times New Roman" w:cs="Times New Roman"/>
                <w:b/>
                <w:bCs/>
                <w:sz w:val="18"/>
                <w:szCs w:val="18"/>
              </w:rPr>
              <w:t>Topic / Theme</w:t>
            </w:r>
          </w:p>
        </w:tc>
        <w:tc>
          <w:tcPr>
            <w:tcW w:w="0" w:type="auto"/>
            <w:hideMark/>
          </w:tcPr>
          <w:p w14:paraId="5809C418" w14:textId="77777777" w:rsidR="009506B2" w:rsidRPr="00012F08" w:rsidRDefault="009506B2" w:rsidP="00203467">
            <w:pPr>
              <w:bidi w:val="0"/>
              <w:jc w:val="center"/>
              <w:rPr>
                <w:rFonts w:ascii="Times New Roman" w:eastAsia="Times New Roman" w:hAnsi="Times New Roman" w:cs="Times New Roman"/>
                <w:b/>
                <w:bCs/>
                <w:sz w:val="18"/>
                <w:szCs w:val="18"/>
              </w:rPr>
            </w:pPr>
            <w:r w:rsidRPr="00012F08">
              <w:rPr>
                <w:rFonts w:ascii="Times New Roman" w:eastAsia="Times New Roman" w:hAnsi="Times New Roman" w:cs="Times New Roman"/>
                <w:b/>
                <w:bCs/>
                <w:sz w:val="18"/>
                <w:szCs w:val="18"/>
              </w:rPr>
              <w:t>Type of Risk / Index Used</w:t>
            </w:r>
          </w:p>
        </w:tc>
        <w:tc>
          <w:tcPr>
            <w:tcW w:w="0" w:type="auto"/>
            <w:hideMark/>
          </w:tcPr>
          <w:p w14:paraId="09B4B15A" w14:textId="77777777" w:rsidR="009506B2" w:rsidRPr="00012F08" w:rsidRDefault="009506B2" w:rsidP="00203467">
            <w:pPr>
              <w:bidi w:val="0"/>
              <w:jc w:val="center"/>
              <w:rPr>
                <w:rFonts w:ascii="Times New Roman" w:eastAsia="Times New Roman" w:hAnsi="Times New Roman" w:cs="Times New Roman"/>
                <w:b/>
                <w:bCs/>
                <w:sz w:val="18"/>
                <w:szCs w:val="18"/>
              </w:rPr>
            </w:pPr>
            <w:r w:rsidRPr="00012F08">
              <w:rPr>
                <w:rFonts w:ascii="Times New Roman" w:eastAsia="Times New Roman" w:hAnsi="Times New Roman" w:cs="Times New Roman"/>
                <w:b/>
                <w:bCs/>
                <w:sz w:val="18"/>
                <w:szCs w:val="18"/>
              </w:rPr>
              <w:t>Asset Classes Analyzed</w:t>
            </w:r>
          </w:p>
        </w:tc>
        <w:tc>
          <w:tcPr>
            <w:tcW w:w="1295" w:type="dxa"/>
            <w:hideMark/>
          </w:tcPr>
          <w:p w14:paraId="74047AFF" w14:textId="77777777" w:rsidR="009506B2" w:rsidRPr="00012F08" w:rsidRDefault="009506B2" w:rsidP="00203467">
            <w:pPr>
              <w:bidi w:val="0"/>
              <w:jc w:val="center"/>
              <w:rPr>
                <w:rFonts w:ascii="Times New Roman" w:eastAsia="Times New Roman" w:hAnsi="Times New Roman" w:cs="Times New Roman"/>
                <w:b/>
                <w:bCs/>
                <w:sz w:val="18"/>
                <w:szCs w:val="18"/>
              </w:rPr>
            </w:pPr>
            <w:r w:rsidRPr="00012F08">
              <w:rPr>
                <w:rFonts w:ascii="Times New Roman" w:eastAsia="Times New Roman" w:hAnsi="Times New Roman" w:cs="Times New Roman"/>
                <w:b/>
                <w:bCs/>
                <w:sz w:val="18"/>
                <w:szCs w:val="18"/>
              </w:rPr>
              <w:t>Model or Method Used</w:t>
            </w:r>
          </w:p>
        </w:tc>
        <w:tc>
          <w:tcPr>
            <w:tcW w:w="0" w:type="auto"/>
            <w:hideMark/>
          </w:tcPr>
          <w:p w14:paraId="6AEF7668" w14:textId="77777777" w:rsidR="009506B2" w:rsidRPr="00012F08" w:rsidRDefault="009506B2" w:rsidP="00203467">
            <w:pPr>
              <w:bidi w:val="0"/>
              <w:jc w:val="center"/>
              <w:rPr>
                <w:rFonts w:ascii="Times New Roman" w:eastAsia="Times New Roman" w:hAnsi="Times New Roman" w:cs="Times New Roman"/>
                <w:b/>
                <w:bCs/>
                <w:sz w:val="18"/>
                <w:szCs w:val="18"/>
              </w:rPr>
            </w:pPr>
            <w:r w:rsidRPr="00012F08">
              <w:rPr>
                <w:rFonts w:ascii="Times New Roman" w:eastAsia="Times New Roman" w:hAnsi="Times New Roman" w:cs="Times New Roman"/>
                <w:b/>
                <w:bCs/>
                <w:sz w:val="18"/>
                <w:szCs w:val="18"/>
              </w:rPr>
              <w:t>Period Covered</w:t>
            </w:r>
          </w:p>
        </w:tc>
        <w:tc>
          <w:tcPr>
            <w:tcW w:w="0" w:type="auto"/>
            <w:hideMark/>
          </w:tcPr>
          <w:p w14:paraId="7F9E51AA" w14:textId="77777777" w:rsidR="009506B2" w:rsidRPr="00012F08" w:rsidRDefault="009506B2" w:rsidP="00203467">
            <w:pPr>
              <w:bidi w:val="0"/>
              <w:jc w:val="center"/>
              <w:rPr>
                <w:rFonts w:ascii="Times New Roman" w:eastAsia="Times New Roman" w:hAnsi="Times New Roman" w:cs="Times New Roman"/>
                <w:b/>
                <w:bCs/>
                <w:sz w:val="18"/>
                <w:szCs w:val="18"/>
              </w:rPr>
            </w:pPr>
            <w:r w:rsidRPr="00012F08">
              <w:rPr>
                <w:rFonts w:ascii="Times New Roman" w:eastAsia="Times New Roman" w:hAnsi="Times New Roman" w:cs="Times New Roman"/>
                <w:b/>
                <w:bCs/>
                <w:sz w:val="18"/>
                <w:szCs w:val="18"/>
              </w:rPr>
              <w:t>Geographic Scope</w:t>
            </w:r>
          </w:p>
        </w:tc>
        <w:tc>
          <w:tcPr>
            <w:tcW w:w="0" w:type="auto"/>
            <w:hideMark/>
          </w:tcPr>
          <w:p w14:paraId="77AFD786" w14:textId="77777777" w:rsidR="009506B2" w:rsidRPr="00012F08" w:rsidRDefault="009506B2" w:rsidP="00203467">
            <w:pPr>
              <w:bidi w:val="0"/>
              <w:jc w:val="center"/>
              <w:rPr>
                <w:rFonts w:ascii="Times New Roman" w:eastAsia="Times New Roman" w:hAnsi="Times New Roman" w:cs="Times New Roman"/>
                <w:b/>
                <w:bCs/>
                <w:sz w:val="18"/>
                <w:szCs w:val="18"/>
              </w:rPr>
            </w:pPr>
            <w:r w:rsidRPr="00012F08">
              <w:rPr>
                <w:rFonts w:ascii="Times New Roman" w:eastAsia="Times New Roman" w:hAnsi="Times New Roman" w:cs="Times New Roman"/>
                <w:b/>
                <w:bCs/>
                <w:sz w:val="18"/>
                <w:szCs w:val="18"/>
              </w:rPr>
              <w:t>Key Findings</w:t>
            </w:r>
          </w:p>
        </w:tc>
        <w:tc>
          <w:tcPr>
            <w:tcW w:w="0" w:type="auto"/>
            <w:hideMark/>
          </w:tcPr>
          <w:p w14:paraId="2FEC17C2" w14:textId="77777777" w:rsidR="009506B2" w:rsidRPr="00012F08" w:rsidRDefault="009506B2" w:rsidP="00203467">
            <w:pPr>
              <w:bidi w:val="0"/>
              <w:jc w:val="center"/>
              <w:rPr>
                <w:rFonts w:ascii="Times New Roman" w:eastAsia="Times New Roman" w:hAnsi="Times New Roman" w:cs="Times New Roman"/>
                <w:b/>
                <w:bCs/>
                <w:sz w:val="18"/>
                <w:szCs w:val="18"/>
              </w:rPr>
            </w:pPr>
            <w:r w:rsidRPr="00012F08">
              <w:rPr>
                <w:rFonts w:ascii="Times New Roman" w:eastAsia="Times New Roman" w:hAnsi="Times New Roman" w:cs="Times New Roman"/>
                <w:b/>
                <w:bCs/>
                <w:sz w:val="18"/>
                <w:szCs w:val="18"/>
              </w:rPr>
              <w:t>Relevance to Current Study</w:t>
            </w:r>
          </w:p>
        </w:tc>
      </w:tr>
      <w:tr w:rsidR="009506B2" w:rsidRPr="00012F08" w14:paraId="60D3F5DC" w14:textId="77777777" w:rsidTr="009506B2">
        <w:trPr>
          <w:trHeight w:val="20"/>
        </w:trPr>
        <w:tc>
          <w:tcPr>
            <w:tcW w:w="0" w:type="auto"/>
            <w:hideMark/>
          </w:tcPr>
          <w:p w14:paraId="44AFAE65"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heme="majorBidi" w:hAnsiTheme="majorBidi" w:cstheme="majorBidi"/>
                <w:sz w:val="18"/>
                <w:szCs w:val="18"/>
              </w:rPr>
              <w:t>Li, S., Chen, H., &amp; Chen, G. (2025). The US-China tension and fossil fuel energy price volatility relationship.</w:t>
            </w:r>
            <w:r w:rsidRPr="00674425">
              <w:rPr>
                <w:rFonts w:asciiTheme="majorBidi" w:hAnsiTheme="majorBidi" w:cstheme="majorBidi"/>
                <w:i/>
                <w:iCs/>
                <w:sz w:val="18"/>
                <w:szCs w:val="18"/>
              </w:rPr>
              <w:t xml:space="preserve"> Finance Research Letters, 74</w:t>
            </w:r>
            <w:r w:rsidRPr="00012F08">
              <w:rPr>
                <w:rFonts w:asciiTheme="majorBidi" w:hAnsiTheme="majorBidi" w:cstheme="majorBidi"/>
                <w:sz w:val="18"/>
                <w:szCs w:val="18"/>
              </w:rPr>
              <w:t>, 106707.</w:t>
            </w:r>
          </w:p>
        </w:tc>
        <w:tc>
          <w:tcPr>
            <w:tcW w:w="0" w:type="auto"/>
            <w:hideMark/>
          </w:tcPr>
          <w:p w14:paraId="22C2439E"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US-China tensions and fossil fuel price volatility</w:t>
            </w:r>
          </w:p>
        </w:tc>
        <w:tc>
          <w:tcPr>
            <w:tcW w:w="0" w:type="auto"/>
            <w:hideMark/>
          </w:tcPr>
          <w:p w14:paraId="11A8BF98"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US-China Tension Index (UCT)</w:t>
            </w:r>
          </w:p>
        </w:tc>
        <w:tc>
          <w:tcPr>
            <w:tcW w:w="0" w:type="auto"/>
            <w:hideMark/>
          </w:tcPr>
          <w:p w14:paraId="11CAF0BB"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Oil, gas, coal</w:t>
            </w:r>
          </w:p>
        </w:tc>
        <w:tc>
          <w:tcPr>
            <w:tcW w:w="1295" w:type="dxa"/>
            <w:hideMark/>
          </w:tcPr>
          <w:p w14:paraId="3181E67D"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GARCH-MIDAS</w:t>
            </w:r>
          </w:p>
        </w:tc>
        <w:tc>
          <w:tcPr>
            <w:tcW w:w="0" w:type="auto"/>
            <w:hideMark/>
          </w:tcPr>
          <w:p w14:paraId="5F7417DC"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2010–2024</w:t>
            </w:r>
          </w:p>
        </w:tc>
        <w:tc>
          <w:tcPr>
            <w:tcW w:w="0" w:type="auto"/>
            <w:hideMark/>
          </w:tcPr>
          <w:p w14:paraId="03C43395"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Global (focus on US-China)</w:t>
            </w:r>
          </w:p>
        </w:tc>
        <w:tc>
          <w:tcPr>
            <w:tcW w:w="0" w:type="auto"/>
            <w:hideMark/>
          </w:tcPr>
          <w:p w14:paraId="18FB9ABF"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US-China tensions significantly raise volatility in fossil fuel prices, with variation across energy types</w:t>
            </w:r>
          </w:p>
        </w:tc>
        <w:tc>
          <w:tcPr>
            <w:tcW w:w="0" w:type="auto"/>
            <w:hideMark/>
          </w:tcPr>
          <w:p w14:paraId="076C4D09"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Supports UCT as a relevant risk index affecting commodity spillovers</w:t>
            </w:r>
          </w:p>
        </w:tc>
      </w:tr>
      <w:tr w:rsidR="009506B2" w:rsidRPr="00012F08" w14:paraId="5E31EC9C" w14:textId="77777777" w:rsidTr="009506B2">
        <w:trPr>
          <w:trHeight w:val="20"/>
        </w:trPr>
        <w:tc>
          <w:tcPr>
            <w:tcW w:w="0" w:type="auto"/>
            <w:hideMark/>
          </w:tcPr>
          <w:p w14:paraId="3E8BDD7A" w14:textId="78FEFAA2" w:rsidR="009506B2" w:rsidRPr="00012F08" w:rsidRDefault="004E7D5C" w:rsidP="00203467">
            <w:pPr>
              <w:bidi w:val="0"/>
              <w:rPr>
                <w:rFonts w:ascii="Times New Roman" w:eastAsia="Times New Roman" w:hAnsi="Times New Roman" w:cs="Times New Roman"/>
                <w:sz w:val="18"/>
                <w:szCs w:val="18"/>
              </w:rPr>
            </w:pPr>
            <w:r w:rsidRPr="004E7D5C">
              <w:rPr>
                <w:rFonts w:ascii="Times New Roman" w:eastAsia="Times New Roman" w:hAnsi="Times New Roman" w:cs="Times New Roman"/>
                <w:sz w:val="18"/>
                <w:szCs w:val="18"/>
              </w:rPr>
              <w:t xml:space="preserve">Liu, L., </w:t>
            </w:r>
            <w:proofErr w:type="spellStart"/>
            <w:r w:rsidRPr="004E7D5C">
              <w:rPr>
                <w:rFonts w:ascii="Times New Roman" w:eastAsia="Times New Roman" w:hAnsi="Times New Roman" w:cs="Times New Roman"/>
                <w:sz w:val="18"/>
                <w:szCs w:val="18"/>
              </w:rPr>
              <w:t>Gozgor</w:t>
            </w:r>
            <w:proofErr w:type="spellEnd"/>
            <w:r w:rsidRPr="004E7D5C">
              <w:rPr>
                <w:rFonts w:ascii="Times New Roman" w:eastAsia="Times New Roman" w:hAnsi="Times New Roman" w:cs="Times New Roman"/>
                <w:sz w:val="18"/>
                <w:szCs w:val="18"/>
              </w:rPr>
              <w:t xml:space="preserve">, G., </w:t>
            </w:r>
            <w:r w:rsidR="009506B2" w:rsidRPr="00012F08">
              <w:rPr>
                <w:rFonts w:ascii="Times New Roman" w:eastAsia="Times New Roman" w:hAnsi="Times New Roman" w:cs="Times New Roman"/>
                <w:sz w:val="18"/>
                <w:szCs w:val="18"/>
              </w:rPr>
              <w:t xml:space="preserve">&amp; Pal, S. (2025). The impact of the US-China tensions on FDI dynamics in emerging economies. </w:t>
            </w:r>
            <w:r w:rsidR="009506B2" w:rsidRPr="00674425">
              <w:rPr>
                <w:rFonts w:ascii="Times New Roman" w:eastAsia="Times New Roman" w:hAnsi="Times New Roman" w:cs="Times New Roman"/>
                <w:i/>
                <w:iCs/>
                <w:sz w:val="18"/>
                <w:szCs w:val="18"/>
              </w:rPr>
              <w:t>Finance Research Letters, 78</w:t>
            </w:r>
            <w:r w:rsidR="009506B2" w:rsidRPr="00012F08">
              <w:rPr>
                <w:rFonts w:ascii="Times New Roman" w:eastAsia="Times New Roman" w:hAnsi="Times New Roman" w:cs="Times New Roman"/>
                <w:sz w:val="18"/>
                <w:szCs w:val="18"/>
              </w:rPr>
              <w:t>, 107255.</w:t>
            </w:r>
            <w:r w:rsidR="00D610D2">
              <w:rPr>
                <w:rFonts w:ascii="Times New Roman" w:eastAsia="Times New Roman" w:hAnsi="Times New Roman" w:cs="Times New Roman"/>
                <w:sz w:val="18"/>
                <w:szCs w:val="18"/>
              </w:rPr>
              <w:t xml:space="preserve"> </w:t>
            </w:r>
          </w:p>
        </w:tc>
        <w:tc>
          <w:tcPr>
            <w:tcW w:w="0" w:type="auto"/>
            <w:hideMark/>
          </w:tcPr>
          <w:p w14:paraId="16BC6205"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US-China tensions and FDI in emerging markets</w:t>
            </w:r>
          </w:p>
        </w:tc>
        <w:tc>
          <w:tcPr>
            <w:tcW w:w="0" w:type="auto"/>
            <w:hideMark/>
          </w:tcPr>
          <w:p w14:paraId="54092558"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Geopolitical Tension Index</w:t>
            </w:r>
          </w:p>
        </w:tc>
        <w:tc>
          <w:tcPr>
            <w:tcW w:w="0" w:type="auto"/>
            <w:hideMark/>
          </w:tcPr>
          <w:p w14:paraId="7DEA7E67"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FDI flows in emerging economies</w:t>
            </w:r>
          </w:p>
        </w:tc>
        <w:tc>
          <w:tcPr>
            <w:tcW w:w="1295" w:type="dxa"/>
            <w:hideMark/>
          </w:tcPr>
          <w:p w14:paraId="280022AA"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Panel regression, dynamic models</w:t>
            </w:r>
          </w:p>
        </w:tc>
        <w:tc>
          <w:tcPr>
            <w:tcW w:w="0" w:type="auto"/>
            <w:hideMark/>
          </w:tcPr>
          <w:p w14:paraId="283EA74E"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2005–2024</w:t>
            </w:r>
          </w:p>
        </w:tc>
        <w:tc>
          <w:tcPr>
            <w:tcW w:w="0" w:type="auto"/>
            <w:hideMark/>
          </w:tcPr>
          <w:p w14:paraId="06A5231F"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Emerging markets</w:t>
            </w:r>
          </w:p>
        </w:tc>
        <w:tc>
          <w:tcPr>
            <w:tcW w:w="0" w:type="auto"/>
            <w:hideMark/>
          </w:tcPr>
          <w:p w14:paraId="08411031"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Bilateral tensions reduce FDI, with variation across sectors and regions</w:t>
            </w:r>
          </w:p>
        </w:tc>
        <w:tc>
          <w:tcPr>
            <w:tcW w:w="0" w:type="auto"/>
            <w:hideMark/>
          </w:tcPr>
          <w:p w14:paraId="4316D68E"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Demonstrates real-economy investment channels of geopolitical risk</w:t>
            </w:r>
          </w:p>
        </w:tc>
      </w:tr>
      <w:tr w:rsidR="009506B2" w:rsidRPr="00012F08" w14:paraId="6CBE82BC" w14:textId="77777777" w:rsidTr="009506B2">
        <w:trPr>
          <w:trHeight w:val="20"/>
        </w:trPr>
        <w:tc>
          <w:tcPr>
            <w:tcW w:w="0" w:type="auto"/>
            <w:hideMark/>
          </w:tcPr>
          <w:p w14:paraId="3C4F1382"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Peng, C., Deng, H., Xie, J., &amp; Liu, X. (2025). US-China Tension and Stock Market Performance in US and China: New Insights from Time-varying Quantile Causality Method. </w:t>
            </w:r>
            <w:r w:rsidRPr="00012F08">
              <w:rPr>
                <w:rFonts w:ascii="Times New Roman" w:eastAsia="Times New Roman" w:hAnsi="Times New Roman" w:cs="Times New Roman"/>
                <w:i/>
                <w:iCs/>
                <w:sz w:val="18"/>
                <w:szCs w:val="18"/>
              </w:rPr>
              <w:t>Finance Research Letters</w:t>
            </w:r>
            <w:r w:rsidRPr="00012F08">
              <w:rPr>
                <w:rFonts w:ascii="Times New Roman" w:eastAsia="Times New Roman" w:hAnsi="Times New Roman" w:cs="Times New Roman"/>
                <w:sz w:val="18"/>
                <w:szCs w:val="18"/>
              </w:rPr>
              <w:t>, 107888.</w:t>
            </w:r>
          </w:p>
        </w:tc>
        <w:tc>
          <w:tcPr>
            <w:tcW w:w="0" w:type="auto"/>
            <w:hideMark/>
          </w:tcPr>
          <w:p w14:paraId="40AC3F36"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US-China tension and stock market performance</w:t>
            </w:r>
          </w:p>
        </w:tc>
        <w:tc>
          <w:tcPr>
            <w:tcW w:w="0" w:type="auto"/>
            <w:hideMark/>
          </w:tcPr>
          <w:p w14:paraId="2B01E46B"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US-China Tension Index (UCT)</w:t>
            </w:r>
          </w:p>
        </w:tc>
        <w:tc>
          <w:tcPr>
            <w:tcW w:w="0" w:type="auto"/>
            <w:hideMark/>
          </w:tcPr>
          <w:p w14:paraId="02A4A2A2"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US and China stock indices</w:t>
            </w:r>
          </w:p>
        </w:tc>
        <w:tc>
          <w:tcPr>
            <w:tcW w:w="1295" w:type="dxa"/>
            <w:hideMark/>
          </w:tcPr>
          <w:p w14:paraId="00FFD874"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Time-varying quantile causality</w:t>
            </w:r>
          </w:p>
        </w:tc>
        <w:tc>
          <w:tcPr>
            <w:tcW w:w="0" w:type="auto"/>
            <w:hideMark/>
          </w:tcPr>
          <w:p w14:paraId="721F8513"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2000–2024</w:t>
            </w:r>
          </w:p>
        </w:tc>
        <w:tc>
          <w:tcPr>
            <w:tcW w:w="0" w:type="auto"/>
            <w:hideMark/>
          </w:tcPr>
          <w:p w14:paraId="3E411DD0"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US and China</w:t>
            </w:r>
          </w:p>
        </w:tc>
        <w:tc>
          <w:tcPr>
            <w:tcW w:w="0" w:type="auto"/>
            <w:hideMark/>
          </w:tcPr>
          <w:p w14:paraId="63217B38"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UCT significantly affects returns asymmetrically across quantiles; greater impact in lower tail during high tension</w:t>
            </w:r>
          </w:p>
        </w:tc>
        <w:tc>
          <w:tcPr>
            <w:tcW w:w="0" w:type="auto"/>
            <w:hideMark/>
          </w:tcPr>
          <w:p w14:paraId="1680F833"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Provides market-based evidence of bilateral tension effects</w:t>
            </w:r>
          </w:p>
        </w:tc>
      </w:tr>
      <w:tr w:rsidR="009506B2" w:rsidRPr="00012F08" w14:paraId="3E197573" w14:textId="77777777" w:rsidTr="009506B2">
        <w:trPr>
          <w:trHeight w:val="20"/>
        </w:trPr>
        <w:tc>
          <w:tcPr>
            <w:tcW w:w="0" w:type="auto"/>
            <w:hideMark/>
          </w:tcPr>
          <w:p w14:paraId="63AA47B4"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 xml:space="preserve">Sha, F., Meng, J., Zheng, X., &amp; Jiang, Y. (2025). Sustainability Under Fire: How China-US Tensions Impact Corporate ESG Performance? </w:t>
            </w:r>
            <w:r w:rsidRPr="00674425">
              <w:rPr>
                <w:rFonts w:ascii="Times New Roman" w:eastAsia="Times New Roman" w:hAnsi="Times New Roman" w:cs="Times New Roman"/>
                <w:i/>
                <w:iCs/>
                <w:sz w:val="18"/>
                <w:szCs w:val="18"/>
              </w:rPr>
              <w:t>Finance Research Letters</w:t>
            </w:r>
            <w:r w:rsidRPr="00012F08">
              <w:rPr>
                <w:rFonts w:ascii="Times New Roman" w:eastAsia="Times New Roman" w:hAnsi="Times New Roman" w:cs="Times New Roman"/>
                <w:sz w:val="18"/>
                <w:szCs w:val="18"/>
              </w:rPr>
              <w:t>, 107882.</w:t>
            </w:r>
          </w:p>
        </w:tc>
        <w:tc>
          <w:tcPr>
            <w:tcW w:w="0" w:type="auto"/>
            <w:hideMark/>
          </w:tcPr>
          <w:p w14:paraId="168DA354"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ESG performance under geopolitical stress</w:t>
            </w:r>
          </w:p>
        </w:tc>
        <w:tc>
          <w:tcPr>
            <w:tcW w:w="0" w:type="auto"/>
            <w:hideMark/>
          </w:tcPr>
          <w:p w14:paraId="52BF864F"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US-China Tension Index (UCT)</w:t>
            </w:r>
          </w:p>
        </w:tc>
        <w:tc>
          <w:tcPr>
            <w:tcW w:w="0" w:type="auto"/>
            <w:hideMark/>
          </w:tcPr>
          <w:p w14:paraId="189078C4"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ESG metrics, firm-level data</w:t>
            </w:r>
          </w:p>
        </w:tc>
        <w:tc>
          <w:tcPr>
            <w:tcW w:w="1295" w:type="dxa"/>
            <w:hideMark/>
          </w:tcPr>
          <w:p w14:paraId="7975B88A"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Panel regression</w:t>
            </w:r>
          </w:p>
        </w:tc>
        <w:tc>
          <w:tcPr>
            <w:tcW w:w="0" w:type="auto"/>
            <w:hideMark/>
          </w:tcPr>
          <w:p w14:paraId="34356EF5"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2010–2023</w:t>
            </w:r>
          </w:p>
        </w:tc>
        <w:tc>
          <w:tcPr>
            <w:tcW w:w="0" w:type="auto"/>
            <w:hideMark/>
          </w:tcPr>
          <w:p w14:paraId="00EE8B58"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China, US multinational firms</w:t>
            </w:r>
          </w:p>
        </w:tc>
        <w:tc>
          <w:tcPr>
            <w:tcW w:w="0" w:type="auto"/>
            <w:hideMark/>
          </w:tcPr>
          <w:p w14:paraId="5A645661"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US-China tension reduces corporate ESG scores, especially in tech</w:t>
            </w:r>
          </w:p>
        </w:tc>
        <w:tc>
          <w:tcPr>
            <w:tcW w:w="0" w:type="auto"/>
            <w:hideMark/>
          </w:tcPr>
          <w:p w14:paraId="5652B5E8"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Extends tension effects to non-financial corporate outcomes</w:t>
            </w:r>
          </w:p>
        </w:tc>
      </w:tr>
      <w:tr w:rsidR="009506B2" w:rsidRPr="00012F08" w14:paraId="7A93044D" w14:textId="77777777" w:rsidTr="009506B2">
        <w:trPr>
          <w:trHeight w:val="20"/>
        </w:trPr>
        <w:tc>
          <w:tcPr>
            <w:tcW w:w="0" w:type="auto"/>
            <w:hideMark/>
          </w:tcPr>
          <w:p w14:paraId="71BB9364"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 xml:space="preserve">Cai, Y. (2025). US-China tensions, global supply chains pressure, and global economy. </w:t>
            </w:r>
            <w:r w:rsidRPr="00674425">
              <w:rPr>
                <w:rFonts w:ascii="Times New Roman" w:eastAsia="Times New Roman" w:hAnsi="Times New Roman" w:cs="Times New Roman"/>
                <w:i/>
                <w:iCs/>
                <w:sz w:val="18"/>
                <w:szCs w:val="18"/>
              </w:rPr>
              <w:t>Economics Letters, 250</w:t>
            </w:r>
            <w:r w:rsidRPr="00012F08">
              <w:rPr>
                <w:rFonts w:ascii="Times New Roman" w:eastAsia="Times New Roman" w:hAnsi="Times New Roman" w:cs="Times New Roman"/>
                <w:sz w:val="18"/>
                <w:szCs w:val="18"/>
              </w:rPr>
              <w:t>, 108120.</w:t>
            </w:r>
          </w:p>
        </w:tc>
        <w:tc>
          <w:tcPr>
            <w:tcW w:w="0" w:type="auto"/>
            <w:hideMark/>
          </w:tcPr>
          <w:p w14:paraId="441262A2"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US-China tensions and global supply chains</w:t>
            </w:r>
          </w:p>
        </w:tc>
        <w:tc>
          <w:tcPr>
            <w:tcW w:w="0" w:type="auto"/>
            <w:hideMark/>
          </w:tcPr>
          <w:p w14:paraId="105EABB5"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Political Tension Index, Supply Chain Pressure Index</w:t>
            </w:r>
          </w:p>
        </w:tc>
        <w:tc>
          <w:tcPr>
            <w:tcW w:w="0" w:type="auto"/>
            <w:hideMark/>
          </w:tcPr>
          <w:p w14:paraId="1AEE03D7"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Macroeconomic aggregates, supply chains</w:t>
            </w:r>
          </w:p>
        </w:tc>
        <w:tc>
          <w:tcPr>
            <w:tcW w:w="1295" w:type="dxa"/>
            <w:hideMark/>
          </w:tcPr>
          <w:p w14:paraId="381614B7"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SVAR</w:t>
            </w:r>
          </w:p>
        </w:tc>
        <w:tc>
          <w:tcPr>
            <w:tcW w:w="0" w:type="auto"/>
            <w:hideMark/>
          </w:tcPr>
          <w:p w14:paraId="42258081"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2000–2024</w:t>
            </w:r>
          </w:p>
        </w:tc>
        <w:tc>
          <w:tcPr>
            <w:tcW w:w="0" w:type="auto"/>
            <w:hideMark/>
          </w:tcPr>
          <w:p w14:paraId="33BFAE67"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Global</w:t>
            </w:r>
          </w:p>
        </w:tc>
        <w:tc>
          <w:tcPr>
            <w:tcW w:w="0" w:type="auto"/>
            <w:hideMark/>
          </w:tcPr>
          <w:p w14:paraId="5B928194"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Bilateral tensions causally impair global supply chains and output</w:t>
            </w:r>
          </w:p>
        </w:tc>
        <w:tc>
          <w:tcPr>
            <w:tcW w:w="0" w:type="auto"/>
            <w:hideMark/>
          </w:tcPr>
          <w:p w14:paraId="1E81F4A4"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Adds real-economy transmission channel beyond financial markets</w:t>
            </w:r>
          </w:p>
        </w:tc>
      </w:tr>
      <w:tr w:rsidR="009506B2" w:rsidRPr="00012F08" w14:paraId="2858BB5F" w14:textId="77777777" w:rsidTr="009506B2">
        <w:trPr>
          <w:trHeight w:val="20"/>
        </w:trPr>
        <w:tc>
          <w:tcPr>
            <w:tcW w:w="0" w:type="auto"/>
            <w:hideMark/>
          </w:tcPr>
          <w:p w14:paraId="7518FE2C"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 xml:space="preserve">Liu, X., &amp; Zhang, X. (2024). Geopolitical risk and currency returns. </w:t>
            </w:r>
            <w:r w:rsidRPr="00674425">
              <w:rPr>
                <w:rFonts w:ascii="Times New Roman" w:eastAsia="Times New Roman" w:hAnsi="Times New Roman" w:cs="Times New Roman"/>
                <w:i/>
                <w:iCs/>
                <w:sz w:val="18"/>
                <w:szCs w:val="18"/>
              </w:rPr>
              <w:t>Journal of Banking &amp; Finance, 161</w:t>
            </w:r>
            <w:r w:rsidRPr="00012F08">
              <w:rPr>
                <w:rFonts w:ascii="Times New Roman" w:eastAsia="Times New Roman" w:hAnsi="Times New Roman" w:cs="Times New Roman"/>
                <w:sz w:val="18"/>
                <w:szCs w:val="18"/>
              </w:rPr>
              <w:t>, 107097.</w:t>
            </w:r>
          </w:p>
        </w:tc>
        <w:tc>
          <w:tcPr>
            <w:tcW w:w="0" w:type="auto"/>
            <w:hideMark/>
          </w:tcPr>
          <w:p w14:paraId="5ADBD618"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Geopolitical risk and currency returns</w:t>
            </w:r>
          </w:p>
        </w:tc>
        <w:tc>
          <w:tcPr>
            <w:tcW w:w="0" w:type="auto"/>
            <w:hideMark/>
          </w:tcPr>
          <w:p w14:paraId="3EB13727"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Geopolitical Risk Index (GPR), US-China focus</w:t>
            </w:r>
          </w:p>
        </w:tc>
        <w:tc>
          <w:tcPr>
            <w:tcW w:w="0" w:type="auto"/>
            <w:hideMark/>
          </w:tcPr>
          <w:p w14:paraId="2F9DA43E"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Currency excess returns</w:t>
            </w:r>
          </w:p>
        </w:tc>
        <w:tc>
          <w:tcPr>
            <w:tcW w:w="1295" w:type="dxa"/>
            <w:hideMark/>
          </w:tcPr>
          <w:p w14:paraId="4DB2A687"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GARCH, asset pricing regressions</w:t>
            </w:r>
          </w:p>
        </w:tc>
        <w:tc>
          <w:tcPr>
            <w:tcW w:w="0" w:type="auto"/>
            <w:hideMark/>
          </w:tcPr>
          <w:p w14:paraId="59AB783C"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2000–2023</w:t>
            </w:r>
          </w:p>
        </w:tc>
        <w:tc>
          <w:tcPr>
            <w:tcW w:w="0" w:type="auto"/>
            <w:hideMark/>
          </w:tcPr>
          <w:p w14:paraId="223084EB"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Global</w:t>
            </w:r>
          </w:p>
        </w:tc>
        <w:tc>
          <w:tcPr>
            <w:tcW w:w="0" w:type="auto"/>
            <w:hideMark/>
          </w:tcPr>
          <w:p w14:paraId="3A67ED29"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Geopolitical risk strongly affects currency returns; bilateral tensions have amplified effects</w:t>
            </w:r>
          </w:p>
        </w:tc>
        <w:tc>
          <w:tcPr>
            <w:tcW w:w="0" w:type="auto"/>
            <w:hideMark/>
          </w:tcPr>
          <w:p w14:paraId="400203CE" w14:textId="77777777" w:rsidR="009506B2" w:rsidRPr="00012F08" w:rsidRDefault="009506B2" w:rsidP="00203467">
            <w:pPr>
              <w:bidi w:val="0"/>
              <w:rPr>
                <w:rFonts w:ascii="Times New Roman" w:eastAsia="Times New Roman" w:hAnsi="Times New Roman" w:cs="Times New Roman"/>
                <w:sz w:val="18"/>
                <w:szCs w:val="18"/>
              </w:rPr>
            </w:pPr>
            <w:r w:rsidRPr="00012F08">
              <w:rPr>
                <w:rFonts w:ascii="Times New Roman" w:eastAsia="Times New Roman" w:hAnsi="Times New Roman" w:cs="Times New Roman"/>
                <w:sz w:val="18"/>
                <w:szCs w:val="18"/>
              </w:rPr>
              <w:t>Confirms that geopolitical risk significantly affects exchange rate markets</w:t>
            </w:r>
          </w:p>
        </w:tc>
      </w:tr>
    </w:tbl>
    <w:p w14:paraId="221FFE24" w14:textId="77777777" w:rsidR="00511464" w:rsidRPr="00012F08" w:rsidRDefault="00511464" w:rsidP="00511464">
      <w:pPr>
        <w:tabs>
          <w:tab w:val="left" w:pos="1544"/>
        </w:tabs>
        <w:bidi w:val="0"/>
        <w:rPr>
          <w:rFonts w:asciiTheme="majorBidi" w:hAnsiTheme="majorBidi" w:cstheme="majorBidi"/>
          <w:sz w:val="24"/>
          <w:szCs w:val="24"/>
        </w:rPr>
      </w:pPr>
    </w:p>
    <w:sectPr w:rsidR="00511464" w:rsidRPr="00012F08" w:rsidSect="00511464">
      <w:pgSz w:w="16838" w:h="11906" w:orient="landscape"/>
      <w:pgMar w:top="156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43FBC" w14:textId="77777777" w:rsidR="00193C27" w:rsidRDefault="00193C27" w:rsidP="00F50D23">
      <w:pPr>
        <w:spacing w:after="0" w:line="240" w:lineRule="auto"/>
      </w:pPr>
      <w:r>
        <w:separator/>
      </w:r>
    </w:p>
  </w:endnote>
  <w:endnote w:type="continuationSeparator" w:id="0">
    <w:p w14:paraId="6D692697" w14:textId="77777777" w:rsidR="00193C27" w:rsidRDefault="00193C27" w:rsidP="00F5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dvOT1ef757c0">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164FC" w14:textId="77777777" w:rsidR="00193C27" w:rsidRDefault="00193C27" w:rsidP="00F50D23">
      <w:pPr>
        <w:spacing w:after="0" w:line="240" w:lineRule="auto"/>
      </w:pPr>
      <w:r>
        <w:separator/>
      </w:r>
    </w:p>
  </w:footnote>
  <w:footnote w:type="continuationSeparator" w:id="0">
    <w:p w14:paraId="7B82B55B" w14:textId="77777777" w:rsidR="00193C27" w:rsidRDefault="00193C27" w:rsidP="00F50D23">
      <w:pPr>
        <w:spacing w:after="0" w:line="240" w:lineRule="auto"/>
      </w:pPr>
      <w:r>
        <w:continuationSeparator/>
      </w:r>
    </w:p>
  </w:footnote>
  <w:footnote w:id="1">
    <w:p w14:paraId="1B263E80" w14:textId="22BC1285" w:rsidR="00066322" w:rsidRPr="00066322" w:rsidRDefault="00066322">
      <w:pPr>
        <w:pStyle w:val="FootnoteText"/>
        <w:rPr>
          <w:rFonts w:asciiTheme="majorBidi" w:hAnsiTheme="majorBidi" w:cstheme="majorBidi"/>
        </w:rPr>
      </w:pPr>
      <w:r>
        <w:rPr>
          <w:rStyle w:val="FootnoteReference"/>
        </w:rPr>
        <w:footnoteRef/>
      </w:r>
      <w:r>
        <w:t xml:space="preserve"> </w:t>
      </w:r>
      <w:r w:rsidRPr="00066322">
        <w:rPr>
          <w:rFonts w:asciiTheme="majorBidi" w:hAnsiTheme="majorBidi" w:cstheme="majorBidi"/>
        </w:rPr>
        <w:t xml:space="preserve">See Appendix A for a summary of recent </w:t>
      </w:r>
      <w:r w:rsidR="00171750" w:rsidRPr="00066322">
        <w:rPr>
          <w:rFonts w:asciiTheme="majorBidi" w:hAnsiTheme="majorBidi" w:cstheme="majorBidi"/>
        </w:rPr>
        <w:t>stud</w:t>
      </w:r>
      <w:r w:rsidR="00171750">
        <w:rPr>
          <w:rFonts w:asciiTheme="majorBidi" w:hAnsiTheme="majorBidi" w:cstheme="majorBidi"/>
        </w:rPr>
        <w:t>ies</w:t>
      </w:r>
      <w:r w:rsidR="00171750" w:rsidRPr="00066322">
        <w:rPr>
          <w:rFonts w:asciiTheme="majorBidi" w:hAnsiTheme="majorBidi" w:cstheme="majorBidi"/>
        </w:rPr>
        <w:t xml:space="preserve"> </w:t>
      </w:r>
      <w:r w:rsidR="00171750">
        <w:rPr>
          <w:rFonts w:asciiTheme="majorBidi" w:hAnsiTheme="majorBidi" w:cstheme="majorBidi"/>
        </w:rPr>
        <w:t>on</w:t>
      </w:r>
      <w:r w:rsidRPr="00066322">
        <w:rPr>
          <w:rFonts w:asciiTheme="majorBidi" w:hAnsiTheme="majorBidi" w:cstheme="majorBidi"/>
        </w:rPr>
        <w:t xml:space="preserve"> U</w:t>
      </w:r>
      <w:r w:rsidR="0041184D">
        <w:rPr>
          <w:rFonts w:asciiTheme="majorBidi" w:hAnsiTheme="majorBidi" w:cstheme="majorBidi"/>
        </w:rPr>
        <w:t>.</w:t>
      </w:r>
      <w:r w:rsidRPr="00066322">
        <w:rPr>
          <w:rFonts w:asciiTheme="majorBidi" w:hAnsiTheme="majorBidi" w:cstheme="majorBidi"/>
        </w:rPr>
        <w:t>S</w:t>
      </w:r>
      <w:r w:rsidR="0041184D">
        <w:rPr>
          <w:rFonts w:asciiTheme="majorBidi" w:hAnsiTheme="majorBidi" w:cstheme="majorBidi"/>
        </w:rPr>
        <w:t>.</w:t>
      </w:r>
      <w:r w:rsidRPr="00066322">
        <w:rPr>
          <w:rFonts w:asciiTheme="majorBidi" w:hAnsiTheme="majorBidi" w:cstheme="majorBidi"/>
        </w:rPr>
        <w:t xml:space="preserve">-China </w:t>
      </w:r>
      <w:r w:rsidR="00171750">
        <w:rPr>
          <w:rFonts w:asciiTheme="majorBidi" w:hAnsiTheme="majorBidi" w:cstheme="majorBidi"/>
        </w:rPr>
        <w:t>t</w:t>
      </w:r>
      <w:r w:rsidR="00171750" w:rsidRPr="00066322">
        <w:rPr>
          <w:rFonts w:asciiTheme="majorBidi" w:hAnsiTheme="majorBidi" w:cstheme="majorBidi"/>
        </w:rPr>
        <w:t>ension</w:t>
      </w:r>
      <w:r w:rsidR="00171750">
        <w:rPr>
          <w:rFonts w:asciiTheme="majorBidi" w:hAnsiTheme="majorBidi" w:cstheme="majorBidi"/>
        </w:rPr>
        <w:t>s</w:t>
      </w:r>
      <w:r w:rsidRPr="00066322">
        <w:rPr>
          <w:rFonts w:asciiTheme="majorBidi" w:hAnsiTheme="majorBidi" w:cstheme="majorBidi"/>
        </w:rPr>
        <w:t>.</w:t>
      </w:r>
    </w:p>
  </w:footnote>
  <w:footnote w:id="2">
    <w:p w14:paraId="25F5269D" w14:textId="622341DD" w:rsidR="00C15056" w:rsidRPr="00C15056" w:rsidRDefault="00C15056" w:rsidP="00C15056">
      <w:pPr>
        <w:bidi w:val="0"/>
        <w:spacing w:line="276" w:lineRule="auto"/>
        <w:jc w:val="both"/>
        <w:rPr>
          <w:rFonts w:asciiTheme="majorBidi" w:hAnsiTheme="majorBidi" w:cstheme="majorBidi"/>
        </w:rPr>
      </w:pPr>
      <w:r>
        <w:rPr>
          <w:rStyle w:val="FootnoteReference"/>
        </w:rPr>
        <w:footnoteRef/>
      </w:r>
      <w:r>
        <w:t xml:space="preserve"> </w:t>
      </w:r>
      <w:r w:rsidRPr="00C15056">
        <w:rPr>
          <w:rFonts w:asciiTheme="majorBidi" w:hAnsiTheme="majorBidi" w:cstheme="majorBidi"/>
          <w:sz w:val="20"/>
          <w:szCs w:val="20"/>
        </w:rPr>
        <w:t xml:space="preserve">We define the exchange rate variable as the USD/CNY rate, where an increase indicates a depreciation of the Chinese </w:t>
      </w:r>
      <w:r w:rsidR="000F752B">
        <w:rPr>
          <w:rFonts w:asciiTheme="majorBidi" w:hAnsiTheme="majorBidi" w:cstheme="majorBidi"/>
          <w:sz w:val="20"/>
          <w:szCs w:val="20"/>
        </w:rPr>
        <w:t>y</w:t>
      </w:r>
      <w:r w:rsidR="000F752B" w:rsidRPr="00C15056">
        <w:rPr>
          <w:rFonts w:asciiTheme="majorBidi" w:hAnsiTheme="majorBidi" w:cstheme="majorBidi"/>
          <w:sz w:val="20"/>
          <w:szCs w:val="20"/>
        </w:rPr>
        <w:t xml:space="preserve">uan </w:t>
      </w:r>
      <w:r w:rsidRPr="00C15056">
        <w:rPr>
          <w:rFonts w:asciiTheme="majorBidi" w:hAnsiTheme="majorBidi" w:cstheme="majorBidi"/>
          <w:sz w:val="20"/>
          <w:szCs w:val="20"/>
        </w:rPr>
        <w:t xml:space="preserve">against the U.S. </w:t>
      </w:r>
      <w:r w:rsidR="000F752B">
        <w:rPr>
          <w:rFonts w:asciiTheme="majorBidi" w:hAnsiTheme="majorBidi" w:cstheme="majorBidi"/>
          <w:sz w:val="20"/>
          <w:szCs w:val="20"/>
        </w:rPr>
        <w:t>d</w:t>
      </w:r>
      <w:r w:rsidR="000F752B" w:rsidRPr="00C15056">
        <w:rPr>
          <w:rFonts w:asciiTheme="majorBidi" w:hAnsiTheme="majorBidi" w:cstheme="majorBidi"/>
          <w:sz w:val="20"/>
          <w:szCs w:val="20"/>
        </w:rPr>
        <w:t>ollar</w:t>
      </w:r>
      <w:r w:rsidRPr="00C15056">
        <w:rPr>
          <w:rFonts w:asciiTheme="majorBidi" w:hAnsiTheme="majorBidi" w:cstheme="majorBidi"/>
          <w:sz w:val="20"/>
          <w:szCs w:val="20"/>
        </w:rPr>
        <w:t xml:space="preserve">. </w:t>
      </w:r>
    </w:p>
    <w:p w14:paraId="2177CA0A" w14:textId="48D70EF4" w:rsidR="00C15056" w:rsidRDefault="00C15056">
      <w:pPr>
        <w:pStyle w:val="FootnoteText"/>
      </w:pPr>
    </w:p>
  </w:footnote>
  <w:footnote w:id="3">
    <w:p w14:paraId="11D84BA4" w14:textId="27BA689C" w:rsidR="00C15056" w:rsidRPr="00C15056" w:rsidRDefault="00C15056">
      <w:pPr>
        <w:pStyle w:val="FootnoteText"/>
        <w:rPr>
          <w:rFonts w:asciiTheme="majorBidi" w:hAnsiTheme="majorBidi" w:cstheme="majorBidi"/>
        </w:rPr>
      </w:pPr>
      <w:r>
        <w:rPr>
          <w:rStyle w:val="FootnoteReference"/>
        </w:rPr>
        <w:footnoteRef/>
      </w:r>
      <w:r>
        <w:t xml:space="preserve"> </w:t>
      </w:r>
      <w:r w:rsidRPr="00C15056">
        <w:rPr>
          <w:rFonts w:asciiTheme="majorBidi" w:hAnsiTheme="majorBidi" w:cstheme="majorBidi"/>
        </w:rPr>
        <w:t>We use</w:t>
      </w:r>
      <w:r w:rsidR="000F752B">
        <w:rPr>
          <w:rFonts w:asciiTheme="majorBidi" w:hAnsiTheme="majorBidi" w:cstheme="majorBidi"/>
        </w:rPr>
        <w:t>d</w:t>
      </w:r>
      <w:r w:rsidRPr="00C15056">
        <w:rPr>
          <w:rFonts w:asciiTheme="majorBidi" w:hAnsiTheme="majorBidi" w:cstheme="majorBidi"/>
        </w:rPr>
        <w:t xml:space="preserve"> the online platform in </w:t>
      </w:r>
      <w:hyperlink r:id="rId1" w:history="1">
        <w:r w:rsidRPr="00C15056">
          <w:rPr>
            <w:rStyle w:val="Hyperlink"/>
            <w:rFonts w:asciiTheme="majorBidi" w:hAnsiTheme="majorBidi" w:cstheme="majorBidi"/>
          </w:rPr>
          <w:t>https://sites.google.com/view/davidgabauer/econometric-code</w:t>
        </w:r>
      </w:hyperlink>
      <w:r w:rsidRPr="00C15056">
        <w:rPr>
          <w:rFonts w:asciiTheme="majorBidi" w:hAnsiTheme="majorBidi" w:cstheme="majorBidi"/>
        </w:rPr>
        <w:t xml:space="preserve">. We thank Professor David Gabauer for sharing his platform.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2531"/>
    <w:multiLevelType w:val="multilevel"/>
    <w:tmpl w:val="1B58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34414"/>
    <w:multiLevelType w:val="multilevel"/>
    <w:tmpl w:val="F7C4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A725E"/>
    <w:multiLevelType w:val="multilevel"/>
    <w:tmpl w:val="6298C6BE"/>
    <w:lvl w:ilvl="0">
      <w:start w:val="1"/>
      <w:numFmt w:val="decimal"/>
      <w:lvlText w:val="%1."/>
      <w:lvlJc w:val="left"/>
      <w:pPr>
        <w:tabs>
          <w:tab w:val="num" w:pos="360"/>
        </w:tabs>
        <w:ind w:left="360" w:hanging="360"/>
      </w:pPr>
      <w:rPr>
        <w:rFonts w:hint="default"/>
        <w:b/>
        <w:bCs/>
        <w:sz w:val="24"/>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DC4C47"/>
    <w:multiLevelType w:val="multilevel"/>
    <w:tmpl w:val="907684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40B19"/>
    <w:multiLevelType w:val="multilevel"/>
    <w:tmpl w:val="DE22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D3636"/>
    <w:multiLevelType w:val="multilevel"/>
    <w:tmpl w:val="D1E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737EF"/>
    <w:multiLevelType w:val="multilevel"/>
    <w:tmpl w:val="FE3A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A37CE"/>
    <w:multiLevelType w:val="multilevel"/>
    <w:tmpl w:val="ABDCCB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76894"/>
    <w:multiLevelType w:val="multilevel"/>
    <w:tmpl w:val="62D2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3193F"/>
    <w:multiLevelType w:val="hybridMultilevel"/>
    <w:tmpl w:val="7DD26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B6D47"/>
    <w:multiLevelType w:val="multilevel"/>
    <w:tmpl w:val="F45C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82B89"/>
    <w:multiLevelType w:val="hybridMultilevel"/>
    <w:tmpl w:val="1038A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B0A54"/>
    <w:multiLevelType w:val="hybridMultilevel"/>
    <w:tmpl w:val="C44AD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12080"/>
    <w:multiLevelType w:val="multilevel"/>
    <w:tmpl w:val="205E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FC52D1"/>
    <w:multiLevelType w:val="hybridMultilevel"/>
    <w:tmpl w:val="26A02C8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37E5890"/>
    <w:multiLevelType w:val="multilevel"/>
    <w:tmpl w:val="CF62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47376"/>
    <w:multiLevelType w:val="hybridMultilevel"/>
    <w:tmpl w:val="17580C78"/>
    <w:lvl w:ilvl="0" w:tplc="C00AC4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9D4D56"/>
    <w:multiLevelType w:val="multilevel"/>
    <w:tmpl w:val="4E12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90B55"/>
    <w:multiLevelType w:val="multilevel"/>
    <w:tmpl w:val="EDE27F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4115C"/>
    <w:multiLevelType w:val="multilevel"/>
    <w:tmpl w:val="6C02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A790E"/>
    <w:multiLevelType w:val="multilevel"/>
    <w:tmpl w:val="A190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15184">
    <w:abstractNumId w:val="5"/>
  </w:num>
  <w:num w:numId="2" w16cid:durableId="113209981">
    <w:abstractNumId w:val="4"/>
  </w:num>
  <w:num w:numId="3" w16cid:durableId="1179389366">
    <w:abstractNumId w:val="0"/>
  </w:num>
  <w:num w:numId="4" w16cid:durableId="1564675055">
    <w:abstractNumId w:val="1"/>
  </w:num>
  <w:num w:numId="5" w16cid:durableId="69813794">
    <w:abstractNumId w:val="19"/>
  </w:num>
  <w:num w:numId="6" w16cid:durableId="1175223163">
    <w:abstractNumId w:val="15"/>
  </w:num>
  <w:num w:numId="7" w16cid:durableId="1639262094">
    <w:abstractNumId w:val="13"/>
  </w:num>
  <w:num w:numId="8" w16cid:durableId="173228925">
    <w:abstractNumId w:val="8"/>
  </w:num>
  <w:num w:numId="9" w16cid:durableId="443303449">
    <w:abstractNumId w:val="10"/>
  </w:num>
  <w:num w:numId="10" w16cid:durableId="2041470813">
    <w:abstractNumId w:val="17"/>
  </w:num>
  <w:num w:numId="11" w16cid:durableId="581643069">
    <w:abstractNumId w:val="6"/>
  </w:num>
  <w:num w:numId="12" w16cid:durableId="1587692201">
    <w:abstractNumId w:val="20"/>
  </w:num>
  <w:num w:numId="13" w16cid:durableId="1018656373">
    <w:abstractNumId w:val="12"/>
  </w:num>
  <w:num w:numId="14" w16cid:durableId="1703357429">
    <w:abstractNumId w:val="14"/>
  </w:num>
  <w:num w:numId="15" w16cid:durableId="446312229">
    <w:abstractNumId w:val="7"/>
  </w:num>
  <w:num w:numId="16" w16cid:durableId="2084520875">
    <w:abstractNumId w:val="3"/>
  </w:num>
  <w:num w:numId="17" w16cid:durableId="1925186415">
    <w:abstractNumId w:val="18"/>
  </w:num>
  <w:num w:numId="18" w16cid:durableId="71631979">
    <w:abstractNumId w:val="16"/>
  </w:num>
  <w:num w:numId="19" w16cid:durableId="361365877">
    <w:abstractNumId w:val="2"/>
  </w:num>
  <w:num w:numId="20" w16cid:durableId="484054552">
    <w:abstractNumId w:val="9"/>
  </w:num>
  <w:num w:numId="21" w16cid:durableId="2488538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ytjCyNDAzNzcwMTNW0lEKTi0uzszPAykwrAUAPofUtCwAAAA="/>
  </w:docVars>
  <w:rsids>
    <w:rsidRoot w:val="00E14CA2"/>
    <w:rsid w:val="00012F08"/>
    <w:rsid w:val="000137E7"/>
    <w:rsid w:val="00043BA7"/>
    <w:rsid w:val="00060DC3"/>
    <w:rsid w:val="00061C89"/>
    <w:rsid w:val="00061E30"/>
    <w:rsid w:val="00066322"/>
    <w:rsid w:val="00080F8C"/>
    <w:rsid w:val="000A4407"/>
    <w:rsid w:val="000C2F3D"/>
    <w:rsid w:val="000E4F78"/>
    <w:rsid w:val="000E625D"/>
    <w:rsid w:val="000F4294"/>
    <w:rsid w:val="000F752B"/>
    <w:rsid w:val="00100D69"/>
    <w:rsid w:val="001132B3"/>
    <w:rsid w:val="00136DAF"/>
    <w:rsid w:val="00144A5A"/>
    <w:rsid w:val="00163A20"/>
    <w:rsid w:val="00171750"/>
    <w:rsid w:val="00185839"/>
    <w:rsid w:val="00193C27"/>
    <w:rsid w:val="001B31E1"/>
    <w:rsid w:val="001C2E20"/>
    <w:rsid w:val="001C3579"/>
    <w:rsid w:val="001D6AD7"/>
    <w:rsid w:val="001D6C3B"/>
    <w:rsid w:val="001F0494"/>
    <w:rsid w:val="00241584"/>
    <w:rsid w:val="00243959"/>
    <w:rsid w:val="002646EB"/>
    <w:rsid w:val="00275788"/>
    <w:rsid w:val="002C1512"/>
    <w:rsid w:val="002E31B4"/>
    <w:rsid w:val="002F364D"/>
    <w:rsid w:val="00317EE1"/>
    <w:rsid w:val="00331315"/>
    <w:rsid w:val="0033491C"/>
    <w:rsid w:val="003A447B"/>
    <w:rsid w:val="003A65B9"/>
    <w:rsid w:val="003B1B94"/>
    <w:rsid w:val="003B1C3C"/>
    <w:rsid w:val="003B30E2"/>
    <w:rsid w:val="003D5FEA"/>
    <w:rsid w:val="003F05EE"/>
    <w:rsid w:val="003F5A67"/>
    <w:rsid w:val="0041184D"/>
    <w:rsid w:val="0041255A"/>
    <w:rsid w:val="00436D24"/>
    <w:rsid w:val="00442938"/>
    <w:rsid w:val="0045662D"/>
    <w:rsid w:val="004768DA"/>
    <w:rsid w:val="004909FE"/>
    <w:rsid w:val="004A3F83"/>
    <w:rsid w:val="004A7BC6"/>
    <w:rsid w:val="004B6457"/>
    <w:rsid w:val="004E7D5C"/>
    <w:rsid w:val="004F1633"/>
    <w:rsid w:val="00511464"/>
    <w:rsid w:val="0052349D"/>
    <w:rsid w:val="00542548"/>
    <w:rsid w:val="00544F6B"/>
    <w:rsid w:val="005674A1"/>
    <w:rsid w:val="00591CBB"/>
    <w:rsid w:val="005A777E"/>
    <w:rsid w:val="005A7DFD"/>
    <w:rsid w:val="005B087A"/>
    <w:rsid w:val="005B1493"/>
    <w:rsid w:val="005B641B"/>
    <w:rsid w:val="005E0532"/>
    <w:rsid w:val="005F456D"/>
    <w:rsid w:val="005F6429"/>
    <w:rsid w:val="0061559F"/>
    <w:rsid w:val="006254F2"/>
    <w:rsid w:val="00631B09"/>
    <w:rsid w:val="00641A26"/>
    <w:rsid w:val="006523AF"/>
    <w:rsid w:val="00654F57"/>
    <w:rsid w:val="006704D5"/>
    <w:rsid w:val="00674425"/>
    <w:rsid w:val="006A48EC"/>
    <w:rsid w:val="006B5DC5"/>
    <w:rsid w:val="006C2DCC"/>
    <w:rsid w:val="006D0BDD"/>
    <w:rsid w:val="006D22C9"/>
    <w:rsid w:val="006D3360"/>
    <w:rsid w:val="006E3C88"/>
    <w:rsid w:val="006F1194"/>
    <w:rsid w:val="00712A5A"/>
    <w:rsid w:val="00716D04"/>
    <w:rsid w:val="0072697E"/>
    <w:rsid w:val="00783777"/>
    <w:rsid w:val="00784C0E"/>
    <w:rsid w:val="007B2FF9"/>
    <w:rsid w:val="007B6C5A"/>
    <w:rsid w:val="007E5BE7"/>
    <w:rsid w:val="007E6363"/>
    <w:rsid w:val="00830152"/>
    <w:rsid w:val="00853300"/>
    <w:rsid w:val="008665E0"/>
    <w:rsid w:val="0089325D"/>
    <w:rsid w:val="008A44A3"/>
    <w:rsid w:val="008D0811"/>
    <w:rsid w:val="008E0063"/>
    <w:rsid w:val="008F3B23"/>
    <w:rsid w:val="00903904"/>
    <w:rsid w:val="00906B22"/>
    <w:rsid w:val="0090732C"/>
    <w:rsid w:val="00942C18"/>
    <w:rsid w:val="009478F1"/>
    <w:rsid w:val="009506B2"/>
    <w:rsid w:val="00956C23"/>
    <w:rsid w:val="009702D1"/>
    <w:rsid w:val="00986FDB"/>
    <w:rsid w:val="00990924"/>
    <w:rsid w:val="009A1F8C"/>
    <w:rsid w:val="009B23E3"/>
    <w:rsid w:val="009B2A05"/>
    <w:rsid w:val="009B50D8"/>
    <w:rsid w:val="009B6E3B"/>
    <w:rsid w:val="009E6727"/>
    <w:rsid w:val="009F58C1"/>
    <w:rsid w:val="00A02408"/>
    <w:rsid w:val="00A1153D"/>
    <w:rsid w:val="00A355F3"/>
    <w:rsid w:val="00A37902"/>
    <w:rsid w:val="00A45A35"/>
    <w:rsid w:val="00A673BA"/>
    <w:rsid w:val="00A8320F"/>
    <w:rsid w:val="00A8769A"/>
    <w:rsid w:val="00AB3583"/>
    <w:rsid w:val="00AD772F"/>
    <w:rsid w:val="00AF66CC"/>
    <w:rsid w:val="00B00E67"/>
    <w:rsid w:val="00B02B00"/>
    <w:rsid w:val="00B04480"/>
    <w:rsid w:val="00B21570"/>
    <w:rsid w:val="00B26E99"/>
    <w:rsid w:val="00B419FE"/>
    <w:rsid w:val="00B71105"/>
    <w:rsid w:val="00B74D62"/>
    <w:rsid w:val="00B75553"/>
    <w:rsid w:val="00B8279A"/>
    <w:rsid w:val="00B84521"/>
    <w:rsid w:val="00BB3428"/>
    <w:rsid w:val="00BE41C5"/>
    <w:rsid w:val="00BF13D7"/>
    <w:rsid w:val="00BF7D5F"/>
    <w:rsid w:val="00C15056"/>
    <w:rsid w:val="00C2192E"/>
    <w:rsid w:val="00C25146"/>
    <w:rsid w:val="00C36979"/>
    <w:rsid w:val="00C549D7"/>
    <w:rsid w:val="00C60023"/>
    <w:rsid w:val="00C836DB"/>
    <w:rsid w:val="00CC1F2E"/>
    <w:rsid w:val="00CE110D"/>
    <w:rsid w:val="00D30A2F"/>
    <w:rsid w:val="00D44147"/>
    <w:rsid w:val="00D52889"/>
    <w:rsid w:val="00D610D2"/>
    <w:rsid w:val="00D73DBE"/>
    <w:rsid w:val="00D750E5"/>
    <w:rsid w:val="00DA07AF"/>
    <w:rsid w:val="00DA1A43"/>
    <w:rsid w:val="00DC2171"/>
    <w:rsid w:val="00DD323A"/>
    <w:rsid w:val="00DE1045"/>
    <w:rsid w:val="00E00BA4"/>
    <w:rsid w:val="00E1409E"/>
    <w:rsid w:val="00E14CA2"/>
    <w:rsid w:val="00E338AF"/>
    <w:rsid w:val="00E55A1F"/>
    <w:rsid w:val="00E75AC3"/>
    <w:rsid w:val="00EB3F94"/>
    <w:rsid w:val="00EB7E83"/>
    <w:rsid w:val="00EC18C9"/>
    <w:rsid w:val="00F049ED"/>
    <w:rsid w:val="00F3642A"/>
    <w:rsid w:val="00F410A1"/>
    <w:rsid w:val="00F50D23"/>
    <w:rsid w:val="00F8707D"/>
    <w:rsid w:val="00F878F3"/>
    <w:rsid w:val="00F91B18"/>
    <w:rsid w:val="00F97A19"/>
    <w:rsid w:val="00F97A2C"/>
    <w:rsid w:val="00FD125A"/>
    <w:rsid w:val="00FD3CA8"/>
    <w:rsid w:val="00FD4F96"/>
    <w:rsid w:val="00FE74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30C6334"/>
  <w15:chartTrackingRefBased/>
  <w15:docId w15:val="{EE8BDD32-3A36-49A7-B333-5498777F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E14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CA2"/>
    <w:rPr>
      <w:rFonts w:eastAsiaTheme="majorEastAsia" w:cstheme="majorBidi"/>
      <w:color w:val="272727" w:themeColor="text1" w:themeTint="D8"/>
    </w:rPr>
  </w:style>
  <w:style w:type="paragraph" w:styleId="Title">
    <w:name w:val="Title"/>
    <w:basedOn w:val="Normal"/>
    <w:next w:val="Normal"/>
    <w:link w:val="TitleChar"/>
    <w:uiPriority w:val="10"/>
    <w:qFormat/>
    <w:rsid w:val="00E14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CA2"/>
    <w:pPr>
      <w:spacing w:before="160"/>
      <w:jc w:val="center"/>
    </w:pPr>
    <w:rPr>
      <w:i/>
      <w:iCs/>
      <w:color w:val="404040" w:themeColor="text1" w:themeTint="BF"/>
    </w:rPr>
  </w:style>
  <w:style w:type="character" w:customStyle="1" w:styleId="QuoteChar">
    <w:name w:val="Quote Char"/>
    <w:basedOn w:val="DefaultParagraphFont"/>
    <w:link w:val="Quote"/>
    <w:uiPriority w:val="29"/>
    <w:rsid w:val="00E14CA2"/>
    <w:rPr>
      <w:i/>
      <w:iCs/>
      <w:color w:val="404040" w:themeColor="text1" w:themeTint="BF"/>
    </w:rPr>
  </w:style>
  <w:style w:type="paragraph" w:styleId="ListParagraph">
    <w:name w:val="List Paragraph"/>
    <w:basedOn w:val="Normal"/>
    <w:uiPriority w:val="99"/>
    <w:qFormat/>
    <w:rsid w:val="00E14CA2"/>
    <w:pPr>
      <w:ind w:left="720"/>
      <w:contextualSpacing/>
    </w:pPr>
  </w:style>
  <w:style w:type="character" w:styleId="IntenseEmphasis">
    <w:name w:val="Intense Emphasis"/>
    <w:basedOn w:val="DefaultParagraphFont"/>
    <w:uiPriority w:val="21"/>
    <w:qFormat/>
    <w:rsid w:val="00E14CA2"/>
    <w:rPr>
      <w:i/>
      <w:iCs/>
      <w:color w:val="0F4761" w:themeColor="accent1" w:themeShade="BF"/>
    </w:rPr>
  </w:style>
  <w:style w:type="paragraph" w:styleId="IntenseQuote">
    <w:name w:val="Intense Quote"/>
    <w:basedOn w:val="Normal"/>
    <w:next w:val="Normal"/>
    <w:link w:val="IntenseQuoteChar"/>
    <w:uiPriority w:val="30"/>
    <w:qFormat/>
    <w:rsid w:val="00E14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CA2"/>
    <w:rPr>
      <w:i/>
      <w:iCs/>
      <w:color w:val="0F4761" w:themeColor="accent1" w:themeShade="BF"/>
    </w:rPr>
  </w:style>
  <w:style w:type="character" w:styleId="IntenseReference">
    <w:name w:val="Intense Reference"/>
    <w:basedOn w:val="DefaultParagraphFont"/>
    <w:uiPriority w:val="32"/>
    <w:qFormat/>
    <w:rsid w:val="00E14CA2"/>
    <w:rPr>
      <w:b/>
      <w:bCs/>
      <w:smallCaps/>
      <w:color w:val="0F4761" w:themeColor="accent1" w:themeShade="BF"/>
      <w:spacing w:val="5"/>
    </w:rPr>
  </w:style>
  <w:style w:type="paragraph" w:styleId="NormalWeb">
    <w:name w:val="Normal (Web)"/>
    <w:basedOn w:val="Normal"/>
    <w:uiPriority w:val="99"/>
    <w:semiHidden/>
    <w:unhideWhenUsed/>
    <w:rsid w:val="00DE1045"/>
    <w:rPr>
      <w:rFonts w:ascii="Times New Roman" w:hAnsi="Times New Roman" w:cs="Times New Roman"/>
      <w:sz w:val="24"/>
      <w:szCs w:val="24"/>
    </w:rPr>
  </w:style>
  <w:style w:type="table" w:styleId="TableGrid">
    <w:name w:val="Table Grid"/>
    <w:basedOn w:val="TableNormal"/>
    <w:uiPriority w:val="39"/>
    <w:rsid w:val="00E338AF"/>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D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0D23"/>
  </w:style>
  <w:style w:type="paragraph" w:styleId="Footer">
    <w:name w:val="footer"/>
    <w:basedOn w:val="Normal"/>
    <w:link w:val="FooterChar"/>
    <w:uiPriority w:val="99"/>
    <w:unhideWhenUsed/>
    <w:rsid w:val="00F50D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0D23"/>
  </w:style>
  <w:style w:type="paragraph" w:styleId="FootnoteText">
    <w:name w:val="footnote text"/>
    <w:basedOn w:val="Normal"/>
    <w:link w:val="FootnoteTextChar"/>
    <w:uiPriority w:val="99"/>
    <w:semiHidden/>
    <w:unhideWhenUsed/>
    <w:rsid w:val="009E6727"/>
    <w:pPr>
      <w:bidi w:val="0"/>
      <w:spacing w:after="0" w:line="240" w:lineRule="auto"/>
    </w:pPr>
    <w:rPr>
      <w:kern w:val="0"/>
      <w:sz w:val="20"/>
      <w:szCs w:val="20"/>
      <w:lang w:bidi="ar-SA"/>
      <w14:ligatures w14:val="none"/>
    </w:rPr>
  </w:style>
  <w:style w:type="character" w:customStyle="1" w:styleId="FootnoteTextChar">
    <w:name w:val="Footnote Text Char"/>
    <w:basedOn w:val="DefaultParagraphFont"/>
    <w:link w:val="FootnoteText"/>
    <w:uiPriority w:val="99"/>
    <w:semiHidden/>
    <w:rsid w:val="009E6727"/>
    <w:rPr>
      <w:kern w:val="0"/>
      <w:sz w:val="20"/>
      <w:szCs w:val="20"/>
      <w:lang w:bidi="ar-SA"/>
      <w14:ligatures w14:val="none"/>
    </w:rPr>
  </w:style>
  <w:style w:type="character" w:styleId="FootnoteReference">
    <w:name w:val="footnote reference"/>
    <w:basedOn w:val="DefaultParagraphFont"/>
    <w:uiPriority w:val="99"/>
    <w:semiHidden/>
    <w:unhideWhenUsed/>
    <w:rsid w:val="009E6727"/>
    <w:rPr>
      <w:vertAlign w:val="superscript"/>
    </w:rPr>
  </w:style>
  <w:style w:type="character" w:styleId="Hyperlink">
    <w:name w:val="Hyperlink"/>
    <w:basedOn w:val="DefaultParagraphFont"/>
    <w:uiPriority w:val="99"/>
    <w:unhideWhenUsed/>
    <w:rsid w:val="006D0BDD"/>
    <w:rPr>
      <w:color w:val="467886" w:themeColor="hyperlink"/>
      <w:u w:val="single"/>
    </w:rPr>
  </w:style>
  <w:style w:type="paragraph" w:customStyle="1" w:styleId="Default">
    <w:name w:val="Default"/>
    <w:rsid w:val="006D0BDD"/>
    <w:pPr>
      <w:autoSpaceDE w:val="0"/>
      <w:autoSpaceDN w:val="0"/>
      <w:adjustRightInd w:val="0"/>
      <w:spacing w:after="0" w:line="240" w:lineRule="auto"/>
    </w:pPr>
    <w:rPr>
      <w:rFonts w:ascii="Times New Roman" w:eastAsiaTheme="minorEastAsia" w:hAnsi="Times New Roman" w:cs="Times New Roman"/>
      <w:color w:val="000000"/>
      <w:kern w:val="0"/>
      <w:sz w:val="24"/>
      <w:szCs w:val="24"/>
      <w:lang w:val="pl-PL" w:bidi="ar-SA"/>
      <w14:ligatures w14:val="none"/>
    </w:rPr>
  </w:style>
  <w:style w:type="character" w:styleId="UnresolvedMention">
    <w:name w:val="Unresolved Mention"/>
    <w:basedOn w:val="DefaultParagraphFont"/>
    <w:uiPriority w:val="99"/>
    <w:semiHidden/>
    <w:unhideWhenUsed/>
    <w:rsid w:val="00B00E67"/>
    <w:rPr>
      <w:color w:val="605E5C"/>
      <w:shd w:val="clear" w:color="auto" w:fill="E1DFDD"/>
    </w:rPr>
  </w:style>
  <w:style w:type="character" w:styleId="Emphasis">
    <w:name w:val="Emphasis"/>
    <w:basedOn w:val="DefaultParagraphFont"/>
    <w:uiPriority w:val="20"/>
    <w:qFormat/>
    <w:rsid w:val="00BE41C5"/>
    <w:rPr>
      <w:i/>
      <w:iCs/>
    </w:rPr>
  </w:style>
  <w:style w:type="character" w:styleId="Strong">
    <w:name w:val="Strong"/>
    <w:basedOn w:val="DefaultParagraphFont"/>
    <w:uiPriority w:val="22"/>
    <w:qFormat/>
    <w:rsid w:val="00BE41C5"/>
    <w:rPr>
      <w:b/>
      <w:bCs/>
    </w:rPr>
  </w:style>
  <w:style w:type="character" w:customStyle="1" w:styleId="anchor-text">
    <w:name w:val="anchor-text"/>
    <w:basedOn w:val="DefaultParagraphFont"/>
    <w:rsid w:val="00BE41C5"/>
  </w:style>
  <w:style w:type="paragraph" w:styleId="Revision">
    <w:name w:val="Revision"/>
    <w:hidden/>
    <w:uiPriority w:val="99"/>
    <w:semiHidden/>
    <w:rsid w:val="00012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239">
      <w:bodyDiv w:val="1"/>
      <w:marLeft w:val="0"/>
      <w:marRight w:val="0"/>
      <w:marTop w:val="0"/>
      <w:marBottom w:val="0"/>
      <w:divBdr>
        <w:top w:val="none" w:sz="0" w:space="0" w:color="auto"/>
        <w:left w:val="none" w:sz="0" w:space="0" w:color="auto"/>
        <w:bottom w:val="none" w:sz="0" w:space="0" w:color="auto"/>
        <w:right w:val="none" w:sz="0" w:space="0" w:color="auto"/>
      </w:divBdr>
    </w:div>
    <w:div w:id="38940763">
      <w:bodyDiv w:val="1"/>
      <w:marLeft w:val="0"/>
      <w:marRight w:val="0"/>
      <w:marTop w:val="0"/>
      <w:marBottom w:val="0"/>
      <w:divBdr>
        <w:top w:val="none" w:sz="0" w:space="0" w:color="auto"/>
        <w:left w:val="none" w:sz="0" w:space="0" w:color="auto"/>
        <w:bottom w:val="none" w:sz="0" w:space="0" w:color="auto"/>
        <w:right w:val="none" w:sz="0" w:space="0" w:color="auto"/>
      </w:divBdr>
    </w:div>
    <w:div w:id="39477268">
      <w:bodyDiv w:val="1"/>
      <w:marLeft w:val="0"/>
      <w:marRight w:val="0"/>
      <w:marTop w:val="0"/>
      <w:marBottom w:val="0"/>
      <w:divBdr>
        <w:top w:val="none" w:sz="0" w:space="0" w:color="auto"/>
        <w:left w:val="none" w:sz="0" w:space="0" w:color="auto"/>
        <w:bottom w:val="none" w:sz="0" w:space="0" w:color="auto"/>
        <w:right w:val="none" w:sz="0" w:space="0" w:color="auto"/>
      </w:divBdr>
    </w:div>
    <w:div w:id="140777965">
      <w:bodyDiv w:val="1"/>
      <w:marLeft w:val="0"/>
      <w:marRight w:val="0"/>
      <w:marTop w:val="0"/>
      <w:marBottom w:val="0"/>
      <w:divBdr>
        <w:top w:val="none" w:sz="0" w:space="0" w:color="auto"/>
        <w:left w:val="none" w:sz="0" w:space="0" w:color="auto"/>
        <w:bottom w:val="none" w:sz="0" w:space="0" w:color="auto"/>
        <w:right w:val="none" w:sz="0" w:space="0" w:color="auto"/>
      </w:divBdr>
    </w:div>
    <w:div w:id="150871945">
      <w:bodyDiv w:val="1"/>
      <w:marLeft w:val="0"/>
      <w:marRight w:val="0"/>
      <w:marTop w:val="0"/>
      <w:marBottom w:val="0"/>
      <w:divBdr>
        <w:top w:val="none" w:sz="0" w:space="0" w:color="auto"/>
        <w:left w:val="none" w:sz="0" w:space="0" w:color="auto"/>
        <w:bottom w:val="none" w:sz="0" w:space="0" w:color="auto"/>
        <w:right w:val="none" w:sz="0" w:space="0" w:color="auto"/>
      </w:divBdr>
    </w:div>
    <w:div w:id="171260374">
      <w:bodyDiv w:val="1"/>
      <w:marLeft w:val="0"/>
      <w:marRight w:val="0"/>
      <w:marTop w:val="0"/>
      <w:marBottom w:val="0"/>
      <w:divBdr>
        <w:top w:val="none" w:sz="0" w:space="0" w:color="auto"/>
        <w:left w:val="none" w:sz="0" w:space="0" w:color="auto"/>
        <w:bottom w:val="none" w:sz="0" w:space="0" w:color="auto"/>
        <w:right w:val="none" w:sz="0" w:space="0" w:color="auto"/>
      </w:divBdr>
    </w:div>
    <w:div w:id="237516591">
      <w:bodyDiv w:val="1"/>
      <w:marLeft w:val="0"/>
      <w:marRight w:val="0"/>
      <w:marTop w:val="0"/>
      <w:marBottom w:val="0"/>
      <w:divBdr>
        <w:top w:val="none" w:sz="0" w:space="0" w:color="auto"/>
        <w:left w:val="none" w:sz="0" w:space="0" w:color="auto"/>
        <w:bottom w:val="none" w:sz="0" w:space="0" w:color="auto"/>
        <w:right w:val="none" w:sz="0" w:space="0" w:color="auto"/>
      </w:divBdr>
      <w:divsChild>
        <w:div w:id="866142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079340">
      <w:bodyDiv w:val="1"/>
      <w:marLeft w:val="0"/>
      <w:marRight w:val="0"/>
      <w:marTop w:val="0"/>
      <w:marBottom w:val="0"/>
      <w:divBdr>
        <w:top w:val="none" w:sz="0" w:space="0" w:color="auto"/>
        <w:left w:val="none" w:sz="0" w:space="0" w:color="auto"/>
        <w:bottom w:val="none" w:sz="0" w:space="0" w:color="auto"/>
        <w:right w:val="none" w:sz="0" w:space="0" w:color="auto"/>
      </w:divBdr>
    </w:div>
    <w:div w:id="267549596">
      <w:bodyDiv w:val="1"/>
      <w:marLeft w:val="0"/>
      <w:marRight w:val="0"/>
      <w:marTop w:val="0"/>
      <w:marBottom w:val="0"/>
      <w:divBdr>
        <w:top w:val="none" w:sz="0" w:space="0" w:color="auto"/>
        <w:left w:val="none" w:sz="0" w:space="0" w:color="auto"/>
        <w:bottom w:val="none" w:sz="0" w:space="0" w:color="auto"/>
        <w:right w:val="none" w:sz="0" w:space="0" w:color="auto"/>
      </w:divBdr>
    </w:div>
    <w:div w:id="274018016">
      <w:bodyDiv w:val="1"/>
      <w:marLeft w:val="0"/>
      <w:marRight w:val="0"/>
      <w:marTop w:val="0"/>
      <w:marBottom w:val="0"/>
      <w:divBdr>
        <w:top w:val="none" w:sz="0" w:space="0" w:color="auto"/>
        <w:left w:val="none" w:sz="0" w:space="0" w:color="auto"/>
        <w:bottom w:val="none" w:sz="0" w:space="0" w:color="auto"/>
        <w:right w:val="none" w:sz="0" w:space="0" w:color="auto"/>
      </w:divBdr>
    </w:div>
    <w:div w:id="320237385">
      <w:bodyDiv w:val="1"/>
      <w:marLeft w:val="0"/>
      <w:marRight w:val="0"/>
      <w:marTop w:val="0"/>
      <w:marBottom w:val="0"/>
      <w:divBdr>
        <w:top w:val="none" w:sz="0" w:space="0" w:color="auto"/>
        <w:left w:val="none" w:sz="0" w:space="0" w:color="auto"/>
        <w:bottom w:val="none" w:sz="0" w:space="0" w:color="auto"/>
        <w:right w:val="none" w:sz="0" w:space="0" w:color="auto"/>
      </w:divBdr>
    </w:div>
    <w:div w:id="355665054">
      <w:bodyDiv w:val="1"/>
      <w:marLeft w:val="0"/>
      <w:marRight w:val="0"/>
      <w:marTop w:val="0"/>
      <w:marBottom w:val="0"/>
      <w:divBdr>
        <w:top w:val="none" w:sz="0" w:space="0" w:color="auto"/>
        <w:left w:val="none" w:sz="0" w:space="0" w:color="auto"/>
        <w:bottom w:val="none" w:sz="0" w:space="0" w:color="auto"/>
        <w:right w:val="none" w:sz="0" w:space="0" w:color="auto"/>
      </w:divBdr>
    </w:div>
    <w:div w:id="380712507">
      <w:bodyDiv w:val="1"/>
      <w:marLeft w:val="0"/>
      <w:marRight w:val="0"/>
      <w:marTop w:val="0"/>
      <w:marBottom w:val="0"/>
      <w:divBdr>
        <w:top w:val="none" w:sz="0" w:space="0" w:color="auto"/>
        <w:left w:val="none" w:sz="0" w:space="0" w:color="auto"/>
        <w:bottom w:val="none" w:sz="0" w:space="0" w:color="auto"/>
        <w:right w:val="none" w:sz="0" w:space="0" w:color="auto"/>
      </w:divBdr>
    </w:div>
    <w:div w:id="410663596">
      <w:bodyDiv w:val="1"/>
      <w:marLeft w:val="0"/>
      <w:marRight w:val="0"/>
      <w:marTop w:val="0"/>
      <w:marBottom w:val="0"/>
      <w:divBdr>
        <w:top w:val="none" w:sz="0" w:space="0" w:color="auto"/>
        <w:left w:val="none" w:sz="0" w:space="0" w:color="auto"/>
        <w:bottom w:val="none" w:sz="0" w:space="0" w:color="auto"/>
        <w:right w:val="none" w:sz="0" w:space="0" w:color="auto"/>
      </w:divBdr>
    </w:div>
    <w:div w:id="496651047">
      <w:bodyDiv w:val="1"/>
      <w:marLeft w:val="0"/>
      <w:marRight w:val="0"/>
      <w:marTop w:val="0"/>
      <w:marBottom w:val="0"/>
      <w:divBdr>
        <w:top w:val="none" w:sz="0" w:space="0" w:color="auto"/>
        <w:left w:val="none" w:sz="0" w:space="0" w:color="auto"/>
        <w:bottom w:val="none" w:sz="0" w:space="0" w:color="auto"/>
        <w:right w:val="none" w:sz="0" w:space="0" w:color="auto"/>
      </w:divBdr>
    </w:div>
    <w:div w:id="546994432">
      <w:bodyDiv w:val="1"/>
      <w:marLeft w:val="0"/>
      <w:marRight w:val="0"/>
      <w:marTop w:val="0"/>
      <w:marBottom w:val="0"/>
      <w:divBdr>
        <w:top w:val="none" w:sz="0" w:space="0" w:color="auto"/>
        <w:left w:val="none" w:sz="0" w:space="0" w:color="auto"/>
        <w:bottom w:val="none" w:sz="0" w:space="0" w:color="auto"/>
        <w:right w:val="none" w:sz="0" w:space="0" w:color="auto"/>
      </w:divBdr>
    </w:div>
    <w:div w:id="583346039">
      <w:bodyDiv w:val="1"/>
      <w:marLeft w:val="0"/>
      <w:marRight w:val="0"/>
      <w:marTop w:val="0"/>
      <w:marBottom w:val="0"/>
      <w:divBdr>
        <w:top w:val="none" w:sz="0" w:space="0" w:color="auto"/>
        <w:left w:val="none" w:sz="0" w:space="0" w:color="auto"/>
        <w:bottom w:val="none" w:sz="0" w:space="0" w:color="auto"/>
        <w:right w:val="none" w:sz="0" w:space="0" w:color="auto"/>
      </w:divBdr>
      <w:divsChild>
        <w:div w:id="119534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480479">
      <w:bodyDiv w:val="1"/>
      <w:marLeft w:val="0"/>
      <w:marRight w:val="0"/>
      <w:marTop w:val="0"/>
      <w:marBottom w:val="0"/>
      <w:divBdr>
        <w:top w:val="none" w:sz="0" w:space="0" w:color="auto"/>
        <w:left w:val="none" w:sz="0" w:space="0" w:color="auto"/>
        <w:bottom w:val="none" w:sz="0" w:space="0" w:color="auto"/>
        <w:right w:val="none" w:sz="0" w:space="0" w:color="auto"/>
      </w:divBdr>
    </w:div>
    <w:div w:id="627394450">
      <w:bodyDiv w:val="1"/>
      <w:marLeft w:val="0"/>
      <w:marRight w:val="0"/>
      <w:marTop w:val="0"/>
      <w:marBottom w:val="0"/>
      <w:divBdr>
        <w:top w:val="none" w:sz="0" w:space="0" w:color="auto"/>
        <w:left w:val="none" w:sz="0" w:space="0" w:color="auto"/>
        <w:bottom w:val="none" w:sz="0" w:space="0" w:color="auto"/>
        <w:right w:val="none" w:sz="0" w:space="0" w:color="auto"/>
      </w:divBdr>
    </w:div>
    <w:div w:id="653678694">
      <w:bodyDiv w:val="1"/>
      <w:marLeft w:val="0"/>
      <w:marRight w:val="0"/>
      <w:marTop w:val="0"/>
      <w:marBottom w:val="0"/>
      <w:divBdr>
        <w:top w:val="none" w:sz="0" w:space="0" w:color="auto"/>
        <w:left w:val="none" w:sz="0" w:space="0" w:color="auto"/>
        <w:bottom w:val="none" w:sz="0" w:space="0" w:color="auto"/>
        <w:right w:val="none" w:sz="0" w:space="0" w:color="auto"/>
      </w:divBdr>
    </w:div>
    <w:div w:id="662395673">
      <w:bodyDiv w:val="1"/>
      <w:marLeft w:val="0"/>
      <w:marRight w:val="0"/>
      <w:marTop w:val="0"/>
      <w:marBottom w:val="0"/>
      <w:divBdr>
        <w:top w:val="none" w:sz="0" w:space="0" w:color="auto"/>
        <w:left w:val="none" w:sz="0" w:space="0" w:color="auto"/>
        <w:bottom w:val="none" w:sz="0" w:space="0" w:color="auto"/>
        <w:right w:val="none" w:sz="0" w:space="0" w:color="auto"/>
      </w:divBdr>
    </w:div>
    <w:div w:id="706221390">
      <w:bodyDiv w:val="1"/>
      <w:marLeft w:val="0"/>
      <w:marRight w:val="0"/>
      <w:marTop w:val="0"/>
      <w:marBottom w:val="0"/>
      <w:divBdr>
        <w:top w:val="none" w:sz="0" w:space="0" w:color="auto"/>
        <w:left w:val="none" w:sz="0" w:space="0" w:color="auto"/>
        <w:bottom w:val="none" w:sz="0" w:space="0" w:color="auto"/>
        <w:right w:val="none" w:sz="0" w:space="0" w:color="auto"/>
      </w:divBdr>
    </w:div>
    <w:div w:id="826289468">
      <w:bodyDiv w:val="1"/>
      <w:marLeft w:val="0"/>
      <w:marRight w:val="0"/>
      <w:marTop w:val="0"/>
      <w:marBottom w:val="0"/>
      <w:divBdr>
        <w:top w:val="none" w:sz="0" w:space="0" w:color="auto"/>
        <w:left w:val="none" w:sz="0" w:space="0" w:color="auto"/>
        <w:bottom w:val="none" w:sz="0" w:space="0" w:color="auto"/>
        <w:right w:val="none" w:sz="0" w:space="0" w:color="auto"/>
      </w:divBdr>
    </w:div>
    <w:div w:id="873149994">
      <w:bodyDiv w:val="1"/>
      <w:marLeft w:val="0"/>
      <w:marRight w:val="0"/>
      <w:marTop w:val="0"/>
      <w:marBottom w:val="0"/>
      <w:divBdr>
        <w:top w:val="none" w:sz="0" w:space="0" w:color="auto"/>
        <w:left w:val="none" w:sz="0" w:space="0" w:color="auto"/>
        <w:bottom w:val="none" w:sz="0" w:space="0" w:color="auto"/>
        <w:right w:val="none" w:sz="0" w:space="0" w:color="auto"/>
      </w:divBdr>
    </w:div>
    <w:div w:id="948008612">
      <w:bodyDiv w:val="1"/>
      <w:marLeft w:val="0"/>
      <w:marRight w:val="0"/>
      <w:marTop w:val="0"/>
      <w:marBottom w:val="0"/>
      <w:divBdr>
        <w:top w:val="none" w:sz="0" w:space="0" w:color="auto"/>
        <w:left w:val="none" w:sz="0" w:space="0" w:color="auto"/>
        <w:bottom w:val="none" w:sz="0" w:space="0" w:color="auto"/>
        <w:right w:val="none" w:sz="0" w:space="0" w:color="auto"/>
      </w:divBdr>
    </w:div>
    <w:div w:id="968635156">
      <w:bodyDiv w:val="1"/>
      <w:marLeft w:val="0"/>
      <w:marRight w:val="0"/>
      <w:marTop w:val="0"/>
      <w:marBottom w:val="0"/>
      <w:divBdr>
        <w:top w:val="none" w:sz="0" w:space="0" w:color="auto"/>
        <w:left w:val="none" w:sz="0" w:space="0" w:color="auto"/>
        <w:bottom w:val="none" w:sz="0" w:space="0" w:color="auto"/>
        <w:right w:val="none" w:sz="0" w:space="0" w:color="auto"/>
      </w:divBdr>
    </w:div>
    <w:div w:id="1020468637">
      <w:bodyDiv w:val="1"/>
      <w:marLeft w:val="0"/>
      <w:marRight w:val="0"/>
      <w:marTop w:val="0"/>
      <w:marBottom w:val="0"/>
      <w:divBdr>
        <w:top w:val="none" w:sz="0" w:space="0" w:color="auto"/>
        <w:left w:val="none" w:sz="0" w:space="0" w:color="auto"/>
        <w:bottom w:val="none" w:sz="0" w:space="0" w:color="auto"/>
        <w:right w:val="none" w:sz="0" w:space="0" w:color="auto"/>
      </w:divBdr>
    </w:div>
    <w:div w:id="1025910677">
      <w:bodyDiv w:val="1"/>
      <w:marLeft w:val="0"/>
      <w:marRight w:val="0"/>
      <w:marTop w:val="0"/>
      <w:marBottom w:val="0"/>
      <w:divBdr>
        <w:top w:val="none" w:sz="0" w:space="0" w:color="auto"/>
        <w:left w:val="none" w:sz="0" w:space="0" w:color="auto"/>
        <w:bottom w:val="none" w:sz="0" w:space="0" w:color="auto"/>
        <w:right w:val="none" w:sz="0" w:space="0" w:color="auto"/>
      </w:divBdr>
    </w:div>
    <w:div w:id="1034426615">
      <w:bodyDiv w:val="1"/>
      <w:marLeft w:val="0"/>
      <w:marRight w:val="0"/>
      <w:marTop w:val="0"/>
      <w:marBottom w:val="0"/>
      <w:divBdr>
        <w:top w:val="none" w:sz="0" w:space="0" w:color="auto"/>
        <w:left w:val="none" w:sz="0" w:space="0" w:color="auto"/>
        <w:bottom w:val="none" w:sz="0" w:space="0" w:color="auto"/>
        <w:right w:val="none" w:sz="0" w:space="0" w:color="auto"/>
      </w:divBdr>
      <w:divsChild>
        <w:div w:id="1007631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722656">
      <w:bodyDiv w:val="1"/>
      <w:marLeft w:val="0"/>
      <w:marRight w:val="0"/>
      <w:marTop w:val="0"/>
      <w:marBottom w:val="0"/>
      <w:divBdr>
        <w:top w:val="none" w:sz="0" w:space="0" w:color="auto"/>
        <w:left w:val="none" w:sz="0" w:space="0" w:color="auto"/>
        <w:bottom w:val="none" w:sz="0" w:space="0" w:color="auto"/>
        <w:right w:val="none" w:sz="0" w:space="0" w:color="auto"/>
      </w:divBdr>
    </w:div>
    <w:div w:id="1124739441">
      <w:bodyDiv w:val="1"/>
      <w:marLeft w:val="0"/>
      <w:marRight w:val="0"/>
      <w:marTop w:val="0"/>
      <w:marBottom w:val="0"/>
      <w:divBdr>
        <w:top w:val="none" w:sz="0" w:space="0" w:color="auto"/>
        <w:left w:val="none" w:sz="0" w:space="0" w:color="auto"/>
        <w:bottom w:val="none" w:sz="0" w:space="0" w:color="auto"/>
        <w:right w:val="none" w:sz="0" w:space="0" w:color="auto"/>
      </w:divBdr>
    </w:div>
    <w:div w:id="1142386038">
      <w:bodyDiv w:val="1"/>
      <w:marLeft w:val="0"/>
      <w:marRight w:val="0"/>
      <w:marTop w:val="0"/>
      <w:marBottom w:val="0"/>
      <w:divBdr>
        <w:top w:val="none" w:sz="0" w:space="0" w:color="auto"/>
        <w:left w:val="none" w:sz="0" w:space="0" w:color="auto"/>
        <w:bottom w:val="none" w:sz="0" w:space="0" w:color="auto"/>
        <w:right w:val="none" w:sz="0" w:space="0" w:color="auto"/>
      </w:divBdr>
    </w:div>
    <w:div w:id="1142887844">
      <w:bodyDiv w:val="1"/>
      <w:marLeft w:val="0"/>
      <w:marRight w:val="0"/>
      <w:marTop w:val="0"/>
      <w:marBottom w:val="0"/>
      <w:divBdr>
        <w:top w:val="none" w:sz="0" w:space="0" w:color="auto"/>
        <w:left w:val="none" w:sz="0" w:space="0" w:color="auto"/>
        <w:bottom w:val="none" w:sz="0" w:space="0" w:color="auto"/>
        <w:right w:val="none" w:sz="0" w:space="0" w:color="auto"/>
      </w:divBdr>
    </w:div>
    <w:div w:id="1171989967">
      <w:bodyDiv w:val="1"/>
      <w:marLeft w:val="0"/>
      <w:marRight w:val="0"/>
      <w:marTop w:val="0"/>
      <w:marBottom w:val="0"/>
      <w:divBdr>
        <w:top w:val="none" w:sz="0" w:space="0" w:color="auto"/>
        <w:left w:val="none" w:sz="0" w:space="0" w:color="auto"/>
        <w:bottom w:val="none" w:sz="0" w:space="0" w:color="auto"/>
        <w:right w:val="none" w:sz="0" w:space="0" w:color="auto"/>
      </w:divBdr>
    </w:div>
    <w:div w:id="1210847627">
      <w:bodyDiv w:val="1"/>
      <w:marLeft w:val="0"/>
      <w:marRight w:val="0"/>
      <w:marTop w:val="0"/>
      <w:marBottom w:val="0"/>
      <w:divBdr>
        <w:top w:val="none" w:sz="0" w:space="0" w:color="auto"/>
        <w:left w:val="none" w:sz="0" w:space="0" w:color="auto"/>
        <w:bottom w:val="none" w:sz="0" w:space="0" w:color="auto"/>
        <w:right w:val="none" w:sz="0" w:space="0" w:color="auto"/>
      </w:divBdr>
      <w:divsChild>
        <w:div w:id="78525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19552">
      <w:bodyDiv w:val="1"/>
      <w:marLeft w:val="0"/>
      <w:marRight w:val="0"/>
      <w:marTop w:val="0"/>
      <w:marBottom w:val="0"/>
      <w:divBdr>
        <w:top w:val="none" w:sz="0" w:space="0" w:color="auto"/>
        <w:left w:val="none" w:sz="0" w:space="0" w:color="auto"/>
        <w:bottom w:val="none" w:sz="0" w:space="0" w:color="auto"/>
        <w:right w:val="none" w:sz="0" w:space="0" w:color="auto"/>
      </w:divBdr>
    </w:div>
    <w:div w:id="1258951610">
      <w:bodyDiv w:val="1"/>
      <w:marLeft w:val="0"/>
      <w:marRight w:val="0"/>
      <w:marTop w:val="0"/>
      <w:marBottom w:val="0"/>
      <w:divBdr>
        <w:top w:val="none" w:sz="0" w:space="0" w:color="auto"/>
        <w:left w:val="none" w:sz="0" w:space="0" w:color="auto"/>
        <w:bottom w:val="none" w:sz="0" w:space="0" w:color="auto"/>
        <w:right w:val="none" w:sz="0" w:space="0" w:color="auto"/>
      </w:divBdr>
    </w:div>
    <w:div w:id="1291667780">
      <w:bodyDiv w:val="1"/>
      <w:marLeft w:val="0"/>
      <w:marRight w:val="0"/>
      <w:marTop w:val="0"/>
      <w:marBottom w:val="0"/>
      <w:divBdr>
        <w:top w:val="none" w:sz="0" w:space="0" w:color="auto"/>
        <w:left w:val="none" w:sz="0" w:space="0" w:color="auto"/>
        <w:bottom w:val="none" w:sz="0" w:space="0" w:color="auto"/>
        <w:right w:val="none" w:sz="0" w:space="0" w:color="auto"/>
      </w:divBdr>
    </w:div>
    <w:div w:id="1360813246">
      <w:bodyDiv w:val="1"/>
      <w:marLeft w:val="0"/>
      <w:marRight w:val="0"/>
      <w:marTop w:val="0"/>
      <w:marBottom w:val="0"/>
      <w:divBdr>
        <w:top w:val="none" w:sz="0" w:space="0" w:color="auto"/>
        <w:left w:val="none" w:sz="0" w:space="0" w:color="auto"/>
        <w:bottom w:val="none" w:sz="0" w:space="0" w:color="auto"/>
        <w:right w:val="none" w:sz="0" w:space="0" w:color="auto"/>
      </w:divBdr>
      <w:divsChild>
        <w:div w:id="2089383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931221">
      <w:bodyDiv w:val="1"/>
      <w:marLeft w:val="0"/>
      <w:marRight w:val="0"/>
      <w:marTop w:val="0"/>
      <w:marBottom w:val="0"/>
      <w:divBdr>
        <w:top w:val="none" w:sz="0" w:space="0" w:color="auto"/>
        <w:left w:val="none" w:sz="0" w:space="0" w:color="auto"/>
        <w:bottom w:val="none" w:sz="0" w:space="0" w:color="auto"/>
        <w:right w:val="none" w:sz="0" w:space="0" w:color="auto"/>
      </w:divBdr>
    </w:div>
    <w:div w:id="1400522405">
      <w:bodyDiv w:val="1"/>
      <w:marLeft w:val="0"/>
      <w:marRight w:val="0"/>
      <w:marTop w:val="0"/>
      <w:marBottom w:val="0"/>
      <w:divBdr>
        <w:top w:val="none" w:sz="0" w:space="0" w:color="auto"/>
        <w:left w:val="none" w:sz="0" w:space="0" w:color="auto"/>
        <w:bottom w:val="none" w:sz="0" w:space="0" w:color="auto"/>
        <w:right w:val="none" w:sz="0" w:space="0" w:color="auto"/>
      </w:divBdr>
    </w:div>
    <w:div w:id="1411391740">
      <w:bodyDiv w:val="1"/>
      <w:marLeft w:val="0"/>
      <w:marRight w:val="0"/>
      <w:marTop w:val="0"/>
      <w:marBottom w:val="0"/>
      <w:divBdr>
        <w:top w:val="none" w:sz="0" w:space="0" w:color="auto"/>
        <w:left w:val="none" w:sz="0" w:space="0" w:color="auto"/>
        <w:bottom w:val="none" w:sz="0" w:space="0" w:color="auto"/>
        <w:right w:val="none" w:sz="0" w:space="0" w:color="auto"/>
      </w:divBdr>
    </w:div>
    <w:div w:id="1420559244">
      <w:bodyDiv w:val="1"/>
      <w:marLeft w:val="0"/>
      <w:marRight w:val="0"/>
      <w:marTop w:val="0"/>
      <w:marBottom w:val="0"/>
      <w:divBdr>
        <w:top w:val="none" w:sz="0" w:space="0" w:color="auto"/>
        <w:left w:val="none" w:sz="0" w:space="0" w:color="auto"/>
        <w:bottom w:val="none" w:sz="0" w:space="0" w:color="auto"/>
        <w:right w:val="none" w:sz="0" w:space="0" w:color="auto"/>
      </w:divBdr>
    </w:div>
    <w:div w:id="1439595390">
      <w:bodyDiv w:val="1"/>
      <w:marLeft w:val="0"/>
      <w:marRight w:val="0"/>
      <w:marTop w:val="0"/>
      <w:marBottom w:val="0"/>
      <w:divBdr>
        <w:top w:val="none" w:sz="0" w:space="0" w:color="auto"/>
        <w:left w:val="none" w:sz="0" w:space="0" w:color="auto"/>
        <w:bottom w:val="none" w:sz="0" w:space="0" w:color="auto"/>
        <w:right w:val="none" w:sz="0" w:space="0" w:color="auto"/>
      </w:divBdr>
    </w:div>
    <w:div w:id="1502893378">
      <w:bodyDiv w:val="1"/>
      <w:marLeft w:val="0"/>
      <w:marRight w:val="0"/>
      <w:marTop w:val="0"/>
      <w:marBottom w:val="0"/>
      <w:divBdr>
        <w:top w:val="none" w:sz="0" w:space="0" w:color="auto"/>
        <w:left w:val="none" w:sz="0" w:space="0" w:color="auto"/>
        <w:bottom w:val="none" w:sz="0" w:space="0" w:color="auto"/>
        <w:right w:val="none" w:sz="0" w:space="0" w:color="auto"/>
      </w:divBdr>
    </w:div>
    <w:div w:id="1533422022">
      <w:bodyDiv w:val="1"/>
      <w:marLeft w:val="0"/>
      <w:marRight w:val="0"/>
      <w:marTop w:val="0"/>
      <w:marBottom w:val="0"/>
      <w:divBdr>
        <w:top w:val="none" w:sz="0" w:space="0" w:color="auto"/>
        <w:left w:val="none" w:sz="0" w:space="0" w:color="auto"/>
        <w:bottom w:val="none" w:sz="0" w:space="0" w:color="auto"/>
        <w:right w:val="none" w:sz="0" w:space="0" w:color="auto"/>
      </w:divBdr>
    </w:div>
    <w:div w:id="1547639957">
      <w:bodyDiv w:val="1"/>
      <w:marLeft w:val="0"/>
      <w:marRight w:val="0"/>
      <w:marTop w:val="0"/>
      <w:marBottom w:val="0"/>
      <w:divBdr>
        <w:top w:val="none" w:sz="0" w:space="0" w:color="auto"/>
        <w:left w:val="none" w:sz="0" w:space="0" w:color="auto"/>
        <w:bottom w:val="none" w:sz="0" w:space="0" w:color="auto"/>
        <w:right w:val="none" w:sz="0" w:space="0" w:color="auto"/>
      </w:divBdr>
    </w:div>
    <w:div w:id="1579437017">
      <w:bodyDiv w:val="1"/>
      <w:marLeft w:val="0"/>
      <w:marRight w:val="0"/>
      <w:marTop w:val="0"/>
      <w:marBottom w:val="0"/>
      <w:divBdr>
        <w:top w:val="none" w:sz="0" w:space="0" w:color="auto"/>
        <w:left w:val="none" w:sz="0" w:space="0" w:color="auto"/>
        <w:bottom w:val="none" w:sz="0" w:space="0" w:color="auto"/>
        <w:right w:val="none" w:sz="0" w:space="0" w:color="auto"/>
      </w:divBdr>
    </w:div>
    <w:div w:id="1612737817">
      <w:bodyDiv w:val="1"/>
      <w:marLeft w:val="0"/>
      <w:marRight w:val="0"/>
      <w:marTop w:val="0"/>
      <w:marBottom w:val="0"/>
      <w:divBdr>
        <w:top w:val="none" w:sz="0" w:space="0" w:color="auto"/>
        <w:left w:val="none" w:sz="0" w:space="0" w:color="auto"/>
        <w:bottom w:val="none" w:sz="0" w:space="0" w:color="auto"/>
        <w:right w:val="none" w:sz="0" w:space="0" w:color="auto"/>
      </w:divBdr>
    </w:div>
    <w:div w:id="1643197987">
      <w:bodyDiv w:val="1"/>
      <w:marLeft w:val="0"/>
      <w:marRight w:val="0"/>
      <w:marTop w:val="0"/>
      <w:marBottom w:val="0"/>
      <w:divBdr>
        <w:top w:val="none" w:sz="0" w:space="0" w:color="auto"/>
        <w:left w:val="none" w:sz="0" w:space="0" w:color="auto"/>
        <w:bottom w:val="none" w:sz="0" w:space="0" w:color="auto"/>
        <w:right w:val="none" w:sz="0" w:space="0" w:color="auto"/>
      </w:divBdr>
    </w:div>
    <w:div w:id="1748453197">
      <w:bodyDiv w:val="1"/>
      <w:marLeft w:val="0"/>
      <w:marRight w:val="0"/>
      <w:marTop w:val="0"/>
      <w:marBottom w:val="0"/>
      <w:divBdr>
        <w:top w:val="none" w:sz="0" w:space="0" w:color="auto"/>
        <w:left w:val="none" w:sz="0" w:space="0" w:color="auto"/>
        <w:bottom w:val="none" w:sz="0" w:space="0" w:color="auto"/>
        <w:right w:val="none" w:sz="0" w:space="0" w:color="auto"/>
      </w:divBdr>
    </w:div>
    <w:div w:id="1751731888">
      <w:bodyDiv w:val="1"/>
      <w:marLeft w:val="0"/>
      <w:marRight w:val="0"/>
      <w:marTop w:val="0"/>
      <w:marBottom w:val="0"/>
      <w:divBdr>
        <w:top w:val="none" w:sz="0" w:space="0" w:color="auto"/>
        <w:left w:val="none" w:sz="0" w:space="0" w:color="auto"/>
        <w:bottom w:val="none" w:sz="0" w:space="0" w:color="auto"/>
        <w:right w:val="none" w:sz="0" w:space="0" w:color="auto"/>
      </w:divBdr>
    </w:div>
    <w:div w:id="1760783889">
      <w:bodyDiv w:val="1"/>
      <w:marLeft w:val="0"/>
      <w:marRight w:val="0"/>
      <w:marTop w:val="0"/>
      <w:marBottom w:val="0"/>
      <w:divBdr>
        <w:top w:val="none" w:sz="0" w:space="0" w:color="auto"/>
        <w:left w:val="none" w:sz="0" w:space="0" w:color="auto"/>
        <w:bottom w:val="none" w:sz="0" w:space="0" w:color="auto"/>
        <w:right w:val="none" w:sz="0" w:space="0" w:color="auto"/>
      </w:divBdr>
    </w:div>
    <w:div w:id="1811358790">
      <w:bodyDiv w:val="1"/>
      <w:marLeft w:val="0"/>
      <w:marRight w:val="0"/>
      <w:marTop w:val="0"/>
      <w:marBottom w:val="0"/>
      <w:divBdr>
        <w:top w:val="none" w:sz="0" w:space="0" w:color="auto"/>
        <w:left w:val="none" w:sz="0" w:space="0" w:color="auto"/>
        <w:bottom w:val="none" w:sz="0" w:space="0" w:color="auto"/>
        <w:right w:val="none" w:sz="0" w:space="0" w:color="auto"/>
      </w:divBdr>
    </w:div>
    <w:div w:id="1831094103">
      <w:bodyDiv w:val="1"/>
      <w:marLeft w:val="0"/>
      <w:marRight w:val="0"/>
      <w:marTop w:val="0"/>
      <w:marBottom w:val="0"/>
      <w:divBdr>
        <w:top w:val="none" w:sz="0" w:space="0" w:color="auto"/>
        <w:left w:val="none" w:sz="0" w:space="0" w:color="auto"/>
        <w:bottom w:val="none" w:sz="0" w:space="0" w:color="auto"/>
        <w:right w:val="none" w:sz="0" w:space="0" w:color="auto"/>
      </w:divBdr>
    </w:div>
    <w:div w:id="1856185802">
      <w:bodyDiv w:val="1"/>
      <w:marLeft w:val="0"/>
      <w:marRight w:val="0"/>
      <w:marTop w:val="0"/>
      <w:marBottom w:val="0"/>
      <w:divBdr>
        <w:top w:val="none" w:sz="0" w:space="0" w:color="auto"/>
        <w:left w:val="none" w:sz="0" w:space="0" w:color="auto"/>
        <w:bottom w:val="none" w:sz="0" w:space="0" w:color="auto"/>
        <w:right w:val="none" w:sz="0" w:space="0" w:color="auto"/>
      </w:divBdr>
      <w:divsChild>
        <w:div w:id="982461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522539">
      <w:bodyDiv w:val="1"/>
      <w:marLeft w:val="0"/>
      <w:marRight w:val="0"/>
      <w:marTop w:val="0"/>
      <w:marBottom w:val="0"/>
      <w:divBdr>
        <w:top w:val="none" w:sz="0" w:space="0" w:color="auto"/>
        <w:left w:val="none" w:sz="0" w:space="0" w:color="auto"/>
        <w:bottom w:val="none" w:sz="0" w:space="0" w:color="auto"/>
        <w:right w:val="none" w:sz="0" w:space="0" w:color="auto"/>
      </w:divBdr>
    </w:div>
    <w:div w:id="1926527924">
      <w:bodyDiv w:val="1"/>
      <w:marLeft w:val="0"/>
      <w:marRight w:val="0"/>
      <w:marTop w:val="0"/>
      <w:marBottom w:val="0"/>
      <w:divBdr>
        <w:top w:val="none" w:sz="0" w:space="0" w:color="auto"/>
        <w:left w:val="none" w:sz="0" w:space="0" w:color="auto"/>
        <w:bottom w:val="none" w:sz="0" w:space="0" w:color="auto"/>
        <w:right w:val="none" w:sz="0" w:space="0" w:color="auto"/>
      </w:divBdr>
    </w:div>
    <w:div w:id="1974368250">
      <w:bodyDiv w:val="1"/>
      <w:marLeft w:val="0"/>
      <w:marRight w:val="0"/>
      <w:marTop w:val="0"/>
      <w:marBottom w:val="0"/>
      <w:divBdr>
        <w:top w:val="none" w:sz="0" w:space="0" w:color="auto"/>
        <w:left w:val="none" w:sz="0" w:space="0" w:color="auto"/>
        <w:bottom w:val="none" w:sz="0" w:space="0" w:color="auto"/>
        <w:right w:val="none" w:sz="0" w:space="0" w:color="auto"/>
      </w:divBdr>
    </w:div>
    <w:div w:id="2052918957">
      <w:bodyDiv w:val="1"/>
      <w:marLeft w:val="0"/>
      <w:marRight w:val="0"/>
      <w:marTop w:val="0"/>
      <w:marBottom w:val="0"/>
      <w:divBdr>
        <w:top w:val="none" w:sz="0" w:space="0" w:color="auto"/>
        <w:left w:val="none" w:sz="0" w:space="0" w:color="auto"/>
        <w:bottom w:val="none" w:sz="0" w:space="0" w:color="auto"/>
        <w:right w:val="none" w:sz="0" w:space="0" w:color="auto"/>
      </w:divBdr>
    </w:div>
    <w:div w:id="2085028557">
      <w:bodyDiv w:val="1"/>
      <w:marLeft w:val="0"/>
      <w:marRight w:val="0"/>
      <w:marTop w:val="0"/>
      <w:marBottom w:val="0"/>
      <w:divBdr>
        <w:top w:val="none" w:sz="0" w:space="0" w:color="auto"/>
        <w:left w:val="none" w:sz="0" w:space="0" w:color="auto"/>
        <w:bottom w:val="none" w:sz="0" w:space="0" w:color="auto"/>
        <w:right w:val="none" w:sz="0" w:space="0" w:color="auto"/>
      </w:divBdr>
    </w:div>
    <w:div w:id="2106535749">
      <w:bodyDiv w:val="1"/>
      <w:marLeft w:val="0"/>
      <w:marRight w:val="0"/>
      <w:marTop w:val="0"/>
      <w:marBottom w:val="0"/>
      <w:divBdr>
        <w:top w:val="none" w:sz="0" w:space="0" w:color="auto"/>
        <w:left w:val="none" w:sz="0" w:space="0" w:color="auto"/>
        <w:bottom w:val="none" w:sz="0" w:space="0" w:color="auto"/>
        <w:right w:val="none" w:sz="0" w:space="0" w:color="auto"/>
      </w:divBdr>
    </w:div>
    <w:div w:id="2117631940">
      <w:bodyDiv w:val="1"/>
      <w:marLeft w:val="0"/>
      <w:marRight w:val="0"/>
      <w:marTop w:val="0"/>
      <w:marBottom w:val="0"/>
      <w:divBdr>
        <w:top w:val="none" w:sz="0" w:space="0" w:color="auto"/>
        <w:left w:val="none" w:sz="0" w:space="0" w:color="auto"/>
        <w:bottom w:val="none" w:sz="0" w:space="0" w:color="auto"/>
        <w:right w:val="none" w:sz="0" w:space="0" w:color="auto"/>
      </w:divBdr>
    </w:div>
    <w:div w:id="2121024244">
      <w:bodyDiv w:val="1"/>
      <w:marLeft w:val="0"/>
      <w:marRight w:val="0"/>
      <w:marTop w:val="0"/>
      <w:marBottom w:val="0"/>
      <w:divBdr>
        <w:top w:val="none" w:sz="0" w:space="0" w:color="auto"/>
        <w:left w:val="none" w:sz="0" w:space="0" w:color="auto"/>
        <w:bottom w:val="none" w:sz="0" w:space="0" w:color="auto"/>
        <w:right w:val="none" w:sz="0" w:space="0" w:color="auto"/>
      </w:divBdr>
    </w:div>
    <w:div w:id="2123838444">
      <w:bodyDiv w:val="1"/>
      <w:marLeft w:val="0"/>
      <w:marRight w:val="0"/>
      <w:marTop w:val="0"/>
      <w:marBottom w:val="0"/>
      <w:divBdr>
        <w:top w:val="none" w:sz="0" w:space="0" w:color="auto"/>
        <w:left w:val="none" w:sz="0" w:space="0" w:color="auto"/>
        <w:bottom w:val="none" w:sz="0" w:space="0" w:color="auto"/>
        <w:right w:val="none" w:sz="0" w:space="0" w:color="auto"/>
      </w:divBdr>
    </w:div>
    <w:div w:id="21343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257/aer.20191823" TargetMode="External"/><Relationship Id="rId18" Type="http://schemas.openxmlformats.org/officeDocument/2006/relationships/hyperlink" Target="https://doi.org/10.1016/j.frl.2024.106707" TargetMode="External"/><Relationship Id="rId26" Type="http://schemas.openxmlformats.org/officeDocument/2006/relationships/hyperlink" Target="https://doi.org/10.1016/j.jbef.2020.100404" TargetMode="External"/><Relationship Id="rId39" Type="http://schemas.openxmlformats.org/officeDocument/2006/relationships/theme" Target="theme/theme1.xml"/><Relationship Id="rId21" Type="http://schemas.openxmlformats.org/officeDocument/2006/relationships/hyperlink" Target="https://doi.org/10.1016/j.jfineco.2013.08.007" TargetMode="External"/><Relationship Id="rId34"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s://doi.org/10.1016/j.econlet.2025.112283" TargetMode="External"/><Relationship Id="rId17" Type="http://schemas.openxmlformats.org/officeDocument/2006/relationships/hyperlink" Target="https://doi.org/10.1257/aer.20131193" TargetMode="External"/><Relationship Id="rId25" Type="http://schemas.openxmlformats.org/officeDocument/2006/relationships/hyperlink" Target="https://ideas.repec.org/s/eee/beexfi.html" TargetMode="External"/><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najef.2023.101947" TargetMode="External"/><Relationship Id="rId20" Type="http://schemas.openxmlformats.org/officeDocument/2006/relationships/hyperlink" Target="https://doi.org/10.1016/j.jbankfin.2024.107097"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bankfin.2009.12.008" TargetMode="External"/><Relationship Id="rId24" Type="http://schemas.openxmlformats.org/officeDocument/2006/relationships/hyperlink" Target="https://ideas.repec.org/a/eee/beexfi/v28y2020ics2214635020303312.html" TargetMode="External"/><Relationship Id="rId32" Type="http://schemas.openxmlformats.org/officeDocument/2006/relationships/image" Target="media/image6.emf"/><Relationship Id="rId37"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yperlink" Target="https://doi.org/10.1016/j.ribaf.2022.101780" TargetMode="External"/><Relationship Id="rId23" Type="http://schemas.openxmlformats.org/officeDocument/2006/relationships/hyperlink" Target="https://doi.org/10.1016/j.frl.2025.107882" TargetMode="External"/><Relationship Id="rId28" Type="http://schemas.openxmlformats.org/officeDocument/2006/relationships/image" Target="media/image2.png"/><Relationship Id="rId36" Type="http://schemas.openxmlformats.org/officeDocument/2006/relationships/image" Target="media/image10.emf"/><Relationship Id="rId10" Type="http://schemas.openxmlformats.org/officeDocument/2006/relationships/hyperlink" Target="https://doi.org/10.1111/j.1540-6288.2010.00244.x" TargetMode="External"/><Relationship Id="rId19" Type="http://schemas.openxmlformats.org/officeDocument/2006/relationships/hyperlink" Target="https://doi.org/10.1016/j.frl.2025.107255"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doi.org/10.3390/jrfm13040084" TargetMode="External"/><Relationship Id="rId14" Type="http://schemas.openxmlformats.org/officeDocument/2006/relationships/hyperlink" Target="https://doi.org/10.1016/j.irfa.2022.102069" TargetMode="External"/><Relationship Id="rId22" Type="http://schemas.openxmlformats.org/officeDocument/2006/relationships/hyperlink" Target="https://doi.org/10.1016/j.frl.2025.107888"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image" Target="media/image9.emf"/><Relationship Id="rId8" Type="http://schemas.openxmlformats.org/officeDocument/2006/relationships/hyperlink" Target="mailto:dudi.ah@ono.ac.i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ites.google.com/view/davidgabauer/econometric-cod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30C1-43AA-4750-A19F-99AE785D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8218</Words>
  <Characters>49146</Characters>
  <Application>Microsoft Office Word</Application>
  <DocSecurity>0</DocSecurity>
  <Lines>1585</Lines>
  <Paragraphs>925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 אהרון</dc:creator>
  <cp:keywords/>
  <dc:description/>
  <cp:lastModifiedBy>Susan Doron</cp:lastModifiedBy>
  <cp:revision>2</cp:revision>
  <dcterms:created xsi:type="dcterms:W3CDTF">2025-07-29T04:52:00Z</dcterms:created>
  <dcterms:modified xsi:type="dcterms:W3CDTF">2025-07-29T04:52:00Z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23ae4cb4-e2f3-451c-b6b6-61369ac664a2</vt:lpwstr>
  </property>
</Properties>
</file>