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8FEC4" w14:textId="262241B3" w:rsidR="00C82478" w:rsidRPr="00B055B2" w:rsidRDefault="00C82478" w:rsidP="00E831F9">
      <w:pPr>
        <w:spacing w:line="360" w:lineRule="auto"/>
        <w:jc w:val="center"/>
        <w:rPr>
          <w:rFonts w:asciiTheme="majorBidi" w:hAnsiTheme="majorBidi" w:cstheme="majorBidi"/>
          <w:b/>
          <w:bCs/>
        </w:rPr>
      </w:pPr>
      <w:r w:rsidRPr="00B055B2">
        <w:rPr>
          <w:rFonts w:asciiTheme="majorBidi" w:hAnsiTheme="majorBidi" w:cstheme="majorBidi"/>
          <w:b/>
          <w:bCs/>
        </w:rPr>
        <w:t>Characteristics of Domestic Violence Offen</w:t>
      </w:r>
      <w:r w:rsidR="00E146C3" w:rsidRPr="00B055B2">
        <w:rPr>
          <w:rFonts w:asciiTheme="majorBidi" w:hAnsiTheme="majorBidi" w:cstheme="majorBidi"/>
          <w:b/>
          <w:bCs/>
        </w:rPr>
        <w:t>s</w:t>
      </w:r>
      <w:r w:rsidRPr="00B055B2">
        <w:rPr>
          <w:rFonts w:asciiTheme="majorBidi" w:hAnsiTheme="majorBidi" w:cstheme="majorBidi"/>
          <w:b/>
          <w:bCs/>
        </w:rPr>
        <w:t xml:space="preserve">es Committed by Police Officers in Israel: </w:t>
      </w:r>
      <w:r w:rsidRPr="00B055B2">
        <w:rPr>
          <w:rFonts w:asciiTheme="majorBidi" w:hAnsiTheme="majorBidi" w:cstheme="majorBidi"/>
          <w:b/>
          <w:bCs/>
        </w:rPr>
        <w:br/>
        <w:t>An Exploratory Study</w:t>
      </w:r>
    </w:p>
    <w:p w14:paraId="7FA2492A" w14:textId="77777777" w:rsidR="00C82478" w:rsidRPr="00B055B2" w:rsidRDefault="00C82478" w:rsidP="00E831F9">
      <w:pPr>
        <w:spacing w:line="360" w:lineRule="auto"/>
        <w:jc w:val="center"/>
        <w:rPr>
          <w:rFonts w:asciiTheme="majorBidi" w:hAnsiTheme="majorBidi" w:cstheme="majorBidi"/>
        </w:rPr>
      </w:pPr>
      <w:r w:rsidRPr="00B055B2">
        <w:rPr>
          <w:rFonts w:asciiTheme="majorBidi" w:hAnsiTheme="majorBidi" w:cstheme="majorBidi"/>
        </w:rPr>
        <w:t xml:space="preserve">Naomi </w:t>
      </w:r>
      <w:proofErr w:type="spellStart"/>
      <w:r w:rsidRPr="00B055B2">
        <w:rPr>
          <w:rFonts w:asciiTheme="majorBidi" w:hAnsiTheme="majorBidi" w:cstheme="majorBidi"/>
        </w:rPr>
        <w:t>Levenkron</w:t>
      </w:r>
      <w:proofErr w:type="spellEnd"/>
      <w:r w:rsidRPr="00B055B2">
        <w:rPr>
          <w:rFonts w:asciiTheme="majorBidi" w:hAnsiTheme="majorBidi" w:cstheme="majorBidi"/>
        </w:rPr>
        <w:t xml:space="preserve"> and Dalit </w:t>
      </w:r>
      <w:proofErr w:type="spellStart"/>
      <w:r w:rsidRPr="00B055B2">
        <w:rPr>
          <w:rFonts w:asciiTheme="majorBidi" w:hAnsiTheme="majorBidi" w:cstheme="majorBidi"/>
        </w:rPr>
        <w:t>Yassour-Borochowitz</w:t>
      </w:r>
      <w:proofErr w:type="spellEnd"/>
    </w:p>
    <w:p w14:paraId="0FDDD7A8" w14:textId="77777777" w:rsidR="00C82478" w:rsidRPr="00B055B2" w:rsidRDefault="00C82478" w:rsidP="00E831F9">
      <w:pPr>
        <w:spacing w:line="360" w:lineRule="auto"/>
        <w:rPr>
          <w:rFonts w:asciiTheme="majorBidi" w:hAnsiTheme="majorBidi" w:cstheme="majorBidi"/>
        </w:rPr>
      </w:pPr>
    </w:p>
    <w:p w14:paraId="31AD7803" w14:textId="43A64BEE" w:rsidR="00672D2C" w:rsidRDefault="00672D2C" w:rsidP="00B9472D">
      <w:pPr>
        <w:spacing w:line="360" w:lineRule="auto"/>
        <w:ind w:left="1440"/>
        <w:rPr>
          <w:rFonts w:asciiTheme="majorBidi" w:hAnsiTheme="majorBidi" w:cstheme="majorBidi"/>
        </w:rPr>
      </w:pPr>
      <w:r w:rsidRPr="00672D2C">
        <w:rPr>
          <w:rFonts w:asciiTheme="majorBidi" w:hAnsiTheme="majorBidi" w:cstheme="majorBidi"/>
        </w:rPr>
        <w:t xml:space="preserve">In my work, I </w:t>
      </w:r>
      <w:r>
        <w:rPr>
          <w:rFonts w:asciiTheme="majorBidi" w:hAnsiTheme="majorBidi" w:cstheme="majorBidi"/>
        </w:rPr>
        <w:t>came across</w:t>
      </w:r>
      <w:r w:rsidRPr="00672D2C">
        <w:rPr>
          <w:rFonts w:asciiTheme="majorBidi" w:hAnsiTheme="majorBidi" w:cstheme="majorBidi"/>
        </w:rPr>
        <w:t xml:space="preserve"> cases of domestic violence, and I never understood why the woman wouldn’t file a complaint</w:t>
      </w:r>
      <w:r>
        <w:rPr>
          <w:rFonts w:asciiTheme="majorBidi" w:hAnsiTheme="majorBidi" w:cstheme="majorBidi"/>
        </w:rPr>
        <w:t xml:space="preserve">, </w:t>
      </w:r>
      <w:r w:rsidRPr="00672D2C">
        <w:rPr>
          <w:rFonts w:asciiTheme="majorBidi" w:hAnsiTheme="majorBidi" w:cstheme="majorBidi"/>
        </w:rPr>
        <w:t xml:space="preserve">even signing a form stating that she didn’t want to. I just couldn’t </w:t>
      </w:r>
      <w:r>
        <w:rPr>
          <w:rFonts w:asciiTheme="majorBidi" w:hAnsiTheme="majorBidi" w:cstheme="majorBidi"/>
        </w:rPr>
        <w:t>wrap my head around</w:t>
      </w:r>
      <w:r w:rsidRPr="00672D2C">
        <w:rPr>
          <w:rFonts w:asciiTheme="majorBidi" w:hAnsiTheme="majorBidi" w:cstheme="majorBidi"/>
        </w:rPr>
        <w:t xml:space="preserve"> it. I</w:t>
      </w:r>
      <w:r>
        <w:rPr>
          <w:rFonts w:asciiTheme="majorBidi" w:hAnsiTheme="majorBidi" w:cstheme="majorBidi"/>
        </w:rPr>
        <w:t>’</w:t>
      </w:r>
      <w:r w:rsidRPr="00672D2C">
        <w:rPr>
          <w:rFonts w:asciiTheme="majorBidi" w:hAnsiTheme="majorBidi" w:cstheme="majorBidi"/>
        </w:rPr>
        <w:t>d think</w:t>
      </w:r>
      <w:r>
        <w:rPr>
          <w:rFonts w:asciiTheme="majorBidi" w:hAnsiTheme="majorBidi" w:cstheme="majorBidi"/>
        </w:rPr>
        <w:t>,</w:t>
      </w:r>
      <w:r w:rsidRPr="00672D2C">
        <w:rPr>
          <w:rFonts w:asciiTheme="majorBidi" w:hAnsiTheme="majorBidi" w:cstheme="majorBidi"/>
        </w:rPr>
        <w:t xml:space="preserve"> </w:t>
      </w:r>
      <w:r>
        <w:rPr>
          <w:rFonts w:asciiTheme="majorBidi" w:hAnsiTheme="majorBidi" w:cstheme="majorBidi"/>
        </w:rPr>
        <w:t>“H</w:t>
      </w:r>
      <w:r w:rsidRPr="00672D2C">
        <w:rPr>
          <w:rFonts w:asciiTheme="majorBidi" w:hAnsiTheme="majorBidi" w:cstheme="majorBidi"/>
        </w:rPr>
        <w:t xml:space="preserve">ow can they </w:t>
      </w:r>
      <w:r>
        <w:rPr>
          <w:rFonts w:asciiTheme="majorBidi" w:hAnsiTheme="majorBidi" w:cstheme="majorBidi"/>
        </w:rPr>
        <w:t>live in</w:t>
      </w:r>
      <w:r w:rsidRPr="00672D2C">
        <w:rPr>
          <w:rFonts w:asciiTheme="majorBidi" w:hAnsiTheme="majorBidi" w:cstheme="majorBidi"/>
        </w:rPr>
        <w:t xml:space="preserve"> such a situation?</w:t>
      </w:r>
      <w:r>
        <w:rPr>
          <w:rFonts w:asciiTheme="majorBidi" w:hAnsiTheme="majorBidi" w:cstheme="majorBidi"/>
        </w:rPr>
        <w:t xml:space="preserve">” </w:t>
      </w:r>
      <w:r w:rsidRPr="00672D2C">
        <w:rPr>
          <w:rFonts w:asciiTheme="majorBidi" w:hAnsiTheme="majorBidi" w:cstheme="majorBidi"/>
        </w:rPr>
        <w:t xml:space="preserve">Today, I still ask myself the same question, but </w:t>
      </w:r>
      <w:r>
        <w:rPr>
          <w:rFonts w:asciiTheme="majorBidi" w:hAnsiTheme="majorBidi" w:cstheme="majorBidi"/>
        </w:rPr>
        <w:t xml:space="preserve">I think </w:t>
      </w:r>
      <w:r w:rsidRPr="00672D2C">
        <w:rPr>
          <w:rFonts w:asciiTheme="majorBidi" w:hAnsiTheme="majorBidi" w:cstheme="majorBidi"/>
        </w:rPr>
        <w:t>I can understand</w:t>
      </w:r>
      <w:r>
        <w:rPr>
          <w:rFonts w:asciiTheme="majorBidi" w:hAnsiTheme="majorBidi" w:cstheme="majorBidi"/>
        </w:rPr>
        <w:t xml:space="preserve"> it a bit better now. B</w:t>
      </w:r>
      <w:r w:rsidRPr="00672D2C">
        <w:rPr>
          <w:rFonts w:asciiTheme="majorBidi" w:hAnsiTheme="majorBidi" w:cstheme="majorBidi"/>
        </w:rPr>
        <w:t xml:space="preserve">ecause the pain isn’t </w:t>
      </w:r>
      <w:r>
        <w:rPr>
          <w:rFonts w:asciiTheme="majorBidi" w:hAnsiTheme="majorBidi" w:cstheme="majorBidi"/>
        </w:rPr>
        <w:t>always</w:t>
      </w:r>
      <w:r w:rsidRPr="00672D2C">
        <w:rPr>
          <w:rFonts w:asciiTheme="majorBidi" w:hAnsiTheme="majorBidi" w:cstheme="majorBidi"/>
        </w:rPr>
        <w:t xml:space="preserve"> physical. It’s not just about blows or grabbing. The </w:t>
      </w:r>
      <w:r>
        <w:rPr>
          <w:rFonts w:asciiTheme="majorBidi" w:hAnsiTheme="majorBidi" w:cstheme="majorBidi"/>
        </w:rPr>
        <w:t xml:space="preserve">real </w:t>
      </w:r>
      <w:r w:rsidRPr="00672D2C">
        <w:rPr>
          <w:rFonts w:asciiTheme="majorBidi" w:hAnsiTheme="majorBidi" w:cstheme="majorBidi"/>
        </w:rPr>
        <w:t>pain comes from within</w:t>
      </w:r>
      <w:r>
        <w:rPr>
          <w:rFonts w:asciiTheme="majorBidi" w:hAnsiTheme="majorBidi" w:cstheme="majorBidi"/>
        </w:rPr>
        <w:t xml:space="preserve">, </w:t>
      </w:r>
      <w:r w:rsidRPr="00672D2C">
        <w:rPr>
          <w:rFonts w:asciiTheme="majorBidi" w:hAnsiTheme="majorBidi" w:cstheme="majorBidi"/>
        </w:rPr>
        <w:t>from not knowing how it will end or where it</w:t>
      </w:r>
      <w:r>
        <w:rPr>
          <w:rFonts w:asciiTheme="majorBidi" w:hAnsiTheme="majorBidi" w:cstheme="majorBidi"/>
        </w:rPr>
        <w:t>’s headed</w:t>
      </w:r>
      <w:r w:rsidRPr="00672D2C">
        <w:rPr>
          <w:rFonts w:asciiTheme="majorBidi" w:hAnsiTheme="majorBidi" w:cstheme="majorBidi"/>
        </w:rPr>
        <w:t xml:space="preserve">. And as a police officer, how am I supposed to </w:t>
      </w:r>
      <w:r>
        <w:rPr>
          <w:rFonts w:asciiTheme="majorBidi" w:hAnsiTheme="majorBidi" w:cstheme="majorBidi"/>
        </w:rPr>
        <w:t>deal</w:t>
      </w:r>
      <w:r w:rsidRPr="00672D2C">
        <w:rPr>
          <w:rFonts w:asciiTheme="majorBidi" w:hAnsiTheme="majorBidi" w:cstheme="majorBidi"/>
        </w:rPr>
        <w:t xml:space="preserve"> with this, when I’m the one handling cases like this?</w:t>
      </w:r>
    </w:p>
    <w:p w14:paraId="760AA04F" w14:textId="39DF623D" w:rsidR="00E831F9" w:rsidRPr="00B055B2" w:rsidRDefault="00672D2C" w:rsidP="00B9472D">
      <w:pPr>
        <w:spacing w:line="360" w:lineRule="auto"/>
        <w:ind w:left="1440"/>
        <w:rPr>
          <w:rFonts w:asciiTheme="majorBidi" w:hAnsiTheme="majorBidi" w:cstheme="majorBidi"/>
        </w:rPr>
      </w:pPr>
      <w:r>
        <w:rPr>
          <w:rFonts w:asciiTheme="majorBidi" w:hAnsiTheme="majorBidi" w:cstheme="majorBidi"/>
        </w:rPr>
        <w:t xml:space="preserve">* </w:t>
      </w:r>
      <w:r w:rsidRPr="00672D2C">
        <w:rPr>
          <w:rFonts w:asciiTheme="majorBidi" w:hAnsiTheme="majorBidi" w:cstheme="majorBidi"/>
        </w:rPr>
        <w:t xml:space="preserve">Testimony of a </w:t>
      </w:r>
      <w:r>
        <w:rPr>
          <w:rFonts w:asciiTheme="majorBidi" w:hAnsiTheme="majorBidi" w:cstheme="majorBidi"/>
        </w:rPr>
        <w:t xml:space="preserve">female </w:t>
      </w:r>
      <w:r w:rsidRPr="00672D2C">
        <w:rPr>
          <w:rFonts w:asciiTheme="majorBidi" w:hAnsiTheme="majorBidi" w:cstheme="majorBidi"/>
        </w:rPr>
        <w:t>police</w:t>
      </w:r>
      <w:r>
        <w:rPr>
          <w:rFonts w:asciiTheme="majorBidi" w:hAnsiTheme="majorBidi" w:cstheme="majorBidi"/>
        </w:rPr>
        <w:t xml:space="preserve"> officer</w:t>
      </w:r>
      <w:r w:rsidRPr="00672D2C">
        <w:rPr>
          <w:rFonts w:asciiTheme="majorBidi" w:hAnsiTheme="majorBidi" w:cstheme="majorBidi"/>
        </w:rPr>
        <w:t xml:space="preserve"> who was a victim of violence by her partner, also a police officer</w:t>
      </w:r>
      <w:r w:rsidR="00B9472D">
        <w:rPr>
          <w:rFonts w:asciiTheme="majorBidi" w:hAnsiTheme="majorBidi" w:cstheme="majorBidi"/>
        </w:rPr>
        <w:t xml:space="preserve"> </w:t>
      </w:r>
      <w:r>
        <w:rPr>
          <w:rFonts w:asciiTheme="majorBidi" w:hAnsiTheme="majorBidi" w:cstheme="majorBidi"/>
        </w:rPr>
        <w:t>[</w:t>
      </w:r>
      <w:r w:rsidRPr="00672D2C">
        <w:rPr>
          <w:rFonts w:asciiTheme="majorBidi" w:hAnsiTheme="majorBidi" w:cstheme="majorBidi"/>
          <w:i/>
          <w:iCs/>
        </w:rPr>
        <w:t xml:space="preserve">State of Israel v. </w:t>
      </w:r>
      <w:proofErr w:type="spellStart"/>
      <w:r w:rsidRPr="00672D2C">
        <w:rPr>
          <w:rFonts w:asciiTheme="majorBidi" w:hAnsiTheme="majorBidi" w:cstheme="majorBidi"/>
          <w:i/>
          <w:iCs/>
        </w:rPr>
        <w:t>Abramovich</w:t>
      </w:r>
      <w:proofErr w:type="spellEnd"/>
      <w:r w:rsidRPr="00672D2C">
        <w:rPr>
          <w:rFonts w:asciiTheme="majorBidi" w:hAnsiTheme="majorBidi" w:cstheme="majorBidi"/>
          <w:i/>
          <w:iCs/>
        </w:rPr>
        <w:t>,</w:t>
      </w:r>
      <w:r w:rsidRPr="00672D2C">
        <w:rPr>
          <w:rFonts w:asciiTheme="majorBidi" w:hAnsiTheme="majorBidi" w:cstheme="majorBidi"/>
        </w:rPr>
        <w:t xml:space="preserve"> </w:t>
      </w:r>
      <w:proofErr w:type="spellStart"/>
      <w:r w:rsidRPr="00672D2C">
        <w:rPr>
          <w:rFonts w:asciiTheme="majorBidi" w:hAnsiTheme="majorBidi" w:cstheme="majorBidi"/>
        </w:rPr>
        <w:t>CrimC</w:t>
      </w:r>
      <w:proofErr w:type="spellEnd"/>
      <w:r w:rsidRPr="00672D2C">
        <w:rPr>
          <w:rFonts w:asciiTheme="majorBidi" w:hAnsiTheme="majorBidi" w:cstheme="majorBidi"/>
        </w:rPr>
        <w:t xml:space="preserve"> (TA) 3812/06, </w:t>
      </w:r>
      <w:r w:rsidR="003D5C88">
        <w:rPr>
          <w:rFonts w:asciiTheme="majorBidi" w:hAnsiTheme="majorBidi" w:cstheme="majorBidi"/>
        </w:rPr>
        <w:t xml:space="preserve">Verdict, </w:t>
      </w:r>
      <w:r w:rsidRPr="00672D2C">
        <w:rPr>
          <w:rFonts w:asciiTheme="majorBidi" w:hAnsiTheme="majorBidi" w:cstheme="majorBidi"/>
        </w:rPr>
        <w:t>p. 16, 24 September</w:t>
      </w:r>
      <w:r>
        <w:rPr>
          <w:rFonts w:asciiTheme="majorBidi" w:hAnsiTheme="majorBidi" w:cstheme="majorBidi"/>
        </w:rPr>
        <w:t xml:space="preserve"> </w:t>
      </w:r>
      <w:r w:rsidRPr="00672D2C">
        <w:rPr>
          <w:rFonts w:asciiTheme="majorBidi" w:hAnsiTheme="majorBidi" w:cstheme="majorBidi"/>
        </w:rPr>
        <w:t>2007</w:t>
      </w:r>
      <w:r>
        <w:rPr>
          <w:rFonts w:asciiTheme="majorBidi" w:hAnsiTheme="majorBidi" w:cstheme="majorBidi"/>
        </w:rPr>
        <w:t>]</w:t>
      </w:r>
      <w:r w:rsidRPr="00672D2C">
        <w:rPr>
          <w:rFonts w:asciiTheme="majorBidi" w:hAnsiTheme="majorBidi" w:cstheme="majorBidi"/>
        </w:rPr>
        <w:t>.</w:t>
      </w:r>
    </w:p>
    <w:p w14:paraId="2376B137" w14:textId="77777777" w:rsidR="00E831F9" w:rsidRPr="00B055B2" w:rsidRDefault="00E831F9" w:rsidP="00E831F9">
      <w:pPr>
        <w:spacing w:line="360" w:lineRule="auto"/>
        <w:rPr>
          <w:rFonts w:asciiTheme="majorBidi" w:hAnsiTheme="majorBidi" w:cstheme="majorBidi"/>
          <w:b/>
          <w:bCs/>
        </w:rPr>
      </w:pPr>
      <w:r w:rsidRPr="00B055B2">
        <w:rPr>
          <w:rFonts w:asciiTheme="majorBidi" w:hAnsiTheme="majorBidi" w:cstheme="majorBidi"/>
          <w:b/>
          <w:bCs/>
        </w:rPr>
        <w:t>Abstract</w:t>
      </w:r>
    </w:p>
    <w:p w14:paraId="11AB3629" w14:textId="186CBCE8" w:rsidR="00E831F9" w:rsidRPr="00B055B2" w:rsidRDefault="00E831F9" w:rsidP="00E831F9">
      <w:pPr>
        <w:spacing w:line="360" w:lineRule="auto"/>
        <w:rPr>
          <w:rFonts w:asciiTheme="majorBidi" w:hAnsiTheme="majorBidi" w:cstheme="majorBidi"/>
        </w:rPr>
      </w:pPr>
      <w:r w:rsidRPr="00B055B2">
        <w:rPr>
          <w:rFonts w:asciiTheme="majorBidi" w:hAnsiTheme="majorBidi" w:cstheme="majorBidi"/>
        </w:rPr>
        <w:t xml:space="preserve">This article presents a preliminary exploratory study on domestic violence perpetrated by police </w:t>
      </w:r>
      <w:proofErr w:type="gramStart"/>
      <w:r w:rsidRPr="00B055B2">
        <w:rPr>
          <w:rFonts w:asciiTheme="majorBidi" w:hAnsiTheme="majorBidi" w:cstheme="majorBidi"/>
        </w:rPr>
        <w:t>officers</w:t>
      </w:r>
      <w:proofErr w:type="gramEnd"/>
      <w:r w:rsidRPr="00B055B2">
        <w:rPr>
          <w:rFonts w:asciiTheme="majorBidi" w:hAnsiTheme="majorBidi" w:cstheme="majorBidi"/>
        </w:rPr>
        <w:t xml:space="preserve"> in Israel</w:t>
      </w:r>
      <w:r w:rsidR="007B42F0">
        <w:rPr>
          <w:rFonts w:asciiTheme="majorBidi" w:hAnsiTheme="majorBidi" w:cstheme="majorBidi"/>
        </w:rPr>
        <w:t xml:space="preserve">, </w:t>
      </w:r>
      <w:r w:rsidRPr="00B055B2">
        <w:rPr>
          <w:rFonts w:asciiTheme="majorBidi" w:hAnsiTheme="majorBidi" w:cstheme="majorBidi"/>
        </w:rPr>
        <w:t>a phenomenon that</w:t>
      </w:r>
      <w:r w:rsidR="00237F38" w:rsidRPr="00B055B2">
        <w:rPr>
          <w:rFonts w:asciiTheme="majorBidi" w:hAnsiTheme="majorBidi" w:cstheme="majorBidi"/>
        </w:rPr>
        <w:t xml:space="preserve">, </w:t>
      </w:r>
      <w:r w:rsidRPr="00B055B2">
        <w:rPr>
          <w:rFonts w:asciiTheme="majorBidi" w:hAnsiTheme="majorBidi" w:cstheme="majorBidi"/>
        </w:rPr>
        <w:t>despite its heightened risk factors</w:t>
      </w:r>
      <w:r w:rsidR="00237F38" w:rsidRPr="00B055B2">
        <w:rPr>
          <w:rFonts w:asciiTheme="majorBidi" w:hAnsiTheme="majorBidi" w:cstheme="majorBidi"/>
        </w:rPr>
        <w:t xml:space="preserve">, </w:t>
      </w:r>
      <w:r w:rsidRPr="00B055B2">
        <w:rPr>
          <w:rFonts w:asciiTheme="majorBidi" w:hAnsiTheme="majorBidi" w:cstheme="majorBidi"/>
        </w:rPr>
        <w:t>has yet to be systematically examined in the Israeli context. The study aims to conceptualize the phenomenon and map its characteristics through the analysis of legal proceedings, media reports, and interviews with professionals who work with violent men. The findings point to unique risk factors specific to Israel, including the influence of Israeli militarism, the working conditions of police officers, and the patriarchal organizational culture of the police force. The study identifies distinct patterns of violence</w:t>
      </w:r>
      <w:r w:rsidR="00237F38" w:rsidRPr="00B055B2">
        <w:rPr>
          <w:rFonts w:asciiTheme="majorBidi" w:hAnsiTheme="majorBidi" w:cstheme="majorBidi"/>
        </w:rPr>
        <w:t xml:space="preserve">: </w:t>
      </w:r>
      <w:r w:rsidRPr="00B055B2">
        <w:rPr>
          <w:rFonts w:asciiTheme="majorBidi" w:hAnsiTheme="majorBidi" w:cstheme="majorBidi"/>
        </w:rPr>
        <w:t>physical, verbal</w:t>
      </w:r>
      <w:r w:rsidR="00237F38" w:rsidRPr="00B055B2">
        <w:rPr>
          <w:rFonts w:asciiTheme="majorBidi" w:hAnsiTheme="majorBidi" w:cstheme="majorBidi"/>
        </w:rPr>
        <w:t xml:space="preserve"> abuse</w:t>
      </w:r>
      <w:r w:rsidRPr="00B055B2">
        <w:rPr>
          <w:rFonts w:asciiTheme="majorBidi" w:hAnsiTheme="majorBidi" w:cstheme="majorBidi"/>
        </w:rPr>
        <w:t>, threats, and the use of weapons</w:t>
      </w:r>
      <w:r w:rsidR="00237F38" w:rsidRPr="00B055B2">
        <w:rPr>
          <w:rFonts w:asciiTheme="majorBidi" w:hAnsiTheme="majorBidi" w:cstheme="majorBidi"/>
        </w:rPr>
        <w:t xml:space="preserve">, </w:t>
      </w:r>
      <w:r w:rsidRPr="00B055B2">
        <w:rPr>
          <w:rFonts w:asciiTheme="majorBidi" w:hAnsiTheme="majorBidi" w:cstheme="majorBidi"/>
        </w:rPr>
        <w:t xml:space="preserve">and sheds light on the particular </w:t>
      </w:r>
      <w:r w:rsidR="00237F38" w:rsidRPr="00B055B2">
        <w:rPr>
          <w:rFonts w:asciiTheme="majorBidi" w:hAnsiTheme="majorBidi" w:cstheme="majorBidi"/>
        </w:rPr>
        <w:t>barriers</w:t>
      </w:r>
      <w:r w:rsidRPr="00B055B2">
        <w:rPr>
          <w:rFonts w:asciiTheme="majorBidi" w:hAnsiTheme="majorBidi" w:cstheme="majorBidi"/>
        </w:rPr>
        <w:t xml:space="preserve"> involved in filing complaints against violent officers. The article also offers recommendations for the development of targeted therapeutic and preventive interventions tailored to this population.</w:t>
      </w:r>
    </w:p>
    <w:p w14:paraId="745AC762" w14:textId="5CAA2249" w:rsidR="00E831F9" w:rsidRPr="00B055B2" w:rsidRDefault="00775350" w:rsidP="00E831F9">
      <w:pPr>
        <w:spacing w:line="360" w:lineRule="auto"/>
        <w:rPr>
          <w:rFonts w:asciiTheme="majorBidi" w:hAnsiTheme="majorBidi" w:cstheme="majorBidi"/>
        </w:rPr>
      </w:pPr>
      <w:commentRangeStart w:id="0"/>
      <w:r w:rsidRPr="00B055B2">
        <w:rPr>
          <w:rFonts w:asciiTheme="majorBidi" w:hAnsiTheme="majorBidi" w:cstheme="majorBidi"/>
        </w:rPr>
        <w:t>Keywords</w:t>
      </w:r>
      <w:commentRangeEnd w:id="0"/>
      <w:r w:rsidR="00237F38" w:rsidRPr="00B055B2">
        <w:rPr>
          <w:rStyle w:val="CommentReference"/>
          <w:rFonts w:asciiTheme="majorBidi" w:hAnsiTheme="majorBidi" w:cstheme="majorBidi"/>
          <w:sz w:val="24"/>
          <w:szCs w:val="24"/>
        </w:rPr>
        <w:commentReference w:id="0"/>
      </w:r>
      <w:r w:rsidRPr="00B055B2">
        <w:rPr>
          <w:rFonts w:asciiTheme="majorBidi" w:hAnsiTheme="majorBidi" w:cstheme="majorBidi"/>
        </w:rPr>
        <w:t>:</w:t>
      </w:r>
    </w:p>
    <w:p w14:paraId="2B04793A" w14:textId="77777777" w:rsidR="00715B7D" w:rsidRPr="00B055B2" w:rsidRDefault="00715B7D" w:rsidP="00715B7D">
      <w:pPr>
        <w:spacing w:line="360" w:lineRule="auto"/>
        <w:rPr>
          <w:rFonts w:asciiTheme="majorBidi" w:hAnsiTheme="majorBidi" w:cstheme="majorBidi"/>
          <w:b/>
          <w:bCs/>
        </w:rPr>
      </w:pPr>
      <w:r w:rsidRPr="00B055B2">
        <w:rPr>
          <w:rFonts w:asciiTheme="majorBidi" w:hAnsiTheme="majorBidi" w:cstheme="majorBidi"/>
          <w:b/>
          <w:bCs/>
        </w:rPr>
        <w:lastRenderedPageBreak/>
        <w:t>Introduction</w:t>
      </w:r>
    </w:p>
    <w:p w14:paraId="71A588D4" w14:textId="27B7666E" w:rsidR="00715B7D" w:rsidRPr="00B055B2" w:rsidRDefault="00E146C3" w:rsidP="0005081C">
      <w:pPr>
        <w:spacing w:line="360" w:lineRule="auto"/>
        <w:rPr>
          <w:rFonts w:asciiTheme="majorBidi" w:hAnsiTheme="majorBidi" w:cstheme="majorBidi"/>
        </w:rPr>
      </w:pPr>
      <w:r w:rsidRPr="00B055B2">
        <w:rPr>
          <w:rFonts w:asciiTheme="majorBidi" w:hAnsiTheme="majorBidi" w:cstheme="majorBidi"/>
        </w:rPr>
        <w:t>Domestic violence, as well as the broader issue of excessive or unlawful use of force by police officers (</w:t>
      </w:r>
      <w:commentRangeStart w:id="1"/>
      <w:proofErr w:type="spellStart"/>
      <w:r w:rsidRPr="00B055B2">
        <w:rPr>
          <w:rFonts w:asciiTheme="majorBidi" w:hAnsiTheme="majorBidi" w:cstheme="majorBidi"/>
        </w:rPr>
        <w:t>Levenkron</w:t>
      </w:r>
      <w:proofErr w:type="spellEnd"/>
      <w:r w:rsidRPr="00B055B2">
        <w:rPr>
          <w:rFonts w:asciiTheme="majorBidi" w:hAnsiTheme="majorBidi" w:cstheme="majorBidi"/>
        </w:rPr>
        <w:t xml:space="preserve"> et al., 2021</w:t>
      </w:r>
      <w:commentRangeEnd w:id="1"/>
      <w:r w:rsidRPr="00B055B2">
        <w:rPr>
          <w:rStyle w:val="CommentReference"/>
          <w:rFonts w:asciiTheme="majorBidi" w:hAnsiTheme="majorBidi" w:cstheme="majorBidi"/>
          <w:sz w:val="24"/>
          <w:szCs w:val="24"/>
        </w:rPr>
        <w:commentReference w:id="1"/>
      </w:r>
      <w:r w:rsidRPr="00B055B2">
        <w:rPr>
          <w:rFonts w:asciiTheme="majorBidi" w:hAnsiTheme="majorBidi" w:cstheme="majorBidi"/>
        </w:rPr>
        <w:t>), has been widely studied in Israel and internationally. However, the intersection of these two domains—violence by police officers against their intimate partners—has received limited scholarly attention. In Israel, despite heightened risk factors, the scope and characteristics of this phenomenon have yet to be systematically examined. Public awareness, along with the attention of welfare and law enforcement systems, remains largely incidental and is typically confined to extreme cases reported in the media. This article offers an initial exploration of the phenomenon in Israel, outlining its key characteristics and proposing directions for intervention and response.</w:t>
      </w:r>
    </w:p>
    <w:p w14:paraId="38830B67" w14:textId="29F5E05B" w:rsidR="00775350" w:rsidRPr="00B055B2" w:rsidRDefault="00715B7D" w:rsidP="00C46AF1">
      <w:pPr>
        <w:spacing w:line="360" w:lineRule="auto"/>
        <w:ind w:firstLine="720"/>
        <w:rPr>
          <w:rFonts w:asciiTheme="majorBidi" w:hAnsiTheme="majorBidi" w:cstheme="majorBidi"/>
        </w:rPr>
      </w:pPr>
      <w:r w:rsidRPr="00B055B2">
        <w:rPr>
          <w:rFonts w:asciiTheme="majorBidi" w:hAnsiTheme="majorBidi" w:cstheme="majorBidi"/>
        </w:rPr>
        <w:t xml:space="preserve">Intimate partner violence (IPV) transcends boundaries of age, education, gender, ethnicity, and profession. Naturally, it </w:t>
      </w:r>
      <w:r w:rsidR="00E146C3" w:rsidRPr="00B055B2">
        <w:rPr>
          <w:rFonts w:asciiTheme="majorBidi" w:hAnsiTheme="majorBidi" w:cstheme="majorBidi"/>
        </w:rPr>
        <w:t xml:space="preserve">also occurs within police families and has been documented in multiple studies (IACP, 2003; Zavala &amp; </w:t>
      </w:r>
      <w:proofErr w:type="spellStart"/>
      <w:r w:rsidR="00E146C3" w:rsidRPr="00B055B2">
        <w:rPr>
          <w:rFonts w:asciiTheme="majorBidi" w:hAnsiTheme="majorBidi" w:cstheme="majorBidi"/>
        </w:rPr>
        <w:t>Melander</w:t>
      </w:r>
      <w:proofErr w:type="spellEnd"/>
      <w:r w:rsidR="00E146C3" w:rsidRPr="00B055B2">
        <w:rPr>
          <w:rFonts w:asciiTheme="majorBidi" w:hAnsiTheme="majorBidi" w:cstheme="majorBidi"/>
        </w:rPr>
        <w:t>, 2019). Some research suggests that IPV may be more prevalent in police families than in the general population (Cheema, 2016; IACP, 2003). In the United States, for example, IPV has been reported in approximately 40% of police families, compared with about 25% in the general population (</w:t>
      </w:r>
      <w:proofErr w:type="spellStart"/>
      <w:r w:rsidR="00E146C3" w:rsidRPr="00B055B2">
        <w:rPr>
          <w:rFonts w:asciiTheme="majorBidi" w:hAnsiTheme="majorBidi" w:cstheme="majorBidi"/>
        </w:rPr>
        <w:t>Lonsway</w:t>
      </w:r>
      <w:proofErr w:type="spellEnd"/>
      <w:r w:rsidR="00E146C3" w:rsidRPr="00B055B2">
        <w:rPr>
          <w:rFonts w:asciiTheme="majorBidi" w:hAnsiTheme="majorBidi" w:cstheme="majorBidi"/>
        </w:rPr>
        <w:t xml:space="preserve">, 2006). Consistent with these findings, several studies identify IPV as one of the most common offenses involving police officers (Stinson &amp; </w:t>
      </w:r>
      <w:proofErr w:type="spellStart"/>
      <w:r w:rsidR="00E146C3" w:rsidRPr="00B055B2">
        <w:rPr>
          <w:rFonts w:asciiTheme="majorBidi" w:hAnsiTheme="majorBidi" w:cstheme="majorBidi"/>
        </w:rPr>
        <w:t>Liederbach</w:t>
      </w:r>
      <w:proofErr w:type="spellEnd"/>
      <w:r w:rsidR="00E146C3" w:rsidRPr="00B055B2">
        <w:rPr>
          <w:rFonts w:asciiTheme="majorBidi" w:hAnsiTheme="majorBidi" w:cstheme="majorBidi"/>
        </w:rPr>
        <w:t>, 2013). The literature attributes this elevated prevalence to factors such as the nature of police work, organizational culture within police forces, officers’ access to weapons, and professional training that emphasizes control and the use of force</w:t>
      </w:r>
      <w:r w:rsidRPr="00B055B2">
        <w:rPr>
          <w:rFonts w:asciiTheme="majorBidi" w:hAnsiTheme="majorBidi" w:cstheme="majorBidi"/>
        </w:rPr>
        <w:t>.</w:t>
      </w:r>
    </w:p>
    <w:p w14:paraId="3A10165D" w14:textId="762D3798" w:rsidR="00FA4F2D" w:rsidRPr="00B055B2" w:rsidRDefault="0028718D" w:rsidP="00C46AF1">
      <w:pPr>
        <w:spacing w:line="360" w:lineRule="auto"/>
        <w:ind w:firstLine="720"/>
        <w:rPr>
          <w:rFonts w:asciiTheme="majorBidi" w:hAnsiTheme="majorBidi" w:cstheme="majorBidi"/>
        </w:rPr>
      </w:pPr>
      <w:r w:rsidRPr="00B055B2">
        <w:rPr>
          <w:rFonts w:asciiTheme="majorBidi" w:hAnsiTheme="majorBidi" w:cstheme="majorBidi"/>
        </w:rPr>
        <w:t xml:space="preserve">The first part of this article reviews existing research, primarily from the United States, that highlights these concerning findings from two complementary perspectives: a macro-level organizational analysis and a micro-level focus on the experiences of both perpetrators and victims. At the macro level, the nature of police work and the organizational culture of police forces shape officers’ professional identities as well as institutional policies and blind spots. </w:t>
      </w:r>
      <w:proofErr w:type="spellStart"/>
      <w:r w:rsidRPr="00B055B2">
        <w:rPr>
          <w:rFonts w:asciiTheme="majorBidi" w:hAnsiTheme="majorBidi" w:cstheme="majorBidi"/>
        </w:rPr>
        <w:t>Hypermasculine</w:t>
      </w:r>
      <w:proofErr w:type="spellEnd"/>
      <w:r w:rsidRPr="00B055B2">
        <w:rPr>
          <w:rFonts w:asciiTheme="majorBidi" w:hAnsiTheme="majorBidi" w:cstheme="majorBidi"/>
        </w:rPr>
        <w:t xml:space="preserve"> norms and patriarchal attitudes are often associated with those who enter the police force and become embedded within its organizational culture. Together, these factors contribute to the tendency to view domestic violence as </w:t>
      </w:r>
      <w:commentRangeStart w:id="2"/>
      <w:r w:rsidRPr="00B055B2">
        <w:rPr>
          <w:rFonts w:asciiTheme="majorBidi" w:hAnsiTheme="majorBidi" w:cstheme="majorBidi"/>
        </w:rPr>
        <w:t>“a private, family matter rather than a crime” (Garcia et al., 2011).</w:t>
      </w:r>
      <w:commentRangeEnd w:id="2"/>
      <w:r w:rsidRPr="00B055B2">
        <w:rPr>
          <w:rStyle w:val="CommentReference"/>
          <w:rFonts w:asciiTheme="majorBidi" w:hAnsiTheme="majorBidi" w:cstheme="majorBidi"/>
          <w:sz w:val="24"/>
          <w:szCs w:val="24"/>
        </w:rPr>
        <w:commentReference w:id="2"/>
      </w:r>
    </w:p>
    <w:p w14:paraId="01B7D87D" w14:textId="7849029C" w:rsidR="00FA4F2D" w:rsidRPr="00B055B2" w:rsidRDefault="0047030C" w:rsidP="00C46AF1">
      <w:pPr>
        <w:spacing w:line="360" w:lineRule="auto"/>
        <w:ind w:firstLine="720"/>
        <w:rPr>
          <w:rFonts w:asciiTheme="majorBidi" w:hAnsiTheme="majorBidi" w:cstheme="majorBidi"/>
        </w:rPr>
      </w:pPr>
      <w:r w:rsidRPr="00B055B2">
        <w:rPr>
          <w:rFonts w:asciiTheme="majorBidi" w:hAnsiTheme="majorBidi" w:cstheme="majorBidi"/>
        </w:rPr>
        <w:lastRenderedPageBreak/>
        <w:t>The second part of the article presents our findings on the contributing factors and characteristics of the phenomenon in Israel. Several contextual elements appear to heighten the risk of its occurrence. These include</w:t>
      </w:r>
      <w:r w:rsidR="00FD0021" w:rsidRPr="00B055B2">
        <w:rPr>
          <w:rFonts w:asciiTheme="majorBidi" w:hAnsiTheme="majorBidi" w:cstheme="majorBidi"/>
        </w:rPr>
        <w:t xml:space="preserve"> Israeli militarism, shaped by the country’s ongoing focus on security and warfare</w:t>
      </w:r>
      <w:r w:rsidRPr="00B055B2">
        <w:rPr>
          <w:rFonts w:asciiTheme="majorBidi" w:hAnsiTheme="majorBidi" w:cstheme="majorBidi"/>
        </w:rPr>
        <w:t xml:space="preserve">, </w:t>
      </w:r>
      <w:r w:rsidR="00FD0021" w:rsidRPr="00B055B2">
        <w:rPr>
          <w:rFonts w:asciiTheme="majorBidi" w:hAnsiTheme="majorBidi" w:cstheme="majorBidi"/>
        </w:rPr>
        <w:t xml:space="preserve">the poor employment conditions of </w:t>
      </w:r>
      <w:r w:rsidRPr="00B055B2">
        <w:rPr>
          <w:rFonts w:asciiTheme="majorBidi" w:hAnsiTheme="majorBidi" w:cstheme="majorBidi"/>
        </w:rPr>
        <w:t xml:space="preserve">Israeli </w:t>
      </w:r>
      <w:r w:rsidR="00FD0021" w:rsidRPr="00B055B2">
        <w:rPr>
          <w:rFonts w:asciiTheme="majorBidi" w:hAnsiTheme="majorBidi" w:cstheme="majorBidi"/>
        </w:rPr>
        <w:t>police officers, which rank among the worst in the Western world</w:t>
      </w:r>
      <w:r w:rsidRPr="00B055B2">
        <w:rPr>
          <w:rFonts w:asciiTheme="majorBidi" w:hAnsiTheme="majorBidi" w:cstheme="majorBidi"/>
        </w:rPr>
        <w:t xml:space="preserve">, </w:t>
      </w:r>
      <w:r w:rsidR="00FD0021" w:rsidRPr="00B055B2">
        <w:rPr>
          <w:rFonts w:asciiTheme="majorBidi" w:hAnsiTheme="majorBidi" w:cstheme="majorBidi"/>
        </w:rPr>
        <w:t>and the limited availability of psychological support, which affects how officers cope with post-traumatic symptoms</w:t>
      </w:r>
      <w:r w:rsidRPr="00B055B2">
        <w:rPr>
          <w:rFonts w:asciiTheme="majorBidi" w:hAnsiTheme="majorBidi" w:cstheme="majorBidi"/>
        </w:rPr>
        <w:t xml:space="preserve"> and</w:t>
      </w:r>
      <w:r w:rsidR="00FD0021" w:rsidRPr="00B055B2">
        <w:rPr>
          <w:rFonts w:asciiTheme="majorBidi" w:hAnsiTheme="majorBidi" w:cstheme="majorBidi"/>
        </w:rPr>
        <w:t xml:space="preserve"> may also manifest as </w:t>
      </w:r>
      <w:r w:rsidR="00BB588B" w:rsidRPr="00B055B2">
        <w:rPr>
          <w:rFonts w:asciiTheme="majorBidi" w:hAnsiTheme="majorBidi" w:cstheme="majorBidi"/>
        </w:rPr>
        <w:t>domestic</w:t>
      </w:r>
      <w:r w:rsidR="00FD0021" w:rsidRPr="00B055B2">
        <w:rPr>
          <w:rFonts w:asciiTheme="majorBidi" w:hAnsiTheme="majorBidi" w:cstheme="majorBidi"/>
        </w:rPr>
        <w:t xml:space="preserve"> violence.</w:t>
      </w:r>
    </w:p>
    <w:p w14:paraId="0518669A" w14:textId="318A7C71" w:rsidR="00C46AF1" w:rsidRPr="00B055B2" w:rsidRDefault="00E90047" w:rsidP="00C46AF1">
      <w:pPr>
        <w:spacing w:line="360" w:lineRule="auto"/>
        <w:ind w:firstLine="720"/>
        <w:rPr>
          <w:rFonts w:asciiTheme="majorBidi" w:hAnsiTheme="majorBidi" w:cstheme="majorBidi"/>
        </w:rPr>
      </w:pPr>
      <w:r w:rsidRPr="00B055B2">
        <w:rPr>
          <w:rFonts w:asciiTheme="majorBidi" w:hAnsiTheme="majorBidi" w:cstheme="majorBidi"/>
        </w:rPr>
        <w:t>Given the sensitive nature of the topic, we faced considerable methodological challenges in identifying the study population. Ultimately, participants were located through three sources: legal proceedings, media reports, and interviews with professionals who work with men, including police officers, who have committed IPV offenses. In light of these constraints, and as this is the first study of its kind in Israel, we adopted a deliberately modest aim: to conceptualize the phenomenon and map its central characteristics. Although a comprehensive examination was beyond the scope of this study, the gravity of the issue compelled us to address it.</w:t>
      </w:r>
    </w:p>
    <w:p w14:paraId="5B9313EB" w14:textId="77777777" w:rsidR="00212B53" w:rsidRPr="00B055B2" w:rsidRDefault="00212B53" w:rsidP="00212B53">
      <w:pPr>
        <w:spacing w:line="360" w:lineRule="auto"/>
        <w:rPr>
          <w:rFonts w:asciiTheme="majorBidi" w:hAnsiTheme="majorBidi" w:cstheme="majorBidi"/>
        </w:rPr>
      </w:pPr>
    </w:p>
    <w:p w14:paraId="6565DDE4" w14:textId="2AB42242" w:rsidR="00212B53" w:rsidRPr="00B055B2" w:rsidRDefault="00212B53" w:rsidP="00212B53">
      <w:pPr>
        <w:spacing w:line="360" w:lineRule="auto"/>
        <w:rPr>
          <w:rFonts w:asciiTheme="majorBidi" w:hAnsiTheme="majorBidi" w:cstheme="majorBidi"/>
          <w:b/>
          <w:bCs/>
        </w:rPr>
      </w:pPr>
      <w:r w:rsidRPr="00B055B2">
        <w:rPr>
          <w:rFonts w:asciiTheme="majorBidi" w:hAnsiTheme="majorBidi" w:cstheme="majorBidi"/>
          <w:b/>
          <w:bCs/>
        </w:rPr>
        <w:t>Literature Review</w:t>
      </w:r>
    </w:p>
    <w:p w14:paraId="55269D00" w14:textId="47DEEB74" w:rsidR="00DE39F3" w:rsidRPr="00B055B2" w:rsidRDefault="00E92232" w:rsidP="0005081C">
      <w:pPr>
        <w:spacing w:line="360" w:lineRule="auto"/>
        <w:rPr>
          <w:rFonts w:asciiTheme="majorBidi" w:hAnsiTheme="majorBidi" w:cstheme="majorBidi"/>
        </w:rPr>
      </w:pPr>
      <w:r w:rsidRPr="00B055B2">
        <w:rPr>
          <w:rFonts w:asciiTheme="majorBidi" w:hAnsiTheme="majorBidi" w:cstheme="majorBidi"/>
        </w:rPr>
        <w:t>Feminist theories conceptualize domestic violence as a form of coercive control (Stark &amp; Hester, 2018) and explore its multiple dimensions. This study narrows the focus to a specific subgroup of men who use violence: police officers. Accordingly, this section examines factors uniquely associated with domestic violence in this population, seeking to explain why its prevalence may be higher, why patterns of violence may be more severe, and how its effects on victims may be uniquely harmful.</w:t>
      </w:r>
    </w:p>
    <w:p w14:paraId="135B966B" w14:textId="417C8AE4" w:rsidR="00417AA3" w:rsidRPr="00B055B2" w:rsidRDefault="00B5392F" w:rsidP="00833664">
      <w:pPr>
        <w:spacing w:line="360" w:lineRule="auto"/>
        <w:ind w:firstLine="720"/>
        <w:rPr>
          <w:rFonts w:asciiTheme="majorBidi" w:hAnsiTheme="majorBidi" w:cstheme="majorBidi"/>
        </w:rPr>
      </w:pPr>
      <w:r w:rsidRPr="00B055B2">
        <w:rPr>
          <w:rFonts w:asciiTheme="majorBidi" w:hAnsiTheme="majorBidi" w:cstheme="majorBidi"/>
        </w:rPr>
        <w:t xml:space="preserve">The research literature on this issue is based largely on studies conducted in the United States. However, significant differences exist between the American and Israeli contexts, particularly in the structure of their police forces (federal versus national) and the nature of their welfare systems. In the United States, the welfare response to domestic violence is minimal, whereas in Israel victims have access to a broader range of support services. These services may facilitate earlier intervention and help prevent escalation to severe violence or </w:t>
      </w:r>
      <w:r w:rsidR="00833664">
        <w:rPr>
          <w:rFonts w:asciiTheme="majorBidi" w:hAnsiTheme="majorBidi" w:cstheme="majorBidi"/>
        </w:rPr>
        <w:t>murder</w:t>
      </w:r>
      <w:r w:rsidRPr="00B055B2">
        <w:rPr>
          <w:rFonts w:asciiTheme="majorBidi" w:hAnsiTheme="majorBidi" w:cstheme="majorBidi"/>
        </w:rPr>
        <w:t>—outcomes that are far more prevalent in the U.S.</w:t>
      </w:r>
    </w:p>
    <w:p w14:paraId="1F35EAF8" w14:textId="77777777" w:rsidR="00770B8D" w:rsidRPr="00B055B2" w:rsidRDefault="00770B8D" w:rsidP="00511485">
      <w:pPr>
        <w:spacing w:line="360" w:lineRule="auto"/>
        <w:rPr>
          <w:rFonts w:asciiTheme="majorBidi" w:hAnsiTheme="majorBidi" w:cstheme="majorBidi"/>
          <w:b/>
          <w:bCs/>
          <w:i/>
          <w:iCs/>
        </w:rPr>
      </w:pPr>
    </w:p>
    <w:p w14:paraId="0F09E12A" w14:textId="198D2751" w:rsidR="00511485" w:rsidRPr="00B055B2" w:rsidRDefault="00511485" w:rsidP="00511485">
      <w:pPr>
        <w:spacing w:line="360" w:lineRule="auto"/>
        <w:rPr>
          <w:rFonts w:asciiTheme="majorBidi" w:hAnsiTheme="majorBidi" w:cstheme="majorBidi"/>
          <w:b/>
          <w:bCs/>
          <w:i/>
          <w:iCs/>
        </w:rPr>
      </w:pPr>
      <w:r w:rsidRPr="00B055B2">
        <w:rPr>
          <w:rFonts w:asciiTheme="majorBidi" w:hAnsiTheme="majorBidi" w:cstheme="majorBidi"/>
          <w:b/>
          <w:bCs/>
          <w:i/>
          <w:iCs/>
        </w:rPr>
        <w:t>The Impact of Police Organizational Culture on Officers</w:t>
      </w:r>
      <w:r w:rsidR="000542C4" w:rsidRPr="00B055B2">
        <w:rPr>
          <w:rFonts w:asciiTheme="majorBidi" w:hAnsiTheme="majorBidi" w:cstheme="majorBidi"/>
          <w:b/>
          <w:bCs/>
          <w:i/>
          <w:iCs/>
        </w:rPr>
        <w:t>’</w:t>
      </w:r>
      <w:r w:rsidRPr="00B055B2">
        <w:rPr>
          <w:rFonts w:asciiTheme="majorBidi" w:hAnsiTheme="majorBidi" w:cstheme="majorBidi"/>
          <w:b/>
          <w:bCs/>
          <w:i/>
          <w:iCs/>
        </w:rPr>
        <w:t xml:space="preserve"> Perpetration of </w:t>
      </w:r>
      <w:r w:rsidR="000542C4" w:rsidRPr="00B055B2">
        <w:rPr>
          <w:rFonts w:asciiTheme="majorBidi" w:hAnsiTheme="majorBidi" w:cstheme="majorBidi"/>
          <w:b/>
          <w:bCs/>
          <w:i/>
          <w:iCs/>
        </w:rPr>
        <w:t>Domestic Violence</w:t>
      </w:r>
    </w:p>
    <w:p w14:paraId="76AB978B" w14:textId="45B52DB3" w:rsidR="00511485" w:rsidRPr="00B055B2" w:rsidRDefault="008B01AB" w:rsidP="0005081C">
      <w:pPr>
        <w:spacing w:line="360" w:lineRule="auto"/>
        <w:rPr>
          <w:rFonts w:asciiTheme="majorBidi" w:hAnsiTheme="majorBidi" w:cstheme="majorBidi"/>
        </w:rPr>
      </w:pPr>
      <w:r w:rsidRPr="00B055B2">
        <w:rPr>
          <w:rFonts w:asciiTheme="majorBidi" w:hAnsiTheme="majorBidi" w:cstheme="majorBidi"/>
        </w:rPr>
        <w:t>While cultural and societal differences exist across countries, police organizations worldwide share many similarities in their organizational culture—similarities that play a central role in shaping officers</w:t>
      </w:r>
      <w:r w:rsidR="000542C4" w:rsidRPr="00B055B2">
        <w:rPr>
          <w:rFonts w:asciiTheme="majorBidi" w:hAnsiTheme="majorBidi" w:cstheme="majorBidi"/>
        </w:rPr>
        <w:t>’</w:t>
      </w:r>
      <w:r w:rsidRPr="00B055B2">
        <w:rPr>
          <w:rFonts w:asciiTheme="majorBidi" w:hAnsiTheme="majorBidi" w:cstheme="majorBidi"/>
        </w:rPr>
        <w:t xml:space="preserve"> professional identities through the socialization processes that begin at recruitment. Patriarchal and conservative masculine norms exert a particularly strong influence on the issue at the heart of this article. However, their impact extends beyond </w:t>
      </w:r>
      <w:r w:rsidR="000542C4" w:rsidRPr="00B055B2">
        <w:rPr>
          <w:rFonts w:asciiTheme="majorBidi" w:hAnsiTheme="majorBidi" w:cstheme="majorBidi"/>
        </w:rPr>
        <w:t>domestic violence</w:t>
      </w:r>
      <w:r w:rsidRPr="00B055B2">
        <w:rPr>
          <w:rFonts w:asciiTheme="majorBidi" w:hAnsiTheme="majorBidi" w:cstheme="majorBidi"/>
        </w:rPr>
        <w:t xml:space="preserve">, shaping key aspects of police culture and practice. These include the </w:t>
      </w:r>
      <w:r w:rsidR="000542C4" w:rsidRPr="00B055B2">
        <w:rPr>
          <w:rFonts w:asciiTheme="majorBidi" w:hAnsiTheme="majorBidi" w:cstheme="majorBidi"/>
        </w:rPr>
        <w:t>“</w:t>
      </w:r>
      <w:r w:rsidRPr="00B055B2">
        <w:rPr>
          <w:rFonts w:asciiTheme="majorBidi" w:hAnsiTheme="majorBidi" w:cstheme="majorBidi"/>
        </w:rPr>
        <w:t>blue wall of silence,</w:t>
      </w:r>
      <w:r w:rsidR="000542C4" w:rsidRPr="00B055B2">
        <w:rPr>
          <w:rFonts w:asciiTheme="majorBidi" w:hAnsiTheme="majorBidi" w:cstheme="majorBidi"/>
        </w:rPr>
        <w:t>”</w:t>
      </w:r>
      <w:r w:rsidRPr="00B055B2">
        <w:rPr>
          <w:rFonts w:asciiTheme="majorBidi" w:hAnsiTheme="majorBidi" w:cstheme="majorBidi"/>
        </w:rPr>
        <w:t xml:space="preserve"> which discourages officers from reporting misconduct by colleagues</w:t>
      </w:r>
      <w:r w:rsidR="000542C4" w:rsidRPr="00B055B2">
        <w:rPr>
          <w:rFonts w:asciiTheme="majorBidi" w:hAnsiTheme="majorBidi" w:cstheme="majorBidi"/>
        </w:rPr>
        <w:t xml:space="preserve">, </w:t>
      </w:r>
      <w:r w:rsidRPr="00B055B2">
        <w:rPr>
          <w:rFonts w:asciiTheme="majorBidi" w:hAnsiTheme="majorBidi" w:cstheme="majorBidi"/>
        </w:rPr>
        <w:t>the ways in which officers cope with trauma, stress, and burnout</w:t>
      </w:r>
      <w:r w:rsidR="000542C4" w:rsidRPr="00B055B2">
        <w:rPr>
          <w:rFonts w:asciiTheme="majorBidi" w:hAnsiTheme="majorBidi" w:cstheme="majorBidi"/>
        </w:rPr>
        <w:t xml:space="preserve">, </w:t>
      </w:r>
      <w:r w:rsidRPr="00B055B2">
        <w:rPr>
          <w:rFonts w:asciiTheme="majorBidi" w:hAnsiTheme="majorBidi" w:cstheme="majorBidi"/>
        </w:rPr>
        <w:t>and the nature of police work itself, which often has far-reaching effects on officers</w:t>
      </w:r>
      <w:r w:rsidR="000542C4" w:rsidRPr="00B055B2">
        <w:rPr>
          <w:rFonts w:asciiTheme="majorBidi" w:hAnsiTheme="majorBidi" w:cstheme="majorBidi"/>
        </w:rPr>
        <w:t>’</w:t>
      </w:r>
      <w:r w:rsidRPr="00B055B2">
        <w:rPr>
          <w:rFonts w:asciiTheme="majorBidi" w:hAnsiTheme="majorBidi" w:cstheme="majorBidi"/>
        </w:rPr>
        <w:t xml:space="preserve"> personal lives.</w:t>
      </w:r>
    </w:p>
    <w:p w14:paraId="12FB80E1" w14:textId="72F4394F" w:rsidR="008B01AB" w:rsidRPr="00B055B2" w:rsidRDefault="00ED64AB" w:rsidP="008B01AB">
      <w:pPr>
        <w:spacing w:line="360" w:lineRule="auto"/>
        <w:ind w:firstLine="720"/>
        <w:rPr>
          <w:rFonts w:asciiTheme="majorBidi" w:hAnsiTheme="majorBidi" w:cstheme="majorBidi"/>
        </w:rPr>
      </w:pPr>
      <w:r w:rsidRPr="00B055B2">
        <w:rPr>
          <w:rFonts w:asciiTheme="majorBidi" w:hAnsiTheme="majorBidi" w:cstheme="majorBidi"/>
        </w:rPr>
        <w:t xml:space="preserve">Masculinity is widely regarded as a core element of police work, shaping expectations both at the organizational level and in the identity of individual officers. This is reflected in a policing culture defined by </w:t>
      </w:r>
      <w:proofErr w:type="spellStart"/>
      <w:r w:rsidRPr="00B055B2">
        <w:rPr>
          <w:rFonts w:asciiTheme="majorBidi" w:hAnsiTheme="majorBidi" w:cstheme="majorBidi"/>
        </w:rPr>
        <w:t>hypermasculine</w:t>
      </w:r>
      <w:proofErr w:type="spellEnd"/>
      <w:r w:rsidRPr="00B055B2">
        <w:rPr>
          <w:rFonts w:asciiTheme="majorBidi" w:hAnsiTheme="majorBidi" w:cstheme="majorBidi"/>
        </w:rPr>
        <w:t xml:space="preserve"> norms and a focus on public-sphere crime. The majority of police officers are men, and the role is closely associated with physical bravery, aggressiveness, and the use of weapons. These traits are not only expected but celebrated</w:t>
      </w:r>
      <w:r w:rsidR="00F86448" w:rsidRPr="00B055B2">
        <w:rPr>
          <w:rFonts w:asciiTheme="majorBidi" w:hAnsiTheme="majorBidi" w:cstheme="majorBidi"/>
        </w:rPr>
        <w:t>. Officers are encouraged to display toughness, decisiveness, and emotional restraint, with both physical bravery and the use of force held up as ideals. The organizational culture reinforces these norms by rewarding officers who embody them.</w:t>
      </w:r>
      <w:r w:rsidRPr="00B055B2">
        <w:rPr>
          <w:rFonts w:asciiTheme="majorBidi" w:hAnsiTheme="majorBidi" w:cstheme="majorBidi"/>
        </w:rPr>
        <w:t xml:space="preserve"> As a result, this conception of masculinity not only dictates how officers are expected to act, but also signals which behaviors</w:t>
      </w:r>
      <w:r w:rsidR="00154577" w:rsidRPr="00B055B2">
        <w:rPr>
          <w:rFonts w:asciiTheme="majorBidi" w:hAnsiTheme="majorBidi" w:cstheme="majorBidi"/>
        </w:rPr>
        <w:t xml:space="preserve"> </w:t>
      </w:r>
      <w:r w:rsidRPr="00B055B2">
        <w:rPr>
          <w:rFonts w:asciiTheme="majorBidi" w:hAnsiTheme="majorBidi" w:cstheme="majorBidi"/>
        </w:rPr>
        <w:t>are to be avoided (Brown, 2007; Barrie &amp; Broomhall, 2012).</w:t>
      </w:r>
    </w:p>
    <w:p w14:paraId="0A189B8F" w14:textId="508DDDF6" w:rsidR="00154577" w:rsidRPr="00B055B2" w:rsidRDefault="000B6A6A" w:rsidP="008B01AB">
      <w:pPr>
        <w:spacing w:line="360" w:lineRule="auto"/>
        <w:ind w:firstLine="720"/>
        <w:rPr>
          <w:rFonts w:asciiTheme="majorBidi" w:hAnsiTheme="majorBidi" w:cstheme="majorBidi"/>
        </w:rPr>
      </w:pPr>
      <w:r w:rsidRPr="00B055B2">
        <w:rPr>
          <w:rFonts w:asciiTheme="majorBidi" w:hAnsiTheme="majorBidi" w:cstheme="majorBidi"/>
        </w:rPr>
        <w:t xml:space="preserve">This implies that dominant masculine worldviews embedded in police organizational culture influence officers’ attitudes toward gender-related offenses, including domestic violence (Narayanan, 2005; </w:t>
      </w:r>
      <w:proofErr w:type="spellStart"/>
      <w:r w:rsidRPr="00B055B2">
        <w:rPr>
          <w:rFonts w:asciiTheme="majorBidi" w:hAnsiTheme="majorBidi" w:cstheme="majorBidi"/>
        </w:rPr>
        <w:t>Fedders</w:t>
      </w:r>
      <w:proofErr w:type="spellEnd"/>
      <w:r w:rsidRPr="00B055B2">
        <w:rPr>
          <w:rFonts w:asciiTheme="majorBidi" w:hAnsiTheme="majorBidi" w:cstheme="majorBidi"/>
        </w:rPr>
        <w:t>, 1997). Moreover, since both police recruits as individuals and the police as an institution are typically aligned with conservative values and the preservation of the existing social order (Colman &amp; Gorman, 1982), these norms may also shape officers’ personal lives, making them more likely to marry at a younger age and to adopt a stricter stance toward the prospect of divorce.</w:t>
      </w:r>
    </w:p>
    <w:p w14:paraId="3D5AF199" w14:textId="78CFCE3F" w:rsidR="000B6A6A" w:rsidRPr="00B055B2" w:rsidRDefault="00F76CAD" w:rsidP="008B01AB">
      <w:pPr>
        <w:spacing w:line="360" w:lineRule="auto"/>
        <w:ind w:firstLine="720"/>
        <w:rPr>
          <w:rFonts w:asciiTheme="majorBidi" w:hAnsiTheme="majorBidi" w:cstheme="majorBidi"/>
        </w:rPr>
      </w:pPr>
      <w:r w:rsidRPr="00B055B2">
        <w:rPr>
          <w:rFonts w:asciiTheme="majorBidi" w:hAnsiTheme="majorBidi" w:cstheme="majorBidi"/>
        </w:rPr>
        <w:lastRenderedPageBreak/>
        <w:t>However, it is not only police organizational culture that heightens the risk of officers perpetrating domestic violence, but also the very nature of police work. In democratic societies, the police hold a monopoly on the legitimate use of force. Clear guidelines theoretically define the extent and circumstances under which force may be used, and officers are trained in these limits during initial academy instruction, ongoing professional development, and routine observation of senior colleagues in the field. This training includes learning how to assert authority, apply physical force, and use weapons when deemed necessary.</w:t>
      </w:r>
    </w:p>
    <w:p w14:paraId="769FA4B2" w14:textId="2341BA01" w:rsidR="00ED64AB" w:rsidRPr="00B055B2" w:rsidRDefault="000B6A59" w:rsidP="00833664">
      <w:pPr>
        <w:spacing w:line="360" w:lineRule="auto"/>
        <w:ind w:firstLine="720"/>
        <w:rPr>
          <w:rFonts w:asciiTheme="majorBidi" w:hAnsiTheme="majorBidi" w:cstheme="majorBidi"/>
        </w:rPr>
      </w:pPr>
      <w:r w:rsidRPr="00B055B2">
        <w:rPr>
          <w:rFonts w:asciiTheme="majorBidi" w:hAnsiTheme="majorBidi" w:cstheme="majorBidi"/>
        </w:rPr>
        <w:t>In the course of their duties, police officers are expected to maintain control</w:t>
      </w:r>
      <w:r w:rsidR="00F76CAD" w:rsidRPr="00B055B2">
        <w:rPr>
          <w:rFonts w:asciiTheme="majorBidi" w:hAnsiTheme="majorBidi" w:cstheme="majorBidi"/>
        </w:rPr>
        <w:t xml:space="preserve">, </w:t>
      </w:r>
      <w:r w:rsidRPr="00B055B2">
        <w:rPr>
          <w:rFonts w:asciiTheme="majorBidi" w:hAnsiTheme="majorBidi" w:cstheme="majorBidi"/>
        </w:rPr>
        <w:t>not only over the people around them, but also over themselves. To support this, their initial training equips them with a range of tools for managing situations appropriately, both verbally (such as issuing authoritative commands) and physically (through graduated use of force). Because they view themselves as holding a monopoly on the use of force in civilian society</w:t>
      </w:r>
      <w:r w:rsidR="00F76CAD" w:rsidRPr="00B055B2">
        <w:rPr>
          <w:rFonts w:asciiTheme="majorBidi" w:hAnsiTheme="majorBidi" w:cstheme="majorBidi"/>
        </w:rPr>
        <w:t xml:space="preserve">, </w:t>
      </w:r>
      <w:r w:rsidRPr="00B055B2">
        <w:rPr>
          <w:rFonts w:asciiTheme="majorBidi" w:hAnsiTheme="majorBidi" w:cstheme="majorBidi"/>
        </w:rPr>
        <w:t>along with the moral authority to wield it</w:t>
      </w:r>
      <w:r w:rsidR="00F76CAD" w:rsidRPr="00B055B2">
        <w:rPr>
          <w:rFonts w:asciiTheme="majorBidi" w:hAnsiTheme="majorBidi" w:cstheme="majorBidi"/>
        </w:rPr>
        <w:t xml:space="preserve">, </w:t>
      </w:r>
      <w:r w:rsidRPr="00B055B2">
        <w:rPr>
          <w:rFonts w:asciiTheme="majorBidi" w:hAnsiTheme="majorBidi" w:cstheme="majorBidi"/>
        </w:rPr>
        <w:t>they often interpret challenges to their authority as challenges to their masculinity. This perception can serve to justify punitive responses, including the use of</w:t>
      </w:r>
      <w:r w:rsidR="00F76CAD" w:rsidRPr="00B055B2">
        <w:rPr>
          <w:rFonts w:asciiTheme="majorBidi" w:hAnsiTheme="majorBidi" w:cstheme="majorBidi"/>
        </w:rPr>
        <w:t xml:space="preserve"> </w:t>
      </w:r>
      <w:r w:rsidRPr="00B055B2">
        <w:rPr>
          <w:rFonts w:asciiTheme="majorBidi" w:hAnsiTheme="majorBidi" w:cstheme="majorBidi"/>
        </w:rPr>
        <w:t>excessive force (Harris, 1999). As a result, the more officers feel their authority is being threatened, the greater the likelihood they will resort to force (</w:t>
      </w:r>
      <w:proofErr w:type="spellStart"/>
      <w:r w:rsidRPr="00B055B2">
        <w:rPr>
          <w:rFonts w:asciiTheme="majorBidi" w:hAnsiTheme="majorBidi" w:cstheme="majorBidi"/>
        </w:rPr>
        <w:t>Micucci</w:t>
      </w:r>
      <w:proofErr w:type="spellEnd"/>
      <w:r w:rsidRPr="00B055B2">
        <w:rPr>
          <w:rFonts w:asciiTheme="majorBidi" w:hAnsiTheme="majorBidi" w:cstheme="majorBidi"/>
        </w:rPr>
        <w:t xml:space="preserve"> &amp; </w:t>
      </w:r>
      <w:proofErr w:type="spellStart"/>
      <w:r w:rsidRPr="00B055B2">
        <w:rPr>
          <w:rFonts w:asciiTheme="majorBidi" w:hAnsiTheme="majorBidi" w:cstheme="majorBidi"/>
        </w:rPr>
        <w:t>Gomme</w:t>
      </w:r>
      <w:proofErr w:type="spellEnd"/>
      <w:r w:rsidRPr="00B055B2">
        <w:rPr>
          <w:rFonts w:asciiTheme="majorBidi" w:hAnsiTheme="majorBidi" w:cstheme="majorBidi"/>
        </w:rPr>
        <w:t>, 2005).</w:t>
      </w:r>
      <w:r w:rsidR="00F76CAD" w:rsidRPr="00B055B2">
        <w:rPr>
          <w:rFonts w:asciiTheme="majorBidi" w:hAnsiTheme="majorBidi" w:cstheme="majorBidi"/>
        </w:rPr>
        <w:t xml:space="preserve"> </w:t>
      </w:r>
      <w:r w:rsidRPr="00B055B2">
        <w:rPr>
          <w:rFonts w:asciiTheme="majorBidi" w:hAnsiTheme="majorBidi" w:cstheme="majorBidi"/>
        </w:rPr>
        <w:t xml:space="preserve">This authoritarian orientation often extends beyond officers’ professional conduct and influences their behavior in their personal lives, including within the family (Blumenstein et al., 2011). Research shows that men who carry </w:t>
      </w:r>
      <w:r w:rsidR="00F76CAD" w:rsidRPr="00B055B2">
        <w:rPr>
          <w:rFonts w:asciiTheme="majorBidi" w:hAnsiTheme="majorBidi" w:cstheme="majorBidi"/>
        </w:rPr>
        <w:t>weapons</w:t>
      </w:r>
      <w:r w:rsidRPr="00B055B2">
        <w:rPr>
          <w:rFonts w:asciiTheme="majorBidi" w:hAnsiTheme="majorBidi" w:cstheme="majorBidi"/>
        </w:rPr>
        <w:t xml:space="preserve"> are eight times more likely to threaten their partners than those who do not (Kaufman, Morrison, </w:t>
      </w:r>
      <w:proofErr w:type="spellStart"/>
      <w:r w:rsidRPr="00B055B2">
        <w:rPr>
          <w:rFonts w:asciiTheme="majorBidi" w:hAnsiTheme="majorBidi" w:cstheme="majorBidi"/>
        </w:rPr>
        <w:t>Branas</w:t>
      </w:r>
      <w:proofErr w:type="spellEnd"/>
      <w:r w:rsidRPr="00B055B2">
        <w:rPr>
          <w:rFonts w:asciiTheme="majorBidi" w:hAnsiTheme="majorBidi" w:cstheme="majorBidi"/>
        </w:rPr>
        <w:t xml:space="preserve">, &amp; Wiebe, 2018). In many countries, including Israel, police officers are required to carry a </w:t>
      </w:r>
      <w:r w:rsidR="00F76CAD" w:rsidRPr="00B055B2">
        <w:rPr>
          <w:rFonts w:asciiTheme="majorBidi" w:hAnsiTheme="majorBidi" w:cstheme="majorBidi"/>
        </w:rPr>
        <w:t>weapon</w:t>
      </w:r>
      <w:r w:rsidRPr="00B055B2">
        <w:rPr>
          <w:rFonts w:asciiTheme="majorBidi" w:hAnsiTheme="majorBidi" w:cstheme="majorBidi"/>
        </w:rPr>
        <w:t xml:space="preserve"> while on duty, and in some cases, even off duty. This constant access to weapons significantly increases the risk of </w:t>
      </w:r>
      <w:r w:rsidR="005375DB" w:rsidRPr="00B055B2">
        <w:rPr>
          <w:rFonts w:asciiTheme="majorBidi" w:hAnsiTheme="majorBidi" w:cstheme="majorBidi"/>
        </w:rPr>
        <w:t>domestic violence</w:t>
      </w:r>
      <w:r w:rsidRPr="00B055B2">
        <w:rPr>
          <w:rFonts w:asciiTheme="majorBidi" w:hAnsiTheme="majorBidi" w:cstheme="majorBidi"/>
        </w:rPr>
        <w:t xml:space="preserve"> offenses committed by police officers, and while </w:t>
      </w:r>
      <w:r w:rsidR="00833664">
        <w:rPr>
          <w:rFonts w:asciiTheme="majorBidi" w:hAnsiTheme="majorBidi" w:cstheme="majorBidi"/>
        </w:rPr>
        <w:t>murder</w:t>
      </w:r>
      <w:r w:rsidRPr="00B055B2">
        <w:rPr>
          <w:rFonts w:asciiTheme="majorBidi" w:hAnsiTheme="majorBidi" w:cstheme="majorBidi"/>
        </w:rPr>
        <w:t xml:space="preserve"> is relatively rare, </w:t>
      </w:r>
      <w:r w:rsidR="005375DB" w:rsidRPr="00B055B2">
        <w:rPr>
          <w:rFonts w:asciiTheme="majorBidi" w:hAnsiTheme="majorBidi" w:cstheme="majorBidi"/>
        </w:rPr>
        <w:t>weapon</w:t>
      </w:r>
      <w:r w:rsidRPr="00B055B2">
        <w:rPr>
          <w:rFonts w:asciiTheme="majorBidi" w:hAnsiTheme="majorBidi" w:cstheme="majorBidi"/>
        </w:rPr>
        <w:t>-based threats are far more frequent.</w:t>
      </w:r>
    </w:p>
    <w:p w14:paraId="50DE8D5F" w14:textId="77777777" w:rsidR="000B6A59" w:rsidRPr="00B055B2" w:rsidRDefault="000B6A59" w:rsidP="00770B8D">
      <w:pPr>
        <w:spacing w:line="360" w:lineRule="auto"/>
        <w:rPr>
          <w:rFonts w:asciiTheme="majorBidi" w:hAnsiTheme="majorBidi" w:cstheme="majorBidi"/>
        </w:rPr>
      </w:pPr>
    </w:p>
    <w:p w14:paraId="04849F21" w14:textId="69A40745" w:rsidR="00770B8D" w:rsidRPr="00B055B2" w:rsidRDefault="001115F7" w:rsidP="00770B8D">
      <w:pPr>
        <w:spacing w:line="360" w:lineRule="auto"/>
        <w:rPr>
          <w:rFonts w:asciiTheme="majorBidi" w:hAnsiTheme="majorBidi" w:cstheme="majorBidi"/>
          <w:b/>
          <w:bCs/>
          <w:i/>
          <w:iCs/>
        </w:rPr>
      </w:pPr>
      <w:r w:rsidRPr="00B055B2">
        <w:rPr>
          <w:rFonts w:asciiTheme="majorBidi" w:hAnsiTheme="majorBidi" w:cstheme="majorBidi"/>
          <w:b/>
          <w:bCs/>
          <w:i/>
          <w:iCs/>
        </w:rPr>
        <w:t>“</w:t>
      </w:r>
      <w:r w:rsidR="00770B8D" w:rsidRPr="00B055B2">
        <w:rPr>
          <w:rFonts w:asciiTheme="majorBidi" w:hAnsiTheme="majorBidi" w:cstheme="majorBidi"/>
          <w:b/>
          <w:bCs/>
          <w:i/>
          <w:iCs/>
        </w:rPr>
        <w:t>The Blue Family</w:t>
      </w:r>
      <w:r w:rsidRPr="00B055B2">
        <w:rPr>
          <w:rFonts w:asciiTheme="majorBidi" w:hAnsiTheme="majorBidi" w:cstheme="majorBidi"/>
          <w:b/>
          <w:bCs/>
          <w:i/>
          <w:iCs/>
        </w:rPr>
        <w:t>”</w:t>
      </w:r>
      <w:r w:rsidR="00770B8D" w:rsidRPr="00B055B2">
        <w:rPr>
          <w:rFonts w:asciiTheme="majorBidi" w:hAnsiTheme="majorBidi" w:cstheme="majorBidi"/>
          <w:b/>
          <w:bCs/>
          <w:i/>
          <w:iCs/>
        </w:rPr>
        <w:t>: The Impact of Police Work on Officers’ Personal Lives</w:t>
      </w:r>
    </w:p>
    <w:p w14:paraId="5A37424B" w14:textId="139B5147" w:rsidR="00770B8D" w:rsidRPr="00B055B2" w:rsidRDefault="00770B8D" w:rsidP="001115F7">
      <w:pPr>
        <w:spacing w:line="360" w:lineRule="auto"/>
        <w:rPr>
          <w:rFonts w:asciiTheme="majorBidi" w:hAnsiTheme="majorBidi" w:cstheme="majorBidi"/>
        </w:rPr>
      </w:pPr>
      <w:r w:rsidRPr="00B055B2">
        <w:rPr>
          <w:rFonts w:asciiTheme="majorBidi" w:hAnsiTheme="majorBidi" w:cstheme="majorBidi"/>
        </w:rPr>
        <w:t>Another important dimension to consider is the psychosocial one. Due to the nature of their work, police officers experience stress, burnout, and post-traumatic symptoms more frequently than the general population (</w:t>
      </w:r>
      <w:proofErr w:type="spellStart"/>
      <w:r w:rsidRPr="00B055B2">
        <w:rPr>
          <w:rFonts w:asciiTheme="majorBidi" w:hAnsiTheme="majorBidi" w:cstheme="majorBidi"/>
        </w:rPr>
        <w:t>Levenkron</w:t>
      </w:r>
      <w:proofErr w:type="spellEnd"/>
      <w:r w:rsidRPr="00B055B2">
        <w:rPr>
          <w:rFonts w:asciiTheme="majorBidi" w:hAnsiTheme="majorBidi" w:cstheme="majorBidi"/>
        </w:rPr>
        <w:t>, 2024). The extent to which these symptoms appear</w:t>
      </w:r>
      <w:r w:rsidR="003A133D" w:rsidRPr="00B055B2">
        <w:rPr>
          <w:rFonts w:asciiTheme="majorBidi" w:hAnsiTheme="majorBidi" w:cstheme="majorBidi"/>
        </w:rPr>
        <w:t xml:space="preserve"> </w:t>
      </w:r>
      <w:r w:rsidRPr="00B055B2">
        <w:rPr>
          <w:rFonts w:asciiTheme="majorBidi" w:hAnsiTheme="majorBidi" w:cstheme="majorBidi"/>
        </w:rPr>
        <w:t>and the degree to which they affect officers</w:t>
      </w:r>
      <w:r w:rsidR="003A133D" w:rsidRPr="00B055B2">
        <w:rPr>
          <w:rFonts w:asciiTheme="majorBidi" w:hAnsiTheme="majorBidi" w:cstheme="majorBidi"/>
        </w:rPr>
        <w:t xml:space="preserve"> </w:t>
      </w:r>
      <w:r w:rsidRPr="00B055B2">
        <w:rPr>
          <w:rFonts w:asciiTheme="majorBidi" w:hAnsiTheme="majorBidi" w:cstheme="majorBidi"/>
        </w:rPr>
        <w:t xml:space="preserve">depends in part on the availability of appropriate support </w:t>
      </w:r>
      <w:r w:rsidRPr="00B055B2">
        <w:rPr>
          <w:rFonts w:asciiTheme="majorBidi" w:hAnsiTheme="majorBidi" w:cstheme="majorBidi"/>
        </w:rPr>
        <w:lastRenderedPageBreak/>
        <w:t xml:space="preserve">services and the officer’s willingness to seek help. However, masculine norms within police organizational culture often reduce the likelihood of seeking such help. According to this worldview, a </w:t>
      </w:r>
      <w:r w:rsidR="001115F7" w:rsidRPr="00B055B2">
        <w:rPr>
          <w:rFonts w:asciiTheme="majorBidi" w:hAnsiTheme="majorBidi" w:cstheme="majorBidi"/>
        </w:rPr>
        <w:t>“</w:t>
      </w:r>
      <w:r w:rsidRPr="00B055B2">
        <w:rPr>
          <w:rFonts w:asciiTheme="majorBidi" w:hAnsiTheme="majorBidi" w:cstheme="majorBidi"/>
        </w:rPr>
        <w:t>real man</w:t>
      </w:r>
      <w:r w:rsidR="001115F7" w:rsidRPr="00B055B2">
        <w:rPr>
          <w:rFonts w:asciiTheme="majorBidi" w:hAnsiTheme="majorBidi" w:cstheme="majorBidi"/>
        </w:rPr>
        <w:t>”</w:t>
      </w:r>
      <w:r w:rsidRPr="00B055B2">
        <w:rPr>
          <w:rFonts w:asciiTheme="majorBidi" w:hAnsiTheme="majorBidi" w:cstheme="majorBidi"/>
        </w:rPr>
        <w:t xml:space="preserve"> handles his problems alone, and turning to a psychologist is seen as a sign of weakness or femininity (</w:t>
      </w:r>
      <w:proofErr w:type="spellStart"/>
      <w:r w:rsidRPr="00B055B2">
        <w:rPr>
          <w:rFonts w:asciiTheme="majorBidi" w:hAnsiTheme="majorBidi" w:cstheme="majorBidi"/>
        </w:rPr>
        <w:t>Kirschman</w:t>
      </w:r>
      <w:proofErr w:type="spellEnd"/>
      <w:r w:rsidRPr="00B055B2">
        <w:rPr>
          <w:rFonts w:asciiTheme="majorBidi" w:hAnsiTheme="majorBidi" w:cstheme="majorBidi"/>
        </w:rPr>
        <w:t>, 2013).</w:t>
      </w:r>
      <w:r w:rsidR="003A133D" w:rsidRPr="00B055B2">
        <w:rPr>
          <w:rFonts w:asciiTheme="majorBidi" w:hAnsiTheme="majorBidi" w:cstheme="majorBidi"/>
        </w:rPr>
        <w:t xml:space="preserve"> </w:t>
      </w:r>
      <w:r w:rsidRPr="00B055B2">
        <w:rPr>
          <w:rFonts w:asciiTheme="majorBidi" w:hAnsiTheme="majorBidi" w:cstheme="majorBidi"/>
        </w:rPr>
        <w:t>As a result, officers are often left with three main outlets for releasing distress and frustration. The first is speaking with colleagues—a positive practice</w:t>
      </w:r>
      <w:r w:rsidR="003A133D" w:rsidRPr="00B055B2">
        <w:rPr>
          <w:rFonts w:asciiTheme="majorBidi" w:hAnsiTheme="majorBidi" w:cstheme="majorBidi"/>
        </w:rPr>
        <w:t xml:space="preserve"> itself</w:t>
      </w:r>
      <w:r w:rsidRPr="00B055B2">
        <w:rPr>
          <w:rFonts w:asciiTheme="majorBidi" w:hAnsiTheme="majorBidi" w:cstheme="majorBidi"/>
        </w:rPr>
        <w:t xml:space="preserve">, but one that tightens bonds within the police force while </w:t>
      </w:r>
      <w:r w:rsidR="003A133D" w:rsidRPr="00B055B2">
        <w:rPr>
          <w:rFonts w:asciiTheme="majorBidi" w:hAnsiTheme="majorBidi" w:cstheme="majorBidi"/>
        </w:rPr>
        <w:t xml:space="preserve">simultaneously </w:t>
      </w:r>
      <w:r w:rsidRPr="00B055B2">
        <w:rPr>
          <w:rFonts w:asciiTheme="majorBidi" w:hAnsiTheme="majorBidi" w:cstheme="majorBidi"/>
        </w:rPr>
        <w:t xml:space="preserve">weakening ties to other support networks that could offer alternative perspectives. </w:t>
      </w:r>
      <w:r w:rsidR="00531422" w:rsidRPr="00B055B2">
        <w:rPr>
          <w:rFonts w:asciiTheme="majorBidi" w:hAnsiTheme="majorBidi" w:cstheme="majorBidi"/>
        </w:rPr>
        <w:t>The second is alcohol consumption, which provides a sense of release and temporary escape, at least as long as it remains within socially normative limits.</w:t>
      </w:r>
      <w:r w:rsidRPr="00B055B2">
        <w:rPr>
          <w:rFonts w:asciiTheme="majorBidi" w:hAnsiTheme="majorBidi" w:cstheme="majorBidi"/>
        </w:rPr>
        <w:t xml:space="preserve"> The third is violence in its various forms, including </w:t>
      </w:r>
      <w:r w:rsidR="001115F7" w:rsidRPr="00B055B2">
        <w:rPr>
          <w:rFonts w:asciiTheme="majorBidi" w:hAnsiTheme="majorBidi" w:cstheme="majorBidi"/>
        </w:rPr>
        <w:t>domestic violence</w:t>
      </w:r>
      <w:r w:rsidRPr="00B055B2">
        <w:rPr>
          <w:rFonts w:asciiTheme="majorBidi" w:hAnsiTheme="majorBidi" w:cstheme="majorBidi"/>
        </w:rPr>
        <w:t>, which constitutes a criminal offense.</w:t>
      </w:r>
    </w:p>
    <w:p w14:paraId="65A28F84" w14:textId="7E5455E8" w:rsidR="000B6A59" w:rsidRPr="00B055B2" w:rsidRDefault="000704AB" w:rsidP="000704AB">
      <w:pPr>
        <w:spacing w:line="360" w:lineRule="auto"/>
        <w:ind w:firstLine="720"/>
        <w:rPr>
          <w:rFonts w:asciiTheme="majorBidi" w:hAnsiTheme="majorBidi" w:cstheme="majorBidi"/>
        </w:rPr>
      </w:pPr>
      <w:r w:rsidRPr="00B055B2">
        <w:rPr>
          <w:rFonts w:asciiTheme="majorBidi" w:hAnsiTheme="majorBidi" w:cstheme="majorBidi"/>
        </w:rPr>
        <w:t xml:space="preserve">The similarity in employment conditions and the psychological strain inherent in police work foster a strong sense of collegiality among officers, often referred to as the </w:t>
      </w:r>
      <w:r w:rsidR="00E11030" w:rsidRPr="00B055B2">
        <w:rPr>
          <w:rFonts w:asciiTheme="majorBidi" w:hAnsiTheme="majorBidi" w:cstheme="majorBidi"/>
        </w:rPr>
        <w:t>“</w:t>
      </w:r>
      <w:r w:rsidRPr="00B055B2">
        <w:rPr>
          <w:rFonts w:asciiTheme="majorBidi" w:hAnsiTheme="majorBidi" w:cstheme="majorBidi"/>
        </w:rPr>
        <w:t>blue wall of silence.</w:t>
      </w:r>
      <w:r w:rsidR="00E11030" w:rsidRPr="00B055B2">
        <w:rPr>
          <w:rFonts w:asciiTheme="majorBidi" w:hAnsiTheme="majorBidi" w:cstheme="majorBidi"/>
        </w:rPr>
        <w:t>”</w:t>
      </w:r>
      <w:r w:rsidRPr="00B055B2">
        <w:rPr>
          <w:rFonts w:asciiTheme="majorBidi" w:hAnsiTheme="majorBidi" w:cstheme="majorBidi"/>
        </w:rPr>
        <w:t xml:space="preserve"> These working conditions tend to isolate police officers from the general population and create distance between them and civilian society, while </w:t>
      </w:r>
      <w:r w:rsidR="00CE6C73" w:rsidRPr="00B055B2">
        <w:rPr>
          <w:rFonts w:asciiTheme="majorBidi" w:hAnsiTheme="majorBidi" w:cstheme="majorBidi"/>
        </w:rPr>
        <w:t>simultaneously</w:t>
      </w:r>
      <w:r w:rsidRPr="00B055B2">
        <w:rPr>
          <w:rFonts w:asciiTheme="majorBidi" w:hAnsiTheme="majorBidi" w:cstheme="majorBidi"/>
        </w:rPr>
        <w:t xml:space="preserve"> strengthening their internal cohesion (Stinson &amp; </w:t>
      </w:r>
      <w:proofErr w:type="spellStart"/>
      <w:r w:rsidRPr="00B055B2">
        <w:rPr>
          <w:rFonts w:asciiTheme="majorBidi" w:hAnsiTheme="majorBidi" w:cstheme="majorBidi"/>
        </w:rPr>
        <w:t>Liederbach</w:t>
      </w:r>
      <w:proofErr w:type="spellEnd"/>
      <w:r w:rsidRPr="00B055B2">
        <w:rPr>
          <w:rFonts w:asciiTheme="majorBidi" w:hAnsiTheme="majorBidi" w:cstheme="majorBidi"/>
        </w:rPr>
        <w:t>, 2013). As a result, close, trust-based bonds often develop among officers. While such relationships can serve a normative and positive function as a source of mutual support, they are also linked to a problematic dynamic</w:t>
      </w:r>
      <w:r w:rsidR="00CE6C73" w:rsidRPr="00B055B2">
        <w:rPr>
          <w:rFonts w:asciiTheme="majorBidi" w:hAnsiTheme="majorBidi" w:cstheme="majorBidi"/>
        </w:rPr>
        <w:t>,</w:t>
      </w:r>
      <w:r w:rsidRPr="00B055B2">
        <w:rPr>
          <w:rFonts w:asciiTheme="majorBidi" w:hAnsiTheme="majorBidi" w:cstheme="majorBidi"/>
        </w:rPr>
        <w:t xml:space="preserve"> conceptualized in the literature as the </w:t>
      </w:r>
      <w:r w:rsidR="00CE6C73" w:rsidRPr="00B055B2">
        <w:rPr>
          <w:rFonts w:asciiTheme="majorBidi" w:hAnsiTheme="majorBidi" w:cstheme="majorBidi"/>
        </w:rPr>
        <w:t>“</w:t>
      </w:r>
      <w:r w:rsidRPr="00B055B2">
        <w:rPr>
          <w:rFonts w:asciiTheme="majorBidi" w:hAnsiTheme="majorBidi" w:cstheme="majorBidi"/>
        </w:rPr>
        <w:t>blue code of silence</w:t>
      </w:r>
      <w:r w:rsidR="00CE6C73" w:rsidRPr="00B055B2">
        <w:rPr>
          <w:rFonts w:asciiTheme="majorBidi" w:hAnsiTheme="majorBidi" w:cstheme="majorBidi"/>
        </w:rPr>
        <w:t>”</w:t>
      </w:r>
      <w:r w:rsidRPr="00B055B2">
        <w:rPr>
          <w:rFonts w:asciiTheme="majorBidi" w:hAnsiTheme="majorBidi" w:cstheme="majorBidi"/>
        </w:rPr>
        <w:t>: a pattern of mutual cover-up among officers for misconduct by one or more of their peers (Skolnick, 2022), including acts of domestic violence (Sweeting et al., 2022).</w:t>
      </w:r>
    </w:p>
    <w:p w14:paraId="76343F87" w14:textId="7A050613" w:rsidR="004C3B3C" w:rsidRPr="00B055B2" w:rsidRDefault="004C3B3C" w:rsidP="004C3B3C">
      <w:pPr>
        <w:spacing w:line="360" w:lineRule="auto"/>
        <w:ind w:firstLine="720"/>
        <w:rPr>
          <w:rFonts w:asciiTheme="majorBidi" w:hAnsiTheme="majorBidi" w:cstheme="majorBidi"/>
        </w:rPr>
      </w:pPr>
      <w:r w:rsidRPr="00B055B2">
        <w:rPr>
          <w:rFonts w:asciiTheme="majorBidi" w:hAnsiTheme="majorBidi" w:cstheme="majorBidi"/>
        </w:rPr>
        <w:t>The long hours police officers spend together</w:t>
      </w:r>
      <w:r w:rsidR="00655F3C" w:rsidRPr="00B055B2">
        <w:rPr>
          <w:rFonts w:asciiTheme="majorBidi" w:hAnsiTheme="majorBidi" w:cstheme="majorBidi"/>
        </w:rPr>
        <w:t xml:space="preserve"> </w:t>
      </w:r>
      <w:r w:rsidRPr="00B055B2">
        <w:rPr>
          <w:rFonts w:asciiTheme="majorBidi" w:hAnsiTheme="majorBidi" w:cstheme="majorBidi"/>
        </w:rPr>
        <w:t>both during and outside of work</w:t>
      </w:r>
      <w:r w:rsidR="00655F3C" w:rsidRPr="00B055B2">
        <w:rPr>
          <w:rFonts w:asciiTheme="majorBidi" w:hAnsiTheme="majorBidi" w:cstheme="majorBidi"/>
        </w:rPr>
        <w:t xml:space="preserve">, </w:t>
      </w:r>
      <w:r w:rsidRPr="00B055B2">
        <w:rPr>
          <w:rFonts w:asciiTheme="majorBidi" w:hAnsiTheme="majorBidi" w:cstheme="majorBidi"/>
        </w:rPr>
        <w:t xml:space="preserve">their shared commitment to the job, and the strong bonds they form, have earned the police force the nickname </w:t>
      </w:r>
      <w:r w:rsidR="00655F3C" w:rsidRPr="00B055B2">
        <w:rPr>
          <w:rFonts w:asciiTheme="majorBidi" w:hAnsiTheme="majorBidi" w:cstheme="majorBidi"/>
        </w:rPr>
        <w:t>“</w:t>
      </w:r>
      <w:r w:rsidRPr="00B055B2">
        <w:rPr>
          <w:rFonts w:asciiTheme="majorBidi" w:hAnsiTheme="majorBidi" w:cstheme="majorBidi"/>
        </w:rPr>
        <w:t>the blue family.</w:t>
      </w:r>
      <w:r w:rsidR="00655F3C" w:rsidRPr="00B055B2">
        <w:rPr>
          <w:rFonts w:asciiTheme="majorBidi" w:hAnsiTheme="majorBidi" w:cstheme="majorBidi"/>
        </w:rPr>
        <w:t>”</w:t>
      </w:r>
      <w:r w:rsidRPr="00B055B2">
        <w:rPr>
          <w:rFonts w:asciiTheme="majorBidi" w:hAnsiTheme="majorBidi" w:cstheme="majorBidi"/>
        </w:rPr>
        <w:t xml:space="preserve"> What takes place within this </w:t>
      </w:r>
      <w:r w:rsidR="00655F3C" w:rsidRPr="00B055B2">
        <w:rPr>
          <w:rFonts w:asciiTheme="majorBidi" w:hAnsiTheme="majorBidi" w:cstheme="majorBidi"/>
        </w:rPr>
        <w:t>“</w:t>
      </w:r>
      <w:r w:rsidRPr="00B055B2">
        <w:rPr>
          <w:rFonts w:asciiTheme="majorBidi" w:hAnsiTheme="majorBidi" w:cstheme="majorBidi"/>
        </w:rPr>
        <w:t>family</w:t>
      </w:r>
      <w:r w:rsidR="00655F3C" w:rsidRPr="00B055B2">
        <w:rPr>
          <w:rFonts w:asciiTheme="majorBidi" w:hAnsiTheme="majorBidi" w:cstheme="majorBidi"/>
        </w:rPr>
        <w:t>”</w:t>
      </w:r>
      <w:r w:rsidRPr="00B055B2">
        <w:rPr>
          <w:rFonts w:asciiTheme="majorBidi" w:hAnsiTheme="majorBidi" w:cstheme="majorBidi"/>
        </w:rPr>
        <w:t xml:space="preserve"> can significantly affect what happens within the officer’s own domestic family. </w:t>
      </w:r>
      <w:r w:rsidR="00655F3C" w:rsidRPr="00B055B2">
        <w:rPr>
          <w:rFonts w:asciiTheme="majorBidi" w:hAnsiTheme="majorBidi" w:cstheme="majorBidi"/>
        </w:rPr>
        <w:t>Police spouses are often expected to shoulder the majority of household and child-rearing responsibilities, which can generate stress and conflict. These tensions may escalate when officers’ professionally cultivated suspicion—an ingrained aspect of police work—is directed toward their intimate partners.</w:t>
      </w:r>
      <w:r w:rsidRPr="00B055B2">
        <w:rPr>
          <w:rFonts w:asciiTheme="majorBidi" w:hAnsiTheme="majorBidi" w:cstheme="majorBidi"/>
        </w:rPr>
        <w:t xml:space="preserve"> Such suspicion can cause the partner to feel threatened, as if </w:t>
      </w:r>
      <w:r w:rsidR="00E01EDD" w:rsidRPr="00B055B2">
        <w:rPr>
          <w:rFonts w:asciiTheme="majorBidi" w:hAnsiTheme="majorBidi" w:cstheme="majorBidi"/>
        </w:rPr>
        <w:t>she is</w:t>
      </w:r>
      <w:r w:rsidRPr="00B055B2">
        <w:rPr>
          <w:rFonts w:asciiTheme="majorBidi" w:hAnsiTheme="majorBidi" w:cstheme="majorBidi"/>
        </w:rPr>
        <w:t xml:space="preserve"> under constant surveillance and control, eroding the sense of intimacy and trust that is essential to a healthy relationship (Miller, 2007). At the same time, from the officer’s side, stress, burnout, anger, and frustration accumulated over the </w:t>
      </w:r>
      <w:r w:rsidRPr="00B055B2">
        <w:rPr>
          <w:rFonts w:asciiTheme="majorBidi" w:hAnsiTheme="majorBidi" w:cstheme="majorBidi"/>
        </w:rPr>
        <w:lastRenderedPageBreak/>
        <w:t>course of the workday may manifest in violent outbursts toward family members (Johnson, Todd, &amp; Subramanian, 2005).</w:t>
      </w:r>
    </w:p>
    <w:p w14:paraId="4D1D47A7" w14:textId="57532D12" w:rsidR="00ED1281" w:rsidRPr="00B055B2" w:rsidRDefault="00313AD8" w:rsidP="004C3B3C">
      <w:pPr>
        <w:spacing w:line="360" w:lineRule="auto"/>
        <w:ind w:firstLine="720"/>
        <w:rPr>
          <w:rFonts w:asciiTheme="majorBidi" w:hAnsiTheme="majorBidi" w:cstheme="majorBidi"/>
        </w:rPr>
      </w:pPr>
      <w:r w:rsidRPr="00B055B2">
        <w:rPr>
          <w:rFonts w:asciiTheme="majorBidi" w:hAnsiTheme="majorBidi" w:cstheme="majorBidi"/>
        </w:rPr>
        <w:t>Studies also show a strong correlation between alcohol consumption, post-traumatic symptoms, and self-reported incidents of domestic violence. Research from the United States indicates that alcohol use among police officers is higher than in the general population (</w:t>
      </w:r>
      <w:proofErr w:type="spellStart"/>
      <w:r w:rsidRPr="00B055B2">
        <w:rPr>
          <w:rFonts w:asciiTheme="majorBidi" w:hAnsiTheme="majorBidi" w:cstheme="majorBidi"/>
        </w:rPr>
        <w:t>Ranes</w:t>
      </w:r>
      <w:proofErr w:type="spellEnd"/>
      <w:r w:rsidRPr="00B055B2">
        <w:rPr>
          <w:rFonts w:asciiTheme="majorBidi" w:hAnsiTheme="majorBidi" w:cstheme="majorBidi"/>
        </w:rPr>
        <w:t xml:space="preserve">, 2016), as it serves as a socially normative means of coping with the stresses of the job. However, alcohol also affects officers’ behavior: those who consumed alcohol were four times more likely to be involved in </w:t>
      </w:r>
      <w:r w:rsidR="009D67E5" w:rsidRPr="00B055B2">
        <w:rPr>
          <w:rFonts w:asciiTheme="majorBidi" w:hAnsiTheme="majorBidi" w:cstheme="majorBidi"/>
        </w:rPr>
        <w:t>domestic violence</w:t>
      </w:r>
      <w:r w:rsidRPr="00B055B2">
        <w:rPr>
          <w:rFonts w:asciiTheme="majorBidi" w:hAnsiTheme="majorBidi" w:cstheme="majorBidi"/>
        </w:rPr>
        <w:t xml:space="preserve"> offenses than those who abstained, and officers classified as alcoholics were eight times more likely to be involved</w:t>
      </w:r>
      <w:r w:rsidR="003C2C5C" w:rsidRPr="00B055B2">
        <w:rPr>
          <w:rFonts w:asciiTheme="majorBidi" w:hAnsiTheme="majorBidi" w:cstheme="majorBidi"/>
        </w:rPr>
        <w:t xml:space="preserve"> in such offenses</w:t>
      </w:r>
      <w:r w:rsidRPr="00B055B2">
        <w:rPr>
          <w:rFonts w:asciiTheme="majorBidi" w:hAnsiTheme="majorBidi" w:cstheme="majorBidi"/>
        </w:rPr>
        <w:t xml:space="preserve"> (</w:t>
      </w:r>
      <w:proofErr w:type="spellStart"/>
      <w:r w:rsidRPr="00B055B2">
        <w:rPr>
          <w:rFonts w:asciiTheme="majorBidi" w:hAnsiTheme="majorBidi" w:cstheme="majorBidi"/>
        </w:rPr>
        <w:t>Oehme</w:t>
      </w:r>
      <w:proofErr w:type="spellEnd"/>
      <w:r w:rsidR="00D6013C" w:rsidRPr="00B055B2">
        <w:rPr>
          <w:rFonts w:asciiTheme="majorBidi" w:hAnsiTheme="majorBidi" w:cstheme="majorBidi"/>
        </w:rPr>
        <w:t xml:space="preserve"> et al.</w:t>
      </w:r>
      <w:r w:rsidRPr="00B055B2">
        <w:rPr>
          <w:rFonts w:asciiTheme="majorBidi" w:hAnsiTheme="majorBidi" w:cstheme="majorBidi"/>
        </w:rPr>
        <w:t>, 2012).</w:t>
      </w:r>
    </w:p>
    <w:p w14:paraId="510C7563" w14:textId="5D237E96" w:rsidR="00313AD8" w:rsidRPr="00B055B2" w:rsidRDefault="007B6FA7" w:rsidP="004C3B3C">
      <w:pPr>
        <w:spacing w:line="360" w:lineRule="auto"/>
        <w:ind w:firstLine="720"/>
        <w:rPr>
          <w:rFonts w:asciiTheme="majorBidi" w:hAnsiTheme="majorBidi" w:cstheme="majorBidi"/>
        </w:rPr>
      </w:pPr>
      <w:r w:rsidRPr="00B055B2">
        <w:rPr>
          <w:rFonts w:asciiTheme="majorBidi" w:hAnsiTheme="majorBidi" w:cstheme="majorBidi"/>
        </w:rPr>
        <w:t>However, police work and organizational culture affect not only officers themselves, but also the likelihood that a domestic violence offense committed by an officer will be reported. In addition to the well-documented reluctance among domestic violence victims to file complaints or disclose abuse (</w:t>
      </w:r>
      <w:commentRangeStart w:id="3"/>
      <w:proofErr w:type="spellStart"/>
      <w:r w:rsidRPr="00B055B2">
        <w:rPr>
          <w:rFonts w:asciiTheme="majorBidi" w:hAnsiTheme="majorBidi" w:cstheme="majorBidi"/>
        </w:rPr>
        <w:t>Yassour-Borochowitz</w:t>
      </w:r>
      <w:proofErr w:type="spellEnd"/>
      <w:r w:rsidRPr="00B055B2">
        <w:rPr>
          <w:rFonts w:asciiTheme="majorBidi" w:hAnsiTheme="majorBidi" w:cstheme="majorBidi"/>
        </w:rPr>
        <w:t>, 2016</w:t>
      </w:r>
      <w:commentRangeEnd w:id="3"/>
      <w:r w:rsidRPr="00B055B2">
        <w:rPr>
          <w:rStyle w:val="CommentReference"/>
          <w:rFonts w:asciiTheme="majorBidi" w:hAnsiTheme="majorBidi" w:cstheme="majorBidi"/>
          <w:sz w:val="24"/>
          <w:szCs w:val="24"/>
        </w:rPr>
        <w:commentReference w:id="3"/>
      </w:r>
      <w:r w:rsidRPr="00B055B2">
        <w:rPr>
          <w:rFonts w:asciiTheme="majorBidi" w:hAnsiTheme="majorBidi" w:cstheme="majorBidi"/>
        </w:rPr>
        <w:t>), partners of police officers face an added layer of complexity: the abusive partner belongs to the very institution responsible for investigating such offenses and protecting victims. As a result, when the perpetrator is a police officer, there is a real concern that he may be protected rather than the victim. In other cases, shame may function as a barrier to reporting, stemming from the woman’s familiarity with officers at the station and her awareness of the “blue code of silence.”</w:t>
      </w:r>
    </w:p>
    <w:p w14:paraId="5DF1F0F0" w14:textId="32E19B23" w:rsidR="006B0608" w:rsidRPr="00B055B2" w:rsidRDefault="006B0608" w:rsidP="004C3B3C">
      <w:pPr>
        <w:spacing w:line="360" w:lineRule="auto"/>
        <w:ind w:firstLine="720"/>
        <w:rPr>
          <w:rFonts w:asciiTheme="majorBidi" w:hAnsiTheme="majorBidi" w:cstheme="majorBidi"/>
        </w:rPr>
      </w:pPr>
      <w:r w:rsidRPr="00B055B2">
        <w:rPr>
          <w:rFonts w:asciiTheme="majorBidi" w:hAnsiTheme="majorBidi" w:cstheme="majorBidi"/>
        </w:rPr>
        <w:t>More concrete concerns involve the officer’s ability to track his partner’s whereabouts if she leaves the home</w:t>
      </w:r>
      <w:r w:rsidR="007B6FA7" w:rsidRPr="00B055B2">
        <w:rPr>
          <w:rFonts w:asciiTheme="majorBidi" w:hAnsiTheme="majorBidi" w:cstheme="majorBidi"/>
        </w:rPr>
        <w:t xml:space="preserve"> </w:t>
      </w:r>
      <w:r w:rsidRPr="00B055B2">
        <w:rPr>
          <w:rFonts w:asciiTheme="majorBidi" w:hAnsiTheme="majorBidi" w:cstheme="majorBidi"/>
        </w:rPr>
        <w:t>using police databases</w:t>
      </w:r>
      <w:r w:rsidR="007B6FA7" w:rsidRPr="00B055B2">
        <w:rPr>
          <w:rFonts w:asciiTheme="majorBidi" w:hAnsiTheme="majorBidi" w:cstheme="majorBidi"/>
        </w:rPr>
        <w:t xml:space="preserve">, and </w:t>
      </w:r>
      <w:r w:rsidR="009E1005" w:rsidRPr="00B055B2">
        <w:rPr>
          <w:rFonts w:asciiTheme="majorBidi" w:hAnsiTheme="majorBidi" w:cstheme="majorBidi"/>
        </w:rPr>
        <w:t>he may even</w:t>
      </w:r>
      <w:r w:rsidRPr="00B055B2">
        <w:rPr>
          <w:rFonts w:asciiTheme="majorBidi" w:hAnsiTheme="majorBidi" w:cstheme="majorBidi"/>
        </w:rPr>
        <w:t xml:space="preserve"> locate the women’s shelter where she is staying (Ammons, 2005). Additional concerns relate to the potential financial impact on the family</w:t>
      </w:r>
      <w:r w:rsidR="007B6FA7" w:rsidRPr="00B055B2">
        <w:rPr>
          <w:rFonts w:asciiTheme="majorBidi" w:hAnsiTheme="majorBidi" w:cstheme="majorBidi"/>
        </w:rPr>
        <w:t xml:space="preserve">, as </w:t>
      </w:r>
      <w:r w:rsidRPr="00B055B2">
        <w:rPr>
          <w:rFonts w:asciiTheme="majorBidi" w:hAnsiTheme="majorBidi" w:cstheme="majorBidi"/>
        </w:rPr>
        <w:t xml:space="preserve">the officer’s suspension or dismissal could have far-reaching economic consequences, particularly if the </w:t>
      </w:r>
      <w:r w:rsidR="009E1005" w:rsidRPr="00B055B2">
        <w:rPr>
          <w:rFonts w:asciiTheme="majorBidi" w:hAnsiTheme="majorBidi" w:cstheme="majorBidi"/>
        </w:rPr>
        <w:t>partner in not employed</w:t>
      </w:r>
      <w:r w:rsidRPr="00B055B2">
        <w:rPr>
          <w:rFonts w:asciiTheme="majorBidi" w:hAnsiTheme="majorBidi" w:cstheme="majorBidi"/>
        </w:rPr>
        <w:t>.</w:t>
      </w:r>
    </w:p>
    <w:p w14:paraId="658B345B" w14:textId="77777777" w:rsidR="001C2ED6" w:rsidRPr="00B055B2" w:rsidRDefault="001C2ED6" w:rsidP="004C3B3C">
      <w:pPr>
        <w:spacing w:line="360" w:lineRule="auto"/>
        <w:ind w:firstLine="720"/>
        <w:rPr>
          <w:rFonts w:asciiTheme="majorBidi" w:hAnsiTheme="majorBidi" w:cstheme="majorBidi"/>
        </w:rPr>
      </w:pPr>
    </w:p>
    <w:p w14:paraId="20629F0C" w14:textId="77777777" w:rsidR="003945C9" w:rsidRPr="00B055B2" w:rsidRDefault="003945C9" w:rsidP="003945C9">
      <w:pPr>
        <w:spacing w:line="360" w:lineRule="auto"/>
        <w:rPr>
          <w:rFonts w:asciiTheme="majorBidi" w:hAnsiTheme="majorBidi" w:cstheme="majorBidi"/>
          <w:b/>
          <w:bCs/>
        </w:rPr>
      </w:pPr>
      <w:r w:rsidRPr="00B055B2">
        <w:rPr>
          <w:rFonts w:asciiTheme="majorBidi" w:hAnsiTheme="majorBidi" w:cstheme="majorBidi"/>
          <w:b/>
          <w:bCs/>
        </w:rPr>
        <w:t>Methodology</w:t>
      </w:r>
    </w:p>
    <w:p w14:paraId="75D4A9A0" w14:textId="6B2265B2" w:rsidR="003945C9" w:rsidRPr="00B055B2" w:rsidRDefault="003945C9" w:rsidP="0005081C">
      <w:pPr>
        <w:spacing w:line="360" w:lineRule="auto"/>
        <w:rPr>
          <w:rFonts w:asciiTheme="majorBidi" w:hAnsiTheme="majorBidi" w:cstheme="majorBidi"/>
        </w:rPr>
      </w:pPr>
      <w:r w:rsidRPr="00B055B2">
        <w:rPr>
          <w:rFonts w:asciiTheme="majorBidi" w:hAnsiTheme="majorBidi" w:cstheme="majorBidi"/>
        </w:rPr>
        <w:t xml:space="preserve">Until the 1980s, only a handful of studies in the United States addressed </w:t>
      </w:r>
      <w:r w:rsidR="006D6DCD" w:rsidRPr="00B055B2">
        <w:rPr>
          <w:rFonts w:asciiTheme="majorBidi" w:hAnsiTheme="majorBidi" w:cstheme="majorBidi"/>
        </w:rPr>
        <w:t>domestic violence</w:t>
      </w:r>
      <w:r w:rsidRPr="00B055B2">
        <w:rPr>
          <w:rFonts w:asciiTheme="majorBidi" w:hAnsiTheme="majorBidi" w:cstheme="majorBidi"/>
        </w:rPr>
        <w:t xml:space="preserve"> offenses committed by police officers. Research on the topic expanded significantly in 1991, following a congressional hearing on the effects of stress and burnout among police officers on their mental health, job performance, and family life. During the hearing, findings were </w:t>
      </w:r>
      <w:r w:rsidRPr="00B055B2">
        <w:rPr>
          <w:rFonts w:asciiTheme="majorBidi" w:hAnsiTheme="majorBidi" w:cstheme="majorBidi"/>
        </w:rPr>
        <w:lastRenderedPageBreak/>
        <w:t>presented from a study involving 728 officers, 40% of whom admitted to having abused their partners in the six months preceding the study (Johnson</w:t>
      </w:r>
      <w:r w:rsidR="006D6DCD" w:rsidRPr="00B055B2">
        <w:rPr>
          <w:rFonts w:asciiTheme="majorBidi" w:hAnsiTheme="majorBidi" w:cstheme="majorBidi"/>
        </w:rPr>
        <w:t xml:space="preserve"> et al.</w:t>
      </w:r>
      <w:r w:rsidRPr="00B055B2">
        <w:rPr>
          <w:rFonts w:asciiTheme="majorBidi" w:hAnsiTheme="majorBidi" w:cstheme="majorBidi"/>
        </w:rPr>
        <w:t>, 2005).</w:t>
      </w:r>
    </w:p>
    <w:p w14:paraId="0A4A2296" w14:textId="1DE6AE76" w:rsidR="003945C9" w:rsidRPr="00B055B2" w:rsidRDefault="003945C9" w:rsidP="003945C9">
      <w:pPr>
        <w:spacing w:line="360" w:lineRule="auto"/>
        <w:ind w:firstLine="720"/>
        <w:rPr>
          <w:rFonts w:asciiTheme="majorBidi" w:hAnsiTheme="majorBidi" w:cstheme="majorBidi"/>
        </w:rPr>
      </w:pPr>
      <w:r w:rsidRPr="00B055B2">
        <w:rPr>
          <w:rFonts w:asciiTheme="majorBidi" w:hAnsiTheme="majorBidi" w:cstheme="majorBidi"/>
        </w:rPr>
        <w:t>Nevertheless, even today, despite a growing body of research demonstrating the severity of police-perpetrated IPV, serious methodological challenges remain when it comes to accurately mapping the phenomenon and, in particular, identifying reliable empirical data (</w:t>
      </w:r>
      <w:proofErr w:type="spellStart"/>
      <w:r w:rsidRPr="00B055B2">
        <w:rPr>
          <w:rFonts w:asciiTheme="majorBidi" w:hAnsiTheme="majorBidi" w:cstheme="majorBidi"/>
        </w:rPr>
        <w:t>Dekeseredy</w:t>
      </w:r>
      <w:proofErr w:type="spellEnd"/>
      <w:r w:rsidRPr="00B055B2">
        <w:rPr>
          <w:rFonts w:asciiTheme="majorBidi" w:hAnsiTheme="majorBidi" w:cstheme="majorBidi"/>
        </w:rPr>
        <w:t xml:space="preserve">, 2011; </w:t>
      </w:r>
      <w:proofErr w:type="spellStart"/>
      <w:r w:rsidRPr="00B055B2">
        <w:rPr>
          <w:rFonts w:asciiTheme="majorBidi" w:hAnsiTheme="majorBidi" w:cstheme="majorBidi"/>
        </w:rPr>
        <w:t>Shernock</w:t>
      </w:r>
      <w:proofErr w:type="spellEnd"/>
      <w:r w:rsidRPr="00B055B2">
        <w:rPr>
          <w:rFonts w:asciiTheme="majorBidi" w:hAnsiTheme="majorBidi" w:cstheme="majorBidi"/>
        </w:rPr>
        <w:t xml:space="preserve">, 1995; Zavala &amp; </w:t>
      </w:r>
      <w:proofErr w:type="spellStart"/>
      <w:r w:rsidRPr="00B055B2">
        <w:rPr>
          <w:rFonts w:asciiTheme="majorBidi" w:hAnsiTheme="majorBidi" w:cstheme="majorBidi"/>
        </w:rPr>
        <w:t>Melander</w:t>
      </w:r>
      <w:proofErr w:type="spellEnd"/>
      <w:r w:rsidRPr="00B055B2">
        <w:rPr>
          <w:rFonts w:asciiTheme="majorBidi" w:hAnsiTheme="majorBidi" w:cstheme="majorBidi"/>
        </w:rPr>
        <w:t>, 2019). These difficulties stem from two main sources: first, the general methodological challenges of studying police organizations, and second, the inherent difficulty of studying criminal behavior, particularly given that self-report surveys are often partial and biased due to respondents’ tendency to conceal such offenses.</w:t>
      </w:r>
    </w:p>
    <w:p w14:paraId="7D86DB4F" w14:textId="27BE268E" w:rsidR="006B0608" w:rsidRPr="00B055B2" w:rsidRDefault="00FD09C8" w:rsidP="004C3B3C">
      <w:pPr>
        <w:spacing w:line="360" w:lineRule="auto"/>
        <w:ind w:firstLine="720"/>
        <w:rPr>
          <w:rFonts w:asciiTheme="majorBidi" w:hAnsiTheme="majorBidi" w:cstheme="majorBidi"/>
          <w:lang w:bidi="he-IL"/>
        </w:rPr>
      </w:pPr>
      <w:r w:rsidRPr="00B055B2">
        <w:rPr>
          <w:rFonts w:asciiTheme="majorBidi" w:hAnsiTheme="majorBidi" w:cstheme="majorBidi"/>
          <w:lang w:bidi="he-IL"/>
        </w:rPr>
        <w:t xml:space="preserve">In Israel, </w:t>
      </w:r>
      <w:r w:rsidR="00DD5F0D" w:rsidRPr="00B055B2">
        <w:rPr>
          <w:rFonts w:asciiTheme="majorBidi" w:hAnsiTheme="majorBidi" w:cstheme="majorBidi"/>
          <w:lang w:bidi="he-IL"/>
        </w:rPr>
        <w:t xml:space="preserve">the </w:t>
      </w:r>
      <w:r w:rsidRPr="00B055B2">
        <w:rPr>
          <w:rFonts w:asciiTheme="majorBidi" w:hAnsiTheme="majorBidi" w:cstheme="majorBidi"/>
          <w:lang w:bidi="he-IL"/>
        </w:rPr>
        <w:t xml:space="preserve">research </w:t>
      </w:r>
      <w:r w:rsidR="00DD5F0D" w:rsidRPr="00B055B2">
        <w:rPr>
          <w:rFonts w:asciiTheme="majorBidi" w:hAnsiTheme="majorBidi" w:cstheme="majorBidi"/>
          <w:lang w:bidi="he-IL"/>
        </w:rPr>
        <w:t>gap surrounding</w:t>
      </w:r>
      <w:r w:rsidRPr="00B055B2">
        <w:rPr>
          <w:rFonts w:asciiTheme="majorBidi" w:hAnsiTheme="majorBidi" w:cstheme="majorBidi"/>
          <w:lang w:bidi="he-IL"/>
        </w:rPr>
        <w:t xml:space="preserve"> such offenses </w:t>
      </w:r>
      <w:r w:rsidR="00DD5F0D" w:rsidRPr="00B055B2">
        <w:rPr>
          <w:rFonts w:asciiTheme="majorBidi" w:hAnsiTheme="majorBidi" w:cstheme="majorBidi"/>
          <w:lang w:bidi="he-IL"/>
        </w:rPr>
        <w:t>is</w:t>
      </w:r>
      <w:r w:rsidRPr="00B055B2">
        <w:rPr>
          <w:rFonts w:asciiTheme="majorBidi" w:hAnsiTheme="majorBidi" w:cstheme="majorBidi"/>
          <w:lang w:bidi="he-IL"/>
        </w:rPr>
        <w:t xml:space="preserve"> particularly </w:t>
      </w:r>
      <w:r w:rsidR="00DD5F0D" w:rsidRPr="00B055B2">
        <w:rPr>
          <w:rFonts w:asciiTheme="majorBidi" w:hAnsiTheme="majorBidi" w:cstheme="majorBidi"/>
          <w:lang w:bidi="he-IL"/>
        </w:rPr>
        <w:t>pronounced</w:t>
      </w:r>
      <w:r w:rsidRPr="00B055B2">
        <w:rPr>
          <w:rFonts w:asciiTheme="majorBidi" w:hAnsiTheme="majorBidi" w:cstheme="majorBidi"/>
          <w:lang w:bidi="he-IL"/>
        </w:rPr>
        <w:t>. Accordingly, this study pursued two modest aims: first, to conceptualize the local factors that uniquely contribute to these offenses; and second, to map their characteristics as fully as possible using primary sources. Cases were identified primarily through media reports and court rulings. Media items were located via keyword searches combining terms related to domestic violence with “police officer.” Court decisions were identified using digital legal databases by cross-referencing indictments filed by the Department for the Investigation of Police Officers (</w:t>
      </w:r>
      <w:proofErr w:type="spellStart"/>
      <w:r w:rsidRPr="00B055B2">
        <w:rPr>
          <w:rFonts w:asciiTheme="majorBidi" w:hAnsiTheme="majorBidi" w:cstheme="majorBidi"/>
          <w:lang w:bidi="he-IL"/>
        </w:rPr>
        <w:t>Mahash</w:t>
      </w:r>
      <w:proofErr w:type="spellEnd"/>
      <w:r w:rsidRPr="00B055B2">
        <w:rPr>
          <w:rFonts w:asciiTheme="majorBidi" w:hAnsiTheme="majorBidi" w:cstheme="majorBidi"/>
          <w:lang w:bidi="he-IL"/>
        </w:rPr>
        <w:t>) with criminal charges related to domestic violence. In total, 44 legal proceedings of various types were identified, including verdicts, sentencing decisions, and rulings. All cases were criminal in nature, with the exception of two civil tort claims.</w:t>
      </w:r>
    </w:p>
    <w:p w14:paraId="280BDCEF" w14:textId="6415D2A6" w:rsidR="009D5391" w:rsidRPr="00B055B2" w:rsidRDefault="005B18EA" w:rsidP="004C3B3C">
      <w:pPr>
        <w:spacing w:line="360" w:lineRule="auto"/>
        <w:ind w:firstLine="720"/>
        <w:rPr>
          <w:rFonts w:asciiTheme="majorBidi" w:hAnsiTheme="majorBidi" w:cstheme="majorBidi"/>
          <w:lang w:bidi="he-IL"/>
        </w:rPr>
      </w:pPr>
      <w:r w:rsidRPr="00B055B2">
        <w:rPr>
          <w:rFonts w:asciiTheme="majorBidi" w:hAnsiTheme="majorBidi" w:cstheme="majorBidi"/>
          <w:lang w:bidi="he-IL"/>
        </w:rPr>
        <w:t>Throughout the research process, we cross-referenced the two sources: when the name of a police officer appeared in media coverage we searched for legal proceedings involving that individual in court databases, and vice versa. There was not always overlap between the two sets, and at times names were found in one source but not the other. Nonetheless, a significant distinction emerged between the two types of sources: legal proceedings, especially those that included verdicts or sentencing decisions, typically offered a broader and more reliable picture than that provided by media reports. These rulings often contained rich, detailed information, including excerpts from courtroom testimony, the positions of defense attorneys, prosecutors, and judges, as well as probation service assessments of the defendants.</w:t>
      </w:r>
    </w:p>
    <w:p w14:paraId="2C766546" w14:textId="2296496C" w:rsidR="00AA3A66" w:rsidRPr="00B055B2" w:rsidRDefault="00AA3A66" w:rsidP="004C3B3C">
      <w:pPr>
        <w:spacing w:line="360" w:lineRule="auto"/>
        <w:ind w:firstLine="720"/>
        <w:rPr>
          <w:rFonts w:asciiTheme="majorBidi" w:hAnsiTheme="majorBidi" w:cstheme="majorBidi"/>
          <w:lang w:bidi="he-IL"/>
        </w:rPr>
      </w:pPr>
      <w:r w:rsidRPr="00B055B2">
        <w:rPr>
          <w:rFonts w:asciiTheme="majorBidi" w:hAnsiTheme="majorBidi" w:cstheme="majorBidi"/>
          <w:lang w:bidi="he-IL"/>
        </w:rPr>
        <w:t>In total, we identified 44 cases</w:t>
      </w:r>
      <w:r w:rsidR="00100625" w:rsidRPr="00B055B2">
        <w:rPr>
          <w:rFonts w:asciiTheme="majorBidi" w:hAnsiTheme="majorBidi" w:cstheme="majorBidi"/>
          <w:lang w:bidi="he-IL"/>
        </w:rPr>
        <w:t xml:space="preserve">, </w:t>
      </w:r>
      <w:r w:rsidRPr="00B055B2">
        <w:rPr>
          <w:rFonts w:asciiTheme="majorBidi" w:hAnsiTheme="majorBidi" w:cstheme="majorBidi"/>
          <w:lang w:bidi="he-IL"/>
        </w:rPr>
        <w:t>found across court rulings and media coverage</w:t>
      </w:r>
      <w:r w:rsidR="00100625" w:rsidRPr="00B055B2">
        <w:rPr>
          <w:rFonts w:asciiTheme="majorBidi" w:hAnsiTheme="majorBidi" w:cstheme="majorBidi"/>
          <w:lang w:bidi="he-IL"/>
        </w:rPr>
        <w:t>, which</w:t>
      </w:r>
      <w:r w:rsidRPr="00B055B2">
        <w:rPr>
          <w:rFonts w:asciiTheme="majorBidi" w:hAnsiTheme="majorBidi" w:cstheme="majorBidi"/>
          <w:lang w:bidi="he-IL"/>
        </w:rPr>
        <w:t xml:space="preserve"> comprise the study’s research population. A detailed list of these cases along with the sources in </w:t>
      </w:r>
      <w:r w:rsidRPr="00B055B2">
        <w:rPr>
          <w:rFonts w:asciiTheme="majorBidi" w:hAnsiTheme="majorBidi" w:cstheme="majorBidi"/>
          <w:lang w:bidi="he-IL"/>
        </w:rPr>
        <w:lastRenderedPageBreak/>
        <w:t>which they were located is provided in Appendix A. As a matter of principle, we chose to omit the officers’ names, even though most had been published in the media. Due to the shifting attitudes of both Israeli society and the police toward this issue, most of the cases we identified date from recent years, during which</w:t>
      </w:r>
      <w:r w:rsidR="00100625" w:rsidRPr="00B055B2">
        <w:rPr>
          <w:rFonts w:asciiTheme="majorBidi" w:hAnsiTheme="majorBidi" w:cstheme="majorBidi"/>
          <w:lang w:bidi="he-IL"/>
        </w:rPr>
        <w:t xml:space="preserve"> </w:t>
      </w:r>
      <w:r w:rsidRPr="00B055B2">
        <w:rPr>
          <w:rFonts w:asciiTheme="majorBidi" w:hAnsiTheme="majorBidi" w:cstheme="majorBidi"/>
          <w:lang w:bidi="he-IL"/>
        </w:rPr>
        <w:t>public and institutional attention to the phenomenon has grown</w:t>
      </w:r>
      <w:r w:rsidR="00100625" w:rsidRPr="00B055B2">
        <w:rPr>
          <w:rFonts w:asciiTheme="majorBidi" w:hAnsiTheme="majorBidi" w:cstheme="majorBidi"/>
          <w:lang w:bidi="he-IL"/>
        </w:rPr>
        <w:t>, as we will elaborate later</w:t>
      </w:r>
      <w:r w:rsidRPr="00B055B2">
        <w:rPr>
          <w:rFonts w:asciiTheme="majorBidi" w:hAnsiTheme="majorBidi" w:cstheme="majorBidi"/>
          <w:lang w:bidi="he-IL"/>
        </w:rPr>
        <w:t>. Nearly half of the cases (21) were found only in media reports (14 without names, 7 with names); in approximately one-third (15) information appeared in both court rulings and media coverage; and in seven cases, only legal rulings were found, with no corresponding media report</w:t>
      </w:r>
      <w:r w:rsidR="00E750C2" w:rsidRPr="00B055B2">
        <w:rPr>
          <w:rFonts w:asciiTheme="majorBidi" w:hAnsiTheme="majorBidi" w:cstheme="majorBidi"/>
          <w:lang w:bidi="he-IL"/>
        </w:rPr>
        <w:t>s</w:t>
      </w:r>
      <w:r w:rsidRPr="00B055B2">
        <w:rPr>
          <w:rFonts w:asciiTheme="majorBidi" w:hAnsiTheme="majorBidi" w:cstheme="majorBidi"/>
          <w:lang w:bidi="he-IL"/>
        </w:rPr>
        <w:t>.</w:t>
      </w:r>
      <w:r w:rsidR="00100625" w:rsidRPr="00B055B2">
        <w:rPr>
          <w:rFonts w:asciiTheme="majorBidi" w:hAnsiTheme="majorBidi" w:cstheme="majorBidi"/>
          <w:lang w:bidi="he-IL"/>
        </w:rPr>
        <w:t xml:space="preserve"> </w:t>
      </w:r>
      <w:r w:rsidR="00E750C2" w:rsidRPr="00B055B2">
        <w:rPr>
          <w:rFonts w:asciiTheme="majorBidi" w:hAnsiTheme="majorBidi" w:cstheme="majorBidi"/>
          <w:lang w:bidi="he-IL"/>
        </w:rPr>
        <w:t xml:space="preserve">Additional material was drawn from transcripts of Knesset committee meetings held between 1994 and 2024, reports published by </w:t>
      </w:r>
      <w:proofErr w:type="spellStart"/>
      <w:r w:rsidR="00E750C2" w:rsidRPr="00B055B2">
        <w:rPr>
          <w:rFonts w:asciiTheme="majorBidi" w:hAnsiTheme="majorBidi" w:cstheme="majorBidi"/>
          <w:lang w:bidi="he-IL"/>
        </w:rPr>
        <w:t>Mahash</w:t>
      </w:r>
      <w:proofErr w:type="spellEnd"/>
      <w:r w:rsidR="00E750C2" w:rsidRPr="00B055B2">
        <w:rPr>
          <w:rFonts w:asciiTheme="majorBidi" w:hAnsiTheme="majorBidi" w:cstheme="majorBidi"/>
          <w:lang w:bidi="he-IL"/>
        </w:rPr>
        <w:t xml:space="preserve"> between 2016 and 2020, and partial responses to Freedom of Information requests submitted to various government ministries between 2020 and 2024.</w:t>
      </w:r>
    </w:p>
    <w:p w14:paraId="1CF80F7C" w14:textId="46361471" w:rsidR="008C7C17" w:rsidRPr="00B055B2" w:rsidRDefault="00E924B2" w:rsidP="00FE3A81">
      <w:pPr>
        <w:spacing w:line="360" w:lineRule="auto"/>
        <w:ind w:firstLine="720"/>
        <w:rPr>
          <w:rFonts w:asciiTheme="majorBidi" w:hAnsiTheme="majorBidi" w:cstheme="majorBidi"/>
          <w:lang w:bidi="he-IL"/>
        </w:rPr>
      </w:pPr>
      <w:r w:rsidRPr="00B055B2">
        <w:rPr>
          <w:rFonts w:asciiTheme="majorBidi" w:hAnsiTheme="majorBidi" w:cstheme="majorBidi"/>
          <w:lang w:bidi="he-IL"/>
        </w:rPr>
        <w:t>Both media articles and legal proceedings were analyzed using statistical and narrative methods. The statistical analysis included variables such as age, religion, role, and other relevant characteristics. The narrative analysis focused on the sociology of language—particularly the justifications offered by suspects, defendants, or their attorneys, where such information was available in the sources. The analysis considered not only what was explicitly stated, but also, and just as importantly, what was omitted.</w:t>
      </w:r>
    </w:p>
    <w:p w14:paraId="3DB52406" w14:textId="08652323" w:rsidR="00FE3A81" w:rsidRPr="00B055B2" w:rsidRDefault="00C44757" w:rsidP="00C44757">
      <w:pPr>
        <w:spacing w:line="360" w:lineRule="auto"/>
        <w:ind w:firstLine="720"/>
        <w:rPr>
          <w:rFonts w:asciiTheme="majorBidi" w:hAnsiTheme="majorBidi" w:cstheme="majorBidi"/>
          <w:lang w:bidi="he-IL"/>
        </w:rPr>
      </w:pPr>
      <w:r w:rsidRPr="00B055B2">
        <w:rPr>
          <w:rFonts w:asciiTheme="majorBidi" w:hAnsiTheme="majorBidi" w:cstheme="majorBidi"/>
          <w:lang w:bidi="he-IL"/>
        </w:rPr>
        <w:t xml:space="preserve">An additional source of information consisted of interviews with four female therapists specializing in the treatment of men who had committed domestic violence offenses, including police officers. Through these interviews, we examined whether, and to what extent, police officers who perpetrate domestic violence exhibit characteristics that distinguish them from other violent men. All interviewees were clinical social workers with additional professional training and more than ten years of experience. Each had entered the field of domestic violence through different professional pathways and had worked in public service roles as therapists and supervisors—some within or in collaboration with the police, and others in domestic violence centers operated by the Ministry of Welfare, where they served as both therapists and managers. Several also worked in private clinics, often alongside their public-sector positions. The therapists had treated both active-duty police officers and those who had been dismissed, resigned, retired, or recognized as disabled by the Ministry of Defense, primarily due to post-traumatic stress, who disclosed domestic violence offenses during treatment. Some worked </w:t>
      </w:r>
      <w:r w:rsidRPr="00B055B2">
        <w:rPr>
          <w:rFonts w:asciiTheme="majorBidi" w:hAnsiTheme="majorBidi" w:cstheme="majorBidi"/>
          <w:lang w:bidi="he-IL"/>
        </w:rPr>
        <w:lastRenderedPageBreak/>
        <w:t xml:space="preserve">exclusively with violent men, while others treated both men and women, either individually or in </w:t>
      </w:r>
      <w:proofErr w:type="gramStart"/>
      <w:r w:rsidRPr="00B055B2">
        <w:rPr>
          <w:rFonts w:asciiTheme="majorBidi" w:hAnsiTheme="majorBidi" w:cstheme="majorBidi"/>
          <w:lang w:bidi="he-IL"/>
        </w:rPr>
        <w:t>couples</w:t>
      </w:r>
      <w:proofErr w:type="gramEnd"/>
      <w:r w:rsidRPr="00B055B2">
        <w:rPr>
          <w:rFonts w:asciiTheme="majorBidi" w:hAnsiTheme="majorBidi" w:cstheme="majorBidi"/>
          <w:lang w:bidi="he-IL"/>
        </w:rPr>
        <w:t xml:space="preserve"> therapy. Most had also treated perpetrators from other security agencies, including prison guards, soldiers, and members of the Shin Bet and the Mossad. In some cases, therapy ended after one or two sessions; in others, it was long-term and included the preparation of court-ordered expert opinions. Several interviewees were also involved in research alongside their clinical work and served as supervisors for domestic violence practitioners in a range of settings, including academia and public services. As is standard in this type of research, identifying details were omitted wherever there was a risk of disclosing the identity of a therapist or client.</w:t>
      </w:r>
    </w:p>
    <w:p w14:paraId="208CD4FE" w14:textId="55762801" w:rsidR="00E47645" w:rsidRPr="00B055B2" w:rsidRDefault="00D62B7D" w:rsidP="00E47645">
      <w:pPr>
        <w:spacing w:line="360" w:lineRule="auto"/>
        <w:ind w:firstLine="720"/>
        <w:rPr>
          <w:rFonts w:asciiTheme="majorBidi" w:hAnsiTheme="majorBidi" w:cstheme="majorBidi"/>
          <w:lang w:bidi="he-IL"/>
        </w:rPr>
      </w:pPr>
      <w:r w:rsidRPr="00B055B2">
        <w:rPr>
          <w:rFonts w:asciiTheme="majorBidi" w:hAnsiTheme="majorBidi" w:cstheme="majorBidi"/>
          <w:lang w:bidi="he-IL"/>
        </w:rPr>
        <w:t xml:space="preserve">Despite extensive efforts to identify as broad a range of sources as possible, this study does not capture the full picture. As with domestic violence more generally, significant underreporting means that we were able to construct only a partial and fragmented account of domestic violence perpetrated by police officers. In most cases, information became available only after an investigation by </w:t>
      </w:r>
      <w:proofErr w:type="spellStart"/>
      <w:r w:rsidRPr="00B055B2">
        <w:rPr>
          <w:rFonts w:asciiTheme="majorBidi" w:hAnsiTheme="majorBidi" w:cstheme="majorBidi"/>
          <w:lang w:bidi="he-IL"/>
        </w:rPr>
        <w:t>Mahash</w:t>
      </w:r>
      <w:proofErr w:type="spellEnd"/>
      <w:r w:rsidRPr="00B055B2">
        <w:rPr>
          <w:rFonts w:asciiTheme="majorBidi" w:hAnsiTheme="majorBidi" w:cstheme="majorBidi"/>
          <w:lang w:bidi="he-IL"/>
        </w:rPr>
        <w:t xml:space="preserve"> had been opened or an indictment had been filed. It is reasonable to assume that many cases went entirely unreported, or that existing reports could not be located. In some instances, only brief media coverage was available, the accuracy of which could not be independently verified.</w:t>
      </w:r>
    </w:p>
    <w:p w14:paraId="414FDCD0" w14:textId="602A9A54" w:rsidR="00EE3838" w:rsidRPr="00B055B2" w:rsidRDefault="00243F54" w:rsidP="008E6836">
      <w:pPr>
        <w:spacing w:line="360" w:lineRule="auto"/>
        <w:ind w:firstLine="720"/>
        <w:rPr>
          <w:rFonts w:asciiTheme="majorBidi" w:hAnsiTheme="majorBidi" w:cstheme="majorBidi"/>
          <w:lang w:bidi="he-IL"/>
        </w:rPr>
      </w:pPr>
      <w:r w:rsidRPr="00B055B2">
        <w:rPr>
          <w:rFonts w:asciiTheme="majorBidi" w:hAnsiTheme="majorBidi" w:cstheme="majorBidi"/>
          <w:lang w:bidi="he-IL"/>
        </w:rPr>
        <w:t xml:space="preserve">We also believe that media reporting was shaped by considerations related to both the nature of the offense and the profile of the perpetrator. </w:t>
      </w:r>
      <w:r w:rsidR="00833664">
        <w:rPr>
          <w:rFonts w:asciiTheme="majorBidi" w:hAnsiTheme="majorBidi" w:cstheme="majorBidi"/>
          <w:lang w:bidi="he-IL"/>
        </w:rPr>
        <w:t>Murder</w:t>
      </w:r>
      <w:r w:rsidRPr="00B055B2">
        <w:rPr>
          <w:rFonts w:asciiTheme="majorBidi" w:hAnsiTheme="majorBidi" w:cstheme="majorBidi"/>
          <w:lang w:bidi="he-IL"/>
        </w:rPr>
        <w:t xml:space="preserve">, for example, received widespread media attention despite its relative rarity within the broader set of offenses. Nearly all </w:t>
      </w:r>
      <w:r w:rsidR="008E6836">
        <w:rPr>
          <w:rFonts w:asciiTheme="majorBidi" w:hAnsiTheme="majorBidi" w:cstheme="majorBidi"/>
          <w:lang w:bidi="he-IL"/>
        </w:rPr>
        <w:t>murder</w:t>
      </w:r>
      <w:r w:rsidRPr="00B055B2">
        <w:rPr>
          <w:rFonts w:asciiTheme="majorBidi" w:hAnsiTheme="majorBidi" w:cstheme="majorBidi"/>
          <w:lang w:bidi="he-IL"/>
        </w:rPr>
        <w:t xml:space="preserve"> cases were reported, whereas reporting on other offenses was largely dependent on the victim or others aware of the violence.</w:t>
      </w:r>
    </w:p>
    <w:p w14:paraId="4FDEB8FE" w14:textId="77777777" w:rsidR="00243F54" w:rsidRPr="00B055B2" w:rsidRDefault="00243F54" w:rsidP="00EE3838">
      <w:pPr>
        <w:spacing w:line="360" w:lineRule="auto"/>
        <w:rPr>
          <w:rFonts w:asciiTheme="majorBidi" w:hAnsiTheme="majorBidi" w:cstheme="majorBidi"/>
          <w:b/>
          <w:bCs/>
          <w:lang w:bidi="he-IL"/>
        </w:rPr>
      </w:pPr>
    </w:p>
    <w:p w14:paraId="4FC25552" w14:textId="3FAFA1CB" w:rsidR="00EE3838" w:rsidRPr="00B055B2" w:rsidRDefault="00EE3838" w:rsidP="00EE3838">
      <w:pPr>
        <w:spacing w:line="360" w:lineRule="auto"/>
        <w:rPr>
          <w:rFonts w:asciiTheme="majorBidi" w:hAnsiTheme="majorBidi" w:cstheme="majorBidi"/>
          <w:b/>
          <w:bCs/>
          <w:lang w:bidi="he-IL"/>
        </w:rPr>
      </w:pPr>
      <w:r w:rsidRPr="00B055B2">
        <w:rPr>
          <w:rFonts w:asciiTheme="majorBidi" w:hAnsiTheme="majorBidi" w:cstheme="majorBidi"/>
          <w:b/>
          <w:bCs/>
          <w:lang w:bidi="he-IL"/>
        </w:rPr>
        <w:t>Findings</w:t>
      </w:r>
    </w:p>
    <w:p w14:paraId="6D501782" w14:textId="3E344FB5" w:rsidR="00EE3838" w:rsidRPr="00B055B2" w:rsidRDefault="001021DA" w:rsidP="00EE3838">
      <w:pPr>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 xml:space="preserve">The </w:t>
      </w:r>
      <w:r w:rsidR="00E409BD" w:rsidRPr="00B055B2">
        <w:rPr>
          <w:rFonts w:asciiTheme="majorBidi" w:hAnsiTheme="majorBidi" w:cstheme="majorBidi"/>
          <w:b/>
          <w:bCs/>
          <w:i/>
          <w:iCs/>
          <w:lang w:bidi="he-IL"/>
        </w:rPr>
        <w:t>Domestic Violence</w:t>
      </w:r>
      <w:r w:rsidR="00EE3838" w:rsidRPr="00B055B2">
        <w:rPr>
          <w:rFonts w:asciiTheme="majorBidi" w:hAnsiTheme="majorBidi" w:cstheme="majorBidi"/>
          <w:b/>
          <w:bCs/>
          <w:i/>
          <w:iCs/>
          <w:lang w:bidi="he-IL"/>
        </w:rPr>
        <w:t xml:space="preserve"> </w:t>
      </w:r>
      <w:r w:rsidRPr="00B055B2">
        <w:rPr>
          <w:rFonts w:asciiTheme="majorBidi" w:hAnsiTheme="majorBidi" w:cstheme="majorBidi"/>
          <w:b/>
          <w:bCs/>
          <w:i/>
          <w:iCs/>
          <w:lang w:bidi="he-IL"/>
        </w:rPr>
        <w:t xml:space="preserve">Offence </w:t>
      </w:r>
      <w:r w:rsidR="00EE3838" w:rsidRPr="00B055B2">
        <w:rPr>
          <w:rFonts w:asciiTheme="majorBidi" w:hAnsiTheme="majorBidi" w:cstheme="majorBidi"/>
          <w:b/>
          <w:bCs/>
          <w:i/>
          <w:iCs/>
          <w:lang w:bidi="he-IL"/>
        </w:rPr>
        <w:t>in Israel and Its Distinct Features in the Context of Police Officers</w:t>
      </w:r>
    </w:p>
    <w:p w14:paraId="65E917B7" w14:textId="47959B64" w:rsidR="00EE3838" w:rsidRPr="00B055B2" w:rsidRDefault="00DA38B9" w:rsidP="00DA38B9">
      <w:pPr>
        <w:spacing w:line="360" w:lineRule="auto"/>
        <w:rPr>
          <w:rFonts w:asciiTheme="majorBidi" w:hAnsiTheme="majorBidi" w:cstheme="majorBidi"/>
          <w:lang w:bidi="he-IL"/>
        </w:rPr>
      </w:pPr>
      <w:r w:rsidRPr="00B055B2">
        <w:rPr>
          <w:rFonts w:asciiTheme="majorBidi" w:hAnsiTheme="majorBidi" w:cstheme="majorBidi"/>
          <w:lang w:bidi="he-IL"/>
        </w:rPr>
        <w:t xml:space="preserve">The recognition of IPV as a criminal offense in Israel can be traced to a clearly defined moment: a plenary session of the Knesset held in 1976 at the initiative of Member of Knesset Marcia Freedman. This discussion marked the beginning of a long process, one whose end is still not in sight, but it nevertheless led to several significant developments. These include legislation that </w:t>
      </w:r>
      <w:r w:rsidRPr="00B055B2">
        <w:rPr>
          <w:rFonts w:asciiTheme="majorBidi" w:hAnsiTheme="majorBidi" w:cstheme="majorBidi"/>
          <w:lang w:bidi="he-IL"/>
        </w:rPr>
        <w:lastRenderedPageBreak/>
        <w:t>distinguishes domestic violence offenses from other violent crimes, reflecting recognition of their unique risk factors and severity; the imposition of harsher penalties when the victim is a family member (</w:t>
      </w:r>
      <w:proofErr w:type="spellStart"/>
      <w:r w:rsidRPr="00B055B2">
        <w:rPr>
          <w:rFonts w:asciiTheme="majorBidi" w:hAnsiTheme="majorBidi" w:cstheme="majorBidi"/>
          <w:lang w:bidi="he-IL"/>
        </w:rPr>
        <w:t>Boshari</w:t>
      </w:r>
      <w:proofErr w:type="spellEnd"/>
      <w:r w:rsidRPr="00B055B2">
        <w:rPr>
          <w:rFonts w:asciiTheme="majorBidi" w:hAnsiTheme="majorBidi" w:cstheme="majorBidi"/>
          <w:lang w:bidi="he-IL"/>
        </w:rPr>
        <w:t xml:space="preserve"> &amp; Ben-Ari, 2012; </w:t>
      </w:r>
      <w:proofErr w:type="spellStart"/>
      <w:r w:rsidRPr="00B055B2">
        <w:rPr>
          <w:rFonts w:asciiTheme="majorBidi" w:hAnsiTheme="majorBidi" w:cstheme="majorBidi"/>
          <w:lang w:bidi="he-IL"/>
        </w:rPr>
        <w:t>Shoham</w:t>
      </w:r>
      <w:proofErr w:type="spellEnd"/>
      <w:r w:rsidRPr="00B055B2">
        <w:rPr>
          <w:rFonts w:asciiTheme="majorBidi" w:hAnsiTheme="majorBidi" w:cstheme="majorBidi"/>
          <w:lang w:bidi="he-IL"/>
        </w:rPr>
        <w:t>, 2004); and the creation of a range of responses for victims, including shelters, transitional housing, and a legal framework enabling the issuance of protection orders, restraining orders, and arrest warrants for IPV suspects (</w:t>
      </w:r>
      <w:commentRangeStart w:id="4"/>
      <w:proofErr w:type="spellStart"/>
      <w:r w:rsidRPr="00B055B2">
        <w:rPr>
          <w:rFonts w:asciiTheme="majorBidi" w:hAnsiTheme="majorBidi" w:cstheme="majorBidi"/>
          <w:lang w:bidi="he-IL"/>
        </w:rPr>
        <w:t>Kol</w:t>
      </w:r>
      <w:proofErr w:type="spellEnd"/>
      <w:r w:rsidRPr="00B055B2">
        <w:rPr>
          <w:rFonts w:asciiTheme="majorBidi" w:hAnsiTheme="majorBidi" w:cstheme="majorBidi"/>
          <w:lang w:bidi="he-IL"/>
        </w:rPr>
        <w:t xml:space="preserve"> </w:t>
      </w:r>
      <w:proofErr w:type="spellStart"/>
      <w:r w:rsidRPr="00B055B2">
        <w:rPr>
          <w:rFonts w:asciiTheme="majorBidi" w:hAnsiTheme="majorBidi" w:cstheme="majorBidi"/>
          <w:lang w:bidi="he-IL"/>
        </w:rPr>
        <w:t>Zchut</w:t>
      </w:r>
      <w:proofErr w:type="spellEnd"/>
      <w:r w:rsidRPr="00B055B2">
        <w:rPr>
          <w:rFonts w:asciiTheme="majorBidi" w:hAnsiTheme="majorBidi" w:cstheme="majorBidi"/>
          <w:lang w:bidi="he-IL"/>
        </w:rPr>
        <w:t>, 2023</w:t>
      </w:r>
      <w:commentRangeEnd w:id="4"/>
      <w:r w:rsidRPr="00B055B2">
        <w:rPr>
          <w:rStyle w:val="CommentReference"/>
          <w:rFonts w:asciiTheme="majorBidi" w:hAnsiTheme="majorBidi" w:cstheme="majorBidi"/>
          <w:sz w:val="24"/>
          <w:szCs w:val="24"/>
          <w:lang w:bidi="he-IL"/>
        </w:rPr>
        <w:commentReference w:id="4"/>
      </w:r>
      <w:r w:rsidRPr="00B055B2">
        <w:rPr>
          <w:rFonts w:asciiTheme="majorBidi" w:hAnsiTheme="majorBidi" w:cstheme="majorBidi"/>
          <w:lang w:bidi="he-IL"/>
        </w:rPr>
        <w:t xml:space="preserve">; </w:t>
      </w:r>
      <w:proofErr w:type="spellStart"/>
      <w:r w:rsidRPr="00B055B2">
        <w:rPr>
          <w:rFonts w:asciiTheme="majorBidi" w:hAnsiTheme="majorBidi" w:cstheme="majorBidi"/>
          <w:lang w:bidi="he-IL"/>
        </w:rPr>
        <w:t>Shoham</w:t>
      </w:r>
      <w:proofErr w:type="spellEnd"/>
      <w:r w:rsidRPr="00B055B2">
        <w:rPr>
          <w:rFonts w:asciiTheme="majorBidi" w:hAnsiTheme="majorBidi" w:cstheme="majorBidi"/>
          <w:lang w:bidi="he-IL"/>
        </w:rPr>
        <w:t xml:space="preserve"> &amp; </w:t>
      </w:r>
      <w:proofErr w:type="spellStart"/>
      <w:r w:rsidRPr="00B055B2">
        <w:rPr>
          <w:rFonts w:asciiTheme="majorBidi" w:hAnsiTheme="majorBidi" w:cstheme="majorBidi"/>
          <w:lang w:bidi="he-IL"/>
        </w:rPr>
        <w:t>Regev</w:t>
      </w:r>
      <w:proofErr w:type="spellEnd"/>
      <w:r w:rsidRPr="00B055B2">
        <w:rPr>
          <w:rFonts w:asciiTheme="majorBidi" w:hAnsiTheme="majorBidi" w:cstheme="majorBidi"/>
          <w:lang w:bidi="he-IL"/>
        </w:rPr>
        <w:t>, 2000). In addition, court rulings have consistently expressed strong condemnation of domestic violence, often employing severe rhetoric emphasizing the need for harsh punishment as a deterrent. At the same time, these rulings tend to give limited consideration to therapeutic alternatives, which may in some cases be more effective than imprisonment. Often, the severity of the punishment imposed does not correspond to the harshness of the language used in the ruling.</w:t>
      </w:r>
    </w:p>
    <w:p w14:paraId="049FA861" w14:textId="68EFEBC3" w:rsidR="00C22DD4" w:rsidRPr="00B055B2" w:rsidRDefault="008B102D" w:rsidP="00EE3838">
      <w:pPr>
        <w:spacing w:line="360" w:lineRule="auto"/>
        <w:ind w:firstLine="720"/>
        <w:rPr>
          <w:rFonts w:asciiTheme="majorBidi" w:hAnsiTheme="majorBidi" w:cstheme="majorBidi"/>
          <w:lang w:bidi="he-IL"/>
        </w:rPr>
      </w:pPr>
      <w:r w:rsidRPr="00B055B2">
        <w:rPr>
          <w:rFonts w:asciiTheme="majorBidi" w:hAnsiTheme="majorBidi" w:cstheme="majorBidi"/>
          <w:lang w:bidi="he-IL"/>
        </w:rPr>
        <w:t>However, the police’s approach to domestic violence reflects an even greater degree of ambivalence. As with court rulings, a clear gap exists between legislation and official procedures on the one hand, and actual practice on the other. In 2013, the Israel Police published a 32-page protocol outlining its policy on domestic violence. The document states that domestic violence incidents should be prioritized above all other incidents, except in cases of terrorism or situations involving an immediate threat to human life. It further stipulates that when there is a concrete concern for the victim’s safety, the investigator must consult with a designated domestic violence officer and the head of investigations to determine whether the victim should be transferred to a women’s shelter or to the police station.</w:t>
      </w:r>
      <w:r w:rsidR="00C22DD4" w:rsidRPr="00B055B2">
        <w:rPr>
          <w:rStyle w:val="FootnoteReference"/>
          <w:rFonts w:asciiTheme="majorBidi" w:hAnsiTheme="majorBidi" w:cstheme="majorBidi"/>
          <w:lang w:bidi="he-IL"/>
        </w:rPr>
        <w:footnoteReference w:id="1"/>
      </w:r>
    </w:p>
    <w:p w14:paraId="7EEB7E35" w14:textId="120B0930" w:rsidR="00123F9C" w:rsidRPr="00B055B2" w:rsidRDefault="00E865BE" w:rsidP="00EA4A02">
      <w:pPr>
        <w:spacing w:line="360" w:lineRule="auto"/>
        <w:ind w:firstLine="720"/>
        <w:rPr>
          <w:rFonts w:asciiTheme="majorBidi" w:hAnsiTheme="majorBidi" w:cstheme="majorBidi"/>
          <w:lang w:bidi="he-IL"/>
        </w:rPr>
      </w:pPr>
      <w:r w:rsidRPr="00B055B2">
        <w:rPr>
          <w:rFonts w:asciiTheme="majorBidi" w:hAnsiTheme="majorBidi" w:cstheme="majorBidi"/>
          <w:lang w:bidi="he-IL"/>
        </w:rPr>
        <w:t>How are existing laws</w:t>
      </w:r>
      <w:r w:rsidR="00D519CA" w:rsidRPr="00B055B2">
        <w:rPr>
          <w:rFonts w:asciiTheme="majorBidi" w:hAnsiTheme="majorBidi" w:cstheme="majorBidi"/>
          <w:lang w:bidi="he-IL"/>
        </w:rPr>
        <w:t xml:space="preserve">, </w:t>
      </w:r>
      <w:r w:rsidRPr="00B055B2">
        <w:rPr>
          <w:rFonts w:asciiTheme="majorBidi" w:hAnsiTheme="majorBidi" w:cstheme="majorBidi"/>
          <w:lang w:bidi="he-IL"/>
        </w:rPr>
        <w:t>or this protocol</w:t>
      </w:r>
      <w:r w:rsidR="00D519CA" w:rsidRPr="00B055B2">
        <w:rPr>
          <w:rFonts w:asciiTheme="majorBidi" w:hAnsiTheme="majorBidi" w:cstheme="majorBidi"/>
          <w:lang w:bidi="he-IL"/>
        </w:rPr>
        <w:t xml:space="preserve">, </w:t>
      </w:r>
      <w:r w:rsidRPr="00B055B2">
        <w:rPr>
          <w:rFonts w:asciiTheme="majorBidi" w:hAnsiTheme="majorBidi" w:cstheme="majorBidi"/>
          <w:lang w:bidi="he-IL"/>
        </w:rPr>
        <w:t xml:space="preserve">implemented in practice? To the best of our knowledge, only three studies have examined police officers’ perceptions and attitudes toward </w:t>
      </w:r>
      <w:r w:rsidR="00D519CA" w:rsidRPr="00B055B2">
        <w:rPr>
          <w:rFonts w:asciiTheme="majorBidi" w:hAnsiTheme="majorBidi" w:cstheme="majorBidi"/>
          <w:lang w:bidi="he-IL"/>
        </w:rPr>
        <w:t>domestic violence</w:t>
      </w:r>
      <w:r w:rsidRPr="00B055B2">
        <w:rPr>
          <w:rFonts w:asciiTheme="majorBidi" w:hAnsiTheme="majorBidi" w:cstheme="majorBidi"/>
          <w:lang w:bidi="he-IL"/>
        </w:rPr>
        <w:t>. An evaluation study conducted in 1998</w:t>
      </w:r>
      <w:r w:rsidR="00AE29D7" w:rsidRPr="00B055B2">
        <w:rPr>
          <w:rFonts w:asciiTheme="majorBidi" w:hAnsiTheme="majorBidi" w:cstheme="majorBidi"/>
          <w:lang w:bidi="he-IL"/>
        </w:rPr>
        <w:t xml:space="preserve"> that </w:t>
      </w:r>
      <w:r w:rsidRPr="00B055B2">
        <w:rPr>
          <w:rFonts w:asciiTheme="majorBidi" w:hAnsiTheme="majorBidi" w:cstheme="majorBidi"/>
          <w:lang w:bidi="he-IL"/>
        </w:rPr>
        <w:t>assessed police activity in this area concluded that the problem lies not in policy, but in the level of enforcement by officers in the field (</w:t>
      </w:r>
      <w:proofErr w:type="spellStart"/>
      <w:r w:rsidR="00D24D10" w:rsidRPr="00B055B2">
        <w:rPr>
          <w:rFonts w:asciiTheme="majorBidi" w:hAnsiTheme="majorBidi" w:cstheme="majorBidi"/>
          <w:lang w:bidi="he-IL"/>
        </w:rPr>
        <w:t>Izikovitz</w:t>
      </w:r>
      <w:proofErr w:type="spellEnd"/>
      <w:r w:rsidRPr="00B055B2">
        <w:rPr>
          <w:rFonts w:asciiTheme="majorBidi" w:hAnsiTheme="majorBidi" w:cstheme="majorBidi"/>
          <w:lang w:bidi="he-IL"/>
        </w:rPr>
        <w:t xml:space="preserve"> &amp; </w:t>
      </w:r>
      <w:proofErr w:type="spellStart"/>
      <w:r w:rsidRPr="00B055B2">
        <w:rPr>
          <w:rFonts w:asciiTheme="majorBidi" w:hAnsiTheme="majorBidi" w:cstheme="majorBidi"/>
          <w:lang w:bidi="he-IL"/>
        </w:rPr>
        <w:t>Gripel</w:t>
      </w:r>
      <w:proofErr w:type="spellEnd"/>
      <w:r w:rsidRPr="00B055B2">
        <w:rPr>
          <w:rFonts w:asciiTheme="majorBidi" w:hAnsiTheme="majorBidi" w:cstheme="majorBidi"/>
          <w:lang w:bidi="he-IL"/>
        </w:rPr>
        <w:t>, 1998). Two additional studies conducted around the turn of the century (</w:t>
      </w:r>
      <w:proofErr w:type="spellStart"/>
      <w:r w:rsidRPr="00B055B2">
        <w:rPr>
          <w:rFonts w:asciiTheme="majorBidi" w:hAnsiTheme="majorBidi" w:cstheme="majorBidi"/>
          <w:lang w:bidi="he-IL"/>
        </w:rPr>
        <w:t>Shoham</w:t>
      </w:r>
      <w:proofErr w:type="spellEnd"/>
      <w:r w:rsidRPr="00B055B2">
        <w:rPr>
          <w:rFonts w:asciiTheme="majorBidi" w:hAnsiTheme="majorBidi" w:cstheme="majorBidi"/>
          <w:lang w:bidi="he-IL"/>
        </w:rPr>
        <w:t xml:space="preserve"> &amp; </w:t>
      </w:r>
      <w:proofErr w:type="spellStart"/>
      <w:r w:rsidRPr="00B055B2">
        <w:rPr>
          <w:rFonts w:asciiTheme="majorBidi" w:hAnsiTheme="majorBidi" w:cstheme="majorBidi"/>
          <w:lang w:bidi="he-IL"/>
        </w:rPr>
        <w:t>Regev</w:t>
      </w:r>
      <w:proofErr w:type="spellEnd"/>
      <w:r w:rsidRPr="00B055B2">
        <w:rPr>
          <w:rFonts w:asciiTheme="majorBidi" w:hAnsiTheme="majorBidi" w:cstheme="majorBidi"/>
          <w:lang w:bidi="he-IL"/>
        </w:rPr>
        <w:t>, 1998</w:t>
      </w:r>
      <w:r w:rsidR="00AE29D7" w:rsidRPr="00B055B2">
        <w:rPr>
          <w:rFonts w:asciiTheme="majorBidi" w:hAnsiTheme="majorBidi" w:cstheme="majorBidi"/>
          <w:lang w:bidi="he-IL"/>
        </w:rPr>
        <w:t>;</w:t>
      </w:r>
      <w:r w:rsidRPr="00B055B2">
        <w:rPr>
          <w:rFonts w:asciiTheme="majorBidi" w:hAnsiTheme="majorBidi" w:cstheme="majorBidi"/>
          <w:lang w:bidi="he-IL"/>
        </w:rPr>
        <w:t xml:space="preserve"> 2000) found that some officers held preconceived notions that minimized the severity of </w:t>
      </w:r>
      <w:r w:rsidR="00C31AC6" w:rsidRPr="00B055B2">
        <w:rPr>
          <w:rFonts w:asciiTheme="majorBidi" w:hAnsiTheme="majorBidi" w:cstheme="majorBidi"/>
          <w:lang w:bidi="he-IL"/>
        </w:rPr>
        <w:t>domestic violence</w:t>
      </w:r>
      <w:r w:rsidRPr="00B055B2">
        <w:rPr>
          <w:rFonts w:asciiTheme="majorBidi" w:hAnsiTheme="majorBidi" w:cstheme="majorBidi"/>
          <w:lang w:bidi="he-IL"/>
        </w:rPr>
        <w:t xml:space="preserve">. Interviewees in these studies expressed suspicion and distrust toward women who filed complaints, claimed that the police should not be </w:t>
      </w:r>
      <w:r w:rsidRPr="00B055B2">
        <w:rPr>
          <w:rFonts w:asciiTheme="majorBidi" w:hAnsiTheme="majorBidi" w:cstheme="majorBidi"/>
          <w:lang w:bidi="he-IL"/>
        </w:rPr>
        <w:lastRenderedPageBreak/>
        <w:t xml:space="preserve">responsible for handling IPV, described </w:t>
      </w:r>
      <w:r w:rsidR="00837CAA" w:rsidRPr="00B055B2">
        <w:rPr>
          <w:rFonts w:asciiTheme="majorBidi" w:hAnsiTheme="majorBidi" w:cstheme="majorBidi"/>
          <w:lang w:bidi="he-IL"/>
        </w:rPr>
        <w:t xml:space="preserve">the </w:t>
      </w:r>
      <w:r w:rsidRPr="00B055B2">
        <w:rPr>
          <w:rFonts w:asciiTheme="majorBidi" w:hAnsiTheme="majorBidi" w:cstheme="majorBidi"/>
          <w:lang w:bidi="he-IL"/>
        </w:rPr>
        <w:t>women as vindictive and manipulative</w:t>
      </w:r>
      <w:r w:rsidR="00837CAA" w:rsidRPr="00B055B2">
        <w:rPr>
          <w:rFonts w:asciiTheme="majorBidi" w:hAnsiTheme="majorBidi" w:cstheme="majorBidi"/>
          <w:lang w:bidi="he-IL"/>
        </w:rPr>
        <w:t xml:space="preserve"> and therefore </w:t>
      </w:r>
      <w:r w:rsidRPr="00B055B2">
        <w:rPr>
          <w:rFonts w:asciiTheme="majorBidi" w:hAnsiTheme="majorBidi" w:cstheme="majorBidi"/>
          <w:lang w:bidi="he-IL"/>
        </w:rPr>
        <w:t>likely to submit false reports</w:t>
      </w:r>
      <w:r w:rsidR="00837CAA" w:rsidRPr="00B055B2">
        <w:rPr>
          <w:rFonts w:asciiTheme="majorBidi" w:hAnsiTheme="majorBidi" w:cstheme="majorBidi"/>
          <w:lang w:bidi="he-IL"/>
        </w:rPr>
        <w:t xml:space="preserve">, </w:t>
      </w:r>
      <w:r w:rsidRPr="00B055B2">
        <w:rPr>
          <w:rFonts w:asciiTheme="majorBidi" w:hAnsiTheme="majorBidi" w:cstheme="majorBidi"/>
          <w:lang w:bidi="he-IL"/>
        </w:rPr>
        <w:t>and believed that infidelity justified violent behavior.</w:t>
      </w:r>
      <w:r w:rsidR="00EA4A02" w:rsidRPr="00B055B2">
        <w:rPr>
          <w:rFonts w:asciiTheme="majorBidi" w:hAnsiTheme="majorBidi" w:cstheme="majorBidi"/>
          <w:lang w:bidi="he-IL"/>
        </w:rPr>
        <w:t xml:space="preserve"> </w:t>
      </w:r>
      <w:r w:rsidRPr="00B055B2">
        <w:rPr>
          <w:rFonts w:asciiTheme="majorBidi" w:hAnsiTheme="majorBidi" w:cstheme="majorBidi"/>
          <w:lang w:bidi="he-IL"/>
        </w:rPr>
        <w:t xml:space="preserve">In the same vein, </w:t>
      </w:r>
      <w:proofErr w:type="spellStart"/>
      <w:r w:rsidRPr="00B055B2">
        <w:rPr>
          <w:rFonts w:asciiTheme="majorBidi" w:hAnsiTheme="majorBidi" w:cstheme="majorBidi"/>
          <w:lang w:bidi="he-IL"/>
        </w:rPr>
        <w:t>Yassour-Borochowitz</w:t>
      </w:r>
      <w:proofErr w:type="spellEnd"/>
      <w:r w:rsidRPr="00B055B2">
        <w:rPr>
          <w:rFonts w:asciiTheme="majorBidi" w:hAnsiTheme="majorBidi" w:cstheme="majorBidi"/>
          <w:lang w:bidi="he-IL"/>
        </w:rPr>
        <w:t xml:space="preserve"> and </w:t>
      </w:r>
      <w:proofErr w:type="spellStart"/>
      <w:r w:rsidRPr="00B055B2">
        <w:rPr>
          <w:rFonts w:asciiTheme="majorBidi" w:hAnsiTheme="majorBidi" w:cstheme="majorBidi"/>
          <w:lang w:bidi="he-IL"/>
        </w:rPr>
        <w:t>Lavi-Efrat</w:t>
      </w:r>
      <w:proofErr w:type="spellEnd"/>
      <w:r w:rsidRPr="00B055B2">
        <w:rPr>
          <w:rFonts w:asciiTheme="majorBidi" w:hAnsiTheme="majorBidi" w:cstheme="majorBidi"/>
          <w:lang w:bidi="he-IL"/>
        </w:rPr>
        <w:t xml:space="preserve"> (2002) found that women suffering from </w:t>
      </w:r>
      <w:r w:rsidR="00866363" w:rsidRPr="00B055B2">
        <w:rPr>
          <w:rFonts w:asciiTheme="majorBidi" w:hAnsiTheme="majorBidi" w:cstheme="majorBidi"/>
          <w:lang w:bidi="he-IL"/>
        </w:rPr>
        <w:t>IPV</w:t>
      </w:r>
      <w:r w:rsidRPr="00B055B2">
        <w:rPr>
          <w:rFonts w:asciiTheme="majorBidi" w:hAnsiTheme="majorBidi" w:cstheme="majorBidi"/>
          <w:lang w:bidi="he-IL"/>
        </w:rPr>
        <w:t xml:space="preserve"> were often reluctant to seek help from the police, partly due to the patriarchal attitudes attributed to the police force and the skepticism they frequently encountered when doing so. However, these are relatively old studies, conducted more than two decades ago, and it remains unclear to what extent they accurately reflect the current situation.</w:t>
      </w:r>
    </w:p>
    <w:p w14:paraId="7B40E06B" w14:textId="77777777" w:rsidR="00D11CEB" w:rsidRPr="00B055B2" w:rsidRDefault="00D11CEB" w:rsidP="00D11CEB">
      <w:pPr>
        <w:spacing w:line="360" w:lineRule="auto"/>
        <w:rPr>
          <w:rFonts w:asciiTheme="majorBidi" w:hAnsiTheme="majorBidi" w:cstheme="majorBidi"/>
          <w:b/>
          <w:bCs/>
          <w:i/>
          <w:iCs/>
          <w:lang w:bidi="he-IL"/>
        </w:rPr>
      </w:pPr>
    </w:p>
    <w:p w14:paraId="71728DCE" w14:textId="6088CD82" w:rsidR="00D11CEB" w:rsidRPr="00B055B2" w:rsidRDefault="00D11CEB" w:rsidP="00D11CEB">
      <w:pPr>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Distinct Features of Israeli Society and Police Culture</w:t>
      </w:r>
    </w:p>
    <w:p w14:paraId="52B715B7" w14:textId="787CBBA8" w:rsidR="00D11CEB" w:rsidRPr="00B055B2" w:rsidRDefault="00D11CEB" w:rsidP="0005081C">
      <w:pPr>
        <w:spacing w:line="360" w:lineRule="auto"/>
        <w:rPr>
          <w:rFonts w:asciiTheme="majorBidi" w:hAnsiTheme="majorBidi" w:cstheme="majorBidi"/>
          <w:lang w:bidi="he-IL"/>
        </w:rPr>
      </w:pPr>
      <w:r w:rsidRPr="00B055B2">
        <w:rPr>
          <w:rFonts w:asciiTheme="majorBidi" w:hAnsiTheme="majorBidi" w:cstheme="majorBidi"/>
          <w:lang w:bidi="he-IL"/>
        </w:rPr>
        <w:t xml:space="preserve">In addition to the risk factors identified in the literature regarding the heightened likelihood of </w:t>
      </w:r>
      <w:r w:rsidR="00866363" w:rsidRPr="00B055B2">
        <w:rPr>
          <w:rFonts w:asciiTheme="majorBidi" w:hAnsiTheme="majorBidi" w:cstheme="majorBidi"/>
          <w:lang w:bidi="he-IL"/>
        </w:rPr>
        <w:t>domestic violence</w:t>
      </w:r>
      <w:r w:rsidRPr="00B055B2">
        <w:rPr>
          <w:rFonts w:asciiTheme="majorBidi" w:hAnsiTheme="majorBidi" w:cstheme="majorBidi"/>
          <w:lang w:bidi="he-IL"/>
        </w:rPr>
        <w:t xml:space="preserve"> within police families, there are several features unique to Israeli society </w:t>
      </w:r>
      <w:r w:rsidR="00866363" w:rsidRPr="00B055B2">
        <w:rPr>
          <w:rFonts w:asciiTheme="majorBidi" w:hAnsiTheme="majorBidi" w:cstheme="majorBidi"/>
          <w:lang w:bidi="he-IL"/>
        </w:rPr>
        <w:t>which</w:t>
      </w:r>
      <w:r w:rsidRPr="00B055B2">
        <w:rPr>
          <w:rFonts w:asciiTheme="majorBidi" w:hAnsiTheme="majorBidi" w:cstheme="majorBidi"/>
          <w:lang w:bidi="he-IL"/>
        </w:rPr>
        <w:t>, in our view, may further increase the risk of such offenses being committed by Israeli police officers. First, masculinity plays a central role in Israeli culture and society, and the police reflect and reproduce many of these societal traits. As of 2022, the majority of officers in the Israel Police were men (73%), while women made up only 27% of the force</w:t>
      </w:r>
      <w:r w:rsidR="00866363" w:rsidRPr="00B055B2">
        <w:rPr>
          <w:rFonts w:asciiTheme="majorBidi" w:hAnsiTheme="majorBidi" w:cstheme="majorBidi"/>
          <w:lang w:bidi="he-IL"/>
        </w:rPr>
        <w:t xml:space="preserve"> and</w:t>
      </w:r>
      <w:r w:rsidR="00DB7298" w:rsidRPr="00B055B2">
        <w:rPr>
          <w:rFonts w:asciiTheme="majorBidi" w:hAnsiTheme="majorBidi" w:cstheme="majorBidi"/>
          <w:lang w:bidi="he-IL"/>
        </w:rPr>
        <w:t xml:space="preserve"> </w:t>
      </w:r>
      <w:r w:rsidRPr="00B055B2">
        <w:rPr>
          <w:rFonts w:asciiTheme="majorBidi" w:hAnsiTheme="majorBidi" w:cstheme="majorBidi"/>
          <w:lang w:bidi="he-IL"/>
        </w:rPr>
        <w:t>most</w:t>
      </w:r>
      <w:r w:rsidR="00866363" w:rsidRPr="00B055B2">
        <w:rPr>
          <w:rFonts w:asciiTheme="majorBidi" w:hAnsiTheme="majorBidi" w:cstheme="majorBidi"/>
          <w:lang w:bidi="he-IL"/>
        </w:rPr>
        <w:t>ly</w:t>
      </w:r>
      <w:r w:rsidRPr="00B055B2">
        <w:rPr>
          <w:rFonts w:asciiTheme="majorBidi" w:hAnsiTheme="majorBidi" w:cstheme="majorBidi"/>
          <w:lang w:bidi="he-IL"/>
        </w:rPr>
        <w:t xml:space="preserve"> </w:t>
      </w:r>
      <w:r w:rsidR="00866363" w:rsidRPr="00B055B2">
        <w:rPr>
          <w:rFonts w:asciiTheme="majorBidi" w:hAnsiTheme="majorBidi" w:cstheme="majorBidi"/>
          <w:lang w:bidi="he-IL"/>
        </w:rPr>
        <w:t>s</w:t>
      </w:r>
      <w:r w:rsidRPr="00B055B2">
        <w:rPr>
          <w:rFonts w:asciiTheme="majorBidi" w:hAnsiTheme="majorBidi" w:cstheme="majorBidi"/>
          <w:lang w:bidi="he-IL"/>
        </w:rPr>
        <w:t>erve</w:t>
      </w:r>
      <w:r w:rsidR="00F80DDB" w:rsidRPr="00B055B2">
        <w:rPr>
          <w:rFonts w:asciiTheme="majorBidi" w:hAnsiTheme="majorBidi" w:cstheme="majorBidi"/>
          <w:lang w:bidi="he-IL"/>
        </w:rPr>
        <w:t>d</w:t>
      </w:r>
      <w:r w:rsidRPr="00B055B2">
        <w:rPr>
          <w:rFonts w:asciiTheme="majorBidi" w:hAnsiTheme="majorBidi" w:cstheme="majorBidi"/>
          <w:lang w:bidi="he-IL"/>
        </w:rPr>
        <w:t xml:space="preserve"> in administrative positions. </w:t>
      </w:r>
      <w:r w:rsidR="00866363" w:rsidRPr="00B055B2">
        <w:rPr>
          <w:rFonts w:asciiTheme="majorBidi" w:hAnsiTheme="majorBidi" w:cstheme="majorBidi"/>
          <w:lang w:bidi="he-IL"/>
        </w:rPr>
        <w:t>Moreover, o</w:t>
      </w:r>
      <w:r w:rsidRPr="00B055B2">
        <w:rPr>
          <w:rFonts w:asciiTheme="majorBidi" w:hAnsiTheme="majorBidi" w:cstheme="majorBidi"/>
          <w:lang w:bidi="he-IL"/>
        </w:rPr>
        <w:t>f the 19 senior-ranking officers, only four were women.</w:t>
      </w:r>
    </w:p>
    <w:p w14:paraId="05D3B8AE" w14:textId="48D09194" w:rsidR="00EA4A02" w:rsidRPr="00B055B2" w:rsidRDefault="00D11CEB" w:rsidP="00D11CEB">
      <w:pPr>
        <w:spacing w:line="360" w:lineRule="auto"/>
        <w:ind w:firstLine="720"/>
        <w:rPr>
          <w:rFonts w:asciiTheme="majorBidi" w:hAnsiTheme="majorBidi" w:cstheme="majorBidi"/>
          <w:lang w:bidi="he-IL"/>
        </w:rPr>
      </w:pPr>
      <w:r w:rsidRPr="00B055B2">
        <w:rPr>
          <w:rFonts w:asciiTheme="majorBidi" w:hAnsiTheme="majorBidi" w:cstheme="majorBidi"/>
          <w:lang w:bidi="he-IL"/>
        </w:rPr>
        <w:t xml:space="preserve">Between 2014 and 2016, a series of sexual harassment cases involving senior police officers targeting female officers came to light, during which the </w:t>
      </w:r>
      <w:r w:rsidR="00866363" w:rsidRPr="00B055B2">
        <w:rPr>
          <w:rFonts w:asciiTheme="majorBidi" w:hAnsiTheme="majorBidi" w:cstheme="majorBidi"/>
          <w:lang w:bidi="he-IL"/>
        </w:rPr>
        <w:t>“</w:t>
      </w:r>
      <w:r w:rsidRPr="00B055B2">
        <w:rPr>
          <w:rFonts w:asciiTheme="majorBidi" w:hAnsiTheme="majorBidi" w:cstheme="majorBidi"/>
          <w:lang w:bidi="he-IL"/>
        </w:rPr>
        <w:t>blue code of silence</w:t>
      </w:r>
      <w:r w:rsidR="00866363" w:rsidRPr="00B055B2">
        <w:rPr>
          <w:rFonts w:asciiTheme="majorBidi" w:hAnsiTheme="majorBidi" w:cstheme="majorBidi"/>
          <w:lang w:bidi="he-IL"/>
        </w:rPr>
        <w:t>”</w:t>
      </w:r>
      <w:r w:rsidRPr="00B055B2">
        <w:rPr>
          <w:rFonts w:asciiTheme="majorBidi" w:hAnsiTheme="majorBidi" w:cstheme="majorBidi"/>
          <w:lang w:bidi="he-IL"/>
        </w:rPr>
        <w:t xml:space="preserve"> was evident in how the institution handled sexual misconduct (</w:t>
      </w:r>
      <w:proofErr w:type="spellStart"/>
      <w:r w:rsidRPr="00B055B2">
        <w:rPr>
          <w:rFonts w:asciiTheme="majorBidi" w:hAnsiTheme="majorBidi" w:cstheme="majorBidi"/>
          <w:lang w:bidi="he-IL"/>
        </w:rPr>
        <w:t>Levenkron</w:t>
      </w:r>
      <w:proofErr w:type="spellEnd"/>
      <w:r w:rsidRPr="00B055B2">
        <w:rPr>
          <w:rFonts w:asciiTheme="majorBidi" w:hAnsiTheme="majorBidi" w:cstheme="majorBidi"/>
          <w:lang w:bidi="he-IL"/>
        </w:rPr>
        <w:t xml:space="preserve">, 2014). In recent years, significant efforts have been made to promote gender and ethnic diversity within the police force, </w:t>
      </w:r>
      <w:r w:rsidR="00F80DDB" w:rsidRPr="00B055B2">
        <w:rPr>
          <w:rFonts w:asciiTheme="majorBidi" w:hAnsiTheme="majorBidi" w:cstheme="majorBidi"/>
          <w:lang w:bidi="he-IL"/>
        </w:rPr>
        <w:t>however</w:t>
      </w:r>
      <w:r w:rsidRPr="00B055B2">
        <w:rPr>
          <w:rFonts w:asciiTheme="majorBidi" w:hAnsiTheme="majorBidi" w:cstheme="majorBidi"/>
          <w:lang w:bidi="he-IL"/>
        </w:rPr>
        <w:t xml:space="preserve"> the increase in female representation has been slow and modest, </w:t>
      </w:r>
      <w:proofErr w:type="gramStart"/>
      <w:r w:rsidRPr="00B055B2">
        <w:rPr>
          <w:rFonts w:asciiTheme="majorBidi" w:hAnsiTheme="majorBidi" w:cstheme="majorBidi"/>
          <w:lang w:bidi="he-IL"/>
        </w:rPr>
        <w:t>still</w:t>
      </w:r>
      <w:proofErr w:type="gramEnd"/>
      <w:r w:rsidRPr="00B055B2">
        <w:rPr>
          <w:rFonts w:asciiTheme="majorBidi" w:hAnsiTheme="majorBidi" w:cstheme="majorBidi"/>
          <w:lang w:bidi="he-IL"/>
        </w:rPr>
        <w:t xml:space="preserve"> far from reflecting women</w:t>
      </w:r>
      <w:r w:rsidR="00F80DDB" w:rsidRPr="00B055B2">
        <w:rPr>
          <w:rFonts w:asciiTheme="majorBidi" w:hAnsiTheme="majorBidi" w:cstheme="majorBidi"/>
          <w:lang w:bidi="he-IL"/>
        </w:rPr>
        <w:t>’</w:t>
      </w:r>
      <w:r w:rsidRPr="00B055B2">
        <w:rPr>
          <w:rFonts w:asciiTheme="majorBidi" w:hAnsiTheme="majorBidi" w:cstheme="majorBidi"/>
          <w:lang w:bidi="he-IL"/>
        </w:rPr>
        <w:t>s proportional representation in Israeli society.</w:t>
      </w:r>
    </w:p>
    <w:p w14:paraId="18536D3E" w14:textId="25098765" w:rsidR="00425A29" w:rsidRPr="00B055B2" w:rsidRDefault="00425A29" w:rsidP="00425A29">
      <w:pPr>
        <w:spacing w:line="360" w:lineRule="auto"/>
        <w:ind w:firstLine="720"/>
        <w:rPr>
          <w:rFonts w:asciiTheme="majorBidi" w:hAnsiTheme="majorBidi" w:cstheme="majorBidi"/>
          <w:lang w:bidi="he-IL"/>
        </w:rPr>
      </w:pPr>
      <w:r w:rsidRPr="00B055B2">
        <w:rPr>
          <w:rFonts w:asciiTheme="majorBidi" w:hAnsiTheme="majorBidi" w:cstheme="majorBidi"/>
          <w:lang w:bidi="he-IL"/>
        </w:rPr>
        <w:t>Given the centrality of masculinity and the prominent role of men in Israeli society and the police force, the influence of a militaristic worldview, and in particular the legacy of service in the Israel Defense Forces (IDF), must also be taken into account. Many police</w:t>
      </w:r>
      <w:r w:rsidR="00582E47" w:rsidRPr="00B055B2">
        <w:rPr>
          <w:rFonts w:asciiTheme="majorBidi" w:hAnsiTheme="majorBidi" w:cstheme="majorBidi"/>
          <w:lang w:bidi="he-IL"/>
        </w:rPr>
        <w:t xml:space="preserve"> officers</w:t>
      </w:r>
      <w:r w:rsidRPr="00B055B2">
        <w:rPr>
          <w:rFonts w:asciiTheme="majorBidi" w:hAnsiTheme="majorBidi" w:cstheme="majorBidi"/>
          <w:lang w:bidi="he-IL"/>
        </w:rPr>
        <w:t xml:space="preserve"> have served in the IDF, a background that has several distinct implications for </w:t>
      </w:r>
      <w:r w:rsidR="00582E47" w:rsidRPr="00B055B2">
        <w:rPr>
          <w:rFonts w:asciiTheme="majorBidi" w:hAnsiTheme="majorBidi" w:cstheme="majorBidi"/>
          <w:lang w:bidi="he-IL"/>
        </w:rPr>
        <w:t>their professional roles</w:t>
      </w:r>
      <w:r w:rsidRPr="00B055B2">
        <w:rPr>
          <w:rFonts w:asciiTheme="majorBidi" w:hAnsiTheme="majorBidi" w:cstheme="majorBidi"/>
          <w:lang w:bidi="he-IL"/>
        </w:rPr>
        <w:t>:</w:t>
      </w:r>
    </w:p>
    <w:p w14:paraId="3A97E296" w14:textId="3F0D31D9" w:rsidR="00425A29" w:rsidRPr="00B055B2" w:rsidRDefault="00582E47" w:rsidP="00425A29">
      <w:pPr>
        <w:pStyle w:val="ListParagraph"/>
        <w:numPr>
          <w:ilvl w:val="0"/>
          <w:numId w:val="1"/>
        </w:numPr>
        <w:spacing w:line="360" w:lineRule="auto"/>
        <w:rPr>
          <w:rFonts w:asciiTheme="majorBidi" w:hAnsiTheme="majorBidi" w:cstheme="majorBidi"/>
          <w:lang w:bidi="he-IL"/>
        </w:rPr>
      </w:pPr>
      <w:r w:rsidRPr="00B055B2">
        <w:rPr>
          <w:rFonts w:asciiTheme="majorBidi" w:hAnsiTheme="majorBidi" w:cstheme="majorBidi"/>
          <w:lang w:bidi="he-IL"/>
        </w:rPr>
        <w:t>Soldiers’ behavior is often characterized by</w:t>
      </w:r>
      <w:r w:rsidR="00425A29" w:rsidRPr="00B055B2">
        <w:rPr>
          <w:rFonts w:asciiTheme="majorBidi" w:hAnsiTheme="majorBidi" w:cstheme="majorBidi"/>
          <w:lang w:bidi="he-IL"/>
        </w:rPr>
        <w:t xml:space="preserve"> exaggerated forms of masculinity, which can be expressed in violent behavior (Harris, 2000).</w:t>
      </w:r>
    </w:p>
    <w:p w14:paraId="74429E6A" w14:textId="3849DDEF" w:rsidR="00425A29" w:rsidRPr="00B055B2" w:rsidRDefault="00425A29" w:rsidP="00425A29">
      <w:pPr>
        <w:pStyle w:val="ListParagraph"/>
        <w:numPr>
          <w:ilvl w:val="0"/>
          <w:numId w:val="1"/>
        </w:numPr>
        <w:spacing w:line="360" w:lineRule="auto"/>
        <w:rPr>
          <w:rFonts w:asciiTheme="majorBidi" w:hAnsiTheme="majorBidi" w:cstheme="majorBidi"/>
          <w:lang w:bidi="he-IL"/>
        </w:rPr>
      </w:pPr>
      <w:r w:rsidRPr="00B055B2">
        <w:rPr>
          <w:rFonts w:asciiTheme="majorBidi" w:hAnsiTheme="majorBidi" w:cstheme="majorBidi"/>
          <w:lang w:bidi="he-IL"/>
        </w:rPr>
        <w:lastRenderedPageBreak/>
        <w:t xml:space="preserve">The values of comradeship and </w:t>
      </w:r>
      <w:r w:rsidR="00582E47" w:rsidRPr="00B055B2">
        <w:rPr>
          <w:rFonts w:asciiTheme="majorBidi" w:hAnsiTheme="majorBidi" w:cstheme="majorBidi"/>
          <w:lang w:bidi="he-IL"/>
        </w:rPr>
        <w:t>combatant brotherhood</w:t>
      </w:r>
      <w:r w:rsidRPr="00B055B2">
        <w:rPr>
          <w:rFonts w:asciiTheme="majorBidi" w:hAnsiTheme="majorBidi" w:cstheme="majorBidi"/>
          <w:lang w:bidi="he-IL"/>
        </w:rPr>
        <w:t xml:space="preserve"> foster a </w:t>
      </w:r>
      <w:r w:rsidR="00582E47" w:rsidRPr="00B055B2">
        <w:rPr>
          <w:rFonts w:asciiTheme="majorBidi" w:hAnsiTheme="majorBidi" w:cstheme="majorBidi"/>
          <w:lang w:bidi="he-IL"/>
        </w:rPr>
        <w:t>“</w:t>
      </w:r>
      <w:r w:rsidRPr="00B055B2">
        <w:rPr>
          <w:rFonts w:asciiTheme="majorBidi" w:hAnsiTheme="majorBidi" w:cstheme="majorBidi"/>
          <w:lang w:bidi="he-IL"/>
        </w:rPr>
        <w:t>green code of silence,</w:t>
      </w:r>
      <w:r w:rsidR="00582E47" w:rsidRPr="00B055B2">
        <w:rPr>
          <w:rFonts w:asciiTheme="majorBidi" w:hAnsiTheme="majorBidi" w:cstheme="majorBidi"/>
          <w:lang w:bidi="he-IL"/>
        </w:rPr>
        <w:t>”</w:t>
      </w:r>
      <w:r w:rsidRPr="00B055B2">
        <w:rPr>
          <w:rFonts w:asciiTheme="majorBidi" w:hAnsiTheme="majorBidi" w:cstheme="majorBidi"/>
          <w:lang w:bidi="he-IL"/>
        </w:rPr>
        <w:t xml:space="preserve"> rooted in mutual loyalty and </w:t>
      </w:r>
      <w:r w:rsidR="00582E47" w:rsidRPr="00B055B2">
        <w:rPr>
          <w:rFonts w:asciiTheme="majorBidi" w:hAnsiTheme="majorBidi" w:cstheme="majorBidi"/>
          <w:lang w:bidi="he-IL"/>
        </w:rPr>
        <w:t xml:space="preserve">a </w:t>
      </w:r>
      <w:r w:rsidRPr="00B055B2">
        <w:rPr>
          <w:rFonts w:asciiTheme="majorBidi" w:hAnsiTheme="majorBidi" w:cstheme="majorBidi"/>
          <w:lang w:bidi="he-IL"/>
        </w:rPr>
        <w:t>willingness to risk one’s life for one’s peers (</w:t>
      </w:r>
      <w:proofErr w:type="spellStart"/>
      <w:r w:rsidRPr="00B055B2">
        <w:rPr>
          <w:rFonts w:asciiTheme="majorBidi" w:hAnsiTheme="majorBidi" w:cstheme="majorBidi"/>
          <w:lang w:bidi="he-IL"/>
        </w:rPr>
        <w:t>Sasson</w:t>
      </w:r>
      <w:proofErr w:type="spellEnd"/>
      <w:r w:rsidRPr="00B055B2">
        <w:rPr>
          <w:rFonts w:asciiTheme="majorBidi" w:hAnsiTheme="majorBidi" w:cstheme="majorBidi"/>
          <w:lang w:bidi="he-IL"/>
        </w:rPr>
        <w:t xml:space="preserve">‑Levy, 2006). For former soldiers who later join the police, adopting the </w:t>
      </w:r>
      <w:r w:rsidR="00582E47" w:rsidRPr="00B055B2">
        <w:rPr>
          <w:rFonts w:asciiTheme="majorBidi" w:hAnsiTheme="majorBidi" w:cstheme="majorBidi"/>
          <w:lang w:bidi="he-IL"/>
        </w:rPr>
        <w:t>“</w:t>
      </w:r>
      <w:r w:rsidRPr="00B055B2">
        <w:rPr>
          <w:rFonts w:asciiTheme="majorBidi" w:hAnsiTheme="majorBidi" w:cstheme="majorBidi"/>
          <w:lang w:bidi="he-IL"/>
        </w:rPr>
        <w:t>blue code of silence</w:t>
      </w:r>
      <w:r w:rsidR="00582E47" w:rsidRPr="00B055B2">
        <w:rPr>
          <w:rFonts w:asciiTheme="majorBidi" w:hAnsiTheme="majorBidi" w:cstheme="majorBidi"/>
          <w:lang w:bidi="he-IL"/>
        </w:rPr>
        <w:t>”</w:t>
      </w:r>
      <w:r w:rsidRPr="00B055B2">
        <w:rPr>
          <w:rFonts w:asciiTheme="majorBidi" w:hAnsiTheme="majorBidi" w:cstheme="majorBidi"/>
          <w:lang w:bidi="he-IL"/>
        </w:rPr>
        <w:t xml:space="preserve"> often requires little more than minimal adaptation of the military code they already know.</w:t>
      </w:r>
    </w:p>
    <w:p w14:paraId="1423E287" w14:textId="069A07FE" w:rsidR="00425A29" w:rsidRPr="00B055B2" w:rsidRDefault="000B2C2C" w:rsidP="00425A29">
      <w:pPr>
        <w:pStyle w:val="ListParagraph"/>
        <w:numPr>
          <w:ilvl w:val="0"/>
          <w:numId w:val="1"/>
        </w:numPr>
        <w:spacing w:line="360" w:lineRule="auto"/>
        <w:rPr>
          <w:rFonts w:asciiTheme="majorBidi" w:hAnsiTheme="majorBidi" w:cstheme="majorBidi"/>
          <w:lang w:bidi="he-IL"/>
        </w:rPr>
      </w:pPr>
      <w:r w:rsidRPr="00B055B2">
        <w:rPr>
          <w:rFonts w:asciiTheme="majorBidi" w:hAnsiTheme="majorBidi" w:cstheme="majorBidi"/>
          <w:lang w:bidi="he-IL"/>
        </w:rPr>
        <w:t>Unlike their European or American counterparts, who typically lack military experience, Israeli police officers discharged from the IDF may suffer from post-traumatic symptoms which, when combined with experiences encountered in police work, can develop into cumulative trauma.</w:t>
      </w:r>
    </w:p>
    <w:p w14:paraId="45354AB4" w14:textId="731C16C0" w:rsidR="00425A29" w:rsidRPr="00B055B2" w:rsidRDefault="00425A29" w:rsidP="00425A29">
      <w:pPr>
        <w:pStyle w:val="ListParagraph"/>
        <w:numPr>
          <w:ilvl w:val="0"/>
          <w:numId w:val="1"/>
        </w:numPr>
        <w:spacing w:line="360" w:lineRule="auto"/>
        <w:rPr>
          <w:rFonts w:asciiTheme="majorBidi" w:hAnsiTheme="majorBidi" w:cstheme="majorBidi"/>
          <w:lang w:bidi="he-IL"/>
        </w:rPr>
      </w:pPr>
      <w:r w:rsidRPr="00B055B2">
        <w:rPr>
          <w:rFonts w:asciiTheme="majorBidi" w:hAnsiTheme="majorBidi" w:cstheme="majorBidi"/>
          <w:lang w:bidi="he-IL"/>
        </w:rPr>
        <w:t xml:space="preserve">The goals and operational methods of the police are often shaped by a militaristic‑patriarchal worldview. </w:t>
      </w:r>
      <w:r w:rsidR="000B2C2C" w:rsidRPr="00B055B2">
        <w:rPr>
          <w:rFonts w:asciiTheme="majorBidi" w:hAnsiTheme="majorBidi" w:cstheme="majorBidi"/>
          <w:lang w:bidi="he-IL"/>
        </w:rPr>
        <w:t>Consequently, community policing tends to receive less attention than special units frequently established to combat terrorism, particularly following the outbreak of the war in 2023.</w:t>
      </w:r>
    </w:p>
    <w:p w14:paraId="79AF9E3E" w14:textId="05259504" w:rsidR="00D94422" w:rsidRPr="00B055B2" w:rsidRDefault="000B2C2C" w:rsidP="00425A29">
      <w:pPr>
        <w:pStyle w:val="ListParagraph"/>
        <w:numPr>
          <w:ilvl w:val="0"/>
          <w:numId w:val="1"/>
        </w:numPr>
        <w:spacing w:line="360" w:lineRule="auto"/>
        <w:rPr>
          <w:rFonts w:asciiTheme="majorBidi" w:hAnsiTheme="majorBidi" w:cstheme="majorBidi"/>
          <w:lang w:bidi="he-IL"/>
        </w:rPr>
      </w:pPr>
      <w:r w:rsidRPr="00B055B2">
        <w:rPr>
          <w:rFonts w:asciiTheme="majorBidi" w:hAnsiTheme="majorBidi" w:cstheme="majorBidi"/>
          <w:lang w:bidi="he-IL"/>
        </w:rPr>
        <w:t>Israeli police officers are issued weapons according to their role and place of service and carry them even outside working hours, for purposes of self-defense and participation in local security arrangements within their communities. Following the outbreak of the war in October 2023, armament in Israel intensified dramatically: more weapons are now in civilian hands than ever before, both in terms of the number of permits issued and the number of weapons in circulation.</w:t>
      </w:r>
    </w:p>
    <w:p w14:paraId="3D173B35" w14:textId="4E2194A3" w:rsidR="006F77CE" w:rsidRPr="00B055B2" w:rsidRDefault="00ED002A" w:rsidP="00D94422">
      <w:pPr>
        <w:spacing w:line="360" w:lineRule="auto"/>
        <w:ind w:firstLine="720"/>
        <w:rPr>
          <w:rFonts w:asciiTheme="majorBidi" w:hAnsiTheme="majorBidi" w:cstheme="majorBidi"/>
          <w:lang w:bidi="he-IL"/>
        </w:rPr>
      </w:pPr>
      <w:r w:rsidRPr="00B055B2">
        <w:rPr>
          <w:rFonts w:asciiTheme="majorBidi" w:hAnsiTheme="majorBidi" w:cstheme="majorBidi"/>
          <w:lang w:bidi="he-IL"/>
        </w:rPr>
        <w:t xml:space="preserve">Additional factors that influence the likelihood of </w:t>
      </w:r>
      <w:r w:rsidR="00614C3B" w:rsidRPr="00B055B2">
        <w:rPr>
          <w:rFonts w:asciiTheme="majorBidi" w:hAnsiTheme="majorBidi" w:cstheme="majorBidi"/>
          <w:lang w:bidi="he-IL"/>
        </w:rPr>
        <w:t>domestic violence</w:t>
      </w:r>
      <w:r w:rsidRPr="00B055B2">
        <w:rPr>
          <w:rFonts w:asciiTheme="majorBidi" w:hAnsiTheme="majorBidi" w:cstheme="majorBidi"/>
          <w:lang w:bidi="he-IL"/>
        </w:rPr>
        <w:t xml:space="preserve"> in Israeli police families relate to the officers’ employment conditions, which are significantly worse than those of their counterparts in Western countries. The ban on unionization, imposed in the 1970s, is highly unusual compared to other Western police forces and prevents officers from advocating for their rights or participating in decision-making processes. Their salaries are substantially lower than those of police officers abroad, and their working conditions contribute to high levels of stress and burnout. A 2003 study (</w:t>
      </w:r>
      <w:proofErr w:type="spellStart"/>
      <w:r w:rsidRPr="00B055B2">
        <w:rPr>
          <w:rFonts w:asciiTheme="majorBidi" w:hAnsiTheme="majorBidi" w:cstheme="majorBidi"/>
          <w:lang w:bidi="he-IL"/>
        </w:rPr>
        <w:t>Malach</w:t>
      </w:r>
      <w:proofErr w:type="spellEnd"/>
      <w:r w:rsidRPr="00B055B2">
        <w:rPr>
          <w:rFonts w:asciiTheme="majorBidi" w:hAnsiTheme="majorBidi" w:cstheme="majorBidi"/>
          <w:lang w:bidi="he-IL"/>
        </w:rPr>
        <w:t xml:space="preserve">-Pines &amp; </w:t>
      </w:r>
      <w:proofErr w:type="spellStart"/>
      <w:r w:rsidRPr="00B055B2">
        <w:rPr>
          <w:rFonts w:asciiTheme="majorBidi" w:hAnsiTheme="majorBidi" w:cstheme="majorBidi"/>
          <w:lang w:bidi="he-IL"/>
        </w:rPr>
        <w:t>Keinan</w:t>
      </w:r>
      <w:proofErr w:type="spellEnd"/>
      <w:r w:rsidRPr="00B055B2">
        <w:rPr>
          <w:rFonts w:asciiTheme="majorBidi" w:hAnsiTheme="majorBidi" w:cstheme="majorBidi"/>
          <w:lang w:bidi="he-IL"/>
        </w:rPr>
        <w:t>, 2003) found that a quarter of Israeli police officers felt the organization treated them unfairly, attributing this to inadequate compensation for their contributions. They also cited excessive workloads, long shifts (nine mandatory hours compared to the standard eight-hour workday in the Israeli labor market), and unfair treatment by commanding officers. Since 1974, when responsibility for internal security was transferred to the police</w:t>
      </w:r>
      <w:r w:rsidR="00EA75BB" w:rsidRPr="00B055B2">
        <w:rPr>
          <w:rFonts w:asciiTheme="majorBidi" w:hAnsiTheme="majorBidi" w:cstheme="majorBidi"/>
          <w:lang w:bidi="he-IL"/>
        </w:rPr>
        <w:t xml:space="preserve"> </w:t>
      </w:r>
      <w:r w:rsidRPr="00B055B2">
        <w:rPr>
          <w:rFonts w:asciiTheme="majorBidi" w:hAnsiTheme="majorBidi" w:cstheme="majorBidi"/>
          <w:lang w:bidi="he-IL"/>
        </w:rPr>
        <w:t>without a corresponding increase in personnel or budget</w:t>
      </w:r>
      <w:r w:rsidR="00EA75BB" w:rsidRPr="00B055B2">
        <w:rPr>
          <w:rFonts w:asciiTheme="majorBidi" w:hAnsiTheme="majorBidi" w:cstheme="majorBidi"/>
          <w:lang w:bidi="he-IL"/>
        </w:rPr>
        <w:t xml:space="preserve">, </w:t>
      </w:r>
      <w:r w:rsidRPr="00B055B2">
        <w:rPr>
          <w:rFonts w:asciiTheme="majorBidi" w:hAnsiTheme="majorBidi" w:cstheme="majorBidi"/>
          <w:lang w:bidi="he-IL"/>
        </w:rPr>
        <w:t xml:space="preserve">these </w:t>
      </w:r>
      <w:r w:rsidRPr="00B055B2">
        <w:rPr>
          <w:rFonts w:asciiTheme="majorBidi" w:hAnsiTheme="majorBidi" w:cstheme="majorBidi"/>
          <w:lang w:bidi="he-IL"/>
        </w:rPr>
        <w:lastRenderedPageBreak/>
        <w:t>pressures have only intensified, resulting in a growing gap between the scope of responsibilities and the resources available to fulfill them.</w:t>
      </w:r>
    </w:p>
    <w:p w14:paraId="33546B6B" w14:textId="38F131D8" w:rsidR="00EA75BB" w:rsidRPr="00B055B2" w:rsidRDefault="00EA75BB" w:rsidP="00D94422">
      <w:pPr>
        <w:spacing w:line="360" w:lineRule="auto"/>
        <w:ind w:firstLine="720"/>
        <w:rPr>
          <w:rFonts w:asciiTheme="majorBidi" w:hAnsiTheme="majorBidi" w:cstheme="majorBidi"/>
          <w:lang w:bidi="he-IL"/>
        </w:rPr>
      </w:pPr>
      <w:r w:rsidRPr="00B055B2">
        <w:rPr>
          <w:rFonts w:asciiTheme="majorBidi" w:hAnsiTheme="majorBidi" w:cstheme="majorBidi"/>
          <w:lang w:bidi="he-IL"/>
        </w:rPr>
        <w:t xml:space="preserve">Moreover, Israel has an exceptionally large police volunteer corps compared to other countries—an indicator, to a significant degree, of the organization’s structural weakness. This has allowed volunteers to enter operational areas of policing from which volunteers are typically excluded elsewhere. The volunteer force currently numbers approximately 25,000 individuals. However, </w:t>
      </w:r>
      <w:commentRangeStart w:id="5"/>
      <w:r w:rsidRPr="00B055B2">
        <w:rPr>
          <w:rFonts w:asciiTheme="majorBidi" w:hAnsiTheme="majorBidi" w:cstheme="majorBidi"/>
          <w:lang w:bidi="he-IL"/>
        </w:rPr>
        <w:t>following the events of May 2021</w:t>
      </w:r>
      <w:commentRangeEnd w:id="5"/>
      <w:r w:rsidR="002970EC" w:rsidRPr="00B055B2">
        <w:rPr>
          <w:rStyle w:val="CommentReference"/>
          <w:rFonts w:asciiTheme="majorBidi" w:hAnsiTheme="majorBidi" w:cstheme="majorBidi"/>
          <w:sz w:val="24"/>
          <w:szCs w:val="24"/>
          <w:lang w:bidi="he-IL"/>
        </w:rPr>
        <w:commentReference w:id="5"/>
      </w:r>
      <w:r w:rsidRPr="00B055B2">
        <w:rPr>
          <w:rFonts w:asciiTheme="majorBidi" w:hAnsiTheme="majorBidi" w:cstheme="majorBidi"/>
          <w:lang w:bidi="he-IL"/>
        </w:rPr>
        <w:t>, the Ministry of National Security decided to recruit volunteers for roles of a more militarized nature, in order to compensate for the shortage of police personnel that had affected the force’s ability to respond during that period.</w:t>
      </w:r>
    </w:p>
    <w:p w14:paraId="4741585E" w14:textId="42A9BAA5" w:rsidR="00B71976" w:rsidRPr="00B055B2" w:rsidRDefault="00B71976" w:rsidP="008E6836">
      <w:pPr>
        <w:spacing w:line="360" w:lineRule="auto"/>
        <w:ind w:firstLine="720"/>
        <w:rPr>
          <w:rFonts w:asciiTheme="majorBidi" w:hAnsiTheme="majorBidi" w:cstheme="majorBidi"/>
          <w:lang w:bidi="he-IL"/>
        </w:rPr>
      </w:pPr>
      <w:r w:rsidRPr="00B055B2">
        <w:rPr>
          <w:rFonts w:asciiTheme="majorBidi" w:hAnsiTheme="majorBidi" w:cstheme="majorBidi"/>
          <w:lang w:bidi="he-IL"/>
        </w:rPr>
        <w:t>A final aspect of the unique social fabric of Israeli society concerns the presence of multiple minority groups and their position within the social structure. As of 2023, Muslims constituted 18.1% of the population, yet accounted for only 1% of police officers, including 737 career officers and 189 conscripts (</w:t>
      </w:r>
      <w:commentRangeStart w:id="6"/>
      <w:r w:rsidRPr="00B055B2">
        <w:rPr>
          <w:rFonts w:asciiTheme="majorBidi" w:hAnsiTheme="majorBidi" w:cstheme="majorBidi"/>
          <w:lang w:bidi="he-IL"/>
        </w:rPr>
        <w:t>Police Transparency Data, 2022</w:t>
      </w:r>
      <w:commentRangeEnd w:id="6"/>
      <w:r w:rsidRPr="00B055B2">
        <w:rPr>
          <w:rStyle w:val="CommentReference"/>
          <w:rFonts w:asciiTheme="majorBidi" w:hAnsiTheme="majorBidi" w:cstheme="majorBidi"/>
          <w:sz w:val="24"/>
          <w:szCs w:val="24"/>
          <w:lang w:bidi="he-IL"/>
        </w:rPr>
        <w:commentReference w:id="6"/>
      </w:r>
      <w:r w:rsidRPr="00B055B2">
        <w:rPr>
          <w:rFonts w:asciiTheme="majorBidi" w:hAnsiTheme="majorBidi" w:cstheme="majorBidi"/>
          <w:lang w:bidi="he-IL"/>
        </w:rPr>
        <w:t xml:space="preserve">). By contrast, immigrants from Ethiopia comprise approximately 2% of the population but 4% of police personnel, while the Druze, who represent 1.6% of the population, are markedly overrepresented in the security forces, constituting 7% of police personnel as of 2022. These disparities are significant, as they reflect minority groups in which patriarchal norms concerning women’s status are particularly pronounced, a factor associated with an increased risk of violence and even </w:t>
      </w:r>
      <w:r w:rsidR="008E6836">
        <w:rPr>
          <w:rFonts w:asciiTheme="majorBidi" w:hAnsiTheme="majorBidi" w:cstheme="majorBidi"/>
          <w:lang w:bidi="he-IL"/>
        </w:rPr>
        <w:t>murder</w:t>
      </w:r>
      <w:r w:rsidRPr="00B055B2">
        <w:rPr>
          <w:rFonts w:asciiTheme="majorBidi" w:hAnsiTheme="majorBidi" w:cstheme="majorBidi"/>
          <w:lang w:bidi="he-IL"/>
        </w:rPr>
        <w:t xml:space="preserve"> (Haj-</w:t>
      </w:r>
      <w:proofErr w:type="spellStart"/>
      <w:r w:rsidRPr="00B055B2">
        <w:rPr>
          <w:rFonts w:asciiTheme="majorBidi" w:hAnsiTheme="majorBidi" w:cstheme="majorBidi"/>
          <w:lang w:bidi="he-IL"/>
        </w:rPr>
        <w:t>Yahia</w:t>
      </w:r>
      <w:proofErr w:type="spellEnd"/>
      <w:r w:rsidRPr="00B055B2">
        <w:rPr>
          <w:rFonts w:asciiTheme="majorBidi" w:hAnsiTheme="majorBidi" w:cstheme="majorBidi"/>
          <w:lang w:bidi="he-IL"/>
        </w:rPr>
        <w:t>, 2015; Edelstein, 2012). Indeed, the proportion of murder victims from Ethiopian immigrant and Muslim families is disproportionately high relative to their share of the population.</w:t>
      </w:r>
    </w:p>
    <w:p w14:paraId="106BA560" w14:textId="77777777" w:rsidR="00F80DDB" w:rsidRPr="00B055B2" w:rsidRDefault="00F80DDB" w:rsidP="00D11CEB">
      <w:pPr>
        <w:spacing w:line="360" w:lineRule="auto"/>
        <w:ind w:firstLine="720"/>
        <w:rPr>
          <w:rFonts w:asciiTheme="majorBidi" w:hAnsiTheme="majorBidi" w:cstheme="majorBidi"/>
          <w:lang w:bidi="he-IL"/>
        </w:rPr>
      </w:pPr>
    </w:p>
    <w:p w14:paraId="68E303DE" w14:textId="77777777" w:rsidR="005E7A67" w:rsidRPr="00B055B2" w:rsidRDefault="005E7A67" w:rsidP="005E7A67">
      <w:pPr>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Domestic Violence Offenses Committed by Police Officers in Israel: A Brief Chronological Overview</w:t>
      </w:r>
    </w:p>
    <w:p w14:paraId="1CEF861C" w14:textId="7C7C2E17" w:rsidR="00C22DD4" w:rsidRPr="00B055B2" w:rsidRDefault="0067589E" w:rsidP="0005081C">
      <w:pPr>
        <w:spacing w:line="360" w:lineRule="auto"/>
        <w:rPr>
          <w:rFonts w:asciiTheme="majorBidi" w:hAnsiTheme="majorBidi" w:cstheme="majorBidi"/>
          <w:lang w:bidi="he-IL"/>
        </w:rPr>
      </w:pPr>
      <w:r w:rsidRPr="00B055B2">
        <w:rPr>
          <w:rFonts w:asciiTheme="majorBidi" w:hAnsiTheme="majorBidi" w:cstheme="majorBidi"/>
          <w:lang w:bidi="he-IL"/>
        </w:rPr>
        <w:t>Analysis of the materials collected points to a clear division of Israeli history into three distinct periods regarding the availability of information about domestic violence perpetrated by police officers, the level of awareness of this phenomenon, and the policies adopted by law enforcement and welfare systems in response to it, including preventive measures where such measures exist.</w:t>
      </w:r>
      <w:r w:rsidR="00067D41" w:rsidRPr="00B055B2">
        <w:rPr>
          <w:rFonts w:asciiTheme="majorBidi" w:hAnsiTheme="majorBidi" w:cstheme="majorBidi"/>
          <w:lang w:bidi="he-IL"/>
        </w:rPr>
        <w:t xml:space="preserve"> While the first two parameters—information and awareness—have evolved significantly over time, they have yet to </w:t>
      </w:r>
      <w:r w:rsidRPr="00B055B2">
        <w:rPr>
          <w:rFonts w:asciiTheme="majorBidi" w:hAnsiTheme="majorBidi" w:cstheme="majorBidi"/>
          <w:lang w:bidi="he-IL"/>
        </w:rPr>
        <w:t xml:space="preserve">be </w:t>
      </w:r>
      <w:r w:rsidR="00067D41" w:rsidRPr="00B055B2">
        <w:rPr>
          <w:rFonts w:asciiTheme="majorBidi" w:hAnsiTheme="majorBidi" w:cstheme="majorBidi"/>
          <w:lang w:bidi="he-IL"/>
        </w:rPr>
        <w:t>translate</w:t>
      </w:r>
      <w:r w:rsidRPr="00B055B2">
        <w:rPr>
          <w:rFonts w:asciiTheme="majorBidi" w:hAnsiTheme="majorBidi" w:cstheme="majorBidi"/>
          <w:lang w:bidi="he-IL"/>
        </w:rPr>
        <w:t>d</w:t>
      </w:r>
      <w:r w:rsidR="00067D41" w:rsidRPr="00B055B2">
        <w:rPr>
          <w:rFonts w:asciiTheme="majorBidi" w:hAnsiTheme="majorBidi" w:cstheme="majorBidi"/>
          <w:lang w:bidi="he-IL"/>
        </w:rPr>
        <w:t xml:space="preserve"> into </w:t>
      </w:r>
      <w:r w:rsidRPr="00B055B2">
        <w:rPr>
          <w:rFonts w:asciiTheme="majorBidi" w:hAnsiTheme="majorBidi" w:cstheme="majorBidi"/>
          <w:lang w:bidi="he-IL"/>
        </w:rPr>
        <w:t>adequate</w:t>
      </w:r>
      <w:r w:rsidR="00067D41" w:rsidRPr="00B055B2">
        <w:rPr>
          <w:rFonts w:asciiTheme="majorBidi" w:hAnsiTheme="majorBidi" w:cstheme="majorBidi"/>
          <w:lang w:bidi="he-IL"/>
        </w:rPr>
        <w:t xml:space="preserve"> prevention or </w:t>
      </w:r>
      <w:r w:rsidR="004721D2" w:rsidRPr="00B055B2">
        <w:rPr>
          <w:rFonts w:asciiTheme="majorBidi" w:hAnsiTheme="majorBidi" w:cstheme="majorBidi"/>
          <w:lang w:bidi="he-IL"/>
        </w:rPr>
        <w:t>treatment</w:t>
      </w:r>
      <w:r w:rsidR="00067D41" w:rsidRPr="00B055B2">
        <w:rPr>
          <w:rFonts w:asciiTheme="majorBidi" w:hAnsiTheme="majorBidi" w:cstheme="majorBidi"/>
          <w:lang w:bidi="he-IL"/>
        </w:rPr>
        <w:t xml:space="preserve"> efforts.</w:t>
      </w:r>
    </w:p>
    <w:p w14:paraId="42A1D77C" w14:textId="5BC61B73" w:rsidR="00067D41" w:rsidRPr="00B055B2" w:rsidRDefault="008645A3" w:rsidP="008645A3">
      <w:pPr>
        <w:spacing w:line="360" w:lineRule="auto"/>
        <w:rPr>
          <w:rFonts w:asciiTheme="majorBidi" w:hAnsiTheme="majorBidi" w:cstheme="majorBidi"/>
          <w:lang w:bidi="he-IL"/>
        </w:rPr>
      </w:pPr>
      <w:r w:rsidRPr="00B055B2">
        <w:rPr>
          <w:rFonts w:asciiTheme="majorBidi" w:hAnsiTheme="majorBidi" w:cstheme="majorBidi"/>
          <w:lang w:bidi="he-IL"/>
        </w:rPr>
        <w:lastRenderedPageBreak/>
        <w:tab/>
        <w:t>The first period</w:t>
      </w:r>
      <w:r w:rsidR="00AA3BDA" w:rsidRPr="00B055B2">
        <w:rPr>
          <w:rFonts w:asciiTheme="majorBidi" w:hAnsiTheme="majorBidi" w:cstheme="majorBidi"/>
          <w:lang w:bidi="he-IL"/>
        </w:rPr>
        <w:t xml:space="preserve"> </w:t>
      </w:r>
      <w:r w:rsidRPr="00B055B2">
        <w:rPr>
          <w:rFonts w:asciiTheme="majorBidi" w:hAnsiTheme="majorBidi" w:cstheme="majorBidi"/>
          <w:lang w:bidi="he-IL"/>
        </w:rPr>
        <w:t xml:space="preserve">(1948–1999) </w:t>
      </w:r>
      <w:r w:rsidR="00AA3BDA" w:rsidRPr="00B055B2">
        <w:rPr>
          <w:rFonts w:asciiTheme="majorBidi" w:hAnsiTheme="majorBidi" w:cstheme="majorBidi"/>
          <w:lang w:bidi="he-IL"/>
        </w:rPr>
        <w:t>remains largely unexplored and awaits a dedicated historian to uncover its hidden dimensions.</w:t>
      </w:r>
      <w:r w:rsidRPr="00B055B2">
        <w:rPr>
          <w:rFonts w:asciiTheme="majorBidi" w:hAnsiTheme="majorBidi" w:cstheme="majorBidi"/>
          <w:lang w:bidi="he-IL"/>
        </w:rPr>
        <w:t xml:space="preserve"> The second period</w:t>
      </w:r>
      <w:r w:rsidR="00AA3BDA" w:rsidRPr="00B055B2">
        <w:rPr>
          <w:rFonts w:asciiTheme="majorBidi" w:hAnsiTheme="majorBidi" w:cstheme="majorBidi"/>
          <w:lang w:bidi="he-IL"/>
        </w:rPr>
        <w:t xml:space="preserve"> </w:t>
      </w:r>
      <w:r w:rsidRPr="00B055B2">
        <w:rPr>
          <w:rFonts w:asciiTheme="majorBidi" w:hAnsiTheme="majorBidi" w:cstheme="majorBidi"/>
          <w:lang w:bidi="he-IL"/>
        </w:rPr>
        <w:t>(2000–2017)</w:t>
      </w:r>
      <w:r w:rsidR="007E656F" w:rsidRPr="00B055B2">
        <w:rPr>
          <w:rFonts w:asciiTheme="majorBidi" w:hAnsiTheme="majorBidi" w:cstheme="majorBidi"/>
          <w:lang w:bidi="he-IL"/>
        </w:rPr>
        <w:t xml:space="preserve">, which began </w:t>
      </w:r>
      <w:r w:rsidRPr="00B055B2">
        <w:rPr>
          <w:rFonts w:asciiTheme="majorBidi" w:hAnsiTheme="majorBidi" w:cstheme="majorBidi"/>
          <w:lang w:bidi="he-IL"/>
        </w:rPr>
        <w:t>at the turn of the 21</w:t>
      </w:r>
      <w:r w:rsidRPr="00B055B2">
        <w:rPr>
          <w:rFonts w:asciiTheme="majorBidi" w:hAnsiTheme="majorBidi" w:cstheme="majorBidi"/>
          <w:vertAlign w:val="superscript"/>
          <w:lang w:bidi="he-IL"/>
        </w:rPr>
        <w:t>st</w:t>
      </w:r>
      <w:r w:rsidR="00AA3BDA" w:rsidRPr="00B055B2">
        <w:rPr>
          <w:rFonts w:asciiTheme="majorBidi" w:hAnsiTheme="majorBidi" w:cstheme="majorBidi"/>
          <w:lang w:bidi="he-IL"/>
        </w:rPr>
        <w:t xml:space="preserve"> </w:t>
      </w:r>
      <w:r w:rsidRPr="00B055B2">
        <w:rPr>
          <w:rFonts w:asciiTheme="majorBidi" w:hAnsiTheme="majorBidi" w:cstheme="majorBidi"/>
          <w:lang w:bidi="he-IL"/>
        </w:rPr>
        <w:t>century</w:t>
      </w:r>
      <w:r w:rsidR="007E656F" w:rsidRPr="00B055B2">
        <w:rPr>
          <w:rFonts w:asciiTheme="majorBidi" w:hAnsiTheme="majorBidi" w:cstheme="majorBidi"/>
          <w:lang w:bidi="he-IL"/>
        </w:rPr>
        <w:t>,</w:t>
      </w:r>
      <w:r w:rsidRPr="00B055B2">
        <w:rPr>
          <w:rFonts w:asciiTheme="majorBidi" w:hAnsiTheme="majorBidi" w:cstheme="majorBidi"/>
          <w:lang w:bidi="he-IL"/>
        </w:rPr>
        <w:t xml:space="preserve"> was shaped primarily by three developments. First, the rise of the internet</w:t>
      </w:r>
      <w:r w:rsidR="00AA3BDA" w:rsidRPr="00B055B2">
        <w:rPr>
          <w:rFonts w:asciiTheme="majorBidi" w:hAnsiTheme="majorBidi" w:cstheme="majorBidi"/>
          <w:lang w:bidi="he-IL"/>
        </w:rPr>
        <w:t xml:space="preserve">, </w:t>
      </w:r>
      <w:r w:rsidRPr="00B055B2">
        <w:rPr>
          <w:rFonts w:asciiTheme="majorBidi" w:hAnsiTheme="majorBidi" w:cstheme="majorBidi"/>
          <w:lang w:bidi="he-IL"/>
        </w:rPr>
        <w:t>particularly newspaper websites and legal databases</w:t>
      </w:r>
      <w:r w:rsidR="007E656F" w:rsidRPr="00B055B2">
        <w:rPr>
          <w:rFonts w:asciiTheme="majorBidi" w:hAnsiTheme="majorBidi" w:cstheme="majorBidi"/>
          <w:lang w:bidi="he-IL"/>
        </w:rPr>
        <w:t>, enabled targeted keyword and name-based searches, greatly increasing the availability of information.</w:t>
      </w:r>
      <w:r w:rsidRPr="00B055B2">
        <w:rPr>
          <w:rFonts w:asciiTheme="majorBidi" w:hAnsiTheme="majorBidi" w:cstheme="majorBidi"/>
          <w:lang w:bidi="he-IL"/>
        </w:rPr>
        <w:t xml:space="preserve"> </w:t>
      </w:r>
      <w:r w:rsidR="007E656F" w:rsidRPr="00B055B2">
        <w:rPr>
          <w:rFonts w:asciiTheme="majorBidi" w:hAnsiTheme="majorBidi" w:cstheme="majorBidi"/>
          <w:lang w:bidi="he-IL"/>
        </w:rPr>
        <w:t>Second, public and governmental awareness of unlawful police use of force increased, though this awareness generally addressed police violence as a broader issue rather than IPV incidents specifically.</w:t>
      </w:r>
      <w:r w:rsidRPr="00B055B2">
        <w:rPr>
          <w:rFonts w:asciiTheme="majorBidi" w:hAnsiTheme="majorBidi" w:cstheme="majorBidi"/>
          <w:lang w:bidi="he-IL"/>
        </w:rPr>
        <w:t xml:space="preserve"> Third, the outbreak of the Second Intifada drew attention to the severe psychological toll borne by police officers involved in managing the unrest</w:t>
      </w:r>
      <w:r w:rsidR="007E656F" w:rsidRPr="00B055B2">
        <w:rPr>
          <w:rFonts w:asciiTheme="majorBidi" w:hAnsiTheme="majorBidi" w:cstheme="majorBidi"/>
          <w:lang w:bidi="he-IL"/>
        </w:rPr>
        <w:t xml:space="preserve">, </w:t>
      </w:r>
      <w:r w:rsidR="001542F7" w:rsidRPr="00B055B2">
        <w:rPr>
          <w:rFonts w:asciiTheme="majorBidi" w:hAnsiTheme="majorBidi" w:cstheme="majorBidi"/>
          <w:lang w:bidi="he-IL"/>
        </w:rPr>
        <w:t>leading</w:t>
      </w:r>
      <w:r w:rsidRPr="00B055B2">
        <w:rPr>
          <w:rFonts w:asciiTheme="majorBidi" w:hAnsiTheme="majorBidi" w:cstheme="majorBidi"/>
          <w:lang w:bidi="he-IL"/>
        </w:rPr>
        <w:t xml:space="preserve"> to the establishment of a dedicated mental health support framework within the police force (</w:t>
      </w:r>
      <w:proofErr w:type="spellStart"/>
      <w:r w:rsidRPr="00B055B2">
        <w:rPr>
          <w:rFonts w:asciiTheme="majorBidi" w:hAnsiTheme="majorBidi" w:cstheme="majorBidi"/>
          <w:lang w:bidi="he-IL"/>
        </w:rPr>
        <w:t>Levenkron</w:t>
      </w:r>
      <w:proofErr w:type="spellEnd"/>
      <w:r w:rsidRPr="00B055B2">
        <w:rPr>
          <w:rFonts w:asciiTheme="majorBidi" w:hAnsiTheme="majorBidi" w:cstheme="majorBidi"/>
          <w:lang w:bidi="he-IL"/>
        </w:rPr>
        <w:t>, 2024). Additionally, growing awareness of domestic violence prompted the development of a police protocol for handling such offenses, stipulating, among other things, that only a senior officer may decide not to open an investigation following an IPV complaint, and that such a decision must be justified in writing.</w:t>
      </w:r>
    </w:p>
    <w:p w14:paraId="631E46A9" w14:textId="530C9418" w:rsidR="00E2653F" w:rsidRPr="00B055B2" w:rsidRDefault="00D67321" w:rsidP="004142BC">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During the second period, which spanned 17 years, ten police officers from the research population were identified. The vast majority had committed offenses involving violence and threats. One case that drew particular public attention was that of police </w:t>
      </w:r>
      <w:r w:rsidR="007B0E81" w:rsidRPr="00B055B2">
        <w:rPr>
          <w:rFonts w:asciiTheme="majorBidi" w:hAnsiTheme="majorBidi" w:cstheme="majorBidi"/>
          <w:lang w:bidi="he-IL"/>
        </w:rPr>
        <w:t>O</w:t>
      </w:r>
      <w:r w:rsidRPr="00B055B2">
        <w:rPr>
          <w:rFonts w:asciiTheme="majorBidi" w:hAnsiTheme="majorBidi" w:cstheme="majorBidi"/>
          <w:lang w:bidi="he-IL"/>
        </w:rPr>
        <w:t>fficer Michael Fischer, who murdered his wife and two children before taking his own life. However, the extreme nature of this case</w:t>
      </w:r>
      <w:r w:rsidR="004142BC" w:rsidRPr="00B055B2">
        <w:t xml:space="preserve"> </w:t>
      </w:r>
      <w:r w:rsidR="004142BC" w:rsidRPr="00B055B2">
        <w:rPr>
          <w:rFonts w:asciiTheme="majorBidi" w:hAnsiTheme="majorBidi" w:cstheme="majorBidi"/>
          <w:lang w:bidi="he-IL"/>
        </w:rPr>
        <w:t xml:space="preserve">likely led the police, </w:t>
      </w:r>
      <w:proofErr w:type="spellStart"/>
      <w:r w:rsidR="004142BC" w:rsidRPr="00B055B2">
        <w:rPr>
          <w:rFonts w:asciiTheme="majorBidi" w:hAnsiTheme="majorBidi" w:cstheme="majorBidi"/>
          <w:lang w:bidi="he-IL"/>
        </w:rPr>
        <w:t>Mahash</w:t>
      </w:r>
      <w:proofErr w:type="spellEnd"/>
      <w:r w:rsidR="004142BC" w:rsidRPr="00B055B2">
        <w:rPr>
          <w:rFonts w:asciiTheme="majorBidi" w:hAnsiTheme="majorBidi" w:cstheme="majorBidi"/>
          <w:lang w:bidi="he-IL"/>
        </w:rPr>
        <w:t>, and the Ministry of Welfare to treat it as an exceptional tragedy from which no broader conclusions could or should be drawn.</w:t>
      </w:r>
    </w:p>
    <w:p w14:paraId="3583058C" w14:textId="022B214E" w:rsidR="00261249" w:rsidRPr="00B055B2" w:rsidRDefault="00261249" w:rsidP="00D67321">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CA1379" w:rsidRPr="00B055B2">
        <w:rPr>
          <w:rFonts w:asciiTheme="majorBidi" w:hAnsiTheme="majorBidi" w:cstheme="majorBidi"/>
          <w:lang w:bidi="he-IL"/>
        </w:rPr>
        <w:t>The third period (2017–2024) has been marked by a growing number of cases known to the public. This increase followed the emergence of the #</w:t>
      </w:r>
      <w:proofErr w:type="spellStart"/>
      <w:r w:rsidR="00CA1379" w:rsidRPr="00B055B2">
        <w:rPr>
          <w:rFonts w:asciiTheme="majorBidi" w:hAnsiTheme="majorBidi" w:cstheme="majorBidi"/>
          <w:lang w:bidi="he-IL"/>
        </w:rPr>
        <w:t>MeToo</w:t>
      </w:r>
      <w:proofErr w:type="spellEnd"/>
      <w:r w:rsidR="00CA1379" w:rsidRPr="00B055B2">
        <w:rPr>
          <w:rFonts w:asciiTheme="majorBidi" w:hAnsiTheme="majorBidi" w:cstheme="majorBidi"/>
          <w:lang w:bidi="he-IL"/>
        </w:rPr>
        <w:t xml:space="preserve"> movement in 2017, which heightened awareness of violence against women and of the barriers that prevent victims from filing complaints (#</w:t>
      </w:r>
      <w:proofErr w:type="spellStart"/>
      <w:r w:rsidR="00CA1379" w:rsidRPr="00B055B2">
        <w:rPr>
          <w:rFonts w:asciiTheme="majorBidi" w:hAnsiTheme="majorBidi" w:cstheme="majorBidi"/>
          <w:lang w:bidi="he-IL"/>
        </w:rPr>
        <w:t>WhyIDidn’tReport</w:t>
      </w:r>
      <w:proofErr w:type="spellEnd"/>
      <w:r w:rsidR="00CA1379" w:rsidRPr="00B055B2">
        <w:rPr>
          <w:rFonts w:asciiTheme="majorBidi" w:hAnsiTheme="majorBidi" w:cstheme="majorBidi"/>
          <w:lang w:bidi="he-IL"/>
        </w:rPr>
        <w:t xml:space="preserve">), including fear of the police or police inaction when complaints are submitted. In addition, the COVID-19 pandemic led to a significant rise in the overall prevalence of </w:t>
      </w:r>
      <w:r w:rsidR="004B596F" w:rsidRPr="00B055B2">
        <w:rPr>
          <w:rFonts w:asciiTheme="majorBidi" w:hAnsiTheme="majorBidi" w:cstheme="majorBidi"/>
          <w:lang w:bidi="he-IL"/>
        </w:rPr>
        <w:t>domestic</w:t>
      </w:r>
      <w:r w:rsidR="00CA1379" w:rsidRPr="00B055B2">
        <w:rPr>
          <w:rFonts w:asciiTheme="majorBidi" w:hAnsiTheme="majorBidi" w:cstheme="majorBidi"/>
          <w:lang w:bidi="he-IL"/>
        </w:rPr>
        <w:t xml:space="preserve"> violence offenses and in the number of related complaints (Ariel</w:t>
      </w:r>
      <w:r w:rsidR="009144A8" w:rsidRPr="00B055B2">
        <w:rPr>
          <w:rFonts w:asciiTheme="majorBidi" w:hAnsiTheme="majorBidi" w:cstheme="majorBidi"/>
          <w:lang w:bidi="he-IL"/>
        </w:rPr>
        <w:t xml:space="preserve"> et al.</w:t>
      </w:r>
      <w:r w:rsidR="00CA1379" w:rsidRPr="00B055B2">
        <w:rPr>
          <w:rFonts w:asciiTheme="majorBidi" w:hAnsiTheme="majorBidi" w:cstheme="majorBidi"/>
          <w:lang w:bidi="he-IL"/>
        </w:rPr>
        <w:t>, 2021).</w:t>
      </w:r>
    </w:p>
    <w:p w14:paraId="535A43E2" w14:textId="0FC239E0" w:rsidR="0073515A" w:rsidRPr="00B055B2" w:rsidRDefault="00F23F62" w:rsidP="00D67321">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During this seven-year period, we identified 30 cases, three of which received heightened public attention due to the identity of the perpetrators and their victims. One involved </w:t>
      </w:r>
      <w:r w:rsidR="007B0E81" w:rsidRPr="00B055B2">
        <w:rPr>
          <w:rFonts w:asciiTheme="majorBidi" w:hAnsiTheme="majorBidi" w:cstheme="majorBidi"/>
          <w:lang w:bidi="he-IL"/>
        </w:rPr>
        <w:t>O</w:t>
      </w:r>
      <w:r w:rsidRPr="00B055B2">
        <w:rPr>
          <w:rFonts w:asciiTheme="majorBidi" w:hAnsiTheme="majorBidi" w:cstheme="majorBidi"/>
          <w:lang w:bidi="he-IL"/>
        </w:rPr>
        <w:t xml:space="preserve">fficer </w:t>
      </w:r>
      <w:proofErr w:type="spellStart"/>
      <w:r w:rsidRPr="00B055B2">
        <w:rPr>
          <w:rFonts w:asciiTheme="majorBidi" w:hAnsiTheme="majorBidi" w:cstheme="majorBidi"/>
          <w:lang w:bidi="he-IL"/>
        </w:rPr>
        <w:t>Lior</w:t>
      </w:r>
      <w:proofErr w:type="spellEnd"/>
      <w:r w:rsidRPr="00B055B2">
        <w:rPr>
          <w:rFonts w:asciiTheme="majorBidi" w:hAnsiTheme="majorBidi" w:cstheme="majorBidi"/>
          <w:lang w:bidi="he-IL"/>
        </w:rPr>
        <w:t xml:space="preserve"> </w:t>
      </w:r>
      <w:proofErr w:type="spellStart"/>
      <w:r w:rsidRPr="00B055B2">
        <w:rPr>
          <w:rFonts w:asciiTheme="majorBidi" w:hAnsiTheme="majorBidi" w:cstheme="majorBidi"/>
          <w:lang w:bidi="he-IL"/>
        </w:rPr>
        <w:t>Hat</w:t>
      </w:r>
      <w:r w:rsidR="00791344" w:rsidRPr="00B055B2">
        <w:rPr>
          <w:rFonts w:asciiTheme="majorBidi" w:hAnsiTheme="majorBidi" w:cstheme="majorBidi"/>
          <w:lang w:bidi="he-IL"/>
        </w:rPr>
        <w:t>a</w:t>
      </w:r>
      <w:r w:rsidRPr="00B055B2">
        <w:rPr>
          <w:rFonts w:asciiTheme="majorBidi" w:hAnsiTheme="majorBidi" w:cstheme="majorBidi"/>
          <w:lang w:bidi="he-IL"/>
        </w:rPr>
        <w:t>m</w:t>
      </w:r>
      <w:proofErr w:type="spellEnd"/>
      <w:r w:rsidRPr="00B055B2">
        <w:rPr>
          <w:rFonts w:asciiTheme="majorBidi" w:hAnsiTheme="majorBidi" w:cstheme="majorBidi"/>
          <w:lang w:bidi="he-IL"/>
        </w:rPr>
        <w:t xml:space="preserve">, who assaulted social activist </w:t>
      </w:r>
      <w:proofErr w:type="spellStart"/>
      <w:r w:rsidRPr="00B055B2">
        <w:rPr>
          <w:rFonts w:asciiTheme="majorBidi" w:hAnsiTheme="majorBidi" w:cstheme="majorBidi"/>
          <w:lang w:bidi="he-IL"/>
        </w:rPr>
        <w:t>Jafar</w:t>
      </w:r>
      <w:proofErr w:type="spellEnd"/>
      <w:r w:rsidRPr="00B055B2">
        <w:rPr>
          <w:rFonts w:asciiTheme="majorBidi" w:hAnsiTheme="majorBidi" w:cstheme="majorBidi"/>
          <w:lang w:bidi="he-IL"/>
        </w:rPr>
        <w:t xml:space="preserve"> Farah and broke his leg while </w:t>
      </w:r>
      <w:proofErr w:type="spellStart"/>
      <w:r w:rsidRPr="00B055B2">
        <w:rPr>
          <w:rFonts w:asciiTheme="majorBidi" w:hAnsiTheme="majorBidi" w:cstheme="majorBidi"/>
          <w:lang w:bidi="he-IL"/>
        </w:rPr>
        <w:t>Mahash</w:t>
      </w:r>
      <w:proofErr w:type="spellEnd"/>
      <w:r w:rsidRPr="00B055B2">
        <w:rPr>
          <w:rFonts w:asciiTheme="majorBidi" w:hAnsiTheme="majorBidi" w:cstheme="majorBidi"/>
          <w:lang w:bidi="he-IL"/>
        </w:rPr>
        <w:t xml:space="preserve"> was still investigating a domestic violence complaint filed against him by his wife. He was later </w:t>
      </w:r>
      <w:r w:rsidRPr="00B055B2">
        <w:rPr>
          <w:rFonts w:asciiTheme="majorBidi" w:hAnsiTheme="majorBidi" w:cstheme="majorBidi"/>
          <w:lang w:bidi="he-IL"/>
        </w:rPr>
        <w:lastRenderedPageBreak/>
        <w:t xml:space="preserve">indicted for both offenses. Another case was that of </w:t>
      </w:r>
      <w:r w:rsidR="007B0E81" w:rsidRPr="00B055B2">
        <w:rPr>
          <w:rFonts w:asciiTheme="majorBidi" w:hAnsiTheme="majorBidi" w:cstheme="majorBidi"/>
          <w:lang w:bidi="he-IL"/>
        </w:rPr>
        <w:t>O</w:t>
      </w:r>
      <w:r w:rsidRPr="00B055B2">
        <w:rPr>
          <w:rFonts w:asciiTheme="majorBidi" w:hAnsiTheme="majorBidi" w:cstheme="majorBidi"/>
          <w:lang w:bidi="he-IL"/>
        </w:rPr>
        <w:t xml:space="preserve">fficer </w:t>
      </w:r>
      <w:proofErr w:type="spellStart"/>
      <w:r w:rsidRPr="00B055B2">
        <w:rPr>
          <w:rFonts w:asciiTheme="majorBidi" w:hAnsiTheme="majorBidi" w:cstheme="majorBidi"/>
          <w:lang w:bidi="he-IL"/>
        </w:rPr>
        <w:t>Wassa</w:t>
      </w:r>
      <w:proofErr w:type="spellEnd"/>
      <w:r w:rsidRPr="00B055B2">
        <w:rPr>
          <w:rFonts w:asciiTheme="majorBidi" w:hAnsiTheme="majorBidi" w:cstheme="majorBidi"/>
          <w:lang w:bidi="he-IL"/>
        </w:rPr>
        <w:t xml:space="preserve"> </w:t>
      </w:r>
      <w:proofErr w:type="spellStart"/>
      <w:r w:rsidRPr="00B055B2">
        <w:rPr>
          <w:rFonts w:asciiTheme="majorBidi" w:hAnsiTheme="majorBidi" w:cstheme="majorBidi"/>
          <w:lang w:bidi="he-IL"/>
        </w:rPr>
        <w:t>Masresha</w:t>
      </w:r>
      <w:proofErr w:type="spellEnd"/>
      <w:r w:rsidRPr="00B055B2">
        <w:rPr>
          <w:rFonts w:asciiTheme="majorBidi" w:hAnsiTheme="majorBidi" w:cstheme="majorBidi"/>
          <w:lang w:bidi="he-IL"/>
        </w:rPr>
        <w:t>, who murdered his wife, a social activist, while their young children were at home. The final case</w:t>
      </w:r>
      <w:r w:rsidR="00762DD0" w:rsidRPr="00B055B2">
        <w:rPr>
          <w:rFonts w:asciiTheme="majorBidi" w:hAnsiTheme="majorBidi" w:cstheme="majorBidi"/>
          <w:lang w:bidi="he-IL"/>
        </w:rPr>
        <w:t xml:space="preserve">, and </w:t>
      </w:r>
      <w:r w:rsidRPr="00B055B2">
        <w:rPr>
          <w:rFonts w:asciiTheme="majorBidi" w:hAnsiTheme="majorBidi" w:cstheme="majorBidi"/>
          <w:lang w:bidi="he-IL"/>
        </w:rPr>
        <w:t>arguably the most impactful</w:t>
      </w:r>
      <w:r w:rsidR="00762DD0" w:rsidRPr="00B055B2">
        <w:rPr>
          <w:rFonts w:asciiTheme="majorBidi" w:hAnsiTheme="majorBidi" w:cstheme="majorBidi"/>
          <w:lang w:bidi="he-IL"/>
        </w:rPr>
        <w:t xml:space="preserve">, </w:t>
      </w:r>
      <w:r w:rsidRPr="00B055B2">
        <w:rPr>
          <w:rFonts w:asciiTheme="majorBidi" w:hAnsiTheme="majorBidi" w:cstheme="majorBidi"/>
          <w:lang w:bidi="he-IL"/>
        </w:rPr>
        <w:t xml:space="preserve">was that of </w:t>
      </w:r>
      <w:r w:rsidR="007B0E81" w:rsidRPr="00B055B2">
        <w:rPr>
          <w:rFonts w:asciiTheme="majorBidi" w:hAnsiTheme="majorBidi" w:cstheme="majorBidi"/>
          <w:lang w:bidi="he-IL"/>
        </w:rPr>
        <w:t>O</w:t>
      </w:r>
      <w:r w:rsidRPr="00B055B2">
        <w:rPr>
          <w:rFonts w:asciiTheme="majorBidi" w:hAnsiTheme="majorBidi" w:cstheme="majorBidi"/>
          <w:lang w:bidi="he-IL"/>
        </w:rPr>
        <w:t xml:space="preserve">fficer Amir </w:t>
      </w:r>
      <w:proofErr w:type="spellStart"/>
      <w:r w:rsidRPr="00B055B2">
        <w:rPr>
          <w:rFonts w:asciiTheme="majorBidi" w:hAnsiTheme="majorBidi" w:cstheme="majorBidi"/>
          <w:lang w:bidi="he-IL"/>
        </w:rPr>
        <w:t>Raz</w:t>
      </w:r>
      <w:proofErr w:type="spellEnd"/>
      <w:r w:rsidRPr="00B055B2">
        <w:rPr>
          <w:rFonts w:asciiTheme="majorBidi" w:hAnsiTheme="majorBidi" w:cstheme="majorBidi"/>
          <w:lang w:bidi="he-IL"/>
        </w:rPr>
        <w:t xml:space="preserve">, who murdered his wife, Diana </w:t>
      </w:r>
      <w:proofErr w:type="spellStart"/>
      <w:r w:rsidRPr="00B055B2">
        <w:rPr>
          <w:rFonts w:asciiTheme="majorBidi" w:hAnsiTheme="majorBidi" w:cstheme="majorBidi"/>
          <w:lang w:bidi="he-IL"/>
        </w:rPr>
        <w:t>Raz</w:t>
      </w:r>
      <w:proofErr w:type="spellEnd"/>
      <w:r w:rsidR="00762DD0" w:rsidRPr="00B055B2">
        <w:rPr>
          <w:rFonts w:asciiTheme="majorBidi" w:hAnsiTheme="majorBidi" w:cstheme="majorBidi"/>
          <w:lang w:bidi="he-IL"/>
        </w:rPr>
        <w:t>, in their home</w:t>
      </w:r>
      <w:r w:rsidRPr="00B055B2">
        <w:rPr>
          <w:rFonts w:asciiTheme="majorBidi" w:hAnsiTheme="majorBidi" w:cstheme="majorBidi"/>
          <w:lang w:bidi="he-IL"/>
        </w:rPr>
        <w:t>. Before killing her, he tied their children to chairs with rope and forced them to watch as he stabbed her with a knife and then shot her twice</w:t>
      </w:r>
      <w:r w:rsidR="00762DD0" w:rsidRPr="00B055B2">
        <w:rPr>
          <w:rFonts w:asciiTheme="majorBidi" w:hAnsiTheme="majorBidi" w:cstheme="majorBidi"/>
          <w:lang w:bidi="he-IL"/>
        </w:rPr>
        <w:t xml:space="preserve">, </w:t>
      </w:r>
      <w:r w:rsidRPr="00B055B2">
        <w:rPr>
          <w:rFonts w:asciiTheme="majorBidi" w:hAnsiTheme="majorBidi" w:cstheme="majorBidi"/>
          <w:lang w:bidi="he-IL"/>
        </w:rPr>
        <w:t>once in the leg and once in the head</w:t>
      </w:r>
      <w:r w:rsidR="00762DD0" w:rsidRPr="00B055B2">
        <w:rPr>
          <w:rFonts w:asciiTheme="majorBidi" w:hAnsiTheme="majorBidi" w:cstheme="majorBidi"/>
          <w:lang w:bidi="he-IL"/>
        </w:rPr>
        <w:t xml:space="preserve">, </w:t>
      </w:r>
      <w:r w:rsidRPr="00B055B2">
        <w:rPr>
          <w:rFonts w:asciiTheme="majorBidi" w:hAnsiTheme="majorBidi" w:cstheme="majorBidi"/>
          <w:lang w:bidi="he-IL"/>
        </w:rPr>
        <w:t xml:space="preserve">before shouting triumphantly: </w:t>
      </w:r>
      <w:r w:rsidR="00C71D49" w:rsidRPr="00B055B2">
        <w:rPr>
          <w:rFonts w:asciiTheme="majorBidi" w:hAnsiTheme="majorBidi" w:cstheme="majorBidi"/>
          <w:lang w:bidi="he-IL"/>
        </w:rPr>
        <w:t>“</w:t>
      </w:r>
      <w:r w:rsidR="00762DD0" w:rsidRPr="00B055B2">
        <w:rPr>
          <w:rFonts w:asciiTheme="majorBidi" w:hAnsiTheme="majorBidi" w:cstheme="majorBidi"/>
          <w:lang w:bidi="he-IL"/>
        </w:rPr>
        <w:t>Yay</w:t>
      </w:r>
      <w:r w:rsidRPr="00B055B2">
        <w:rPr>
          <w:rFonts w:asciiTheme="majorBidi" w:hAnsiTheme="majorBidi" w:cstheme="majorBidi"/>
          <w:lang w:bidi="he-IL"/>
        </w:rPr>
        <w:t>! Now there’s no</w:t>
      </w:r>
      <w:r w:rsidR="00762DD0" w:rsidRPr="00B055B2">
        <w:rPr>
          <w:rFonts w:asciiTheme="majorBidi" w:hAnsiTheme="majorBidi" w:cstheme="majorBidi"/>
          <w:lang w:bidi="he-IL"/>
        </w:rPr>
        <w:t xml:space="preserve"> more</w:t>
      </w:r>
      <w:r w:rsidRPr="00B055B2">
        <w:rPr>
          <w:rFonts w:asciiTheme="majorBidi" w:hAnsiTheme="majorBidi" w:cstheme="majorBidi"/>
          <w:lang w:bidi="he-IL"/>
        </w:rPr>
        <w:t xml:space="preserve"> mommy.</w:t>
      </w:r>
      <w:r w:rsidR="00C71D49" w:rsidRPr="00B055B2">
        <w:rPr>
          <w:rFonts w:asciiTheme="majorBidi" w:hAnsiTheme="majorBidi" w:cstheme="majorBidi"/>
          <w:lang w:bidi="he-IL"/>
        </w:rPr>
        <w:t>”</w:t>
      </w:r>
      <w:r w:rsidRPr="00B055B2">
        <w:rPr>
          <w:rStyle w:val="FootnoteReference"/>
          <w:rFonts w:asciiTheme="majorBidi" w:hAnsiTheme="majorBidi" w:cstheme="majorBidi"/>
          <w:lang w:bidi="he-IL"/>
        </w:rPr>
        <w:footnoteReference w:id="2"/>
      </w:r>
    </w:p>
    <w:p w14:paraId="6EC163E4" w14:textId="14FD225A" w:rsidR="00C8452B" w:rsidRPr="00B055B2" w:rsidRDefault="00315F28" w:rsidP="00D67321">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During this period, the most significant shift to date occurred in the way the police and </w:t>
      </w:r>
      <w:proofErr w:type="spellStart"/>
      <w:r w:rsidRPr="00B055B2">
        <w:rPr>
          <w:rFonts w:asciiTheme="majorBidi" w:hAnsiTheme="majorBidi" w:cstheme="majorBidi"/>
          <w:lang w:bidi="he-IL"/>
        </w:rPr>
        <w:t>Mahash</w:t>
      </w:r>
      <w:proofErr w:type="spellEnd"/>
      <w:r w:rsidRPr="00B055B2">
        <w:rPr>
          <w:rFonts w:asciiTheme="majorBidi" w:hAnsiTheme="majorBidi" w:cstheme="majorBidi"/>
          <w:lang w:bidi="he-IL"/>
        </w:rPr>
        <w:t xml:space="preserve"> handled cases involving suspected domestic violence offenses by police officers. Between 2017 and 2021, </w:t>
      </w:r>
      <w:proofErr w:type="spellStart"/>
      <w:r w:rsidRPr="00B055B2">
        <w:rPr>
          <w:rFonts w:asciiTheme="majorBidi" w:hAnsiTheme="majorBidi" w:cstheme="majorBidi"/>
          <w:lang w:bidi="he-IL"/>
        </w:rPr>
        <w:t>Mahash</w:t>
      </w:r>
      <w:proofErr w:type="spellEnd"/>
      <w:r w:rsidRPr="00B055B2">
        <w:rPr>
          <w:rFonts w:asciiTheme="majorBidi" w:hAnsiTheme="majorBidi" w:cstheme="majorBidi"/>
          <w:lang w:bidi="he-IL"/>
        </w:rPr>
        <w:t xml:space="preserve"> investigated 81 officers for a range of offenses against family members, including attempted murder, simple assault, and assault against a partner causing actual bodily harm. Thirteen indictments were filed for either simple assault or assault of a partner. The offense of making threats, which had previously appeared in indictments only when accompanied by physical violence, now began to appear as a standalone charge. Judges showed increased awareness of the issue, and attention was also directed toward officers who assaulted their mothers, in at least three cases. A</w:t>
      </w:r>
      <w:r w:rsidR="00D52108" w:rsidRPr="00B055B2">
        <w:rPr>
          <w:rFonts w:asciiTheme="majorBidi" w:hAnsiTheme="majorBidi" w:cstheme="majorBidi"/>
          <w:lang w:bidi="he-IL"/>
        </w:rPr>
        <w:t>n</w:t>
      </w:r>
      <w:r w:rsidRPr="00B055B2">
        <w:rPr>
          <w:rFonts w:asciiTheme="majorBidi" w:hAnsiTheme="majorBidi" w:cstheme="majorBidi"/>
          <w:lang w:bidi="he-IL"/>
        </w:rPr>
        <w:t xml:space="preserve"> article published in </w:t>
      </w:r>
      <w:proofErr w:type="spellStart"/>
      <w:r w:rsidR="00D52108" w:rsidRPr="00B055B2">
        <w:rPr>
          <w:rFonts w:asciiTheme="majorBidi" w:hAnsiTheme="majorBidi" w:cstheme="majorBidi"/>
          <w:i/>
          <w:iCs/>
          <w:lang w:bidi="he-IL"/>
        </w:rPr>
        <w:t>Maariv</w:t>
      </w:r>
      <w:proofErr w:type="spellEnd"/>
      <w:r w:rsidR="00D52108" w:rsidRPr="00B055B2">
        <w:rPr>
          <w:rFonts w:asciiTheme="majorBidi" w:hAnsiTheme="majorBidi" w:cstheme="majorBidi"/>
          <w:lang w:bidi="he-IL"/>
        </w:rPr>
        <w:t xml:space="preserve"> in </w:t>
      </w:r>
      <w:r w:rsidRPr="00B055B2">
        <w:rPr>
          <w:rFonts w:asciiTheme="majorBidi" w:hAnsiTheme="majorBidi" w:cstheme="majorBidi"/>
          <w:lang w:bidi="he-IL"/>
        </w:rPr>
        <w:t xml:space="preserve">January 2022 reported a significant rise in the number of </w:t>
      </w:r>
      <w:proofErr w:type="spellStart"/>
      <w:r w:rsidRPr="00B055B2">
        <w:rPr>
          <w:rFonts w:asciiTheme="majorBidi" w:hAnsiTheme="majorBidi" w:cstheme="majorBidi"/>
          <w:lang w:bidi="he-IL"/>
        </w:rPr>
        <w:t>Mahash</w:t>
      </w:r>
      <w:proofErr w:type="spellEnd"/>
      <w:r w:rsidRPr="00B055B2">
        <w:rPr>
          <w:rFonts w:asciiTheme="majorBidi" w:hAnsiTheme="majorBidi" w:cstheme="majorBidi"/>
          <w:lang w:bidi="he-IL"/>
        </w:rPr>
        <w:t xml:space="preserve"> investigations into officers who assaulted their partners. This increase was attributed either to greater awareness among victims regarding the risks they faced and a growing willingness to file complaints, or to a shift in </w:t>
      </w:r>
      <w:proofErr w:type="spellStart"/>
      <w:r w:rsidRPr="00B055B2">
        <w:rPr>
          <w:rFonts w:asciiTheme="majorBidi" w:hAnsiTheme="majorBidi" w:cstheme="majorBidi"/>
          <w:lang w:bidi="he-IL"/>
        </w:rPr>
        <w:t>Mahash’s</w:t>
      </w:r>
      <w:proofErr w:type="spellEnd"/>
      <w:r w:rsidRPr="00B055B2">
        <w:rPr>
          <w:rFonts w:asciiTheme="majorBidi" w:hAnsiTheme="majorBidi" w:cstheme="majorBidi"/>
          <w:lang w:bidi="he-IL"/>
        </w:rPr>
        <w:t xml:space="preserve"> approach to such allegations.</w:t>
      </w:r>
      <w:r w:rsidR="00D63A83" w:rsidRPr="00B055B2">
        <w:rPr>
          <w:rStyle w:val="FootnoteReference"/>
          <w:rFonts w:asciiTheme="majorBidi" w:hAnsiTheme="majorBidi" w:cstheme="majorBidi"/>
          <w:lang w:bidi="he-IL"/>
        </w:rPr>
        <w:footnoteReference w:id="3"/>
      </w:r>
      <w:r w:rsidRPr="00B055B2">
        <w:rPr>
          <w:rFonts w:asciiTheme="majorBidi" w:hAnsiTheme="majorBidi" w:cstheme="majorBidi"/>
          <w:lang w:bidi="he-IL"/>
        </w:rPr>
        <w:t xml:space="preserve"> From this point onward, indictments were filed even for threats alone, and overall media coverage of domestic violence offenses committed by police officers rose significantly.</w:t>
      </w:r>
    </w:p>
    <w:p w14:paraId="689A5219" w14:textId="539A76B5" w:rsidR="006E3068" w:rsidRPr="00B055B2" w:rsidRDefault="006C3D8A" w:rsidP="00D67321">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D52108" w:rsidRPr="00B055B2">
        <w:rPr>
          <w:rFonts w:asciiTheme="majorBidi" w:hAnsiTheme="majorBidi" w:cstheme="majorBidi"/>
          <w:lang w:bidi="he-IL"/>
        </w:rPr>
        <w:t xml:space="preserve">However, according to a response from the Ministry of Welfare and Social Affairs provided under the Freedom of Information Law, no change in policy on this issue is yet apparent. The ministry reported that it does not collect data on how many women residing in battered women’s shelters were abused by partners who are police officers. It further stated that no special procedures exist to address the unique needs of such women during their stay in shelters, and that no lessons have been drawn from past cases involving these offenses. In this context, it should be emphasized that we do not suggest that information was intentionally </w:t>
      </w:r>
      <w:r w:rsidR="00D52108" w:rsidRPr="00B055B2">
        <w:rPr>
          <w:rFonts w:asciiTheme="majorBidi" w:hAnsiTheme="majorBidi" w:cstheme="majorBidi"/>
          <w:lang w:bidi="he-IL"/>
        </w:rPr>
        <w:lastRenderedPageBreak/>
        <w:t>withheld; rather, such data does not exist in any systematic form. Nevertheless, the authorities appear to lack awareness of the severity of the problem and the importance of addressing it.</w:t>
      </w:r>
    </w:p>
    <w:p w14:paraId="56B5AF4D" w14:textId="77777777" w:rsidR="00E65681" w:rsidRPr="00B055B2" w:rsidRDefault="00E65681" w:rsidP="00D67321">
      <w:pPr>
        <w:tabs>
          <w:tab w:val="left" w:pos="923"/>
        </w:tabs>
        <w:spacing w:line="360" w:lineRule="auto"/>
        <w:rPr>
          <w:rFonts w:asciiTheme="majorBidi" w:hAnsiTheme="majorBidi" w:cstheme="majorBidi"/>
          <w:lang w:bidi="he-IL"/>
        </w:rPr>
      </w:pPr>
    </w:p>
    <w:p w14:paraId="6B9DC856" w14:textId="77777777" w:rsidR="00E65681" w:rsidRPr="00B055B2" w:rsidRDefault="00E65681" w:rsidP="00E65681">
      <w:pPr>
        <w:tabs>
          <w:tab w:val="left" w:pos="923"/>
        </w:tabs>
        <w:spacing w:line="360" w:lineRule="auto"/>
        <w:rPr>
          <w:rFonts w:asciiTheme="majorBidi" w:hAnsiTheme="majorBidi" w:cstheme="majorBidi"/>
          <w:b/>
          <w:bCs/>
          <w:lang w:bidi="he-IL"/>
        </w:rPr>
      </w:pPr>
      <w:r w:rsidRPr="00B055B2">
        <w:rPr>
          <w:rFonts w:asciiTheme="majorBidi" w:hAnsiTheme="majorBidi" w:cstheme="majorBidi"/>
          <w:b/>
          <w:bCs/>
          <w:lang w:bidi="he-IL"/>
        </w:rPr>
        <w:t>Profile of Police Officers Convicted of Domestic Violence Offenses</w:t>
      </w:r>
    </w:p>
    <w:p w14:paraId="1F1B799D" w14:textId="77777777" w:rsidR="00E65681" w:rsidRPr="00B055B2" w:rsidRDefault="00E65681" w:rsidP="00E65681">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The Perpetrators: Demographic Data</w:t>
      </w:r>
    </w:p>
    <w:p w14:paraId="4754B01D" w14:textId="1981018E" w:rsidR="0073515A" w:rsidRPr="00B055B2" w:rsidRDefault="00C64570" w:rsidP="008F64AF">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Most</w:t>
      </w:r>
      <w:r w:rsidR="00E65681" w:rsidRPr="00B055B2">
        <w:rPr>
          <w:rFonts w:asciiTheme="majorBidi" w:hAnsiTheme="majorBidi" w:cstheme="majorBidi"/>
          <w:lang w:bidi="he-IL"/>
        </w:rPr>
        <w:t xml:space="preserve"> police officers currently serving in the Israel Police are men. As of 2022, there were 22,475 male officers and 10,068 female officers. About half were married (14,942), while the rest were single (16,392), divorced (1,173), or widowed (36). In our study, all the individuals examined were men. Most were married (34), four were in a relationship, two had recently separated from their partner, three were divorced, and in one case, the relationship status was unknown.</w:t>
      </w:r>
      <w:r w:rsidR="008F64AF" w:rsidRPr="00B055B2">
        <w:rPr>
          <w:rFonts w:asciiTheme="majorBidi" w:hAnsiTheme="majorBidi" w:cstheme="majorBidi"/>
          <w:lang w:bidi="he-IL"/>
        </w:rPr>
        <w:t xml:space="preserve"> </w:t>
      </w:r>
      <w:r w:rsidR="00E65681" w:rsidRPr="00B055B2">
        <w:rPr>
          <w:rFonts w:asciiTheme="majorBidi" w:hAnsiTheme="majorBidi" w:cstheme="majorBidi"/>
          <w:lang w:bidi="he-IL"/>
        </w:rPr>
        <w:t xml:space="preserve">Most had children (23), though there was a relatively high number of cases (16) in which information about parenthood was unavailable. Six of the men had no children, and in three cases the partner was pregnant at the time the violence </w:t>
      </w:r>
      <w:r w:rsidR="008F64AF" w:rsidRPr="00B055B2">
        <w:rPr>
          <w:rFonts w:asciiTheme="majorBidi" w:hAnsiTheme="majorBidi" w:cstheme="majorBidi"/>
          <w:lang w:bidi="he-IL"/>
        </w:rPr>
        <w:t xml:space="preserve">had </w:t>
      </w:r>
      <w:r w:rsidR="00E65681" w:rsidRPr="00B055B2">
        <w:rPr>
          <w:rFonts w:asciiTheme="majorBidi" w:hAnsiTheme="majorBidi" w:cstheme="majorBidi"/>
          <w:lang w:bidi="he-IL"/>
        </w:rPr>
        <w:t xml:space="preserve">occurred. </w:t>
      </w:r>
      <w:r w:rsidR="008F64AF" w:rsidRPr="00B055B2">
        <w:rPr>
          <w:rFonts w:asciiTheme="majorBidi" w:hAnsiTheme="majorBidi" w:cstheme="majorBidi"/>
          <w:lang w:bidi="he-IL"/>
        </w:rPr>
        <w:t>Age data was available for 24 individuals, ranging from 20 to 50 years old, with an average age of 34.7.</w:t>
      </w:r>
    </w:p>
    <w:p w14:paraId="3208F9BB" w14:textId="6145BE96" w:rsidR="008F64AF" w:rsidRPr="00B055B2" w:rsidRDefault="007A7E07" w:rsidP="008F64AF">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More than half of the research population (28 individuals) were Jewish, five of whom Ethiopian-Israeli</w:t>
      </w:r>
      <w:r w:rsidR="00C64570" w:rsidRPr="00B055B2">
        <w:rPr>
          <w:rFonts w:asciiTheme="majorBidi" w:hAnsiTheme="majorBidi" w:cstheme="majorBidi"/>
          <w:lang w:bidi="he-IL"/>
        </w:rPr>
        <w:t>s</w:t>
      </w:r>
      <w:r w:rsidRPr="00B055B2">
        <w:rPr>
          <w:rFonts w:asciiTheme="majorBidi" w:hAnsiTheme="majorBidi" w:cstheme="majorBidi"/>
          <w:lang w:bidi="he-IL"/>
        </w:rPr>
        <w:t xml:space="preserve">. Among the remaining 16, the breakdown was as follows: nine were of unknown religion or ethnicity; three were Muslim; three were Druze; and one was Arab whose religion was not specified. The most severe offenses were committed by officers of Ethiopian </w:t>
      </w:r>
      <w:r w:rsidR="00A64AE6" w:rsidRPr="00B055B2">
        <w:rPr>
          <w:rFonts w:asciiTheme="majorBidi" w:hAnsiTheme="majorBidi" w:cstheme="majorBidi"/>
          <w:lang w:bidi="he-IL"/>
        </w:rPr>
        <w:t>descent—</w:t>
      </w:r>
      <w:r w:rsidRPr="00B055B2">
        <w:rPr>
          <w:rFonts w:asciiTheme="majorBidi" w:hAnsiTheme="majorBidi" w:cstheme="majorBidi"/>
          <w:lang w:bidi="he-IL"/>
        </w:rPr>
        <w:t>two murders and two attempted murders</w:t>
      </w:r>
      <w:r w:rsidR="00A64AE6" w:rsidRPr="00B055B2">
        <w:rPr>
          <w:rFonts w:asciiTheme="majorBidi" w:hAnsiTheme="majorBidi" w:cstheme="majorBidi"/>
          <w:lang w:bidi="he-IL"/>
        </w:rPr>
        <w:t xml:space="preserve"> among the five cases identified, </w:t>
      </w:r>
      <w:r w:rsidRPr="00B055B2">
        <w:rPr>
          <w:rFonts w:asciiTheme="majorBidi" w:hAnsiTheme="majorBidi" w:cstheme="majorBidi"/>
          <w:lang w:bidi="he-IL"/>
        </w:rPr>
        <w:t>and by Druze officers</w:t>
      </w:r>
      <w:r w:rsidR="00A64AE6" w:rsidRPr="00B055B2">
        <w:rPr>
          <w:rFonts w:asciiTheme="majorBidi" w:hAnsiTheme="majorBidi" w:cstheme="majorBidi"/>
          <w:lang w:bidi="he-IL"/>
        </w:rPr>
        <w:t>—</w:t>
      </w:r>
      <w:r w:rsidRPr="00B055B2">
        <w:rPr>
          <w:rFonts w:asciiTheme="majorBidi" w:hAnsiTheme="majorBidi" w:cstheme="majorBidi"/>
          <w:lang w:bidi="he-IL"/>
        </w:rPr>
        <w:t xml:space="preserve">one of whom committed murder and another who perpetrated severe abuse over many years, including sexual, physical, and psychological violence against both his wife and children, </w:t>
      </w:r>
      <w:r w:rsidR="00A64AE6" w:rsidRPr="00B055B2">
        <w:rPr>
          <w:rFonts w:asciiTheme="majorBidi" w:hAnsiTheme="majorBidi" w:cstheme="majorBidi"/>
          <w:lang w:bidi="he-IL"/>
        </w:rPr>
        <w:t>including</w:t>
      </w:r>
      <w:r w:rsidRPr="00B055B2">
        <w:rPr>
          <w:rFonts w:asciiTheme="majorBidi" w:hAnsiTheme="majorBidi" w:cstheme="majorBidi"/>
          <w:lang w:bidi="he-IL"/>
        </w:rPr>
        <w:t xml:space="preserve"> causing the death of a fetus.</w:t>
      </w:r>
      <w:r w:rsidR="00210C44" w:rsidRPr="00B055B2">
        <w:rPr>
          <w:rStyle w:val="FootnoteReference"/>
          <w:rFonts w:asciiTheme="majorBidi" w:hAnsiTheme="majorBidi" w:cstheme="majorBidi"/>
          <w:lang w:bidi="he-IL"/>
        </w:rPr>
        <w:footnoteReference w:id="4"/>
      </w:r>
      <w:r w:rsidRPr="00B055B2">
        <w:rPr>
          <w:rFonts w:asciiTheme="majorBidi" w:hAnsiTheme="majorBidi" w:cstheme="majorBidi"/>
          <w:lang w:bidi="he-IL"/>
        </w:rPr>
        <w:t xml:space="preserve"> </w:t>
      </w:r>
    </w:p>
    <w:p w14:paraId="0EA1E4E4" w14:textId="77777777" w:rsidR="00DD1631" w:rsidRPr="00B055B2" w:rsidRDefault="00DD1631" w:rsidP="00DD1631">
      <w:pPr>
        <w:tabs>
          <w:tab w:val="left" w:pos="923"/>
        </w:tabs>
        <w:spacing w:line="360" w:lineRule="auto"/>
        <w:rPr>
          <w:rFonts w:asciiTheme="majorBidi" w:hAnsiTheme="majorBidi" w:cstheme="majorBidi"/>
          <w:lang w:bidi="he-IL"/>
        </w:rPr>
      </w:pPr>
    </w:p>
    <w:p w14:paraId="660C2A9F" w14:textId="155590D4" w:rsidR="00DD1631" w:rsidRPr="00B055B2" w:rsidRDefault="00DD1631" w:rsidP="00DD1631">
      <w:pPr>
        <w:tabs>
          <w:tab w:val="left" w:pos="923"/>
        </w:tabs>
        <w:spacing w:line="360" w:lineRule="auto"/>
        <w:rPr>
          <w:rFonts w:asciiTheme="majorBidi" w:hAnsiTheme="majorBidi" w:cstheme="majorBidi"/>
          <w:b/>
          <w:bCs/>
          <w:lang w:bidi="he-IL"/>
        </w:rPr>
      </w:pPr>
      <w:r w:rsidRPr="00B055B2">
        <w:rPr>
          <w:rFonts w:asciiTheme="majorBidi" w:hAnsiTheme="majorBidi" w:cstheme="majorBidi"/>
          <w:b/>
          <w:bCs/>
          <w:lang w:bidi="he-IL"/>
        </w:rPr>
        <w:t>Types of Offenses</w:t>
      </w:r>
    </w:p>
    <w:p w14:paraId="7BCC058D" w14:textId="77777777" w:rsidR="00DD1631" w:rsidRPr="00B055B2" w:rsidRDefault="00DD1631" w:rsidP="00DD1631">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Physical Violence</w:t>
      </w:r>
    </w:p>
    <w:p w14:paraId="28B7D18C" w14:textId="0824BE0A" w:rsidR="00DD1631" w:rsidRPr="00B055B2" w:rsidRDefault="00DD1631" w:rsidP="00DD1631">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lastRenderedPageBreak/>
        <w:t>The overwhelming majority of individuals in the study were suspected or charged with violent offenses of various kinds</w:t>
      </w:r>
      <w:r w:rsidR="00EC68C3" w:rsidRPr="00B055B2">
        <w:rPr>
          <w:rFonts w:asciiTheme="majorBidi" w:hAnsiTheme="majorBidi" w:cstheme="majorBidi"/>
          <w:lang w:bidi="he-IL"/>
        </w:rPr>
        <w:t>, including</w:t>
      </w:r>
      <w:r w:rsidRPr="00B055B2">
        <w:rPr>
          <w:rFonts w:asciiTheme="majorBidi" w:hAnsiTheme="majorBidi" w:cstheme="majorBidi"/>
          <w:lang w:bidi="he-IL"/>
        </w:rPr>
        <w:t xml:space="preserve"> physical assault (29 cases), murder (9), and attempted murder (2). The physical violence included attempted strangulation or punching, and in some cases involved improvised weapons that were within the officer’s reach at the time of the assault</w:t>
      </w:r>
      <w:r w:rsidR="00EC68C3" w:rsidRPr="00B055B2">
        <w:rPr>
          <w:rFonts w:asciiTheme="majorBidi" w:hAnsiTheme="majorBidi" w:cstheme="majorBidi"/>
          <w:lang w:bidi="he-IL"/>
        </w:rPr>
        <w:t xml:space="preserve">, </w:t>
      </w:r>
      <w:r w:rsidRPr="00B055B2">
        <w:rPr>
          <w:rFonts w:asciiTheme="majorBidi" w:hAnsiTheme="majorBidi" w:cstheme="majorBidi"/>
          <w:lang w:bidi="he-IL"/>
        </w:rPr>
        <w:t>most often household objects. In six cases a knife was used during the attack</w:t>
      </w:r>
      <w:r w:rsidR="00EC68C3" w:rsidRPr="00B055B2">
        <w:rPr>
          <w:rFonts w:asciiTheme="majorBidi" w:hAnsiTheme="majorBidi" w:cstheme="majorBidi"/>
          <w:lang w:bidi="he-IL"/>
        </w:rPr>
        <w:t>, and</w:t>
      </w:r>
      <w:r w:rsidRPr="00B055B2">
        <w:rPr>
          <w:rFonts w:asciiTheme="majorBidi" w:hAnsiTheme="majorBidi" w:cstheme="majorBidi"/>
          <w:lang w:bidi="he-IL"/>
        </w:rPr>
        <w:t xml:space="preserve"> </w:t>
      </w:r>
      <w:r w:rsidR="00EC68C3" w:rsidRPr="00B055B2">
        <w:rPr>
          <w:rFonts w:asciiTheme="majorBidi" w:hAnsiTheme="majorBidi" w:cstheme="majorBidi"/>
          <w:lang w:bidi="he-IL"/>
        </w:rPr>
        <w:t>i</w:t>
      </w:r>
      <w:r w:rsidRPr="00B055B2">
        <w:rPr>
          <w:rFonts w:asciiTheme="majorBidi" w:hAnsiTheme="majorBidi" w:cstheme="majorBidi"/>
          <w:lang w:bidi="he-IL"/>
        </w:rPr>
        <w:t xml:space="preserve">n one of those six cases </w:t>
      </w:r>
      <w:r w:rsidR="00EC68C3" w:rsidRPr="00B055B2">
        <w:rPr>
          <w:rFonts w:asciiTheme="majorBidi" w:hAnsiTheme="majorBidi" w:cstheme="majorBidi"/>
          <w:lang w:bidi="he-IL"/>
        </w:rPr>
        <w:t>the</w:t>
      </w:r>
      <w:r w:rsidRPr="00B055B2">
        <w:rPr>
          <w:rFonts w:asciiTheme="majorBidi" w:hAnsiTheme="majorBidi" w:cstheme="majorBidi"/>
          <w:lang w:bidi="he-IL"/>
        </w:rPr>
        <w:t xml:space="preserve"> police officer stabbed the victim before shooting her to death.</w:t>
      </w:r>
    </w:p>
    <w:p w14:paraId="4C48B2D7" w14:textId="4B22ECC3" w:rsidR="00E7515F" w:rsidRPr="00B055B2" w:rsidRDefault="00175980" w:rsidP="009E0254">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In most cases, the articles and court rulings did not refer to a direct cause of the incidents. However, when a cause was mentioned, it typically involved an intention to separate or an act of infidelity</w:t>
      </w:r>
      <w:r w:rsidR="009E0254" w:rsidRPr="00B055B2">
        <w:rPr>
          <w:rFonts w:asciiTheme="majorBidi" w:hAnsiTheme="majorBidi" w:cstheme="majorBidi"/>
          <w:lang w:bidi="he-IL"/>
        </w:rPr>
        <w:t xml:space="preserve">, </w:t>
      </w:r>
      <w:r w:rsidRPr="00B055B2">
        <w:rPr>
          <w:rFonts w:asciiTheme="majorBidi" w:hAnsiTheme="majorBidi" w:cstheme="majorBidi"/>
          <w:lang w:bidi="he-IL"/>
        </w:rPr>
        <w:t>whether on the part of the woman or the man</w:t>
      </w:r>
      <w:r w:rsidR="009E0254" w:rsidRPr="00B055B2">
        <w:rPr>
          <w:rFonts w:asciiTheme="majorBidi" w:hAnsiTheme="majorBidi" w:cstheme="majorBidi"/>
          <w:lang w:bidi="he-IL"/>
        </w:rPr>
        <w:t xml:space="preserve">, </w:t>
      </w:r>
      <w:r w:rsidRPr="00B055B2">
        <w:rPr>
          <w:rFonts w:asciiTheme="majorBidi" w:hAnsiTheme="majorBidi" w:cstheme="majorBidi"/>
          <w:lang w:bidi="he-IL"/>
        </w:rPr>
        <w:t>or suspicions of such intentions, as perceived by the perpetrator. Indeed, in other cases of domestic violence and murder, such intentions and suspicions often serve as a trigger for assault (</w:t>
      </w:r>
      <w:commentRangeStart w:id="7"/>
      <w:r w:rsidRPr="00B055B2">
        <w:rPr>
          <w:rFonts w:asciiTheme="majorBidi" w:hAnsiTheme="majorBidi" w:cstheme="majorBidi"/>
          <w:lang w:bidi="he-IL"/>
        </w:rPr>
        <w:t>Elisha, 2007</w:t>
      </w:r>
      <w:commentRangeEnd w:id="7"/>
      <w:r w:rsidR="009E0254" w:rsidRPr="00B055B2">
        <w:rPr>
          <w:rStyle w:val="CommentReference"/>
          <w:rFonts w:asciiTheme="majorBidi" w:hAnsiTheme="majorBidi" w:cstheme="majorBidi"/>
          <w:sz w:val="24"/>
          <w:szCs w:val="24"/>
          <w:lang w:bidi="he-IL"/>
        </w:rPr>
        <w:commentReference w:id="7"/>
      </w:r>
      <w:r w:rsidRPr="00B055B2">
        <w:rPr>
          <w:rFonts w:asciiTheme="majorBidi" w:hAnsiTheme="majorBidi" w:cstheme="majorBidi"/>
          <w:lang w:bidi="he-IL"/>
        </w:rPr>
        <w:t xml:space="preserve">; </w:t>
      </w:r>
      <w:commentRangeStart w:id="8"/>
      <w:r w:rsidRPr="00B055B2">
        <w:rPr>
          <w:rFonts w:asciiTheme="majorBidi" w:hAnsiTheme="majorBidi" w:cstheme="majorBidi"/>
          <w:lang w:bidi="he-IL"/>
        </w:rPr>
        <w:t>Spencer &amp; Stith, 2020</w:t>
      </w:r>
      <w:commentRangeEnd w:id="8"/>
      <w:r w:rsidR="009E0254" w:rsidRPr="00B055B2">
        <w:rPr>
          <w:rStyle w:val="CommentReference"/>
          <w:rFonts w:asciiTheme="majorBidi" w:hAnsiTheme="majorBidi" w:cstheme="majorBidi"/>
          <w:sz w:val="24"/>
          <w:szCs w:val="24"/>
          <w:lang w:bidi="he-IL"/>
        </w:rPr>
        <w:commentReference w:id="8"/>
      </w:r>
      <w:r w:rsidRPr="00B055B2">
        <w:rPr>
          <w:rFonts w:asciiTheme="majorBidi" w:hAnsiTheme="majorBidi" w:cstheme="majorBidi"/>
          <w:lang w:bidi="he-IL"/>
        </w:rPr>
        <w:t>). However, in the context of police families, these dynamics carry added complexity due to the officer’s emotional dependence on a supportive and attentive partner, and the heightened psychological distress that the prospect of separation may pose.</w:t>
      </w:r>
      <w:r w:rsidR="009E0254" w:rsidRPr="00B055B2">
        <w:rPr>
          <w:rFonts w:asciiTheme="majorBidi" w:hAnsiTheme="majorBidi" w:cstheme="majorBidi"/>
          <w:lang w:bidi="he-IL"/>
        </w:rPr>
        <w:t xml:space="preserve"> </w:t>
      </w:r>
      <w:r w:rsidR="00B47912" w:rsidRPr="00B055B2">
        <w:rPr>
          <w:rFonts w:asciiTheme="majorBidi" w:hAnsiTheme="majorBidi" w:cstheme="majorBidi"/>
          <w:lang w:bidi="he-IL"/>
        </w:rPr>
        <w:t>For example, one police officer threatened his wife:</w:t>
      </w:r>
    </w:p>
    <w:p w14:paraId="4D1D7B70" w14:textId="29EF1444" w:rsidR="00E7515F" w:rsidRPr="00B055B2" w:rsidRDefault="00B47912" w:rsidP="0021012F">
      <w:pPr>
        <w:tabs>
          <w:tab w:val="left" w:pos="923"/>
        </w:tabs>
        <w:spacing w:line="360" w:lineRule="auto"/>
        <w:ind w:left="923"/>
        <w:rPr>
          <w:rFonts w:asciiTheme="majorBidi" w:hAnsiTheme="majorBidi" w:cstheme="majorBidi"/>
          <w:lang w:bidi="he-IL"/>
        </w:rPr>
      </w:pPr>
      <w:r w:rsidRPr="00B055B2">
        <w:rPr>
          <w:rFonts w:asciiTheme="majorBidi" w:hAnsiTheme="majorBidi" w:cstheme="majorBidi"/>
          <w:lang w:bidi="he-IL"/>
        </w:rPr>
        <w:t xml:space="preserve">Listen to me very carefully. The day you pick up the phone and tell me, </w:t>
      </w:r>
      <w:r w:rsidR="009E0254" w:rsidRPr="00B055B2">
        <w:rPr>
          <w:rFonts w:asciiTheme="majorBidi" w:hAnsiTheme="majorBidi" w:cstheme="majorBidi"/>
          <w:lang w:bidi="he-IL"/>
        </w:rPr>
        <w:t>“</w:t>
      </w:r>
      <w:r w:rsidRPr="00B055B2">
        <w:rPr>
          <w:rFonts w:asciiTheme="majorBidi" w:hAnsiTheme="majorBidi" w:cstheme="majorBidi"/>
          <w:lang w:bidi="he-IL"/>
        </w:rPr>
        <w:t>I went to a lawyer,</w:t>
      </w:r>
      <w:r w:rsidR="009E0254" w:rsidRPr="00B055B2">
        <w:rPr>
          <w:rFonts w:asciiTheme="majorBidi" w:hAnsiTheme="majorBidi" w:cstheme="majorBidi"/>
          <w:lang w:bidi="he-IL"/>
        </w:rPr>
        <w:t>”</w:t>
      </w:r>
      <w:r w:rsidRPr="00B055B2">
        <w:rPr>
          <w:rFonts w:asciiTheme="majorBidi" w:hAnsiTheme="majorBidi" w:cstheme="majorBidi"/>
          <w:lang w:bidi="he-IL"/>
        </w:rPr>
        <w:t xml:space="preserve"> you should start the car and g</w:t>
      </w:r>
      <w:r w:rsidR="009E0254" w:rsidRPr="00B055B2">
        <w:rPr>
          <w:rFonts w:asciiTheme="majorBidi" w:hAnsiTheme="majorBidi" w:cstheme="majorBidi"/>
          <w:lang w:bidi="he-IL"/>
        </w:rPr>
        <w:t xml:space="preserve">et </w:t>
      </w:r>
      <w:r w:rsidRPr="00B055B2">
        <w:rPr>
          <w:rFonts w:asciiTheme="majorBidi" w:hAnsiTheme="majorBidi" w:cstheme="majorBidi"/>
          <w:lang w:bidi="he-IL"/>
        </w:rPr>
        <w:t>as far away as you can, because a lawyer won’t stop me. I won’t go to a lawyer</w:t>
      </w:r>
      <w:r w:rsidR="0021012F" w:rsidRPr="00B055B2">
        <w:rPr>
          <w:rFonts w:asciiTheme="majorBidi" w:hAnsiTheme="majorBidi" w:cstheme="majorBidi"/>
          <w:lang w:bidi="he-IL"/>
        </w:rPr>
        <w:t>—</w:t>
      </w:r>
      <w:r w:rsidRPr="00B055B2">
        <w:rPr>
          <w:rFonts w:asciiTheme="majorBidi" w:hAnsiTheme="majorBidi" w:cstheme="majorBidi"/>
          <w:lang w:bidi="he-IL"/>
        </w:rPr>
        <w:t>I’ll come looking for you with a weapon in my hand and put a bullet in you.</w:t>
      </w:r>
      <w:commentRangeStart w:id="9"/>
      <w:r w:rsidR="00CF5538" w:rsidRPr="00B055B2">
        <w:rPr>
          <w:rStyle w:val="FootnoteReference"/>
          <w:rFonts w:asciiTheme="majorBidi" w:hAnsiTheme="majorBidi" w:cstheme="majorBidi"/>
          <w:lang w:bidi="he-IL"/>
        </w:rPr>
        <w:footnoteReference w:id="5"/>
      </w:r>
      <w:commentRangeEnd w:id="9"/>
      <w:r w:rsidR="00861C59" w:rsidRPr="00B055B2">
        <w:rPr>
          <w:rStyle w:val="CommentReference"/>
          <w:rFonts w:asciiTheme="majorBidi" w:hAnsiTheme="majorBidi" w:cstheme="majorBidi"/>
          <w:sz w:val="24"/>
          <w:szCs w:val="24"/>
          <w:lang w:bidi="he-IL"/>
        </w:rPr>
        <w:commentReference w:id="9"/>
      </w:r>
      <w:r w:rsidRPr="00B055B2">
        <w:rPr>
          <w:rFonts w:asciiTheme="majorBidi" w:hAnsiTheme="majorBidi" w:cstheme="majorBidi"/>
          <w:lang w:bidi="he-IL"/>
        </w:rPr>
        <w:t xml:space="preserve"> </w:t>
      </w:r>
    </w:p>
    <w:p w14:paraId="0FF4ADC8" w14:textId="788FD159" w:rsidR="00175980" w:rsidRPr="00B055B2" w:rsidRDefault="0021012F" w:rsidP="008F64AF">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B47912" w:rsidRPr="00B055B2">
        <w:rPr>
          <w:rFonts w:asciiTheme="majorBidi" w:hAnsiTheme="majorBidi" w:cstheme="majorBidi"/>
          <w:lang w:bidi="he-IL"/>
        </w:rPr>
        <w:t>In two cases, the situation was reversed: it was the officer’s attempt to end the relationship</w:t>
      </w:r>
      <w:r w:rsidR="00C3545B" w:rsidRPr="00B055B2">
        <w:rPr>
          <w:rFonts w:asciiTheme="majorBidi" w:hAnsiTheme="majorBidi" w:cstheme="majorBidi"/>
          <w:lang w:bidi="he-IL"/>
        </w:rPr>
        <w:t xml:space="preserve"> </w:t>
      </w:r>
      <w:r w:rsidR="00B47912" w:rsidRPr="00B055B2">
        <w:rPr>
          <w:rFonts w:asciiTheme="majorBidi" w:hAnsiTheme="majorBidi" w:cstheme="majorBidi"/>
          <w:lang w:bidi="he-IL"/>
        </w:rPr>
        <w:t>or his involvement in extramarital affairs</w:t>
      </w:r>
      <w:r w:rsidR="00C3545B" w:rsidRPr="00B055B2">
        <w:rPr>
          <w:rFonts w:asciiTheme="majorBidi" w:hAnsiTheme="majorBidi" w:cstheme="majorBidi"/>
          <w:lang w:bidi="he-IL"/>
        </w:rPr>
        <w:t xml:space="preserve">, </w:t>
      </w:r>
      <w:r w:rsidR="00B47912" w:rsidRPr="00B055B2">
        <w:rPr>
          <w:rFonts w:asciiTheme="majorBidi" w:hAnsiTheme="majorBidi" w:cstheme="majorBidi"/>
          <w:lang w:bidi="he-IL"/>
        </w:rPr>
        <w:t xml:space="preserve">combined with the woman’s efforts to reconcile, </w:t>
      </w:r>
      <w:r w:rsidR="0015040C" w:rsidRPr="00B055B2">
        <w:rPr>
          <w:rFonts w:asciiTheme="majorBidi" w:hAnsiTheme="majorBidi" w:cstheme="majorBidi"/>
          <w:lang w:bidi="he-IL"/>
        </w:rPr>
        <w:t>which</w:t>
      </w:r>
      <w:r w:rsidR="00B47912" w:rsidRPr="00B055B2">
        <w:rPr>
          <w:rFonts w:asciiTheme="majorBidi" w:hAnsiTheme="majorBidi" w:cstheme="majorBidi"/>
          <w:lang w:bidi="he-IL"/>
        </w:rPr>
        <w:t xml:space="preserve"> led to violence. Importantly, violence does not always end with divorce. In one case, the woman experienced ongoing abuse both during her marriage to the officer and after their divorce.</w:t>
      </w:r>
    </w:p>
    <w:p w14:paraId="66BB947C" w14:textId="6213BAB8" w:rsidR="00C3545B" w:rsidRPr="00B055B2" w:rsidRDefault="00052143" w:rsidP="008F64AF">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In two cases, the victim had engaged in an extramarital relationship with another police officer. This, too, carried heightened emotional weight, as the offending officer effectively lost both his </w:t>
      </w:r>
      <w:r w:rsidR="0015040C" w:rsidRPr="00B055B2">
        <w:rPr>
          <w:rFonts w:asciiTheme="majorBidi" w:hAnsiTheme="majorBidi" w:cstheme="majorBidi"/>
          <w:lang w:bidi="he-IL"/>
        </w:rPr>
        <w:t>“</w:t>
      </w:r>
      <w:r w:rsidRPr="00B055B2">
        <w:rPr>
          <w:rFonts w:asciiTheme="majorBidi" w:hAnsiTheme="majorBidi" w:cstheme="majorBidi"/>
          <w:lang w:bidi="he-IL"/>
        </w:rPr>
        <w:t>regular</w:t>
      </w:r>
      <w:r w:rsidR="0015040C" w:rsidRPr="00B055B2">
        <w:rPr>
          <w:rFonts w:asciiTheme="majorBidi" w:hAnsiTheme="majorBidi" w:cstheme="majorBidi"/>
          <w:lang w:bidi="he-IL"/>
        </w:rPr>
        <w:t>”</w:t>
      </w:r>
      <w:r w:rsidRPr="00B055B2">
        <w:rPr>
          <w:rFonts w:asciiTheme="majorBidi" w:hAnsiTheme="majorBidi" w:cstheme="majorBidi"/>
          <w:lang w:bidi="he-IL"/>
        </w:rPr>
        <w:t xml:space="preserve"> family and his </w:t>
      </w:r>
      <w:r w:rsidR="0015040C" w:rsidRPr="00B055B2">
        <w:rPr>
          <w:rFonts w:asciiTheme="majorBidi" w:hAnsiTheme="majorBidi" w:cstheme="majorBidi"/>
          <w:lang w:bidi="he-IL"/>
        </w:rPr>
        <w:t>“</w:t>
      </w:r>
      <w:r w:rsidRPr="00B055B2">
        <w:rPr>
          <w:rFonts w:asciiTheme="majorBidi" w:hAnsiTheme="majorBidi" w:cstheme="majorBidi"/>
          <w:lang w:bidi="he-IL"/>
        </w:rPr>
        <w:t>blue</w:t>
      </w:r>
      <w:r w:rsidR="0015040C" w:rsidRPr="00B055B2">
        <w:rPr>
          <w:rFonts w:asciiTheme="majorBidi" w:hAnsiTheme="majorBidi" w:cstheme="majorBidi"/>
          <w:lang w:bidi="he-IL"/>
        </w:rPr>
        <w:t>”</w:t>
      </w:r>
      <w:r w:rsidRPr="00B055B2">
        <w:rPr>
          <w:rFonts w:asciiTheme="majorBidi" w:hAnsiTheme="majorBidi" w:cstheme="majorBidi"/>
          <w:lang w:bidi="he-IL"/>
        </w:rPr>
        <w:t xml:space="preserve"> family. These incidents brought together the private and professional spheres, adding another layer of difficulty for the officer</w:t>
      </w:r>
      <w:r w:rsidR="0015040C" w:rsidRPr="00B055B2">
        <w:rPr>
          <w:rFonts w:asciiTheme="majorBidi" w:hAnsiTheme="majorBidi" w:cstheme="majorBidi"/>
          <w:lang w:bidi="he-IL"/>
        </w:rPr>
        <w:t xml:space="preserve">, </w:t>
      </w:r>
      <w:r w:rsidRPr="00B055B2">
        <w:rPr>
          <w:rFonts w:asciiTheme="majorBidi" w:hAnsiTheme="majorBidi" w:cstheme="majorBidi"/>
          <w:lang w:bidi="he-IL"/>
        </w:rPr>
        <w:t xml:space="preserve">namely, the awareness that </w:t>
      </w:r>
      <w:r w:rsidRPr="00B055B2">
        <w:rPr>
          <w:rFonts w:asciiTheme="majorBidi" w:hAnsiTheme="majorBidi" w:cstheme="majorBidi"/>
          <w:lang w:bidi="he-IL"/>
        </w:rPr>
        <w:lastRenderedPageBreak/>
        <w:t>his colleagues within the organization were exposed to the affair, and that the consequences of the betrayal would play out not only within the family unit, but also in formal and informal processes related to his role within the organization.</w:t>
      </w:r>
    </w:p>
    <w:p w14:paraId="2F2B02FB" w14:textId="50FC2C0C" w:rsidR="00052143" w:rsidRPr="00B055B2" w:rsidRDefault="00052143" w:rsidP="008F64AF">
      <w:pPr>
        <w:tabs>
          <w:tab w:val="left" w:pos="923"/>
        </w:tabs>
        <w:spacing w:line="360" w:lineRule="auto"/>
        <w:rPr>
          <w:rFonts w:asciiTheme="majorBidi" w:hAnsiTheme="majorBidi" w:cstheme="majorBidi"/>
          <w:lang w:bidi="he-IL"/>
        </w:rPr>
      </w:pPr>
    </w:p>
    <w:p w14:paraId="35DDE9A9" w14:textId="155301DD" w:rsidR="00ED3827" w:rsidRPr="00B055B2" w:rsidRDefault="00ED3827" w:rsidP="008F64AF">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 xml:space="preserve">Verbal </w:t>
      </w:r>
      <w:r w:rsidR="00E71A1A" w:rsidRPr="00B055B2">
        <w:rPr>
          <w:rFonts w:asciiTheme="majorBidi" w:hAnsiTheme="majorBidi" w:cstheme="majorBidi"/>
          <w:b/>
          <w:bCs/>
          <w:i/>
          <w:iCs/>
          <w:lang w:bidi="he-IL"/>
        </w:rPr>
        <w:t>Abuse</w:t>
      </w:r>
      <w:r w:rsidRPr="00B055B2">
        <w:rPr>
          <w:rFonts w:asciiTheme="majorBidi" w:hAnsiTheme="majorBidi" w:cstheme="majorBidi"/>
          <w:b/>
          <w:bCs/>
          <w:i/>
          <w:iCs/>
          <w:lang w:bidi="he-IL"/>
        </w:rPr>
        <w:t xml:space="preserve"> and Threats</w:t>
      </w:r>
    </w:p>
    <w:p w14:paraId="6181A2A1" w14:textId="5BC82CB8" w:rsidR="00ED3827" w:rsidRPr="00B055B2" w:rsidRDefault="00E71A1A" w:rsidP="008F64AF">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In some cases, the officer relied solely on verbal abuse, using it as a means of control intended to restrict his partner’s actions. This practice, common among other men, whether on its own or in combination with physical violence, may be even more prevalent among police officers, for whom surveillance and control are integral to their professional role. One of the therapists interviewed described this form of verbal abuse from the perspective of officers receiving treatment:</w:t>
      </w:r>
    </w:p>
    <w:p w14:paraId="1DEBB26C" w14:textId="766B2C17" w:rsidR="007D2019" w:rsidRPr="00B055B2" w:rsidRDefault="00F76B29" w:rsidP="00AB0881">
      <w:pPr>
        <w:tabs>
          <w:tab w:val="left" w:pos="923"/>
        </w:tabs>
        <w:spacing w:line="360" w:lineRule="auto"/>
        <w:ind w:left="923"/>
        <w:rPr>
          <w:rFonts w:asciiTheme="majorBidi" w:hAnsiTheme="majorBidi" w:cstheme="majorBidi"/>
          <w:lang w:bidi="he-IL"/>
        </w:rPr>
      </w:pPr>
      <w:r w:rsidRPr="00F76B29">
        <w:rPr>
          <w:rFonts w:asciiTheme="majorBidi" w:hAnsiTheme="majorBidi" w:cstheme="majorBidi"/>
          <w:lang w:bidi="he-IL"/>
        </w:rPr>
        <w:t>None of them were physically violent, but they all reported shouting. That’s what bothered them most, that they couldn’t control themselves</w:t>
      </w:r>
      <w:r w:rsidR="00881893" w:rsidRPr="00B055B2">
        <w:rPr>
          <w:rFonts w:asciiTheme="majorBidi" w:hAnsiTheme="majorBidi" w:cstheme="majorBidi"/>
          <w:lang w:bidi="he-IL"/>
        </w:rPr>
        <w:t xml:space="preserve"> and shouted, which hadn’t happened before. Many of them had been in good relationships </w:t>
      </w:r>
      <w:r w:rsidR="00E71A1A" w:rsidRPr="00B055B2">
        <w:rPr>
          <w:rFonts w:asciiTheme="majorBidi" w:hAnsiTheme="majorBidi" w:cstheme="majorBidi"/>
          <w:lang w:bidi="he-IL"/>
        </w:rPr>
        <w:t>in which</w:t>
      </w:r>
      <w:r w:rsidR="00881893" w:rsidRPr="00B055B2">
        <w:rPr>
          <w:rFonts w:asciiTheme="majorBidi" w:hAnsiTheme="majorBidi" w:cstheme="majorBidi"/>
          <w:lang w:bidi="he-IL"/>
        </w:rPr>
        <w:t xml:space="preserve"> communication was possible. </w:t>
      </w:r>
      <w:r w:rsidR="00E71A1A" w:rsidRPr="00B055B2">
        <w:rPr>
          <w:rFonts w:asciiTheme="majorBidi" w:hAnsiTheme="majorBidi" w:cstheme="majorBidi"/>
          <w:lang w:bidi="he-IL"/>
        </w:rPr>
        <w:t>T</w:t>
      </w:r>
      <w:r w:rsidR="00881893" w:rsidRPr="00B055B2">
        <w:rPr>
          <w:rFonts w:asciiTheme="majorBidi" w:hAnsiTheme="majorBidi" w:cstheme="majorBidi"/>
          <w:lang w:bidi="he-IL"/>
        </w:rPr>
        <w:t>hey talked with their wives</w:t>
      </w:r>
      <w:r w:rsidR="00E71A1A" w:rsidRPr="00B055B2">
        <w:rPr>
          <w:rFonts w:asciiTheme="majorBidi" w:hAnsiTheme="majorBidi" w:cstheme="majorBidi"/>
          <w:lang w:bidi="he-IL"/>
        </w:rPr>
        <w:t xml:space="preserve"> and </w:t>
      </w:r>
      <w:r w:rsidR="00881893" w:rsidRPr="00B055B2">
        <w:rPr>
          <w:rFonts w:asciiTheme="majorBidi" w:hAnsiTheme="majorBidi" w:cstheme="majorBidi"/>
          <w:lang w:bidi="he-IL"/>
        </w:rPr>
        <w:t xml:space="preserve">shared with them. But they </w:t>
      </w:r>
      <w:r w:rsidR="00E71A1A" w:rsidRPr="00B055B2">
        <w:rPr>
          <w:rFonts w:asciiTheme="majorBidi" w:hAnsiTheme="majorBidi" w:cstheme="majorBidi"/>
          <w:lang w:bidi="he-IL"/>
        </w:rPr>
        <w:t>just</w:t>
      </w:r>
      <w:r w:rsidR="00881893" w:rsidRPr="00B055B2">
        <w:rPr>
          <w:rFonts w:asciiTheme="majorBidi" w:hAnsiTheme="majorBidi" w:cstheme="majorBidi"/>
          <w:lang w:bidi="he-IL"/>
        </w:rPr>
        <w:t xml:space="preserve"> couldn’t control themselves. It was mainly verbal </w:t>
      </w:r>
      <w:r w:rsidR="00E71A1A" w:rsidRPr="00B055B2">
        <w:rPr>
          <w:rFonts w:asciiTheme="majorBidi" w:hAnsiTheme="majorBidi" w:cstheme="majorBidi"/>
          <w:lang w:bidi="he-IL"/>
        </w:rPr>
        <w:t>abuse</w:t>
      </w:r>
      <w:r w:rsidR="00881893" w:rsidRPr="00B055B2">
        <w:rPr>
          <w:rFonts w:asciiTheme="majorBidi" w:hAnsiTheme="majorBidi" w:cstheme="majorBidi"/>
          <w:lang w:bidi="he-IL"/>
        </w:rPr>
        <w:t xml:space="preserve">. </w:t>
      </w:r>
      <w:r w:rsidR="00E71A1A" w:rsidRPr="00B055B2">
        <w:rPr>
          <w:rFonts w:asciiTheme="majorBidi" w:hAnsiTheme="majorBidi" w:cstheme="majorBidi"/>
          <w:lang w:bidi="he-IL"/>
        </w:rPr>
        <w:t>T</w:t>
      </w:r>
      <w:r w:rsidR="00881893" w:rsidRPr="00B055B2">
        <w:rPr>
          <w:rFonts w:asciiTheme="majorBidi" w:hAnsiTheme="majorBidi" w:cstheme="majorBidi"/>
          <w:lang w:bidi="he-IL"/>
        </w:rPr>
        <w:t>hey didn’t describe cursing or anything like that</w:t>
      </w:r>
      <w:r w:rsidR="00E71A1A" w:rsidRPr="00B055B2">
        <w:rPr>
          <w:rFonts w:asciiTheme="majorBidi" w:hAnsiTheme="majorBidi" w:cstheme="majorBidi"/>
          <w:lang w:bidi="he-IL"/>
        </w:rPr>
        <w:t xml:space="preserve">, </w:t>
      </w:r>
      <w:r w:rsidR="00881893" w:rsidRPr="00B055B2">
        <w:rPr>
          <w:rFonts w:asciiTheme="majorBidi" w:hAnsiTheme="majorBidi" w:cstheme="majorBidi"/>
          <w:lang w:bidi="he-IL"/>
        </w:rPr>
        <w:t xml:space="preserve">not what we typically associate with domestic violence. Not belittling, but </w:t>
      </w:r>
      <w:r w:rsidR="00E71A1A" w:rsidRPr="00B055B2">
        <w:rPr>
          <w:rFonts w:asciiTheme="majorBidi" w:hAnsiTheme="majorBidi" w:cstheme="majorBidi"/>
          <w:lang w:bidi="he-IL"/>
        </w:rPr>
        <w:t>rather</w:t>
      </w:r>
      <w:r w:rsidR="00881893" w:rsidRPr="00B055B2">
        <w:rPr>
          <w:rFonts w:asciiTheme="majorBidi" w:hAnsiTheme="majorBidi" w:cstheme="majorBidi"/>
          <w:lang w:bidi="he-IL"/>
        </w:rPr>
        <w:t xml:space="preserve"> a kind of venting of anger.</w:t>
      </w:r>
    </w:p>
    <w:p w14:paraId="43CE3CF3" w14:textId="53A8E913" w:rsidR="00AB0881" w:rsidRPr="00B055B2" w:rsidRDefault="00AB0881" w:rsidP="00AB0881">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E71A1A" w:rsidRPr="00B055B2">
        <w:rPr>
          <w:rFonts w:asciiTheme="majorBidi" w:hAnsiTheme="majorBidi" w:cstheme="majorBidi"/>
          <w:lang w:bidi="he-IL"/>
        </w:rPr>
        <w:t>At times, verbal abuse was accompanied by explicit threats, including threats to use a weapon in the officer’s possession, particularly as conflicts between partners escalated. These threats fell into three main categories. The first consisted of general threats made from a distance, such as during a phone call, in which the victim clearly understood that the officer had access to a weapon and the capacity to carry out the threat.</w:t>
      </w:r>
    </w:p>
    <w:p w14:paraId="608A132B" w14:textId="76BBC18D" w:rsidR="00C242D9" w:rsidRPr="00B055B2" w:rsidRDefault="00704E64" w:rsidP="00AB0881">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4A6ABD" w:rsidRPr="00B055B2">
        <w:rPr>
          <w:rFonts w:asciiTheme="majorBidi" w:hAnsiTheme="majorBidi" w:cstheme="majorBidi"/>
          <w:lang w:bidi="he-IL"/>
        </w:rPr>
        <w:t xml:space="preserve">For example, one officer left the police academy in Beit </w:t>
      </w:r>
      <w:proofErr w:type="spellStart"/>
      <w:r w:rsidR="004A6ABD" w:rsidRPr="00B055B2">
        <w:rPr>
          <w:rFonts w:asciiTheme="majorBidi" w:hAnsiTheme="majorBidi" w:cstheme="majorBidi"/>
          <w:lang w:bidi="he-IL"/>
        </w:rPr>
        <w:t>Shemesh</w:t>
      </w:r>
      <w:proofErr w:type="spellEnd"/>
      <w:r w:rsidR="004A6ABD" w:rsidRPr="00B055B2">
        <w:rPr>
          <w:rFonts w:asciiTheme="majorBidi" w:hAnsiTheme="majorBidi" w:cstheme="majorBidi"/>
          <w:lang w:bidi="he-IL"/>
        </w:rPr>
        <w:t xml:space="preserve">, drove toward his home, and, while </w:t>
      </w:r>
      <w:proofErr w:type="spellStart"/>
      <w:r w:rsidR="004A6ABD" w:rsidRPr="00B055B2">
        <w:rPr>
          <w:rFonts w:asciiTheme="majorBidi" w:hAnsiTheme="majorBidi" w:cstheme="majorBidi"/>
          <w:lang w:bidi="he-IL"/>
        </w:rPr>
        <w:t>en</w:t>
      </w:r>
      <w:proofErr w:type="spellEnd"/>
      <w:r w:rsidR="004A6ABD" w:rsidRPr="00B055B2">
        <w:rPr>
          <w:rFonts w:asciiTheme="majorBidi" w:hAnsiTheme="majorBidi" w:cstheme="majorBidi"/>
          <w:lang w:bidi="he-IL"/>
        </w:rPr>
        <w:t xml:space="preserve"> route, called his wife and threatened her life. He also informed his brother that he intended to kill her. Another officer was recorded threatening his wife during a phone call, stating: “I could come and put a small explosive in your tire and blow you and the kids up. Can I do that or not? I’ll blow you into the air. I can.” A third officer called his wife while she </w:t>
      </w:r>
      <w:r w:rsidR="004A6ABD" w:rsidRPr="00B055B2">
        <w:rPr>
          <w:rFonts w:asciiTheme="majorBidi" w:hAnsiTheme="majorBidi" w:cstheme="majorBidi"/>
          <w:lang w:bidi="he-IL"/>
        </w:rPr>
        <w:lastRenderedPageBreak/>
        <w:t xml:space="preserve">was vacationing in </w:t>
      </w:r>
      <w:proofErr w:type="spellStart"/>
      <w:r w:rsidR="004A6ABD" w:rsidRPr="00B055B2">
        <w:rPr>
          <w:rFonts w:asciiTheme="majorBidi" w:hAnsiTheme="majorBidi" w:cstheme="majorBidi"/>
          <w:lang w:bidi="he-IL"/>
        </w:rPr>
        <w:t>Eilat</w:t>
      </w:r>
      <w:proofErr w:type="spellEnd"/>
      <w:r w:rsidR="004A6ABD" w:rsidRPr="00B055B2">
        <w:rPr>
          <w:rFonts w:asciiTheme="majorBidi" w:hAnsiTheme="majorBidi" w:cstheme="majorBidi"/>
          <w:lang w:bidi="he-IL"/>
        </w:rPr>
        <w:t xml:space="preserve"> without him and told her: “I’ll finish you, and I’ll die. I’ll make your life hell […] this trip will end […] the moment you walk into the house, I’ll put a bullet in you.”</w:t>
      </w:r>
      <w:r w:rsidRPr="00B055B2">
        <w:rPr>
          <w:rStyle w:val="FootnoteReference"/>
          <w:rFonts w:asciiTheme="majorBidi" w:hAnsiTheme="majorBidi" w:cstheme="majorBidi"/>
          <w:lang w:bidi="he-IL"/>
        </w:rPr>
        <w:footnoteReference w:id="6"/>
      </w:r>
    </w:p>
    <w:p w14:paraId="5C5A0AE6" w14:textId="3526F3DC" w:rsidR="00881893" w:rsidRPr="00B055B2" w:rsidRDefault="00DF38F1" w:rsidP="00555E18">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At times, the threat was made while the victim was in close proximity to the perpetrator</w:t>
      </w:r>
      <w:r w:rsidR="00555E18" w:rsidRPr="00B055B2">
        <w:rPr>
          <w:rFonts w:asciiTheme="majorBidi" w:hAnsiTheme="majorBidi" w:cstheme="majorBidi"/>
          <w:lang w:bidi="he-IL"/>
        </w:rPr>
        <w:t xml:space="preserve">, </w:t>
      </w:r>
      <w:r w:rsidRPr="00B055B2">
        <w:rPr>
          <w:rFonts w:asciiTheme="majorBidi" w:hAnsiTheme="majorBidi" w:cstheme="majorBidi"/>
          <w:lang w:bidi="he-IL"/>
        </w:rPr>
        <w:t xml:space="preserve">greatly intensifying its impact due to the immediacy with which it could be carried out. In one case, an officer waited for his ex-partner outside her room and threatened to kill her with his service weapon if she did not return to him. </w:t>
      </w:r>
      <w:r w:rsidR="00555E18" w:rsidRPr="00B055B2">
        <w:rPr>
          <w:rFonts w:asciiTheme="majorBidi" w:hAnsiTheme="majorBidi" w:cstheme="majorBidi"/>
          <w:lang w:bidi="he-IL"/>
        </w:rPr>
        <w:t xml:space="preserve">An indictment filed against a senior officer with the rank of </w:t>
      </w:r>
      <w:r w:rsidR="0046221A" w:rsidRPr="00B055B2">
        <w:rPr>
          <w:rFonts w:asciiTheme="majorBidi" w:hAnsiTheme="majorBidi" w:cstheme="majorBidi"/>
          <w:lang w:bidi="he-IL"/>
        </w:rPr>
        <w:t>s</w:t>
      </w:r>
      <w:r w:rsidR="00555E18" w:rsidRPr="00B055B2">
        <w:rPr>
          <w:rFonts w:asciiTheme="majorBidi" w:hAnsiTheme="majorBidi" w:cstheme="majorBidi"/>
          <w:lang w:bidi="he-IL"/>
        </w:rPr>
        <w:t>uperintendent stated that he had threatened to murder his wife. In another case, an officer’s wife described how his mental state had deteriorated; he suspected her of infidelity and, as a result, repeatedly threatened her.</w:t>
      </w:r>
    </w:p>
    <w:p w14:paraId="6618AD43" w14:textId="707067D9" w:rsidR="00B47912" w:rsidRPr="00B055B2" w:rsidRDefault="007C010B" w:rsidP="008F64AF">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In a small number of cases, a weapon was used during the threat, in a manner intended to intensify the victim’s fear. One officer from the Coastal District assaulted his wife in front of their children, pointed a gun at her head, and threatened: </w:t>
      </w:r>
      <w:r w:rsidR="003D321F" w:rsidRPr="00B055B2">
        <w:rPr>
          <w:rFonts w:asciiTheme="majorBidi" w:hAnsiTheme="majorBidi" w:cstheme="majorBidi"/>
          <w:lang w:bidi="he-IL"/>
        </w:rPr>
        <w:t>“</w:t>
      </w:r>
      <w:r w:rsidRPr="00B055B2">
        <w:rPr>
          <w:rFonts w:asciiTheme="majorBidi" w:hAnsiTheme="majorBidi" w:cstheme="majorBidi"/>
          <w:lang w:bidi="he-IL"/>
        </w:rPr>
        <w:t>If you don’t shut up, I’ll kill you.</w:t>
      </w:r>
      <w:r w:rsidR="003D321F" w:rsidRPr="00B055B2">
        <w:rPr>
          <w:rFonts w:asciiTheme="majorBidi" w:hAnsiTheme="majorBidi" w:cstheme="majorBidi"/>
          <w:lang w:bidi="he-IL"/>
        </w:rPr>
        <w:t>”</w:t>
      </w:r>
      <w:r w:rsidRPr="00B055B2">
        <w:rPr>
          <w:rFonts w:asciiTheme="majorBidi" w:hAnsiTheme="majorBidi" w:cstheme="majorBidi"/>
          <w:lang w:bidi="he-IL"/>
        </w:rPr>
        <w:t xml:space="preserve"> In another case, in 2000, an officer threatened to murder his wife and emptied an entire magazine into the kitchen cabinets in their home. In yet another case, a man took his partner’s police-issued firearm, cocked it, and repeatedly stated that he had nothing to lose.</w:t>
      </w:r>
    </w:p>
    <w:p w14:paraId="60D6CB32" w14:textId="0F89EAA1" w:rsidR="001A4495" w:rsidRPr="00B055B2" w:rsidRDefault="001A4495" w:rsidP="001A4495">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6B0374" w:rsidRPr="00B055B2">
        <w:rPr>
          <w:rFonts w:asciiTheme="majorBidi" w:hAnsiTheme="majorBidi" w:cstheme="majorBidi"/>
          <w:lang w:bidi="he-IL"/>
        </w:rPr>
        <w:t xml:space="preserve">Although threats frequently accompanied assault and other violent offenses, in earlier years they typically appeared in indictments only in conjunction with other charges, rather than as standalone offenses. In recent years, however, particularly following the murder of Diana </w:t>
      </w:r>
      <w:proofErr w:type="spellStart"/>
      <w:r w:rsidR="006B0374" w:rsidRPr="00B055B2">
        <w:rPr>
          <w:rFonts w:asciiTheme="majorBidi" w:hAnsiTheme="majorBidi" w:cstheme="majorBidi"/>
          <w:lang w:bidi="he-IL"/>
        </w:rPr>
        <w:t>Raz</w:t>
      </w:r>
      <w:proofErr w:type="spellEnd"/>
      <w:r w:rsidR="006B0374" w:rsidRPr="00B055B2">
        <w:rPr>
          <w:rFonts w:asciiTheme="majorBidi" w:hAnsiTheme="majorBidi" w:cstheme="majorBidi"/>
          <w:lang w:bidi="he-IL"/>
        </w:rPr>
        <w:t>, the offense of making threats has appeared far more frequently in indictments. Judges have also begun to reference it more regularly in detention hearings, verdicts, and sentencing decisions. In one such decision, which received particularly wide media coverage, a police officer from southern Israel threatened his wife after she asked for a divorce:</w:t>
      </w:r>
    </w:p>
    <w:p w14:paraId="03A22BEE" w14:textId="7C9BED9F" w:rsidR="007C010B" w:rsidRPr="00B055B2" w:rsidRDefault="001A4495" w:rsidP="001A4495">
      <w:pPr>
        <w:tabs>
          <w:tab w:val="left" w:pos="923"/>
        </w:tabs>
        <w:spacing w:line="360" w:lineRule="auto"/>
        <w:ind w:left="720"/>
        <w:rPr>
          <w:rFonts w:asciiTheme="majorBidi" w:hAnsiTheme="majorBidi" w:cstheme="majorBidi"/>
          <w:lang w:bidi="he-IL"/>
        </w:rPr>
      </w:pPr>
      <w:r w:rsidRPr="00B055B2">
        <w:rPr>
          <w:rFonts w:asciiTheme="majorBidi" w:hAnsiTheme="majorBidi" w:cstheme="majorBidi"/>
          <w:lang w:bidi="he-IL"/>
        </w:rPr>
        <w:t xml:space="preserve">I will bury you, I will finish you alive, and you can call the police right now […] </w:t>
      </w:r>
      <w:r w:rsidR="006B0374" w:rsidRPr="00B055B2">
        <w:rPr>
          <w:rFonts w:asciiTheme="majorBidi" w:hAnsiTheme="majorBidi" w:cstheme="majorBidi"/>
          <w:lang w:bidi="he-IL"/>
        </w:rPr>
        <w:t>Listen to me very carefully. The day you pick up the phone and tell me, “I went to a lawyer,” you should start the car and get as far away as you can, because a lawyer won’t stop me. I won’t go to a lawyer—I’ll come looking for you with a weapon in my hand and put a bullet in you</w:t>
      </w:r>
      <w:r w:rsidRPr="00B055B2">
        <w:rPr>
          <w:rFonts w:asciiTheme="majorBidi" w:hAnsiTheme="majorBidi" w:cstheme="majorBidi"/>
          <w:lang w:bidi="he-IL"/>
        </w:rPr>
        <w:t xml:space="preserve">. I’ll go to prison for life, I’ll give my money to the children to split between them, and I’ll kill you. Do you hear that sentence clearly? </w:t>
      </w:r>
      <w:r w:rsidR="007151E2" w:rsidRPr="00B055B2">
        <w:rPr>
          <w:rFonts w:asciiTheme="majorBidi" w:hAnsiTheme="majorBidi" w:cstheme="majorBidi"/>
          <w:lang w:bidi="he-IL"/>
        </w:rPr>
        <w:t>Etch</w:t>
      </w:r>
      <w:r w:rsidRPr="00B055B2">
        <w:rPr>
          <w:rFonts w:asciiTheme="majorBidi" w:hAnsiTheme="majorBidi" w:cstheme="majorBidi"/>
          <w:lang w:bidi="he-IL"/>
        </w:rPr>
        <w:t xml:space="preserve"> it </w:t>
      </w:r>
      <w:r w:rsidR="00A36122" w:rsidRPr="00B055B2">
        <w:rPr>
          <w:rFonts w:asciiTheme="majorBidi" w:hAnsiTheme="majorBidi" w:cstheme="majorBidi"/>
          <w:lang w:bidi="he-IL"/>
        </w:rPr>
        <w:t xml:space="preserve">deeply </w:t>
      </w:r>
      <w:r w:rsidR="007151E2" w:rsidRPr="00B055B2">
        <w:rPr>
          <w:rFonts w:asciiTheme="majorBidi" w:hAnsiTheme="majorBidi" w:cstheme="majorBidi"/>
          <w:lang w:bidi="he-IL"/>
        </w:rPr>
        <w:t xml:space="preserve">into your </w:t>
      </w:r>
      <w:commentRangeStart w:id="10"/>
      <w:r w:rsidR="007151E2" w:rsidRPr="00B055B2">
        <w:rPr>
          <w:rFonts w:asciiTheme="majorBidi" w:hAnsiTheme="majorBidi" w:cstheme="majorBidi"/>
          <w:lang w:bidi="he-IL"/>
        </w:rPr>
        <w:t>brain</w:t>
      </w:r>
      <w:commentRangeEnd w:id="10"/>
      <w:r w:rsidR="007C4CD1" w:rsidRPr="00B055B2">
        <w:rPr>
          <w:rStyle w:val="CommentReference"/>
          <w:rFonts w:asciiTheme="majorBidi" w:hAnsiTheme="majorBidi" w:cstheme="majorBidi"/>
          <w:sz w:val="24"/>
          <w:szCs w:val="24"/>
          <w:lang w:bidi="he-IL"/>
        </w:rPr>
        <w:commentReference w:id="10"/>
      </w:r>
      <w:r w:rsidR="007151E2" w:rsidRPr="00B055B2">
        <w:rPr>
          <w:rFonts w:asciiTheme="majorBidi" w:hAnsiTheme="majorBidi" w:cstheme="majorBidi"/>
          <w:lang w:bidi="he-IL"/>
        </w:rPr>
        <w:t>.</w:t>
      </w:r>
    </w:p>
    <w:p w14:paraId="78DFF747" w14:textId="77777777" w:rsidR="00A36122" w:rsidRPr="00B055B2" w:rsidRDefault="00A36122" w:rsidP="00A36122">
      <w:pPr>
        <w:tabs>
          <w:tab w:val="left" w:pos="923"/>
        </w:tabs>
        <w:spacing w:line="360" w:lineRule="auto"/>
        <w:rPr>
          <w:rFonts w:asciiTheme="majorBidi" w:hAnsiTheme="majorBidi" w:cstheme="majorBidi"/>
          <w:lang w:bidi="he-IL"/>
        </w:rPr>
      </w:pPr>
    </w:p>
    <w:p w14:paraId="6971F40B" w14:textId="26A3E6F4" w:rsidR="00A36122" w:rsidRPr="00B055B2" w:rsidRDefault="00A36122" w:rsidP="00A36122">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Sexual Violence</w:t>
      </w:r>
    </w:p>
    <w:p w14:paraId="7E80B735" w14:textId="1ECA5BC2" w:rsidR="00A36122" w:rsidRPr="00B055B2" w:rsidRDefault="00A36122" w:rsidP="00B6707D">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Sexual offenses were the least frequently identified, appearing in only three cases. In the first, a Border Police officer was charged with a long series of severe physical and sexual assaults</w:t>
      </w:r>
      <w:r w:rsidR="00B6707D" w:rsidRPr="00B055B2">
        <w:rPr>
          <w:rFonts w:asciiTheme="majorBidi" w:hAnsiTheme="majorBidi" w:cstheme="majorBidi"/>
          <w:lang w:bidi="he-IL"/>
        </w:rPr>
        <w:t xml:space="preserve">, </w:t>
      </w:r>
      <w:r w:rsidRPr="00B055B2">
        <w:rPr>
          <w:rFonts w:asciiTheme="majorBidi" w:hAnsiTheme="majorBidi" w:cstheme="majorBidi"/>
          <w:lang w:bidi="he-IL"/>
        </w:rPr>
        <w:t xml:space="preserve">some of which occurred while the victim was pregnant. She did not initially understand that violently coerced sex constituted rape. In the second case, a senior officer with the rank of </w:t>
      </w:r>
      <w:r w:rsidR="0046221A" w:rsidRPr="00B055B2">
        <w:rPr>
          <w:rFonts w:asciiTheme="majorBidi" w:hAnsiTheme="majorBidi" w:cstheme="majorBidi"/>
          <w:lang w:bidi="he-IL"/>
        </w:rPr>
        <w:t>s</w:t>
      </w:r>
      <w:r w:rsidRPr="00B055B2">
        <w:rPr>
          <w:rFonts w:asciiTheme="majorBidi" w:hAnsiTheme="majorBidi" w:cstheme="majorBidi"/>
          <w:lang w:bidi="he-IL"/>
        </w:rPr>
        <w:t>uperintendent was charged with offenses including threats, physical violence, and sexual abuse that continued over the course of six years. In the third case, an officer sexually assaulted his partner, who was also a police officer.</w:t>
      </w:r>
      <w:r w:rsidR="00B76E77" w:rsidRPr="00B055B2">
        <w:rPr>
          <w:rStyle w:val="FootnoteReference"/>
          <w:rFonts w:asciiTheme="majorBidi" w:hAnsiTheme="majorBidi" w:cstheme="majorBidi"/>
          <w:lang w:bidi="he-IL"/>
        </w:rPr>
        <w:footnoteReference w:id="7"/>
      </w:r>
      <w:r w:rsidRPr="00B055B2">
        <w:rPr>
          <w:rFonts w:asciiTheme="majorBidi" w:hAnsiTheme="majorBidi" w:cstheme="majorBidi"/>
          <w:lang w:bidi="he-IL"/>
        </w:rPr>
        <w:t xml:space="preserve"> She described the experience in her testimony as follows:</w:t>
      </w:r>
      <w:r w:rsidR="00B6707D" w:rsidRPr="00B055B2">
        <w:rPr>
          <w:rFonts w:asciiTheme="majorBidi" w:hAnsiTheme="majorBidi" w:cstheme="majorBidi"/>
          <w:lang w:bidi="he-IL"/>
        </w:rPr>
        <w:t xml:space="preserve"> </w:t>
      </w:r>
      <w:r w:rsidRPr="00B055B2">
        <w:rPr>
          <w:rFonts w:asciiTheme="majorBidi" w:hAnsiTheme="majorBidi" w:cstheme="majorBidi"/>
          <w:lang w:bidi="he-IL"/>
        </w:rPr>
        <w:t>“That night we had sex</w:t>
      </w:r>
      <w:r w:rsidR="002924B9" w:rsidRPr="00B055B2">
        <w:rPr>
          <w:rFonts w:asciiTheme="majorBidi" w:hAnsiTheme="majorBidi" w:cstheme="majorBidi"/>
          <w:lang w:bidi="he-IL"/>
        </w:rPr>
        <w:t xml:space="preserve"> [</w:t>
      </w:r>
      <w:r w:rsidRPr="00B055B2">
        <w:rPr>
          <w:rFonts w:asciiTheme="majorBidi" w:hAnsiTheme="majorBidi" w:cstheme="majorBidi"/>
          <w:lang w:bidi="he-IL"/>
        </w:rPr>
        <w:t>...</w:t>
      </w:r>
      <w:r w:rsidR="002924B9" w:rsidRPr="00B055B2">
        <w:rPr>
          <w:rFonts w:asciiTheme="majorBidi" w:hAnsiTheme="majorBidi" w:cstheme="majorBidi"/>
          <w:lang w:bidi="he-IL"/>
        </w:rPr>
        <w:t>]</w:t>
      </w:r>
      <w:r w:rsidRPr="00B055B2">
        <w:rPr>
          <w:rFonts w:asciiTheme="majorBidi" w:hAnsiTheme="majorBidi" w:cstheme="majorBidi"/>
          <w:lang w:bidi="he-IL"/>
        </w:rPr>
        <w:t xml:space="preserve"> because I didn’t have the emotional strength to resist</w:t>
      </w:r>
      <w:r w:rsidR="002924B9" w:rsidRPr="00B055B2">
        <w:rPr>
          <w:rFonts w:asciiTheme="majorBidi" w:hAnsiTheme="majorBidi" w:cstheme="majorBidi"/>
          <w:lang w:bidi="he-IL"/>
        </w:rPr>
        <w:t xml:space="preserve"> [</w:t>
      </w:r>
      <w:r w:rsidRPr="00B055B2">
        <w:rPr>
          <w:rFonts w:asciiTheme="majorBidi" w:hAnsiTheme="majorBidi" w:cstheme="majorBidi"/>
          <w:lang w:bidi="he-IL"/>
        </w:rPr>
        <w:t>...</w:t>
      </w:r>
      <w:r w:rsidR="002924B9" w:rsidRPr="00B055B2">
        <w:rPr>
          <w:rFonts w:asciiTheme="majorBidi" w:hAnsiTheme="majorBidi" w:cstheme="majorBidi"/>
          <w:lang w:bidi="he-IL"/>
        </w:rPr>
        <w:t>]</w:t>
      </w:r>
      <w:r w:rsidRPr="00B055B2">
        <w:rPr>
          <w:rFonts w:asciiTheme="majorBidi" w:hAnsiTheme="majorBidi" w:cstheme="majorBidi"/>
          <w:lang w:bidi="he-IL"/>
        </w:rPr>
        <w:t xml:space="preserve"> I just wanted it to be over, while he was basically holding me down</w:t>
      </w:r>
      <w:r w:rsidR="002924B9" w:rsidRPr="00B055B2">
        <w:rPr>
          <w:rFonts w:asciiTheme="majorBidi" w:hAnsiTheme="majorBidi" w:cstheme="majorBidi"/>
          <w:lang w:bidi="he-IL"/>
        </w:rPr>
        <w:t xml:space="preserve"> [</w:t>
      </w:r>
      <w:r w:rsidRPr="00B055B2">
        <w:rPr>
          <w:rFonts w:asciiTheme="majorBidi" w:hAnsiTheme="majorBidi" w:cstheme="majorBidi"/>
          <w:lang w:bidi="he-IL"/>
        </w:rPr>
        <w:t>...</w:t>
      </w:r>
      <w:r w:rsidR="002924B9" w:rsidRPr="00B055B2">
        <w:rPr>
          <w:rFonts w:asciiTheme="majorBidi" w:hAnsiTheme="majorBidi" w:cstheme="majorBidi"/>
          <w:lang w:bidi="he-IL"/>
        </w:rPr>
        <w:t>]</w:t>
      </w:r>
      <w:r w:rsidRPr="00B055B2">
        <w:rPr>
          <w:rFonts w:asciiTheme="majorBidi" w:hAnsiTheme="majorBidi" w:cstheme="majorBidi"/>
          <w:lang w:bidi="he-IL"/>
        </w:rPr>
        <w:t xml:space="preserve"> I didn’t have the emotional strength to deal with it.”</w:t>
      </w:r>
      <w:r w:rsidR="00B6707D" w:rsidRPr="00B055B2">
        <w:rPr>
          <w:rFonts w:asciiTheme="majorBidi" w:hAnsiTheme="majorBidi" w:cstheme="majorBidi"/>
          <w:lang w:bidi="he-IL"/>
        </w:rPr>
        <w:t xml:space="preserve"> </w:t>
      </w:r>
      <w:r w:rsidRPr="00B055B2">
        <w:rPr>
          <w:rFonts w:asciiTheme="majorBidi" w:hAnsiTheme="majorBidi" w:cstheme="majorBidi"/>
          <w:lang w:bidi="he-IL"/>
        </w:rPr>
        <w:t>When she woke up in the morning, she saw marks on her arms and put on a jacket to cover them. From that moment, she said, “everything changed</w:t>
      </w:r>
      <w:r w:rsidR="00B6707D" w:rsidRPr="00B055B2">
        <w:rPr>
          <w:rFonts w:asciiTheme="majorBidi" w:hAnsiTheme="majorBidi" w:cstheme="majorBidi"/>
          <w:lang w:bidi="he-IL"/>
        </w:rPr>
        <w:t xml:space="preserve">, </w:t>
      </w:r>
      <w:proofErr w:type="gramStart"/>
      <w:r w:rsidRPr="00B055B2">
        <w:rPr>
          <w:rFonts w:asciiTheme="majorBidi" w:hAnsiTheme="majorBidi" w:cstheme="majorBidi"/>
          <w:lang w:bidi="he-IL"/>
        </w:rPr>
        <w:t>the</w:t>
      </w:r>
      <w:proofErr w:type="gramEnd"/>
      <w:r w:rsidRPr="00B055B2">
        <w:rPr>
          <w:rFonts w:asciiTheme="majorBidi" w:hAnsiTheme="majorBidi" w:cstheme="majorBidi"/>
          <w:lang w:bidi="he-IL"/>
        </w:rPr>
        <w:t xml:space="preserve"> relationship </w:t>
      </w:r>
      <w:r w:rsidR="00293AC7" w:rsidRPr="00B055B2">
        <w:rPr>
          <w:rFonts w:asciiTheme="majorBidi" w:hAnsiTheme="majorBidi" w:cstheme="majorBidi"/>
          <w:lang w:bidi="he-IL"/>
        </w:rPr>
        <w:t xml:space="preserve">essentially </w:t>
      </w:r>
      <w:r w:rsidRPr="00B055B2">
        <w:rPr>
          <w:rFonts w:asciiTheme="majorBidi" w:hAnsiTheme="majorBidi" w:cstheme="majorBidi"/>
          <w:lang w:bidi="he-IL"/>
        </w:rPr>
        <w:t xml:space="preserve">became one </w:t>
      </w:r>
      <w:r w:rsidR="004B5978" w:rsidRPr="00B055B2">
        <w:rPr>
          <w:rFonts w:asciiTheme="majorBidi" w:hAnsiTheme="majorBidi" w:cstheme="majorBidi"/>
          <w:lang w:bidi="he-IL"/>
        </w:rPr>
        <w:t>big</w:t>
      </w:r>
      <w:r w:rsidRPr="00B055B2">
        <w:rPr>
          <w:rFonts w:asciiTheme="majorBidi" w:hAnsiTheme="majorBidi" w:cstheme="majorBidi"/>
          <w:lang w:bidi="he-IL"/>
        </w:rPr>
        <w:t xml:space="preserve"> threat.”</w:t>
      </w:r>
    </w:p>
    <w:p w14:paraId="4CB93A24" w14:textId="77777777" w:rsidR="009D2116" w:rsidRPr="00B055B2" w:rsidRDefault="009D2116" w:rsidP="009D2116">
      <w:pPr>
        <w:tabs>
          <w:tab w:val="left" w:pos="923"/>
        </w:tabs>
        <w:spacing w:line="360" w:lineRule="auto"/>
        <w:rPr>
          <w:rFonts w:asciiTheme="majorBidi" w:hAnsiTheme="majorBidi" w:cstheme="majorBidi"/>
          <w:i/>
          <w:iCs/>
          <w:lang w:bidi="he-IL"/>
        </w:rPr>
      </w:pPr>
    </w:p>
    <w:p w14:paraId="74C4661A" w14:textId="38C084F3" w:rsidR="009D2116" w:rsidRPr="00B055B2" w:rsidRDefault="009D2116" w:rsidP="009D2116">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Murder</w:t>
      </w:r>
    </w:p>
    <w:p w14:paraId="7118598F" w14:textId="5378B745" w:rsidR="00293AC7" w:rsidRPr="00B055B2" w:rsidRDefault="009D2116" w:rsidP="009D2116">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Murder was the rarest of all the offenses identified: from 1986 until the time of this study’s publication, only nine cases were found in which police officers murdered their wives. Nevertheless, media coverage of such incidents expanded significantly during the second and third periods and was consistently sensational and extensive</w:t>
      </w:r>
      <w:r w:rsidR="00213C9F" w:rsidRPr="00B055B2">
        <w:rPr>
          <w:rFonts w:asciiTheme="majorBidi" w:hAnsiTheme="majorBidi" w:cstheme="majorBidi"/>
          <w:lang w:bidi="he-IL"/>
        </w:rPr>
        <w:t xml:space="preserve">, </w:t>
      </w:r>
      <w:r w:rsidRPr="00B055B2">
        <w:rPr>
          <w:rFonts w:asciiTheme="majorBidi" w:hAnsiTheme="majorBidi" w:cstheme="majorBidi"/>
          <w:lang w:bidi="he-IL"/>
        </w:rPr>
        <w:t>out of proportion to the relative rarity of the offense. Three murders occurred during the first period (1986, 1994, 1994), four during the second (2008, 2012, 2013, 2015), and two</w:t>
      </w:r>
      <w:r w:rsidR="00213C9F" w:rsidRPr="00B055B2">
        <w:rPr>
          <w:rFonts w:asciiTheme="majorBidi" w:hAnsiTheme="majorBidi" w:cstheme="majorBidi"/>
          <w:lang w:bidi="he-IL"/>
        </w:rPr>
        <w:t xml:space="preserve"> during the third period (2018, 2021)</w:t>
      </w:r>
      <w:r w:rsidR="00DC5EFD" w:rsidRPr="00B055B2">
        <w:rPr>
          <w:rFonts w:asciiTheme="majorBidi" w:hAnsiTheme="majorBidi" w:cstheme="majorBidi"/>
          <w:lang w:bidi="he-IL"/>
        </w:rPr>
        <w:t xml:space="preserve">, </w:t>
      </w:r>
      <w:r w:rsidRPr="00B055B2">
        <w:rPr>
          <w:rFonts w:asciiTheme="majorBidi" w:hAnsiTheme="majorBidi" w:cstheme="majorBidi"/>
          <w:lang w:bidi="he-IL"/>
        </w:rPr>
        <w:t>both of which became the most widely recognized cases associated with this offense.</w:t>
      </w:r>
    </w:p>
    <w:p w14:paraId="7029455B" w14:textId="78E12D46" w:rsidR="00DC5EFD" w:rsidRPr="00B055B2" w:rsidRDefault="005E4458" w:rsidP="009D2116">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It is worth highlighting several notable characteristics of the murder cases, while also acknowledging that these may reflect limitations in the information available to us. First, in all of the cases, there were no known prior incidents of violence. Second, about half of the victims were women with a high level of awareness regarding domestic violence: one was a police </w:t>
      </w:r>
      <w:r w:rsidRPr="00B055B2">
        <w:rPr>
          <w:rFonts w:asciiTheme="majorBidi" w:hAnsiTheme="majorBidi" w:cstheme="majorBidi"/>
          <w:lang w:bidi="he-IL"/>
        </w:rPr>
        <w:lastRenderedPageBreak/>
        <w:t xml:space="preserve">officer, another a prison officer, and two others worked in roles that involved promoting awareness of domestic violence offenses. A third and final point worth emphasizing is that fear of punishment likely had little deterrent effect on half of the perpetrators. Two </w:t>
      </w:r>
      <w:r w:rsidR="00244D41" w:rsidRPr="00B055B2">
        <w:rPr>
          <w:rFonts w:asciiTheme="majorBidi" w:hAnsiTheme="majorBidi" w:cstheme="majorBidi"/>
          <w:lang w:bidi="he-IL"/>
        </w:rPr>
        <w:t>committed</w:t>
      </w:r>
      <w:r w:rsidRPr="00B055B2">
        <w:rPr>
          <w:rFonts w:asciiTheme="majorBidi" w:hAnsiTheme="majorBidi" w:cstheme="majorBidi"/>
          <w:lang w:bidi="he-IL"/>
        </w:rPr>
        <w:t xml:space="preserve"> suicide</w:t>
      </w:r>
      <w:r w:rsidR="00244D41" w:rsidRPr="00B055B2">
        <w:rPr>
          <w:rFonts w:asciiTheme="majorBidi" w:hAnsiTheme="majorBidi" w:cstheme="majorBidi"/>
          <w:lang w:bidi="he-IL"/>
        </w:rPr>
        <w:t xml:space="preserve">, </w:t>
      </w:r>
      <w:r w:rsidRPr="00B055B2">
        <w:rPr>
          <w:rFonts w:asciiTheme="majorBidi" w:hAnsiTheme="majorBidi" w:cstheme="majorBidi"/>
          <w:lang w:bidi="he-IL"/>
        </w:rPr>
        <w:t xml:space="preserve">one </w:t>
      </w:r>
      <w:r w:rsidR="00244D41" w:rsidRPr="00B055B2">
        <w:rPr>
          <w:rFonts w:asciiTheme="majorBidi" w:hAnsiTheme="majorBidi" w:cstheme="majorBidi"/>
          <w:lang w:bidi="he-IL"/>
        </w:rPr>
        <w:t>a</w:t>
      </w:r>
      <w:r w:rsidRPr="00B055B2">
        <w:rPr>
          <w:rFonts w:asciiTheme="majorBidi" w:hAnsiTheme="majorBidi" w:cstheme="majorBidi"/>
          <w:lang w:bidi="he-IL"/>
        </w:rPr>
        <w:t>ttempted to murder his partner and her friend, failed, and then shot himself in a suicide attempt but survived</w:t>
      </w:r>
      <w:r w:rsidR="00244D41" w:rsidRPr="00B055B2">
        <w:rPr>
          <w:rFonts w:asciiTheme="majorBidi" w:hAnsiTheme="majorBidi" w:cstheme="majorBidi"/>
          <w:lang w:bidi="he-IL"/>
        </w:rPr>
        <w:t>, and</w:t>
      </w:r>
      <w:r w:rsidRPr="00B055B2">
        <w:rPr>
          <w:rFonts w:asciiTheme="majorBidi" w:hAnsiTheme="majorBidi" w:cstheme="majorBidi"/>
          <w:lang w:bidi="he-IL"/>
        </w:rPr>
        <w:t xml:space="preserve"> three of the perpetrators called the police immediately after committing the murder</w:t>
      </w:r>
      <w:r w:rsidR="008D76F4" w:rsidRPr="00B055B2">
        <w:rPr>
          <w:rFonts w:asciiTheme="majorBidi" w:hAnsiTheme="majorBidi" w:cstheme="majorBidi"/>
          <w:lang w:bidi="he-IL"/>
        </w:rPr>
        <w:t xml:space="preserve"> (</w:t>
      </w:r>
      <w:r w:rsidRPr="00B055B2">
        <w:rPr>
          <w:rFonts w:asciiTheme="majorBidi" w:hAnsiTheme="majorBidi" w:cstheme="majorBidi"/>
          <w:lang w:bidi="he-IL"/>
        </w:rPr>
        <w:t>two called the 100 emergency hotline and the third contacted his commanding officer</w:t>
      </w:r>
      <w:r w:rsidR="008D76F4" w:rsidRPr="00B055B2">
        <w:rPr>
          <w:rFonts w:asciiTheme="majorBidi" w:hAnsiTheme="majorBidi" w:cstheme="majorBidi"/>
          <w:lang w:bidi="he-IL"/>
        </w:rPr>
        <w:t>)</w:t>
      </w:r>
      <w:r w:rsidRPr="00B055B2">
        <w:rPr>
          <w:rFonts w:asciiTheme="majorBidi" w:hAnsiTheme="majorBidi" w:cstheme="majorBidi"/>
          <w:lang w:bidi="he-IL"/>
        </w:rPr>
        <w:t>.</w:t>
      </w:r>
    </w:p>
    <w:p w14:paraId="4056B9EE" w14:textId="77777777" w:rsidR="00293AC7" w:rsidRPr="00B055B2" w:rsidRDefault="00293AC7" w:rsidP="00B6707D">
      <w:pPr>
        <w:tabs>
          <w:tab w:val="left" w:pos="923"/>
        </w:tabs>
        <w:spacing w:line="360" w:lineRule="auto"/>
        <w:rPr>
          <w:rFonts w:asciiTheme="majorBidi" w:hAnsiTheme="majorBidi" w:cstheme="majorBidi"/>
          <w:lang w:bidi="he-IL"/>
        </w:rPr>
      </w:pPr>
    </w:p>
    <w:p w14:paraId="63696255" w14:textId="77777777" w:rsidR="005E4458" w:rsidRPr="00B055B2" w:rsidRDefault="005E4458" w:rsidP="005E4458">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Recidivism and Concurrent Offenses</w:t>
      </w:r>
    </w:p>
    <w:p w14:paraId="0F5AB8A5" w14:textId="2177303A" w:rsidR="005E4458" w:rsidRPr="00B055B2" w:rsidRDefault="005E4458" w:rsidP="005E4458">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Data on this issue typically appeared only in sentencing decisions, where the defendant’s criminal history </w:t>
      </w:r>
      <w:r w:rsidR="000E55AE" w:rsidRPr="00B055B2">
        <w:rPr>
          <w:rFonts w:asciiTheme="majorBidi" w:hAnsiTheme="majorBidi" w:cstheme="majorBidi"/>
          <w:lang w:bidi="he-IL"/>
        </w:rPr>
        <w:t>was</w:t>
      </w:r>
      <w:r w:rsidRPr="00B055B2">
        <w:rPr>
          <w:rFonts w:asciiTheme="majorBidi" w:hAnsiTheme="majorBidi" w:cstheme="majorBidi"/>
          <w:lang w:bidi="he-IL"/>
        </w:rPr>
        <w:t xml:space="preserve"> noted as part of the court’s considerations in determining the sentence. The data point to three main categories. The vast majority of defendants had no prior criminal record, and some defense attorneys even presented certificates of excellence the defendants had received during their police service. The second-largest group consisted of officers with prior convictions for similar domestic violence offenses</w:t>
      </w:r>
      <w:r w:rsidR="007922DA" w:rsidRPr="00B055B2">
        <w:rPr>
          <w:rFonts w:asciiTheme="majorBidi" w:hAnsiTheme="majorBidi" w:cstheme="majorBidi"/>
          <w:lang w:bidi="he-IL"/>
        </w:rPr>
        <w:t>, however</w:t>
      </w:r>
      <w:r w:rsidRPr="00B055B2">
        <w:rPr>
          <w:rFonts w:asciiTheme="majorBidi" w:hAnsiTheme="majorBidi" w:cstheme="majorBidi"/>
          <w:lang w:bidi="he-IL"/>
        </w:rPr>
        <w:t xml:space="preserve"> this did not prevent them from continuing their service in the police. The third group included those who had committed other types of offenses, either prior to or alongside the current offense. These included, for example, acts of violence against an Arab civilian during a protest, involvement in a brawl, possession of a large quantity of illegal weapons, or driving under the influence.</w:t>
      </w:r>
    </w:p>
    <w:p w14:paraId="469224F8" w14:textId="77777777" w:rsidR="007922DA" w:rsidRPr="00B055B2" w:rsidRDefault="007922DA" w:rsidP="005E4458">
      <w:pPr>
        <w:tabs>
          <w:tab w:val="left" w:pos="923"/>
        </w:tabs>
        <w:spacing w:line="360" w:lineRule="auto"/>
        <w:rPr>
          <w:rFonts w:asciiTheme="majorBidi" w:hAnsiTheme="majorBidi" w:cstheme="majorBidi"/>
          <w:lang w:bidi="he-IL"/>
        </w:rPr>
      </w:pPr>
    </w:p>
    <w:p w14:paraId="2DCD9808" w14:textId="77777777" w:rsidR="007D2A62" w:rsidRPr="00B055B2" w:rsidRDefault="007D2A62" w:rsidP="007D2A62">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Location of the Offense</w:t>
      </w:r>
    </w:p>
    <w:p w14:paraId="57427A78" w14:textId="4E46046D" w:rsidR="007D2A62" w:rsidRPr="00B055B2" w:rsidRDefault="007B0E81" w:rsidP="007D2A62">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Naturally, the most common location for these offenses was the home. In courtroom testimonies, some victims described a striking duality in the defendant’s character: a flawless police officer and normative citizen outside the home, who became a markedly different person within it. This duality was articulated, for example, in the sentencing decision in the case of Officer Moshe Cohen:</w:t>
      </w:r>
    </w:p>
    <w:p w14:paraId="2A34D0D4" w14:textId="3E67C059" w:rsidR="007D2A62" w:rsidRPr="00B055B2" w:rsidRDefault="007D2A62" w:rsidP="007D2A62">
      <w:pPr>
        <w:tabs>
          <w:tab w:val="left" w:pos="923"/>
        </w:tabs>
        <w:spacing w:line="360" w:lineRule="auto"/>
        <w:ind w:left="923"/>
        <w:rPr>
          <w:rFonts w:asciiTheme="majorBidi" w:hAnsiTheme="majorBidi" w:cstheme="majorBidi"/>
          <w:lang w:bidi="he-IL"/>
        </w:rPr>
      </w:pPr>
      <w:r w:rsidRPr="00B055B2">
        <w:rPr>
          <w:rFonts w:asciiTheme="majorBidi" w:hAnsiTheme="majorBidi" w:cstheme="majorBidi"/>
          <w:lang w:bidi="he-IL"/>
        </w:rPr>
        <w:t xml:space="preserve">This is a man with a Janus face. </w:t>
      </w:r>
      <w:r w:rsidR="007B0E81" w:rsidRPr="00B055B2">
        <w:rPr>
          <w:rFonts w:asciiTheme="majorBidi" w:hAnsiTheme="majorBidi" w:cstheme="majorBidi"/>
          <w:lang w:bidi="he-IL"/>
        </w:rPr>
        <w:t>O</w:t>
      </w:r>
      <w:r w:rsidRPr="00B055B2">
        <w:rPr>
          <w:rFonts w:asciiTheme="majorBidi" w:hAnsiTheme="majorBidi" w:cstheme="majorBidi"/>
          <w:lang w:bidi="he-IL"/>
        </w:rPr>
        <w:t xml:space="preserve">utside his home, he behaved like a model citizen, through his police service and his relationships with the educational institutions </w:t>
      </w:r>
      <w:r w:rsidRPr="00B055B2">
        <w:rPr>
          <w:rFonts w:asciiTheme="majorBidi" w:hAnsiTheme="majorBidi" w:cstheme="majorBidi"/>
          <w:lang w:bidi="he-IL"/>
        </w:rPr>
        <w:lastRenderedPageBreak/>
        <w:t xml:space="preserve">attended by his children. </w:t>
      </w:r>
      <w:r w:rsidR="007B0E81" w:rsidRPr="00B055B2">
        <w:rPr>
          <w:rFonts w:asciiTheme="majorBidi" w:hAnsiTheme="majorBidi" w:cstheme="majorBidi"/>
          <w:lang w:bidi="he-IL"/>
        </w:rPr>
        <w:t>But</w:t>
      </w:r>
      <w:r w:rsidRPr="00B055B2">
        <w:rPr>
          <w:rFonts w:asciiTheme="majorBidi" w:hAnsiTheme="majorBidi" w:cstheme="majorBidi"/>
          <w:lang w:bidi="he-IL"/>
        </w:rPr>
        <w:t xml:space="preserve"> behind closed doors</w:t>
      </w:r>
      <w:r w:rsidR="007B0E81" w:rsidRPr="00B055B2">
        <w:rPr>
          <w:rFonts w:asciiTheme="majorBidi" w:hAnsiTheme="majorBidi" w:cstheme="majorBidi"/>
          <w:lang w:bidi="he-IL"/>
        </w:rPr>
        <w:t xml:space="preserve"> [</w:t>
      </w:r>
      <w:r w:rsidRPr="00B055B2">
        <w:rPr>
          <w:rFonts w:asciiTheme="majorBidi" w:hAnsiTheme="majorBidi" w:cstheme="majorBidi"/>
          <w:lang w:bidi="he-IL"/>
        </w:rPr>
        <w:t>…</w:t>
      </w:r>
      <w:r w:rsidR="007B0E81" w:rsidRPr="00B055B2">
        <w:rPr>
          <w:rFonts w:asciiTheme="majorBidi" w:hAnsiTheme="majorBidi" w:cstheme="majorBidi"/>
          <w:lang w:bidi="he-IL"/>
        </w:rPr>
        <w:t>]</w:t>
      </w:r>
      <w:r w:rsidRPr="00B055B2">
        <w:rPr>
          <w:rFonts w:asciiTheme="majorBidi" w:hAnsiTheme="majorBidi" w:cstheme="majorBidi"/>
          <w:lang w:bidi="he-IL"/>
        </w:rPr>
        <w:t xml:space="preserve"> he was a harsh, controlling, impatient, and suspicious man, excessively strict with his wife and children’s behavior, who used violence against them in order to impose his will and educational views.</w:t>
      </w:r>
    </w:p>
    <w:p w14:paraId="699B3E06" w14:textId="5DB88A8D" w:rsidR="00A36122" w:rsidRPr="00B055B2" w:rsidRDefault="007D2A62" w:rsidP="007D2A62">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That said, offenses also occurred in public spaces or in private settings outside the home, such as in a supermarket or during a nature outing.</w:t>
      </w:r>
    </w:p>
    <w:p w14:paraId="314D9B42" w14:textId="77777777" w:rsidR="007D2A62" w:rsidRPr="00B055B2" w:rsidRDefault="007D2A62" w:rsidP="007D2A62">
      <w:pPr>
        <w:tabs>
          <w:tab w:val="left" w:pos="923"/>
        </w:tabs>
        <w:spacing w:line="360" w:lineRule="auto"/>
        <w:rPr>
          <w:rFonts w:asciiTheme="majorBidi" w:hAnsiTheme="majorBidi" w:cstheme="majorBidi"/>
          <w:lang w:bidi="he-IL"/>
        </w:rPr>
      </w:pPr>
    </w:p>
    <w:p w14:paraId="49B55DE9" w14:textId="77777777" w:rsidR="001B3FC4" w:rsidRPr="00B055B2" w:rsidRDefault="001B3FC4" w:rsidP="001B3FC4">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Alcohol Consumption</w:t>
      </w:r>
    </w:p>
    <w:p w14:paraId="30B6F3F8" w14:textId="49A9CEA4" w:rsidR="001B3FC4" w:rsidRPr="00B055B2" w:rsidRDefault="001B3FC4" w:rsidP="001B3FC4">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Four officers consumed alcohol either prior to or during the violent incident. Two of these cases were discussed in greater detail in court and are </w:t>
      </w:r>
      <w:r w:rsidR="00D134E0" w:rsidRPr="00B055B2">
        <w:rPr>
          <w:rFonts w:asciiTheme="majorBidi" w:hAnsiTheme="majorBidi" w:cstheme="majorBidi"/>
          <w:lang w:bidi="he-IL"/>
        </w:rPr>
        <w:t xml:space="preserve">therefore </w:t>
      </w:r>
      <w:r w:rsidRPr="00B055B2">
        <w:rPr>
          <w:rFonts w:asciiTheme="majorBidi" w:hAnsiTheme="majorBidi" w:cstheme="majorBidi"/>
          <w:lang w:bidi="he-IL"/>
        </w:rPr>
        <w:t>briefly summarized here. In the first case, a 48-year-old officer was convicted in 2012 of assaulting his wife in front of their children, as well as assaulting the family dog, while intoxicated. After his arrest, he joined a support group for addiction treatment and achieved sobriety. Before sentencing, the officer addressed the court, expressed remorse for his actions, and admitted that he had previously struggled to acknowledge his alcoholism but was now in treatment and wished to continue living with his family. A breathalyzer test supported his account. The judge gave him an opportunity to rehabilitate, sentencing him to community service and a suspended prison sentence. Following the criminal proceedings, the officer took early retirement from the police force.</w:t>
      </w:r>
    </w:p>
    <w:p w14:paraId="2DEB0D6D" w14:textId="20B0CCB0" w:rsidR="00B477A1" w:rsidRPr="00B055B2" w:rsidRDefault="00B477A1" w:rsidP="001B3FC4">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In the second case, a court in </w:t>
      </w:r>
      <w:proofErr w:type="spellStart"/>
      <w:r w:rsidRPr="00B055B2">
        <w:rPr>
          <w:rFonts w:asciiTheme="majorBidi" w:hAnsiTheme="majorBidi" w:cstheme="majorBidi"/>
          <w:lang w:bidi="he-IL"/>
        </w:rPr>
        <w:t>Rishon</w:t>
      </w:r>
      <w:proofErr w:type="spellEnd"/>
      <w:r w:rsidRPr="00B055B2">
        <w:rPr>
          <w:rFonts w:asciiTheme="majorBidi" w:hAnsiTheme="majorBidi" w:cstheme="majorBidi"/>
          <w:lang w:bidi="he-IL"/>
        </w:rPr>
        <w:t xml:space="preserve"> </w:t>
      </w:r>
      <w:proofErr w:type="spellStart"/>
      <w:r w:rsidRPr="00B055B2">
        <w:rPr>
          <w:rFonts w:asciiTheme="majorBidi" w:hAnsiTheme="majorBidi" w:cstheme="majorBidi"/>
          <w:lang w:bidi="he-IL"/>
        </w:rPr>
        <w:t>LeZion</w:t>
      </w:r>
      <w:proofErr w:type="spellEnd"/>
      <w:r w:rsidRPr="00B055B2">
        <w:rPr>
          <w:rFonts w:asciiTheme="majorBidi" w:hAnsiTheme="majorBidi" w:cstheme="majorBidi"/>
          <w:lang w:bidi="he-IL"/>
        </w:rPr>
        <w:t xml:space="preserve"> sentenced a police officer in 2019 to 13 months of actual imprisonment after he was convicted of severely assaulting his partner and of driving under the influence. He admitted to making degrading remarks toward her, shouting, cursing, issuing threats, and breaking objects in their home</w:t>
      </w:r>
      <w:r w:rsidR="00622C91" w:rsidRPr="00B055B2">
        <w:rPr>
          <w:rFonts w:asciiTheme="majorBidi" w:hAnsiTheme="majorBidi" w:cstheme="majorBidi"/>
          <w:lang w:bidi="he-IL"/>
        </w:rPr>
        <w:t xml:space="preserve">, </w:t>
      </w:r>
      <w:r w:rsidRPr="00B055B2">
        <w:rPr>
          <w:rFonts w:asciiTheme="majorBidi" w:hAnsiTheme="majorBidi" w:cstheme="majorBidi"/>
          <w:lang w:bidi="he-IL"/>
        </w:rPr>
        <w:t xml:space="preserve">often while under the influence of alcohol. The defendant had traveled to </w:t>
      </w:r>
      <w:proofErr w:type="spellStart"/>
      <w:r w:rsidRPr="00B055B2">
        <w:rPr>
          <w:rFonts w:asciiTheme="majorBidi" w:hAnsiTheme="majorBidi" w:cstheme="majorBidi"/>
          <w:lang w:bidi="he-IL"/>
        </w:rPr>
        <w:t>Eilat</w:t>
      </w:r>
      <w:proofErr w:type="spellEnd"/>
      <w:r w:rsidRPr="00B055B2">
        <w:rPr>
          <w:rFonts w:asciiTheme="majorBidi" w:hAnsiTheme="majorBidi" w:cstheme="majorBidi"/>
          <w:lang w:bidi="he-IL"/>
        </w:rPr>
        <w:t xml:space="preserve">, stopped at </w:t>
      </w:r>
      <w:proofErr w:type="spellStart"/>
      <w:r w:rsidRPr="00B055B2">
        <w:rPr>
          <w:rFonts w:asciiTheme="majorBidi" w:hAnsiTheme="majorBidi" w:cstheme="majorBidi"/>
          <w:lang w:bidi="he-IL"/>
        </w:rPr>
        <w:t>Ein</w:t>
      </w:r>
      <w:proofErr w:type="spellEnd"/>
      <w:r w:rsidRPr="00B055B2">
        <w:rPr>
          <w:rFonts w:asciiTheme="majorBidi" w:hAnsiTheme="majorBidi" w:cstheme="majorBidi"/>
          <w:lang w:bidi="he-IL"/>
        </w:rPr>
        <w:t xml:space="preserve"> </w:t>
      </w:r>
      <w:proofErr w:type="spellStart"/>
      <w:r w:rsidRPr="00B055B2">
        <w:rPr>
          <w:rFonts w:asciiTheme="majorBidi" w:hAnsiTheme="majorBidi" w:cstheme="majorBidi"/>
          <w:lang w:bidi="he-IL"/>
        </w:rPr>
        <w:t>Hatzeva</w:t>
      </w:r>
      <w:proofErr w:type="spellEnd"/>
      <w:r w:rsidRPr="00B055B2">
        <w:rPr>
          <w:rFonts w:asciiTheme="majorBidi" w:hAnsiTheme="majorBidi" w:cstheme="majorBidi"/>
          <w:lang w:bidi="he-IL"/>
        </w:rPr>
        <w:t xml:space="preserve">, purchased several alcoholic drinks, some of which he consumed there and the rest along the way. By 11:00 p.m., he was intoxicated. He veered out of his lane on Route 90 into oncoming traffic, where two soldiers were driving, forcing them to swerve onto the shoulder. The defendant cursed at the soldiers, who then called the police. When officers arrived, he threatened one of them and deliberately obstructed a breathalyzer test, likely using knowledge he had acquired as a police officer. In court, he stated that alcohol had served as a way to cope with his financial distress, and that in most instances, the violence occurred </w:t>
      </w:r>
      <w:r w:rsidR="00EE0B07" w:rsidRPr="00B055B2">
        <w:rPr>
          <w:rFonts w:asciiTheme="majorBidi" w:hAnsiTheme="majorBidi" w:cstheme="majorBidi"/>
          <w:lang w:bidi="he-IL"/>
        </w:rPr>
        <w:t xml:space="preserve">while he was </w:t>
      </w:r>
      <w:r w:rsidRPr="00B055B2">
        <w:rPr>
          <w:rFonts w:asciiTheme="majorBidi" w:hAnsiTheme="majorBidi" w:cstheme="majorBidi"/>
          <w:lang w:bidi="he-IL"/>
        </w:rPr>
        <w:t>under its influence.</w:t>
      </w:r>
    </w:p>
    <w:p w14:paraId="309DCA0C" w14:textId="77777777" w:rsidR="00B76E77" w:rsidRPr="00B055B2" w:rsidRDefault="00B76E77" w:rsidP="001B3FC4">
      <w:pPr>
        <w:tabs>
          <w:tab w:val="left" w:pos="923"/>
        </w:tabs>
        <w:spacing w:line="360" w:lineRule="auto"/>
        <w:rPr>
          <w:rFonts w:asciiTheme="majorBidi" w:hAnsiTheme="majorBidi" w:cstheme="majorBidi"/>
          <w:lang w:bidi="he-IL"/>
        </w:rPr>
      </w:pPr>
    </w:p>
    <w:p w14:paraId="25F7DFBB" w14:textId="5E328628" w:rsidR="00B76E77" w:rsidRPr="00B055B2" w:rsidRDefault="00B76E77" w:rsidP="009F0608">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 xml:space="preserve">Defendants’ Claims: </w:t>
      </w:r>
      <w:r w:rsidR="009F0608" w:rsidRPr="00B055B2">
        <w:rPr>
          <w:rFonts w:asciiTheme="majorBidi" w:hAnsiTheme="majorBidi" w:cstheme="majorBidi"/>
          <w:b/>
          <w:bCs/>
          <w:i/>
          <w:iCs/>
          <w:lang w:bidi="he-IL"/>
        </w:rPr>
        <w:t>Representations of</w:t>
      </w:r>
      <w:r w:rsidRPr="00B055B2">
        <w:rPr>
          <w:rFonts w:asciiTheme="majorBidi" w:hAnsiTheme="majorBidi" w:cstheme="majorBidi"/>
          <w:b/>
          <w:bCs/>
          <w:i/>
          <w:iCs/>
          <w:lang w:bidi="he-IL"/>
        </w:rPr>
        <w:t xml:space="preserve"> the Accused and the Victim </w:t>
      </w:r>
    </w:p>
    <w:p w14:paraId="79E59728" w14:textId="2BF198AE" w:rsidR="00B76E77" w:rsidRPr="00B055B2" w:rsidRDefault="00B76E77" w:rsidP="00B76E77">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As with other violent men (</w:t>
      </w:r>
      <w:proofErr w:type="spellStart"/>
      <w:r w:rsidRPr="00B055B2">
        <w:rPr>
          <w:rFonts w:asciiTheme="majorBidi" w:hAnsiTheme="majorBidi" w:cstheme="majorBidi"/>
          <w:lang w:bidi="he-IL"/>
        </w:rPr>
        <w:t>Dilmon</w:t>
      </w:r>
      <w:proofErr w:type="spellEnd"/>
      <w:r w:rsidRPr="00B055B2">
        <w:rPr>
          <w:rFonts w:asciiTheme="majorBidi" w:hAnsiTheme="majorBidi" w:cstheme="majorBidi"/>
          <w:lang w:bidi="he-IL"/>
        </w:rPr>
        <w:t xml:space="preserve">, 2009), the police officers in the study population often shifted the blame onto their partners and presented themselves as the true victims. However, in statements made during court proceedings, it was often difficult to separate the defendant’s personal stance from a legal defense strategy shaped by their attorney. For </w:t>
      </w:r>
      <w:r w:rsidR="005B6B91" w:rsidRPr="00B055B2">
        <w:rPr>
          <w:rFonts w:asciiTheme="majorBidi" w:hAnsiTheme="majorBidi" w:cstheme="majorBidi"/>
          <w:lang w:bidi="he-IL"/>
        </w:rPr>
        <w:t>example</w:t>
      </w:r>
      <w:r w:rsidRPr="00B055B2">
        <w:rPr>
          <w:rFonts w:asciiTheme="majorBidi" w:hAnsiTheme="majorBidi" w:cstheme="majorBidi"/>
          <w:lang w:bidi="he-IL"/>
        </w:rPr>
        <w:t>, the attorney representing Elhanan T. asked the court to review a particular testimony in order to evaluate the complainant’s demeanor:</w:t>
      </w:r>
    </w:p>
    <w:p w14:paraId="62602456" w14:textId="159A154F" w:rsidR="00B76E77" w:rsidRPr="00B055B2" w:rsidRDefault="00B76E77" w:rsidP="00ED6827">
      <w:pPr>
        <w:tabs>
          <w:tab w:val="left" w:pos="923"/>
        </w:tabs>
        <w:spacing w:line="360" w:lineRule="auto"/>
        <w:ind w:left="923"/>
        <w:rPr>
          <w:rFonts w:asciiTheme="majorBidi" w:hAnsiTheme="majorBidi" w:cstheme="majorBidi"/>
          <w:lang w:bidi="he-IL"/>
        </w:rPr>
      </w:pPr>
      <w:r w:rsidRPr="00B055B2">
        <w:rPr>
          <w:rFonts w:asciiTheme="majorBidi" w:hAnsiTheme="majorBidi" w:cstheme="majorBidi"/>
          <w:lang w:bidi="he-IL"/>
        </w:rPr>
        <w:t xml:space="preserve">We are dealing with a woman who knows how to assert herself. She does not come across as weak or as what is typically referred to as a </w:t>
      </w:r>
      <w:r w:rsidR="005B6B91" w:rsidRPr="00B055B2">
        <w:rPr>
          <w:rFonts w:asciiTheme="majorBidi" w:hAnsiTheme="majorBidi" w:cstheme="majorBidi"/>
          <w:lang w:bidi="he-IL"/>
        </w:rPr>
        <w:t>“</w:t>
      </w:r>
      <w:r w:rsidRPr="00B055B2">
        <w:rPr>
          <w:rFonts w:asciiTheme="majorBidi" w:hAnsiTheme="majorBidi" w:cstheme="majorBidi"/>
          <w:lang w:bidi="he-IL"/>
        </w:rPr>
        <w:t>classic battered woman.</w:t>
      </w:r>
      <w:r w:rsidR="005B6B91" w:rsidRPr="00B055B2">
        <w:rPr>
          <w:rFonts w:asciiTheme="majorBidi" w:hAnsiTheme="majorBidi" w:cstheme="majorBidi"/>
          <w:lang w:bidi="he-IL"/>
        </w:rPr>
        <w:t>”</w:t>
      </w:r>
      <w:r w:rsidRPr="00B055B2">
        <w:rPr>
          <w:rFonts w:asciiTheme="majorBidi" w:hAnsiTheme="majorBidi" w:cstheme="majorBidi"/>
          <w:lang w:bidi="he-IL"/>
        </w:rPr>
        <w:t xml:space="preserve"> In response to the Court’s question whether such a category even exists, I acknowledge the Court’s remark and will refrain from using that term. But to me, she appears to be a strong, opinionated woman […] </w:t>
      </w:r>
      <w:r w:rsidR="005B6B91" w:rsidRPr="00B055B2">
        <w:rPr>
          <w:rFonts w:asciiTheme="majorBidi" w:hAnsiTheme="majorBidi" w:cstheme="majorBidi"/>
          <w:lang w:bidi="he-IL"/>
        </w:rPr>
        <w:t>who</w:t>
      </w:r>
      <w:r w:rsidRPr="00B055B2">
        <w:rPr>
          <w:rFonts w:asciiTheme="majorBidi" w:hAnsiTheme="majorBidi" w:cstheme="majorBidi"/>
          <w:lang w:bidi="he-IL"/>
        </w:rPr>
        <w:t xml:space="preserve"> would be able to report and protect herself if needed.</w:t>
      </w:r>
      <w:r w:rsidRPr="00B055B2">
        <w:rPr>
          <w:rStyle w:val="FootnoteReference"/>
          <w:rFonts w:asciiTheme="majorBidi" w:hAnsiTheme="majorBidi" w:cstheme="majorBidi"/>
          <w:lang w:bidi="he-IL"/>
        </w:rPr>
        <w:footnoteReference w:id="8"/>
      </w:r>
    </w:p>
    <w:p w14:paraId="35942BB7" w14:textId="63117858" w:rsidR="00B76E77" w:rsidRPr="00B055B2" w:rsidRDefault="00ED6827" w:rsidP="00B76E77">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786ECC" w:rsidRPr="00B055B2">
        <w:rPr>
          <w:rFonts w:asciiTheme="majorBidi" w:hAnsiTheme="majorBidi" w:cstheme="majorBidi"/>
          <w:lang w:bidi="he-IL"/>
        </w:rPr>
        <w:t>In another</w:t>
      </w:r>
      <w:r w:rsidRPr="00B055B2">
        <w:rPr>
          <w:rFonts w:asciiTheme="majorBidi" w:hAnsiTheme="majorBidi" w:cstheme="majorBidi"/>
          <w:lang w:bidi="he-IL"/>
        </w:rPr>
        <w:t xml:space="preserve"> example, a probation officer’s report on a police officer accused of domestic violence stated: “The defendant has difficulty taking responsibility for his behavior, sees himself as the victim, and places the main blame on his ex-wife. At the same time, he struggles to come to terms with their separation.</w:t>
      </w:r>
      <w:commentRangeStart w:id="12"/>
      <w:r w:rsidRPr="00B055B2">
        <w:rPr>
          <w:rFonts w:asciiTheme="majorBidi" w:hAnsiTheme="majorBidi" w:cstheme="majorBidi"/>
          <w:lang w:bidi="he-IL"/>
        </w:rPr>
        <w:t>”</w:t>
      </w:r>
      <w:commentRangeEnd w:id="12"/>
      <w:r w:rsidR="00791344" w:rsidRPr="00B055B2">
        <w:rPr>
          <w:rStyle w:val="CommentReference"/>
          <w:rFonts w:asciiTheme="majorBidi" w:hAnsiTheme="majorBidi" w:cstheme="majorBidi"/>
          <w:sz w:val="24"/>
          <w:szCs w:val="24"/>
          <w:lang w:bidi="he-IL"/>
        </w:rPr>
        <w:commentReference w:id="12"/>
      </w:r>
      <w:r w:rsidRPr="00B055B2">
        <w:rPr>
          <w:rFonts w:asciiTheme="majorBidi" w:hAnsiTheme="majorBidi" w:cstheme="majorBidi"/>
          <w:lang w:bidi="he-IL"/>
        </w:rPr>
        <w:t xml:space="preserve"> Another defendant claimed that his family had fabricated the allegations in the indictment, asserting that his children had been turned against him over the years through financial pressure exerted by his wife, while he himself had always had a warm and loving relationship with them. In the case of Officer </w:t>
      </w:r>
      <w:proofErr w:type="spellStart"/>
      <w:r w:rsidR="00791344" w:rsidRPr="00B055B2">
        <w:rPr>
          <w:rFonts w:asciiTheme="majorBidi" w:hAnsiTheme="majorBidi" w:cstheme="majorBidi"/>
          <w:lang w:bidi="he-IL"/>
        </w:rPr>
        <w:t>Lior</w:t>
      </w:r>
      <w:proofErr w:type="spellEnd"/>
      <w:r w:rsidR="00791344" w:rsidRPr="00B055B2">
        <w:rPr>
          <w:rFonts w:asciiTheme="majorBidi" w:hAnsiTheme="majorBidi" w:cstheme="majorBidi"/>
          <w:lang w:bidi="he-IL"/>
        </w:rPr>
        <w:t xml:space="preserve"> </w:t>
      </w:r>
      <w:proofErr w:type="spellStart"/>
      <w:r w:rsidR="00791344" w:rsidRPr="00B055B2">
        <w:rPr>
          <w:rFonts w:asciiTheme="majorBidi" w:hAnsiTheme="majorBidi" w:cstheme="majorBidi"/>
          <w:lang w:bidi="he-IL"/>
        </w:rPr>
        <w:t>H</w:t>
      </w:r>
      <w:r w:rsidRPr="00B055B2">
        <w:rPr>
          <w:rFonts w:asciiTheme="majorBidi" w:hAnsiTheme="majorBidi" w:cstheme="majorBidi"/>
          <w:lang w:bidi="he-IL"/>
        </w:rPr>
        <w:t>atam</w:t>
      </w:r>
      <w:proofErr w:type="spellEnd"/>
      <w:r w:rsidR="00791344" w:rsidRPr="00B055B2">
        <w:rPr>
          <w:rFonts w:asciiTheme="majorBidi" w:hAnsiTheme="majorBidi" w:cstheme="majorBidi"/>
          <w:lang w:bidi="he-IL"/>
        </w:rPr>
        <w:t xml:space="preserve">, </w:t>
      </w:r>
      <w:r w:rsidRPr="00B055B2">
        <w:rPr>
          <w:rFonts w:asciiTheme="majorBidi" w:hAnsiTheme="majorBidi" w:cstheme="majorBidi"/>
          <w:lang w:bidi="he-IL"/>
        </w:rPr>
        <w:t>who was indicted for assaulting his wife and committing violence against a civilian</w:t>
      </w:r>
      <w:r w:rsidR="00791344" w:rsidRPr="00B055B2">
        <w:rPr>
          <w:rFonts w:asciiTheme="majorBidi" w:hAnsiTheme="majorBidi" w:cstheme="majorBidi"/>
          <w:lang w:bidi="he-IL"/>
        </w:rPr>
        <w:t xml:space="preserve">, </w:t>
      </w:r>
      <w:r w:rsidRPr="00B055B2">
        <w:rPr>
          <w:rFonts w:asciiTheme="majorBidi" w:hAnsiTheme="majorBidi" w:cstheme="majorBidi"/>
          <w:lang w:bidi="he-IL"/>
        </w:rPr>
        <w:t>a newspaper article described his behavior in court:</w:t>
      </w:r>
    </w:p>
    <w:p w14:paraId="48F27FD0" w14:textId="44DB4DC2" w:rsidR="0050230B" w:rsidRPr="00B055B2" w:rsidRDefault="00921884" w:rsidP="00921884">
      <w:pPr>
        <w:tabs>
          <w:tab w:val="left" w:pos="923"/>
        </w:tabs>
        <w:spacing w:line="360" w:lineRule="auto"/>
        <w:ind w:left="923"/>
        <w:rPr>
          <w:rFonts w:asciiTheme="majorBidi" w:hAnsiTheme="majorBidi" w:cstheme="majorBidi"/>
          <w:lang w:bidi="he-IL"/>
        </w:rPr>
      </w:pPr>
      <w:proofErr w:type="spellStart"/>
      <w:r w:rsidRPr="00B055B2">
        <w:rPr>
          <w:rFonts w:asciiTheme="majorBidi" w:hAnsiTheme="majorBidi" w:cstheme="majorBidi"/>
          <w:lang w:bidi="he-IL"/>
        </w:rPr>
        <w:t>Lior</w:t>
      </w:r>
      <w:proofErr w:type="spellEnd"/>
      <w:r w:rsidRPr="00B055B2">
        <w:rPr>
          <w:rFonts w:asciiTheme="majorBidi" w:hAnsiTheme="majorBidi" w:cstheme="majorBidi"/>
          <w:lang w:bidi="he-IL"/>
        </w:rPr>
        <w:t xml:space="preserve"> </w:t>
      </w:r>
      <w:proofErr w:type="spellStart"/>
      <w:r w:rsidR="00791344" w:rsidRPr="00B055B2">
        <w:rPr>
          <w:rFonts w:asciiTheme="majorBidi" w:hAnsiTheme="majorBidi" w:cstheme="majorBidi"/>
          <w:lang w:bidi="he-IL"/>
        </w:rPr>
        <w:t>H</w:t>
      </w:r>
      <w:r w:rsidRPr="00B055B2">
        <w:rPr>
          <w:rFonts w:asciiTheme="majorBidi" w:hAnsiTheme="majorBidi" w:cstheme="majorBidi"/>
          <w:lang w:bidi="he-IL"/>
        </w:rPr>
        <w:t>atam</w:t>
      </w:r>
      <w:proofErr w:type="spellEnd"/>
      <w:r w:rsidRPr="00B055B2">
        <w:rPr>
          <w:rFonts w:asciiTheme="majorBidi" w:hAnsiTheme="majorBidi" w:cstheme="majorBidi"/>
          <w:lang w:bidi="he-IL"/>
        </w:rPr>
        <w:t xml:space="preserve"> presented a well-structured version of events, which he delivered with composure. He did not raise his voice and patiently waited for the </w:t>
      </w:r>
      <w:proofErr w:type="spellStart"/>
      <w:r w:rsidRPr="00B055B2">
        <w:rPr>
          <w:rFonts w:asciiTheme="majorBidi" w:hAnsiTheme="majorBidi" w:cstheme="majorBidi"/>
          <w:lang w:bidi="he-IL"/>
        </w:rPr>
        <w:t>Mahash</w:t>
      </w:r>
      <w:proofErr w:type="spellEnd"/>
      <w:r w:rsidRPr="00B055B2">
        <w:rPr>
          <w:rFonts w:asciiTheme="majorBidi" w:hAnsiTheme="majorBidi" w:cstheme="majorBidi"/>
          <w:lang w:bidi="he-IL"/>
        </w:rPr>
        <w:t xml:space="preserve"> prosecutor, Adv. Natali </w:t>
      </w:r>
      <w:proofErr w:type="spellStart"/>
      <w:r w:rsidRPr="00B055B2">
        <w:rPr>
          <w:rFonts w:asciiTheme="majorBidi" w:hAnsiTheme="majorBidi" w:cstheme="majorBidi"/>
          <w:lang w:bidi="he-IL"/>
        </w:rPr>
        <w:t>Hagi</w:t>
      </w:r>
      <w:proofErr w:type="spellEnd"/>
      <w:r w:rsidRPr="00B055B2">
        <w:rPr>
          <w:rFonts w:asciiTheme="majorBidi" w:hAnsiTheme="majorBidi" w:cstheme="majorBidi"/>
          <w:lang w:bidi="he-IL"/>
        </w:rPr>
        <w:t xml:space="preserve">, to finish navigating the twists and turns of her lengthy and complex questions before responding. His attorneys, Adv. </w:t>
      </w:r>
      <w:proofErr w:type="spellStart"/>
      <w:r w:rsidRPr="00B055B2">
        <w:rPr>
          <w:rFonts w:asciiTheme="majorBidi" w:hAnsiTheme="majorBidi" w:cstheme="majorBidi"/>
          <w:lang w:bidi="he-IL"/>
        </w:rPr>
        <w:t>Lior</w:t>
      </w:r>
      <w:proofErr w:type="spellEnd"/>
      <w:r w:rsidRPr="00B055B2">
        <w:rPr>
          <w:rFonts w:asciiTheme="majorBidi" w:hAnsiTheme="majorBidi" w:cstheme="majorBidi"/>
          <w:lang w:bidi="he-IL"/>
        </w:rPr>
        <w:t xml:space="preserve"> Benjamin and Adv. Sami Ilia, repeatedly objected to almost every question posed by the prosecutor, but </w:t>
      </w:r>
      <w:proofErr w:type="spellStart"/>
      <w:r w:rsidR="00791344" w:rsidRPr="00B055B2">
        <w:rPr>
          <w:rFonts w:asciiTheme="majorBidi" w:hAnsiTheme="majorBidi" w:cstheme="majorBidi"/>
          <w:lang w:bidi="he-IL"/>
        </w:rPr>
        <w:t>Ha</w:t>
      </w:r>
      <w:r w:rsidRPr="00B055B2">
        <w:rPr>
          <w:rFonts w:asciiTheme="majorBidi" w:hAnsiTheme="majorBidi" w:cstheme="majorBidi"/>
          <w:lang w:bidi="he-IL"/>
        </w:rPr>
        <w:t>tam</w:t>
      </w:r>
      <w:proofErr w:type="spellEnd"/>
      <w:r w:rsidRPr="00B055B2">
        <w:rPr>
          <w:rFonts w:asciiTheme="majorBidi" w:hAnsiTheme="majorBidi" w:cstheme="majorBidi"/>
          <w:lang w:bidi="he-IL"/>
        </w:rPr>
        <w:t xml:space="preserve"> </w:t>
      </w:r>
      <w:r w:rsidRPr="00B055B2">
        <w:rPr>
          <w:rFonts w:asciiTheme="majorBidi" w:hAnsiTheme="majorBidi" w:cstheme="majorBidi"/>
          <w:lang w:bidi="he-IL"/>
        </w:rPr>
        <w:lastRenderedPageBreak/>
        <w:t xml:space="preserve">himself showed no signs of anger or frustration. He often referred to himself in the third person. </w:t>
      </w:r>
      <w:proofErr w:type="spellStart"/>
      <w:r w:rsidRPr="00B055B2">
        <w:rPr>
          <w:rFonts w:asciiTheme="majorBidi" w:hAnsiTheme="majorBidi" w:cstheme="majorBidi"/>
          <w:lang w:bidi="he-IL"/>
        </w:rPr>
        <w:t>Jafar</w:t>
      </w:r>
      <w:proofErr w:type="spellEnd"/>
      <w:r w:rsidRPr="00B055B2">
        <w:rPr>
          <w:rFonts w:asciiTheme="majorBidi" w:hAnsiTheme="majorBidi" w:cstheme="majorBidi"/>
          <w:lang w:bidi="he-IL"/>
        </w:rPr>
        <w:t xml:space="preserve"> Farah, director of the </w:t>
      </w:r>
      <w:proofErr w:type="spellStart"/>
      <w:r w:rsidRPr="00B055B2">
        <w:rPr>
          <w:rFonts w:asciiTheme="majorBidi" w:hAnsiTheme="majorBidi" w:cstheme="majorBidi"/>
          <w:lang w:bidi="he-IL"/>
        </w:rPr>
        <w:t>Mossawa</w:t>
      </w:r>
      <w:proofErr w:type="spellEnd"/>
      <w:r w:rsidRPr="00B055B2">
        <w:rPr>
          <w:rFonts w:asciiTheme="majorBidi" w:hAnsiTheme="majorBidi" w:cstheme="majorBidi"/>
          <w:lang w:bidi="he-IL"/>
        </w:rPr>
        <w:t xml:space="preserve"> Center, listened attentively from the audience benches, accompanied by Adv. </w:t>
      </w:r>
      <w:proofErr w:type="spellStart"/>
      <w:r w:rsidRPr="00B055B2">
        <w:rPr>
          <w:rFonts w:asciiTheme="majorBidi" w:hAnsiTheme="majorBidi" w:cstheme="majorBidi"/>
          <w:lang w:bidi="he-IL"/>
        </w:rPr>
        <w:t>Albier</w:t>
      </w:r>
      <w:proofErr w:type="spellEnd"/>
      <w:r w:rsidRPr="00B055B2">
        <w:rPr>
          <w:rFonts w:asciiTheme="majorBidi" w:hAnsiTheme="majorBidi" w:cstheme="majorBidi"/>
          <w:lang w:bidi="he-IL"/>
        </w:rPr>
        <w:t xml:space="preserve"> </w:t>
      </w:r>
      <w:proofErr w:type="spellStart"/>
      <w:r w:rsidRPr="00B055B2">
        <w:rPr>
          <w:rFonts w:asciiTheme="majorBidi" w:hAnsiTheme="majorBidi" w:cstheme="majorBidi"/>
          <w:lang w:bidi="he-IL"/>
        </w:rPr>
        <w:t>Nakhas</w:t>
      </w:r>
      <w:proofErr w:type="spellEnd"/>
      <w:r w:rsidRPr="00B055B2">
        <w:rPr>
          <w:rFonts w:asciiTheme="majorBidi" w:hAnsiTheme="majorBidi" w:cstheme="majorBidi"/>
          <w:lang w:bidi="he-IL"/>
        </w:rPr>
        <w:t xml:space="preserve">, the center’s legal advisor, who is supporting him throughout the proceedings. During cross-examination, </w:t>
      </w:r>
      <w:proofErr w:type="spellStart"/>
      <w:r w:rsidR="00791344" w:rsidRPr="00B055B2">
        <w:rPr>
          <w:rFonts w:asciiTheme="majorBidi" w:hAnsiTheme="majorBidi" w:cstheme="majorBidi"/>
          <w:lang w:bidi="he-IL"/>
        </w:rPr>
        <w:t>H</w:t>
      </w:r>
      <w:r w:rsidRPr="00B055B2">
        <w:rPr>
          <w:rFonts w:asciiTheme="majorBidi" w:hAnsiTheme="majorBidi" w:cstheme="majorBidi"/>
          <w:lang w:bidi="he-IL"/>
        </w:rPr>
        <w:t>atam</w:t>
      </w:r>
      <w:proofErr w:type="spellEnd"/>
      <w:r w:rsidRPr="00B055B2">
        <w:rPr>
          <w:rFonts w:asciiTheme="majorBidi" w:hAnsiTheme="majorBidi" w:cstheme="majorBidi"/>
          <w:lang w:bidi="he-IL"/>
        </w:rPr>
        <w:t xml:space="preserve"> repeatedly asserted that “</w:t>
      </w:r>
      <w:proofErr w:type="spellStart"/>
      <w:r w:rsidRPr="00B055B2">
        <w:rPr>
          <w:rFonts w:asciiTheme="majorBidi" w:hAnsiTheme="majorBidi" w:cstheme="majorBidi"/>
          <w:lang w:bidi="he-IL"/>
        </w:rPr>
        <w:t>Lior</w:t>
      </w:r>
      <w:proofErr w:type="spellEnd"/>
      <w:r w:rsidR="00791344" w:rsidRPr="00B055B2">
        <w:rPr>
          <w:rFonts w:asciiTheme="majorBidi" w:hAnsiTheme="majorBidi" w:cstheme="majorBidi"/>
          <w:lang w:bidi="he-IL"/>
        </w:rPr>
        <w:t xml:space="preserve"> </w:t>
      </w:r>
      <w:proofErr w:type="spellStart"/>
      <w:r w:rsidR="00791344" w:rsidRPr="00B055B2">
        <w:rPr>
          <w:rFonts w:asciiTheme="majorBidi" w:hAnsiTheme="majorBidi" w:cstheme="majorBidi"/>
          <w:lang w:bidi="he-IL"/>
        </w:rPr>
        <w:t>H</w:t>
      </w:r>
      <w:r w:rsidRPr="00B055B2">
        <w:rPr>
          <w:rFonts w:asciiTheme="majorBidi" w:hAnsiTheme="majorBidi" w:cstheme="majorBidi"/>
          <w:lang w:bidi="he-IL"/>
        </w:rPr>
        <w:t>atam</w:t>
      </w:r>
      <w:proofErr w:type="spellEnd"/>
      <w:r w:rsidRPr="00B055B2">
        <w:rPr>
          <w:rFonts w:asciiTheme="majorBidi" w:hAnsiTheme="majorBidi" w:cstheme="majorBidi"/>
          <w:lang w:bidi="he-IL"/>
        </w:rPr>
        <w:t xml:space="preserve"> is a scapegoat,” referring to himself in the third person. “</w:t>
      </w:r>
      <w:proofErr w:type="spellStart"/>
      <w:r w:rsidRPr="00B055B2">
        <w:rPr>
          <w:rFonts w:asciiTheme="majorBidi" w:hAnsiTheme="majorBidi" w:cstheme="majorBidi"/>
          <w:lang w:bidi="he-IL"/>
        </w:rPr>
        <w:t>Lior</w:t>
      </w:r>
      <w:proofErr w:type="spellEnd"/>
      <w:r w:rsidRPr="00B055B2">
        <w:rPr>
          <w:rFonts w:asciiTheme="majorBidi" w:hAnsiTheme="majorBidi" w:cstheme="majorBidi"/>
          <w:lang w:bidi="he-IL"/>
        </w:rPr>
        <w:t xml:space="preserve"> </w:t>
      </w:r>
      <w:proofErr w:type="spellStart"/>
      <w:r w:rsidR="00791344" w:rsidRPr="00B055B2">
        <w:rPr>
          <w:rFonts w:asciiTheme="majorBidi" w:hAnsiTheme="majorBidi" w:cstheme="majorBidi"/>
          <w:lang w:bidi="he-IL"/>
        </w:rPr>
        <w:t>H</w:t>
      </w:r>
      <w:r w:rsidRPr="00B055B2">
        <w:rPr>
          <w:rFonts w:asciiTheme="majorBidi" w:hAnsiTheme="majorBidi" w:cstheme="majorBidi"/>
          <w:lang w:bidi="he-IL"/>
        </w:rPr>
        <w:t>atam</w:t>
      </w:r>
      <w:proofErr w:type="spellEnd"/>
      <w:r w:rsidRPr="00B055B2">
        <w:rPr>
          <w:rFonts w:asciiTheme="majorBidi" w:hAnsiTheme="majorBidi" w:cstheme="majorBidi"/>
          <w:lang w:bidi="he-IL"/>
        </w:rPr>
        <w:t xml:space="preserve"> is a victim of </w:t>
      </w:r>
      <w:proofErr w:type="spellStart"/>
      <w:r w:rsidRPr="00B055B2">
        <w:rPr>
          <w:rFonts w:asciiTheme="majorBidi" w:hAnsiTheme="majorBidi" w:cstheme="majorBidi"/>
          <w:lang w:bidi="he-IL"/>
        </w:rPr>
        <w:t>Jafar</w:t>
      </w:r>
      <w:proofErr w:type="spellEnd"/>
      <w:r w:rsidRPr="00B055B2">
        <w:rPr>
          <w:rFonts w:asciiTheme="majorBidi" w:hAnsiTheme="majorBidi" w:cstheme="majorBidi"/>
          <w:lang w:bidi="he-IL"/>
        </w:rPr>
        <w:t xml:space="preserve"> Farah. </w:t>
      </w:r>
      <w:proofErr w:type="spellStart"/>
      <w:r w:rsidRPr="00B055B2">
        <w:rPr>
          <w:rFonts w:asciiTheme="majorBidi" w:hAnsiTheme="majorBidi" w:cstheme="majorBidi"/>
          <w:lang w:bidi="he-IL"/>
        </w:rPr>
        <w:t>Jafar</w:t>
      </w:r>
      <w:proofErr w:type="spellEnd"/>
      <w:r w:rsidRPr="00B055B2">
        <w:rPr>
          <w:rFonts w:asciiTheme="majorBidi" w:hAnsiTheme="majorBidi" w:cstheme="majorBidi"/>
          <w:lang w:bidi="he-IL"/>
        </w:rPr>
        <w:t xml:space="preserve"> Farah has no personal interest in </w:t>
      </w:r>
      <w:proofErr w:type="spellStart"/>
      <w:r w:rsidRPr="00B055B2">
        <w:rPr>
          <w:rFonts w:asciiTheme="majorBidi" w:hAnsiTheme="majorBidi" w:cstheme="majorBidi"/>
          <w:lang w:bidi="he-IL"/>
        </w:rPr>
        <w:t>Lior</w:t>
      </w:r>
      <w:proofErr w:type="spellEnd"/>
      <w:r w:rsidRPr="00B055B2">
        <w:rPr>
          <w:rFonts w:asciiTheme="majorBidi" w:hAnsiTheme="majorBidi" w:cstheme="majorBidi"/>
          <w:lang w:bidi="he-IL"/>
        </w:rPr>
        <w:t xml:space="preserve"> </w:t>
      </w:r>
      <w:proofErr w:type="spellStart"/>
      <w:r w:rsidR="00791344" w:rsidRPr="00B055B2">
        <w:rPr>
          <w:rFonts w:asciiTheme="majorBidi" w:hAnsiTheme="majorBidi" w:cstheme="majorBidi"/>
          <w:lang w:bidi="he-IL"/>
        </w:rPr>
        <w:t>H</w:t>
      </w:r>
      <w:r w:rsidRPr="00B055B2">
        <w:rPr>
          <w:rFonts w:asciiTheme="majorBidi" w:hAnsiTheme="majorBidi" w:cstheme="majorBidi"/>
          <w:lang w:bidi="he-IL"/>
        </w:rPr>
        <w:t>atam</w:t>
      </w:r>
      <w:proofErr w:type="spellEnd"/>
      <w:r w:rsidRPr="00B055B2">
        <w:rPr>
          <w:rFonts w:asciiTheme="majorBidi" w:hAnsiTheme="majorBidi" w:cstheme="majorBidi"/>
          <w:lang w:bidi="he-IL"/>
        </w:rPr>
        <w:t xml:space="preserve">. What interests </w:t>
      </w:r>
      <w:proofErr w:type="spellStart"/>
      <w:r w:rsidRPr="00B055B2">
        <w:rPr>
          <w:rFonts w:asciiTheme="majorBidi" w:hAnsiTheme="majorBidi" w:cstheme="majorBidi"/>
          <w:lang w:bidi="he-IL"/>
        </w:rPr>
        <w:t>Jafar</w:t>
      </w:r>
      <w:proofErr w:type="spellEnd"/>
      <w:r w:rsidRPr="00B055B2">
        <w:rPr>
          <w:rFonts w:asciiTheme="majorBidi" w:hAnsiTheme="majorBidi" w:cstheme="majorBidi"/>
          <w:lang w:bidi="he-IL"/>
        </w:rPr>
        <w:t xml:space="preserve"> Farah is the Israel Police. He apparently has an issue with the station commander, but since he can’t </w:t>
      </w:r>
      <w:r w:rsidR="00F40966" w:rsidRPr="00B055B2">
        <w:rPr>
          <w:rFonts w:asciiTheme="majorBidi" w:hAnsiTheme="majorBidi" w:cstheme="majorBidi"/>
          <w:lang w:bidi="he-IL"/>
        </w:rPr>
        <w:t>target</w:t>
      </w:r>
      <w:r w:rsidRPr="00B055B2">
        <w:rPr>
          <w:rFonts w:asciiTheme="majorBidi" w:hAnsiTheme="majorBidi" w:cstheme="majorBidi"/>
          <w:lang w:bidi="he-IL"/>
        </w:rPr>
        <w:t xml:space="preserve"> the entire Israel Police, he goes after a small cog in the machine.”</w:t>
      </w:r>
      <w:r w:rsidRPr="00B055B2">
        <w:rPr>
          <w:rStyle w:val="FootnoteReference"/>
          <w:rFonts w:asciiTheme="majorBidi" w:hAnsiTheme="majorBidi" w:cstheme="majorBidi"/>
          <w:lang w:bidi="he-IL"/>
        </w:rPr>
        <w:footnoteReference w:id="9"/>
      </w:r>
    </w:p>
    <w:p w14:paraId="716C1E22" w14:textId="77777777" w:rsidR="00DF7759" w:rsidRPr="00B055B2" w:rsidRDefault="00DF7759" w:rsidP="005D58E9">
      <w:pPr>
        <w:tabs>
          <w:tab w:val="left" w:pos="923"/>
        </w:tabs>
        <w:spacing w:line="360" w:lineRule="auto"/>
        <w:rPr>
          <w:rFonts w:asciiTheme="majorBidi" w:hAnsiTheme="majorBidi" w:cstheme="majorBidi"/>
          <w:b/>
          <w:bCs/>
          <w:i/>
          <w:iCs/>
          <w:lang w:bidi="he-IL"/>
        </w:rPr>
      </w:pPr>
    </w:p>
    <w:p w14:paraId="57A8A002" w14:textId="72D506A0" w:rsidR="005D58E9" w:rsidRPr="00B055B2" w:rsidRDefault="005D58E9" w:rsidP="005D58E9">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Victim Profiles</w:t>
      </w:r>
    </w:p>
    <w:p w14:paraId="22AB1B53" w14:textId="195E76D1" w:rsidR="005D58E9" w:rsidRPr="00B055B2" w:rsidRDefault="005D58E9" w:rsidP="005D58E9">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The victims represented a broad spectrum of social class, ethnic background, and age. The majority were married to the police officer who harmed them (23), and three were pregnant at the time of the violence or threats. In other cases, the victim was in a relationship with the officer at the time of the incident (3), or the violence </w:t>
      </w:r>
      <w:r w:rsidR="00DF7759" w:rsidRPr="00B055B2">
        <w:rPr>
          <w:rFonts w:asciiTheme="majorBidi" w:hAnsiTheme="majorBidi" w:cstheme="majorBidi"/>
          <w:lang w:bidi="he-IL"/>
        </w:rPr>
        <w:t xml:space="preserve">had </w:t>
      </w:r>
      <w:r w:rsidRPr="00B055B2">
        <w:rPr>
          <w:rFonts w:asciiTheme="majorBidi" w:hAnsiTheme="majorBidi" w:cstheme="majorBidi"/>
          <w:lang w:bidi="he-IL"/>
        </w:rPr>
        <w:t>occurred after their separation (3). For the remaining cases, no information was available.</w:t>
      </w:r>
    </w:p>
    <w:p w14:paraId="21364C51" w14:textId="00716C0D" w:rsidR="005D58E9" w:rsidRPr="00B055B2" w:rsidRDefault="0003592F" w:rsidP="005D58E9">
      <w:pPr>
        <w:tabs>
          <w:tab w:val="left" w:pos="923"/>
        </w:tabs>
        <w:spacing w:line="360" w:lineRule="auto"/>
        <w:rPr>
          <w:rFonts w:asciiTheme="majorBidi" w:hAnsiTheme="majorBidi" w:cstheme="majorBidi"/>
          <w:rtl/>
          <w:lang w:bidi="he-IL"/>
        </w:rPr>
      </w:pPr>
      <w:r w:rsidRPr="00B055B2">
        <w:rPr>
          <w:rFonts w:asciiTheme="majorBidi" w:hAnsiTheme="majorBidi" w:cstheme="majorBidi"/>
          <w:lang w:bidi="he-IL"/>
        </w:rPr>
        <w:tab/>
      </w:r>
      <w:r w:rsidR="00862FBE" w:rsidRPr="00B055B2">
        <w:rPr>
          <w:rFonts w:asciiTheme="majorBidi" w:hAnsiTheme="majorBidi" w:cstheme="majorBidi"/>
          <w:lang w:bidi="he-IL"/>
        </w:rPr>
        <w:t>Perhaps unexpectedly, the murder victims were women who could be described as particularly strong, with high awareness of domestic violence</w:t>
      </w:r>
      <w:r w:rsidRPr="00B055B2">
        <w:rPr>
          <w:rFonts w:asciiTheme="majorBidi" w:hAnsiTheme="majorBidi" w:cstheme="majorBidi"/>
          <w:lang w:bidi="he-IL"/>
        </w:rPr>
        <w:t xml:space="preserve">, </w:t>
      </w:r>
      <w:r w:rsidR="00862FBE" w:rsidRPr="00B055B2">
        <w:rPr>
          <w:rFonts w:asciiTheme="majorBidi" w:hAnsiTheme="majorBidi" w:cstheme="majorBidi"/>
          <w:lang w:bidi="he-IL"/>
        </w:rPr>
        <w:t xml:space="preserve">or who were themselves part of the law enforcement and welfare systems. Diana </w:t>
      </w:r>
      <w:proofErr w:type="spellStart"/>
      <w:r w:rsidR="00862FBE" w:rsidRPr="00B055B2">
        <w:rPr>
          <w:rFonts w:asciiTheme="majorBidi" w:hAnsiTheme="majorBidi" w:cstheme="majorBidi"/>
          <w:lang w:bidi="he-IL"/>
        </w:rPr>
        <w:t>Raz</w:t>
      </w:r>
      <w:proofErr w:type="spellEnd"/>
      <w:r w:rsidR="00862FBE" w:rsidRPr="00B055B2">
        <w:rPr>
          <w:rFonts w:asciiTheme="majorBidi" w:hAnsiTheme="majorBidi" w:cstheme="majorBidi"/>
          <w:lang w:bidi="he-IL"/>
        </w:rPr>
        <w:t xml:space="preserve"> was a relationship counselor who, among other things, warned her audience during a lecture series about the red flags that should signal concern regarding domestic abuse. </w:t>
      </w:r>
      <w:proofErr w:type="spellStart"/>
      <w:r w:rsidR="00862FBE" w:rsidRPr="00B055B2">
        <w:rPr>
          <w:rFonts w:asciiTheme="majorBidi" w:hAnsiTheme="majorBidi" w:cstheme="majorBidi"/>
          <w:lang w:bidi="he-IL"/>
        </w:rPr>
        <w:t>Anget</w:t>
      </w:r>
      <w:r w:rsidRPr="00B055B2">
        <w:rPr>
          <w:rFonts w:asciiTheme="majorBidi" w:hAnsiTheme="majorBidi" w:cstheme="majorBidi"/>
          <w:lang w:bidi="he-IL"/>
        </w:rPr>
        <w:t>z</w:t>
      </w:r>
      <w:proofErr w:type="spellEnd"/>
      <w:r w:rsidR="00862FBE" w:rsidRPr="00B055B2">
        <w:rPr>
          <w:rFonts w:asciiTheme="majorBidi" w:hAnsiTheme="majorBidi" w:cstheme="majorBidi"/>
          <w:lang w:bidi="he-IL"/>
        </w:rPr>
        <w:t xml:space="preserve"> </w:t>
      </w:r>
      <w:proofErr w:type="spellStart"/>
      <w:r w:rsidR="00862FBE" w:rsidRPr="00B055B2">
        <w:rPr>
          <w:rFonts w:asciiTheme="majorBidi" w:hAnsiTheme="majorBidi" w:cstheme="majorBidi"/>
          <w:lang w:bidi="he-IL"/>
        </w:rPr>
        <w:t>Wassa</w:t>
      </w:r>
      <w:proofErr w:type="spellEnd"/>
      <w:r w:rsidR="00862FBE" w:rsidRPr="00B055B2">
        <w:rPr>
          <w:rFonts w:asciiTheme="majorBidi" w:hAnsiTheme="majorBidi" w:cstheme="majorBidi"/>
          <w:lang w:bidi="he-IL"/>
        </w:rPr>
        <w:t xml:space="preserve"> worked at the National Insurance Institute and served as an educational coordinator in a program for integrating Ethiopian immigrants into Israeli society. At the same time, she was a social activist, volunteered in various settings, led empowerment workshops, and supported both youth and victims of domestic violence.</w:t>
      </w:r>
    </w:p>
    <w:p w14:paraId="09DEA9E0" w14:textId="1458360C" w:rsidR="00622C91" w:rsidRPr="00B055B2" w:rsidRDefault="00DD1F0A" w:rsidP="001B3FC4">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Other victims were employed within the law enforcement system: Sivan Cohen served as a</w:t>
      </w:r>
      <w:r w:rsidR="00612343" w:rsidRPr="00B055B2">
        <w:rPr>
          <w:rFonts w:asciiTheme="majorBidi" w:hAnsiTheme="majorBidi" w:cstheme="majorBidi"/>
          <w:lang w:bidi="he-IL"/>
        </w:rPr>
        <w:t>n</w:t>
      </w:r>
      <w:r w:rsidRPr="00B055B2">
        <w:rPr>
          <w:rFonts w:asciiTheme="majorBidi" w:hAnsiTheme="majorBidi" w:cstheme="majorBidi"/>
          <w:lang w:bidi="he-IL"/>
        </w:rPr>
        <w:t xml:space="preserve"> officer in the Israel Prison Service; Hila Fischer, who was murdered by her husband, was herself a police officer and the daughter of a senior police commander.</w:t>
      </w:r>
      <w:r w:rsidRPr="00B055B2">
        <w:rPr>
          <w:rStyle w:val="FootnoteReference"/>
          <w:rFonts w:asciiTheme="majorBidi" w:hAnsiTheme="majorBidi" w:cstheme="majorBidi"/>
          <w:lang w:bidi="he-IL"/>
        </w:rPr>
        <w:footnoteReference w:id="10"/>
      </w:r>
      <w:r w:rsidRPr="00B055B2">
        <w:rPr>
          <w:rFonts w:asciiTheme="majorBidi" w:hAnsiTheme="majorBidi" w:cstheme="majorBidi"/>
          <w:lang w:bidi="he-IL"/>
        </w:rPr>
        <w:t xml:space="preserve"> In the </w:t>
      </w:r>
      <w:proofErr w:type="spellStart"/>
      <w:r w:rsidRPr="00B055B2">
        <w:rPr>
          <w:rFonts w:asciiTheme="majorBidi" w:hAnsiTheme="majorBidi" w:cstheme="majorBidi"/>
          <w:lang w:bidi="he-IL"/>
        </w:rPr>
        <w:t>Abramovich</w:t>
      </w:r>
      <w:proofErr w:type="spellEnd"/>
      <w:r w:rsidRPr="00B055B2">
        <w:rPr>
          <w:rFonts w:asciiTheme="majorBidi" w:hAnsiTheme="majorBidi" w:cstheme="majorBidi"/>
          <w:lang w:bidi="he-IL"/>
        </w:rPr>
        <w:t xml:space="preserve"> case, </w:t>
      </w:r>
      <w:r w:rsidRPr="00B055B2">
        <w:rPr>
          <w:rFonts w:asciiTheme="majorBidi" w:hAnsiTheme="majorBidi" w:cstheme="majorBidi"/>
          <w:lang w:bidi="he-IL"/>
        </w:rPr>
        <w:lastRenderedPageBreak/>
        <w:t>the victim, also a police officer, described how she struggled to identify the signs of an abusive relationship when they began to surface in her own life.</w:t>
      </w:r>
      <w:r w:rsidRPr="00B055B2">
        <w:rPr>
          <w:rStyle w:val="FootnoteReference"/>
          <w:rFonts w:asciiTheme="majorBidi" w:hAnsiTheme="majorBidi" w:cstheme="majorBidi"/>
          <w:lang w:bidi="he-IL"/>
        </w:rPr>
        <w:footnoteReference w:id="11"/>
      </w:r>
    </w:p>
    <w:p w14:paraId="02516FDC" w14:textId="77F1A3CB" w:rsidR="002D0077" w:rsidRPr="00B055B2" w:rsidRDefault="002D0077" w:rsidP="001B3FC4">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 xml:space="preserve">In other cases, the picture was more complex. In one instance, the victim had been married to the perpetrator for 24 years. She was described by the probation officer as a strong woman, yet one who struggled to defend herself against her husband and </w:t>
      </w:r>
      <w:r w:rsidR="00612343" w:rsidRPr="00B055B2">
        <w:rPr>
          <w:rFonts w:asciiTheme="majorBidi" w:hAnsiTheme="majorBidi" w:cstheme="majorBidi"/>
          <w:lang w:bidi="he-IL"/>
        </w:rPr>
        <w:t>was</w:t>
      </w:r>
      <w:r w:rsidRPr="00B055B2">
        <w:rPr>
          <w:rFonts w:asciiTheme="majorBidi" w:hAnsiTheme="majorBidi" w:cstheme="majorBidi"/>
          <w:lang w:bidi="he-IL"/>
        </w:rPr>
        <w:t xml:space="preserve"> </w:t>
      </w:r>
      <w:r w:rsidR="00612343" w:rsidRPr="00B055B2">
        <w:rPr>
          <w:rFonts w:asciiTheme="majorBidi" w:hAnsiTheme="majorBidi" w:cstheme="majorBidi"/>
          <w:lang w:bidi="he-IL"/>
        </w:rPr>
        <w:t>“</w:t>
      </w:r>
      <w:r w:rsidRPr="00B055B2">
        <w:rPr>
          <w:rFonts w:asciiTheme="majorBidi" w:hAnsiTheme="majorBidi" w:cstheme="majorBidi"/>
          <w:lang w:bidi="he-IL"/>
        </w:rPr>
        <w:t>not fully aware of the full range of risk factors in the couple’s life.”</w:t>
      </w:r>
      <w:r w:rsidRPr="00B055B2">
        <w:rPr>
          <w:rStyle w:val="FootnoteReference"/>
          <w:rFonts w:asciiTheme="majorBidi" w:hAnsiTheme="majorBidi" w:cstheme="majorBidi"/>
          <w:lang w:bidi="he-IL"/>
        </w:rPr>
        <w:footnoteReference w:id="12"/>
      </w:r>
      <w:r w:rsidRPr="00B055B2">
        <w:rPr>
          <w:rFonts w:asciiTheme="majorBidi" w:hAnsiTheme="majorBidi" w:cstheme="majorBidi"/>
          <w:lang w:bidi="he-IL"/>
        </w:rPr>
        <w:t xml:space="preserve"> In another case</w:t>
      </w:r>
      <w:r w:rsidR="00612343" w:rsidRPr="00B055B2">
        <w:rPr>
          <w:rFonts w:asciiTheme="majorBidi" w:hAnsiTheme="majorBidi" w:cstheme="majorBidi"/>
          <w:lang w:bidi="he-IL"/>
        </w:rPr>
        <w:t xml:space="preserve">, </w:t>
      </w:r>
      <w:r w:rsidRPr="00B055B2">
        <w:rPr>
          <w:rFonts w:asciiTheme="majorBidi" w:hAnsiTheme="majorBidi" w:cstheme="majorBidi"/>
          <w:lang w:bidi="he-IL"/>
        </w:rPr>
        <w:t xml:space="preserve">the most severe in the dataset, </w:t>
      </w:r>
      <w:r w:rsidR="00612343" w:rsidRPr="00B055B2">
        <w:rPr>
          <w:rFonts w:asciiTheme="majorBidi" w:hAnsiTheme="majorBidi" w:cstheme="majorBidi"/>
          <w:lang w:bidi="he-IL"/>
        </w:rPr>
        <w:t>which involved</w:t>
      </w:r>
      <w:r w:rsidRPr="00B055B2">
        <w:rPr>
          <w:rFonts w:asciiTheme="majorBidi" w:hAnsiTheme="majorBidi" w:cstheme="majorBidi"/>
          <w:lang w:bidi="he-IL"/>
        </w:rPr>
        <w:t xml:space="preserve"> physical, sexual, and economic violence, threats, and isolation</w:t>
      </w:r>
      <w:r w:rsidR="00612343" w:rsidRPr="00B055B2">
        <w:rPr>
          <w:rFonts w:asciiTheme="majorBidi" w:hAnsiTheme="majorBidi" w:cstheme="majorBidi"/>
          <w:lang w:bidi="he-IL"/>
        </w:rPr>
        <w:t xml:space="preserve">, </w:t>
      </w:r>
      <w:r w:rsidRPr="00B055B2">
        <w:rPr>
          <w:rFonts w:asciiTheme="majorBidi" w:hAnsiTheme="majorBidi" w:cstheme="majorBidi"/>
          <w:lang w:bidi="he-IL"/>
        </w:rPr>
        <w:t>the victim testified in court that she had not known the acts committed against her were illegal. She ultimately fled the home with nothing but the clothes on her back after realizing her life was in danger.</w:t>
      </w:r>
      <w:r w:rsidRPr="00B055B2">
        <w:rPr>
          <w:rStyle w:val="FootnoteReference"/>
          <w:rFonts w:asciiTheme="majorBidi" w:hAnsiTheme="majorBidi" w:cstheme="majorBidi"/>
          <w:lang w:bidi="he-IL"/>
        </w:rPr>
        <w:footnoteReference w:id="13"/>
      </w:r>
    </w:p>
    <w:p w14:paraId="5B12E84D" w14:textId="77777777" w:rsidR="001B3FC4" w:rsidRPr="00B055B2" w:rsidRDefault="001B3FC4" w:rsidP="001B3FC4">
      <w:pPr>
        <w:tabs>
          <w:tab w:val="left" w:pos="923"/>
        </w:tabs>
        <w:spacing w:line="360" w:lineRule="auto"/>
        <w:rPr>
          <w:rFonts w:asciiTheme="majorBidi" w:hAnsiTheme="majorBidi" w:cstheme="majorBidi"/>
          <w:lang w:bidi="he-IL"/>
        </w:rPr>
      </w:pPr>
    </w:p>
    <w:p w14:paraId="36A4E3D4" w14:textId="77777777" w:rsidR="00E8683E" w:rsidRPr="00B055B2" w:rsidRDefault="00E8683E" w:rsidP="00E8683E">
      <w:pPr>
        <w:tabs>
          <w:tab w:val="left" w:pos="923"/>
        </w:tabs>
        <w:spacing w:line="360" w:lineRule="auto"/>
        <w:rPr>
          <w:rFonts w:asciiTheme="majorBidi" w:hAnsiTheme="majorBidi" w:cstheme="majorBidi"/>
          <w:b/>
          <w:bCs/>
          <w:lang w:bidi="he-IL"/>
        </w:rPr>
      </w:pPr>
      <w:r w:rsidRPr="00B055B2">
        <w:rPr>
          <w:rFonts w:asciiTheme="majorBidi" w:hAnsiTheme="majorBidi" w:cstheme="majorBidi"/>
          <w:b/>
          <w:bCs/>
          <w:lang w:bidi="he-IL"/>
        </w:rPr>
        <w:t>Patterns and Trends: Analysis and Findings</w:t>
      </w:r>
    </w:p>
    <w:p w14:paraId="6EC51C98" w14:textId="77777777" w:rsidR="00E8683E" w:rsidRPr="00B055B2" w:rsidRDefault="00E8683E" w:rsidP="00E8683E">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One of the central questions explored in the study was how domestic violence in police families comes to light. The findings reveal several primary pathways:</w:t>
      </w:r>
    </w:p>
    <w:p w14:paraId="29DB9EFC" w14:textId="6C767BA5" w:rsidR="00E8683E" w:rsidRPr="00B055B2" w:rsidRDefault="00E8683E" w:rsidP="00E8683E">
      <w:pPr>
        <w:pStyle w:val="ListParagraph"/>
        <w:numPr>
          <w:ilvl w:val="0"/>
          <w:numId w:val="2"/>
        </w:numPr>
        <w:tabs>
          <w:tab w:val="left" w:pos="923"/>
        </w:tabs>
        <w:spacing w:line="360" w:lineRule="auto"/>
        <w:rPr>
          <w:rFonts w:asciiTheme="majorBidi" w:hAnsiTheme="majorBidi" w:cstheme="majorBidi"/>
          <w:lang w:bidi="he-IL"/>
        </w:rPr>
      </w:pPr>
      <w:r w:rsidRPr="00B055B2">
        <w:rPr>
          <w:rFonts w:asciiTheme="majorBidi" w:hAnsiTheme="majorBidi" w:cstheme="majorBidi"/>
          <w:b/>
          <w:bCs/>
          <w:lang w:bidi="he-IL"/>
        </w:rPr>
        <w:t>Direct complaint by the victim</w:t>
      </w:r>
      <w:r w:rsidR="009D473D" w:rsidRPr="00B055B2">
        <w:rPr>
          <w:rFonts w:asciiTheme="majorBidi" w:hAnsiTheme="majorBidi" w:cstheme="majorBidi"/>
          <w:b/>
          <w:bCs/>
          <w:lang w:bidi="he-IL"/>
        </w:rPr>
        <w:t xml:space="preserve">. </w:t>
      </w:r>
      <w:r w:rsidRPr="00B055B2">
        <w:rPr>
          <w:rFonts w:asciiTheme="majorBidi" w:hAnsiTheme="majorBidi" w:cstheme="majorBidi"/>
          <w:lang w:bidi="he-IL"/>
        </w:rPr>
        <w:t>Despite the specific barriers they face, some victims did approach the police themselves. As one interviewee remarked, “The experience is that they’ll turn her into the village madwoman</w:t>
      </w:r>
      <w:r w:rsidR="004A4AE5" w:rsidRPr="00B055B2">
        <w:rPr>
          <w:rFonts w:asciiTheme="majorBidi" w:hAnsiTheme="majorBidi" w:cstheme="majorBidi"/>
          <w:lang w:bidi="he-IL"/>
        </w:rPr>
        <w:t>,</w:t>
      </w:r>
      <w:r w:rsidRPr="00B055B2">
        <w:rPr>
          <w:rFonts w:asciiTheme="majorBidi" w:hAnsiTheme="majorBidi" w:cstheme="majorBidi"/>
          <w:lang w:bidi="he-IL"/>
        </w:rPr>
        <w:t>”</w:t>
      </w:r>
      <w:r w:rsidR="004A4AE5" w:rsidRPr="00B055B2">
        <w:rPr>
          <w:rFonts w:asciiTheme="majorBidi" w:hAnsiTheme="majorBidi" w:cstheme="majorBidi"/>
          <w:lang w:bidi="he-IL"/>
        </w:rPr>
        <w:t xml:space="preserve"> </w:t>
      </w:r>
      <w:r w:rsidRPr="00B055B2">
        <w:rPr>
          <w:rFonts w:asciiTheme="majorBidi" w:hAnsiTheme="majorBidi" w:cstheme="majorBidi"/>
          <w:lang w:bidi="he-IL"/>
        </w:rPr>
        <w:t>a phrase that reflects the fear of a dual stigma: both as a battered woman and as someone who dared to file a complaint against a police officer.</w:t>
      </w:r>
    </w:p>
    <w:p w14:paraId="6071FAB3" w14:textId="73A976B1" w:rsidR="00E8683E" w:rsidRPr="00B055B2" w:rsidRDefault="00E8683E" w:rsidP="00E8683E">
      <w:pPr>
        <w:pStyle w:val="ListParagraph"/>
        <w:numPr>
          <w:ilvl w:val="0"/>
          <w:numId w:val="2"/>
        </w:numPr>
        <w:tabs>
          <w:tab w:val="left" w:pos="923"/>
        </w:tabs>
        <w:spacing w:line="360" w:lineRule="auto"/>
        <w:rPr>
          <w:rFonts w:asciiTheme="majorBidi" w:hAnsiTheme="majorBidi" w:cstheme="majorBidi"/>
          <w:lang w:bidi="he-IL"/>
        </w:rPr>
      </w:pPr>
      <w:r w:rsidRPr="00B055B2">
        <w:rPr>
          <w:rFonts w:asciiTheme="majorBidi" w:hAnsiTheme="majorBidi" w:cstheme="majorBidi"/>
          <w:b/>
          <w:bCs/>
          <w:lang w:bidi="he-IL"/>
        </w:rPr>
        <w:t>Third-party intervention</w:t>
      </w:r>
      <w:r w:rsidR="009D473D" w:rsidRPr="00B055B2">
        <w:rPr>
          <w:rFonts w:asciiTheme="majorBidi" w:hAnsiTheme="majorBidi" w:cstheme="majorBidi"/>
          <w:b/>
          <w:bCs/>
          <w:lang w:bidi="he-IL"/>
        </w:rPr>
        <w:t>.</w:t>
      </w:r>
      <w:r w:rsidRPr="00B055B2">
        <w:rPr>
          <w:rFonts w:asciiTheme="majorBidi" w:hAnsiTheme="majorBidi" w:cstheme="majorBidi"/>
          <w:lang w:bidi="he-IL"/>
        </w:rPr>
        <w:t xml:space="preserve"> In many cases, neighbors, relatives, or bystanders reported the violence to the police after </w:t>
      </w:r>
      <w:r w:rsidR="004A4AE5" w:rsidRPr="00B055B2">
        <w:rPr>
          <w:rFonts w:asciiTheme="majorBidi" w:hAnsiTheme="majorBidi" w:cstheme="majorBidi"/>
          <w:lang w:bidi="he-IL"/>
        </w:rPr>
        <w:t xml:space="preserve">having </w:t>
      </w:r>
      <w:r w:rsidRPr="00B055B2">
        <w:rPr>
          <w:rFonts w:asciiTheme="majorBidi" w:hAnsiTheme="majorBidi" w:cstheme="majorBidi"/>
          <w:lang w:bidi="he-IL"/>
        </w:rPr>
        <w:t>witness</w:t>
      </w:r>
      <w:r w:rsidR="004A4AE5" w:rsidRPr="00B055B2">
        <w:rPr>
          <w:rFonts w:asciiTheme="majorBidi" w:hAnsiTheme="majorBidi" w:cstheme="majorBidi"/>
          <w:lang w:bidi="he-IL"/>
        </w:rPr>
        <w:t>ed</w:t>
      </w:r>
      <w:r w:rsidRPr="00B055B2">
        <w:rPr>
          <w:rFonts w:asciiTheme="majorBidi" w:hAnsiTheme="majorBidi" w:cstheme="majorBidi"/>
          <w:lang w:bidi="he-IL"/>
        </w:rPr>
        <w:t xml:space="preserve"> it directly.</w:t>
      </w:r>
    </w:p>
    <w:p w14:paraId="42E6A889" w14:textId="4B4C68E4" w:rsidR="00E8683E" w:rsidRPr="00B055B2" w:rsidRDefault="00E8683E" w:rsidP="00E8683E">
      <w:pPr>
        <w:pStyle w:val="ListParagraph"/>
        <w:numPr>
          <w:ilvl w:val="0"/>
          <w:numId w:val="2"/>
        </w:numPr>
        <w:tabs>
          <w:tab w:val="left" w:pos="923"/>
        </w:tabs>
        <w:spacing w:line="360" w:lineRule="auto"/>
        <w:rPr>
          <w:rFonts w:asciiTheme="majorBidi" w:hAnsiTheme="majorBidi" w:cstheme="majorBidi"/>
          <w:lang w:bidi="he-IL"/>
        </w:rPr>
      </w:pPr>
      <w:r w:rsidRPr="00B055B2">
        <w:rPr>
          <w:rFonts w:asciiTheme="majorBidi" w:hAnsiTheme="majorBidi" w:cstheme="majorBidi"/>
          <w:b/>
          <w:bCs/>
          <w:lang w:bidi="he-IL"/>
        </w:rPr>
        <w:t>Disclosure following a severe incident</w:t>
      </w:r>
      <w:r w:rsidR="009D473D" w:rsidRPr="00B055B2">
        <w:rPr>
          <w:rFonts w:asciiTheme="majorBidi" w:hAnsiTheme="majorBidi" w:cstheme="majorBidi"/>
          <w:b/>
          <w:bCs/>
          <w:lang w:bidi="he-IL"/>
        </w:rPr>
        <w:t>.</w:t>
      </w:r>
      <w:r w:rsidRPr="00B055B2">
        <w:rPr>
          <w:rFonts w:asciiTheme="majorBidi" w:hAnsiTheme="majorBidi" w:cstheme="majorBidi"/>
          <w:lang w:bidi="he-IL"/>
        </w:rPr>
        <w:t xml:space="preserve"> In certain cases, the violence was exposed only after an extreme event </w:t>
      </w:r>
      <w:r w:rsidR="004A4AE5" w:rsidRPr="00B055B2">
        <w:rPr>
          <w:rFonts w:asciiTheme="majorBidi" w:hAnsiTheme="majorBidi" w:cstheme="majorBidi"/>
          <w:lang w:bidi="he-IL"/>
        </w:rPr>
        <w:t>had occurr</w:t>
      </w:r>
      <w:r w:rsidRPr="00B055B2">
        <w:rPr>
          <w:rFonts w:asciiTheme="majorBidi" w:hAnsiTheme="majorBidi" w:cstheme="majorBidi"/>
          <w:lang w:bidi="he-IL"/>
        </w:rPr>
        <w:t>ed</w:t>
      </w:r>
      <w:r w:rsidR="004A4AE5" w:rsidRPr="00B055B2">
        <w:rPr>
          <w:rFonts w:asciiTheme="majorBidi" w:hAnsiTheme="majorBidi" w:cstheme="majorBidi"/>
          <w:lang w:bidi="he-IL"/>
        </w:rPr>
        <w:t xml:space="preserve"> necessitating</w:t>
      </w:r>
      <w:r w:rsidRPr="00B055B2">
        <w:rPr>
          <w:rFonts w:asciiTheme="majorBidi" w:hAnsiTheme="majorBidi" w:cstheme="majorBidi"/>
          <w:lang w:bidi="he-IL"/>
        </w:rPr>
        <w:t xml:space="preserve"> urgent medical or police intervention.</w:t>
      </w:r>
    </w:p>
    <w:p w14:paraId="6275208B" w14:textId="39C96FD2" w:rsidR="00E8683E" w:rsidRPr="00B055B2" w:rsidRDefault="00E8683E" w:rsidP="00E8683E">
      <w:pPr>
        <w:pStyle w:val="ListParagraph"/>
        <w:numPr>
          <w:ilvl w:val="0"/>
          <w:numId w:val="2"/>
        </w:numPr>
        <w:tabs>
          <w:tab w:val="left" w:pos="923"/>
        </w:tabs>
        <w:spacing w:line="360" w:lineRule="auto"/>
        <w:rPr>
          <w:rFonts w:asciiTheme="majorBidi" w:hAnsiTheme="majorBidi" w:cstheme="majorBidi"/>
          <w:lang w:bidi="he-IL"/>
        </w:rPr>
      </w:pPr>
      <w:r w:rsidRPr="00B055B2">
        <w:rPr>
          <w:rFonts w:asciiTheme="majorBidi" w:hAnsiTheme="majorBidi" w:cstheme="majorBidi"/>
          <w:b/>
          <w:bCs/>
          <w:lang w:bidi="he-IL"/>
        </w:rPr>
        <w:t>Self-reporting by the officer</w:t>
      </w:r>
      <w:r w:rsidR="009D473D" w:rsidRPr="00B055B2">
        <w:rPr>
          <w:rFonts w:asciiTheme="majorBidi" w:hAnsiTheme="majorBidi" w:cstheme="majorBidi"/>
          <w:b/>
          <w:bCs/>
          <w:lang w:bidi="he-IL"/>
        </w:rPr>
        <w:t>.</w:t>
      </w:r>
      <w:r w:rsidRPr="00B055B2">
        <w:rPr>
          <w:rFonts w:asciiTheme="majorBidi" w:hAnsiTheme="majorBidi" w:cstheme="majorBidi"/>
          <w:lang w:bidi="he-IL"/>
        </w:rPr>
        <w:t xml:space="preserve"> In a few cases, the officers themselves reported their actions, primarily in </w:t>
      </w:r>
      <w:r w:rsidR="00F53797" w:rsidRPr="00B055B2">
        <w:rPr>
          <w:rFonts w:asciiTheme="majorBidi" w:hAnsiTheme="majorBidi" w:cstheme="majorBidi"/>
          <w:lang w:bidi="he-IL"/>
        </w:rPr>
        <w:t>murder</w:t>
      </w:r>
      <w:r w:rsidRPr="00B055B2">
        <w:rPr>
          <w:rFonts w:asciiTheme="majorBidi" w:hAnsiTheme="majorBidi" w:cstheme="majorBidi"/>
          <w:lang w:bidi="he-IL"/>
        </w:rPr>
        <w:t xml:space="preserve"> cases, where three of the perpetrators called the police immediately after committing the murder.</w:t>
      </w:r>
    </w:p>
    <w:p w14:paraId="792F2DE6" w14:textId="77777777" w:rsidR="00AF697D" w:rsidRPr="00B055B2" w:rsidRDefault="00AF697D" w:rsidP="00AF697D">
      <w:pPr>
        <w:tabs>
          <w:tab w:val="left" w:pos="923"/>
        </w:tabs>
        <w:spacing w:line="360" w:lineRule="auto"/>
        <w:rPr>
          <w:rFonts w:asciiTheme="majorBidi" w:hAnsiTheme="majorBidi" w:cstheme="majorBidi"/>
          <w:lang w:bidi="he-IL"/>
        </w:rPr>
      </w:pPr>
    </w:p>
    <w:p w14:paraId="1FE5B353" w14:textId="77777777" w:rsidR="00AF697D" w:rsidRPr="00B055B2" w:rsidRDefault="00AF697D" w:rsidP="00AF697D">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 xml:space="preserve">Coping Mechanisms </w:t>
      </w:r>
      <w:proofErr w:type="gramStart"/>
      <w:r w:rsidRPr="00B055B2">
        <w:rPr>
          <w:rFonts w:asciiTheme="majorBidi" w:hAnsiTheme="majorBidi" w:cstheme="majorBidi"/>
          <w:b/>
          <w:bCs/>
          <w:i/>
          <w:iCs/>
          <w:lang w:bidi="he-IL"/>
        </w:rPr>
        <w:t>Within</w:t>
      </w:r>
      <w:proofErr w:type="gramEnd"/>
      <w:r w:rsidRPr="00B055B2">
        <w:rPr>
          <w:rFonts w:asciiTheme="majorBidi" w:hAnsiTheme="majorBidi" w:cstheme="majorBidi"/>
          <w:b/>
          <w:bCs/>
          <w:i/>
          <w:iCs/>
          <w:lang w:bidi="he-IL"/>
        </w:rPr>
        <w:t xml:space="preserve"> the Family</w:t>
      </w:r>
    </w:p>
    <w:p w14:paraId="44362A30" w14:textId="365E7FCF" w:rsidR="00AF697D" w:rsidRPr="00B055B2" w:rsidRDefault="00AF697D" w:rsidP="00AF697D">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The study reveals that in many cases, families develop alternative strategies for coping with the violence, often in an attempt to avoid turning to the authorities. One therapist described how women in relationships with police officers sometimes protect the abusive partner out of loyalty, fear of the consequences, or economic dependence. As she explained</w:t>
      </w:r>
      <w:r w:rsidR="00F53797" w:rsidRPr="00B055B2">
        <w:rPr>
          <w:rFonts w:asciiTheme="majorBidi" w:hAnsiTheme="majorBidi" w:cstheme="majorBidi"/>
          <w:lang w:bidi="he-IL"/>
        </w:rPr>
        <w:t xml:space="preserve">, </w:t>
      </w:r>
      <w:r w:rsidRPr="00B055B2">
        <w:rPr>
          <w:rFonts w:asciiTheme="majorBidi" w:hAnsiTheme="majorBidi" w:cstheme="majorBidi"/>
          <w:lang w:bidi="he-IL"/>
        </w:rPr>
        <w:t xml:space="preserve">“They are aware that contacting the police could result in his dismissal, which would dramatically impact the family’s financial situation.” In other cases, families try to manage the situation through internal agreements, for instance, by removing weapons from the home or seeking therapy </w:t>
      </w:r>
      <w:r w:rsidR="00F53797" w:rsidRPr="00B055B2">
        <w:rPr>
          <w:rFonts w:asciiTheme="majorBidi" w:hAnsiTheme="majorBidi" w:cstheme="majorBidi"/>
          <w:lang w:bidi="he-IL"/>
        </w:rPr>
        <w:t>outside</w:t>
      </w:r>
      <w:r w:rsidRPr="00B055B2">
        <w:rPr>
          <w:rFonts w:asciiTheme="majorBidi" w:hAnsiTheme="majorBidi" w:cstheme="majorBidi"/>
          <w:lang w:bidi="he-IL"/>
        </w:rPr>
        <w:t xml:space="preserve"> the police</w:t>
      </w:r>
      <w:r w:rsidR="00F53797" w:rsidRPr="00B055B2">
        <w:rPr>
          <w:rFonts w:asciiTheme="majorBidi" w:hAnsiTheme="majorBidi" w:cstheme="majorBidi"/>
          <w:lang w:bidi="he-IL"/>
        </w:rPr>
        <w:t xml:space="preserve"> system</w:t>
      </w:r>
      <w:r w:rsidRPr="00B055B2">
        <w:rPr>
          <w:rFonts w:asciiTheme="majorBidi" w:hAnsiTheme="majorBidi" w:cstheme="majorBidi"/>
          <w:lang w:bidi="he-IL"/>
        </w:rPr>
        <w:t>.</w:t>
      </w:r>
    </w:p>
    <w:p w14:paraId="6CA82FD9" w14:textId="4D6BD57D" w:rsidR="00AF697D" w:rsidRPr="00B055B2" w:rsidRDefault="00280382" w:rsidP="00AF697D">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t>An</w:t>
      </w:r>
      <w:r w:rsidR="00F53797" w:rsidRPr="00B055B2">
        <w:rPr>
          <w:rFonts w:asciiTheme="majorBidi" w:hAnsiTheme="majorBidi" w:cstheme="majorBidi"/>
          <w:lang w:bidi="he-IL"/>
        </w:rPr>
        <w:t>other</w:t>
      </w:r>
      <w:r w:rsidRPr="00B055B2">
        <w:rPr>
          <w:rFonts w:asciiTheme="majorBidi" w:hAnsiTheme="majorBidi" w:cstheme="majorBidi"/>
          <w:lang w:bidi="he-IL"/>
        </w:rPr>
        <w:t xml:space="preserve"> significant finding concerns the presence of children at the scene of the violence. In 23 cases, the couple had children, and in many of </w:t>
      </w:r>
      <w:r w:rsidR="00A06A3B" w:rsidRPr="00B055B2">
        <w:rPr>
          <w:rFonts w:asciiTheme="majorBidi" w:hAnsiTheme="majorBidi" w:cstheme="majorBidi"/>
          <w:lang w:bidi="he-IL"/>
        </w:rPr>
        <w:t>these cases</w:t>
      </w:r>
      <w:r w:rsidRPr="00B055B2">
        <w:rPr>
          <w:rFonts w:asciiTheme="majorBidi" w:hAnsiTheme="majorBidi" w:cstheme="majorBidi"/>
          <w:lang w:bidi="he-IL"/>
        </w:rPr>
        <w:t xml:space="preserve"> the children were </w:t>
      </w:r>
      <w:r w:rsidR="00A06A3B" w:rsidRPr="00B055B2">
        <w:rPr>
          <w:rFonts w:asciiTheme="majorBidi" w:hAnsiTheme="majorBidi" w:cstheme="majorBidi"/>
          <w:lang w:bidi="he-IL"/>
        </w:rPr>
        <w:t xml:space="preserve">direct </w:t>
      </w:r>
      <w:r w:rsidRPr="00B055B2">
        <w:rPr>
          <w:rFonts w:asciiTheme="majorBidi" w:hAnsiTheme="majorBidi" w:cstheme="majorBidi"/>
          <w:lang w:bidi="he-IL"/>
        </w:rPr>
        <w:t>witnesses to the violence</w:t>
      </w:r>
      <w:r w:rsidR="00910094" w:rsidRPr="00B055B2">
        <w:rPr>
          <w:rFonts w:asciiTheme="majorBidi" w:hAnsiTheme="majorBidi" w:cstheme="majorBidi"/>
          <w:lang w:bidi="he-IL"/>
        </w:rPr>
        <w:t xml:space="preserve">, </w:t>
      </w:r>
      <w:r w:rsidR="00A06A3B" w:rsidRPr="00B055B2">
        <w:rPr>
          <w:rFonts w:asciiTheme="majorBidi" w:hAnsiTheme="majorBidi" w:cstheme="majorBidi"/>
          <w:lang w:bidi="he-IL"/>
        </w:rPr>
        <w:t>underscoring</w:t>
      </w:r>
      <w:r w:rsidRPr="00B055B2">
        <w:rPr>
          <w:rFonts w:asciiTheme="majorBidi" w:hAnsiTheme="majorBidi" w:cstheme="majorBidi"/>
          <w:lang w:bidi="he-IL"/>
        </w:rPr>
        <w:t xml:space="preserve"> the </w:t>
      </w:r>
      <w:r w:rsidR="00A06A3B" w:rsidRPr="00B055B2">
        <w:rPr>
          <w:rFonts w:asciiTheme="majorBidi" w:hAnsiTheme="majorBidi" w:cstheme="majorBidi"/>
          <w:lang w:bidi="he-IL"/>
        </w:rPr>
        <w:t xml:space="preserve">profound </w:t>
      </w:r>
      <w:r w:rsidRPr="00B055B2">
        <w:rPr>
          <w:rFonts w:asciiTheme="majorBidi" w:hAnsiTheme="majorBidi" w:cstheme="majorBidi"/>
          <w:lang w:bidi="he-IL"/>
        </w:rPr>
        <w:t>trauma experienced by children exposed to severe violence</w:t>
      </w:r>
      <w:r w:rsidR="00A06A3B" w:rsidRPr="00B055B2">
        <w:rPr>
          <w:rFonts w:asciiTheme="majorBidi" w:hAnsiTheme="majorBidi" w:cstheme="majorBidi"/>
          <w:lang w:bidi="he-IL"/>
        </w:rPr>
        <w:t>,</w:t>
      </w:r>
      <w:r w:rsidR="00910094" w:rsidRPr="00B055B2">
        <w:rPr>
          <w:rFonts w:asciiTheme="majorBidi" w:hAnsiTheme="majorBidi" w:cstheme="majorBidi"/>
          <w:lang w:bidi="he-IL"/>
        </w:rPr>
        <w:t xml:space="preserve"> and</w:t>
      </w:r>
      <w:r w:rsidR="00A06A3B" w:rsidRPr="00B055B2">
        <w:rPr>
          <w:rFonts w:asciiTheme="majorBidi" w:hAnsiTheme="majorBidi" w:cstheme="majorBidi"/>
          <w:lang w:bidi="he-IL"/>
        </w:rPr>
        <w:t xml:space="preserve"> in some instances, to th</w:t>
      </w:r>
      <w:r w:rsidRPr="00B055B2">
        <w:rPr>
          <w:rFonts w:asciiTheme="majorBidi" w:hAnsiTheme="majorBidi" w:cstheme="majorBidi"/>
          <w:lang w:bidi="he-IL"/>
        </w:rPr>
        <w:t xml:space="preserve">e murder of a parent. Moreover, the </w:t>
      </w:r>
      <w:r w:rsidR="00A06A3B" w:rsidRPr="00B055B2">
        <w:rPr>
          <w:rFonts w:asciiTheme="majorBidi" w:hAnsiTheme="majorBidi" w:cstheme="majorBidi"/>
          <w:lang w:bidi="he-IL"/>
        </w:rPr>
        <w:t>findings</w:t>
      </w:r>
      <w:r w:rsidRPr="00B055B2">
        <w:rPr>
          <w:rFonts w:asciiTheme="majorBidi" w:hAnsiTheme="majorBidi" w:cstheme="majorBidi"/>
          <w:lang w:bidi="he-IL"/>
        </w:rPr>
        <w:t xml:space="preserve"> indicate that the presence of children does not necessarily deter police officers from committing violent acts. In the most extreme case</w:t>
      </w:r>
      <w:r w:rsidR="00FB07F6" w:rsidRPr="00B055B2">
        <w:rPr>
          <w:rFonts w:asciiTheme="majorBidi" w:hAnsiTheme="majorBidi" w:cstheme="majorBidi"/>
          <w:lang w:bidi="he-IL"/>
        </w:rPr>
        <w:t xml:space="preserve">, </w:t>
      </w:r>
      <w:r w:rsidRPr="00B055B2">
        <w:rPr>
          <w:rFonts w:asciiTheme="majorBidi" w:hAnsiTheme="majorBidi" w:cstheme="majorBidi"/>
          <w:lang w:bidi="he-IL"/>
        </w:rPr>
        <w:t xml:space="preserve">that of Amir </w:t>
      </w:r>
      <w:proofErr w:type="spellStart"/>
      <w:r w:rsidRPr="00B055B2">
        <w:rPr>
          <w:rFonts w:asciiTheme="majorBidi" w:hAnsiTheme="majorBidi" w:cstheme="majorBidi"/>
          <w:lang w:bidi="he-IL"/>
        </w:rPr>
        <w:t>Raz</w:t>
      </w:r>
      <w:proofErr w:type="spellEnd"/>
      <w:r w:rsidR="00FB07F6" w:rsidRPr="00B055B2">
        <w:rPr>
          <w:rFonts w:asciiTheme="majorBidi" w:hAnsiTheme="majorBidi" w:cstheme="majorBidi"/>
          <w:lang w:bidi="he-IL"/>
        </w:rPr>
        <w:t xml:space="preserve">, </w:t>
      </w:r>
      <w:r w:rsidRPr="00B055B2">
        <w:rPr>
          <w:rFonts w:asciiTheme="majorBidi" w:hAnsiTheme="majorBidi" w:cstheme="majorBidi"/>
          <w:lang w:bidi="he-IL"/>
        </w:rPr>
        <w:t>the children were even forced to watch the murder of their mother.</w:t>
      </w:r>
    </w:p>
    <w:p w14:paraId="0DD5B5EF" w14:textId="77777777" w:rsidR="00FB07F6" w:rsidRPr="00B055B2" w:rsidRDefault="00FB07F6" w:rsidP="00AF697D">
      <w:pPr>
        <w:tabs>
          <w:tab w:val="left" w:pos="923"/>
        </w:tabs>
        <w:spacing w:line="360" w:lineRule="auto"/>
        <w:rPr>
          <w:rFonts w:asciiTheme="majorBidi" w:hAnsiTheme="majorBidi" w:cstheme="majorBidi"/>
          <w:lang w:bidi="he-IL"/>
        </w:rPr>
      </w:pPr>
    </w:p>
    <w:p w14:paraId="470F5F4B" w14:textId="77777777" w:rsidR="00220ABA" w:rsidRPr="00B055B2" w:rsidRDefault="00220ABA" w:rsidP="00220ABA">
      <w:pPr>
        <w:tabs>
          <w:tab w:val="left" w:pos="923"/>
        </w:tabs>
        <w:spacing w:line="360" w:lineRule="auto"/>
        <w:rPr>
          <w:rFonts w:asciiTheme="majorBidi" w:hAnsiTheme="majorBidi" w:cstheme="majorBidi"/>
          <w:b/>
          <w:bCs/>
          <w:i/>
          <w:iCs/>
          <w:lang w:bidi="he-IL"/>
        </w:rPr>
      </w:pPr>
      <w:r w:rsidRPr="00B055B2">
        <w:rPr>
          <w:rFonts w:asciiTheme="majorBidi" w:hAnsiTheme="majorBidi" w:cstheme="majorBidi"/>
          <w:b/>
          <w:bCs/>
          <w:i/>
          <w:iCs/>
          <w:lang w:bidi="he-IL"/>
        </w:rPr>
        <w:t>The Police Officer in Therapy</w:t>
      </w:r>
    </w:p>
    <w:p w14:paraId="33C7A58D" w14:textId="5ACF5D0A" w:rsidR="00220ABA" w:rsidRPr="00B055B2" w:rsidRDefault="00220ABA" w:rsidP="00220ABA">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Some violent police officers enter therapy, either at the request of their partner or following a directive from a commanding officer. </w:t>
      </w:r>
      <w:r w:rsidR="007E1CA7" w:rsidRPr="007E1CA7">
        <w:rPr>
          <w:rFonts w:asciiTheme="majorBidi" w:hAnsiTheme="majorBidi" w:cstheme="majorBidi"/>
          <w:lang w:bidi="he-IL"/>
        </w:rPr>
        <w:t xml:space="preserve">Only a minority seek treatment through </w:t>
      </w:r>
      <w:proofErr w:type="spellStart"/>
      <w:r w:rsidR="007E1CA7" w:rsidRPr="007E1CA7">
        <w:rPr>
          <w:rFonts w:asciiTheme="majorBidi" w:hAnsiTheme="majorBidi" w:cstheme="majorBidi"/>
          <w:lang w:bidi="he-IL"/>
        </w:rPr>
        <w:t>Ma’an</w:t>
      </w:r>
      <w:proofErr w:type="spellEnd"/>
      <w:r w:rsidR="007E1CA7" w:rsidRPr="007E1CA7">
        <w:rPr>
          <w:rFonts w:asciiTheme="majorBidi" w:hAnsiTheme="majorBidi" w:cstheme="majorBidi"/>
          <w:lang w:bidi="he-IL"/>
        </w:rPr>
        <w:t xml:space="preserve"> Centers for the Prevention of Domestic Violence, while a substantial number turn to private therapists. Precise figures, however, are unavailable, despite the Freedom of Information Law. Interviews with therapists revealed several insights unique to police officers undergoing treatment:</w:t>
      </w:r>
    </w:p>
    <w:p w14:paraId="26CE0F6C" w14:textId="73F16CFC" w:rsidR="00220ABA" w:rsidRPr="00B055B2" w:rsidRDefault="00220ABA" w:rsidP="0026662F">
      <w:pPr>
        <w:pStyle w:val="ListParagraph"/>
        <w:numPr>
          <w:ilvl w:val="0"/>
          <w:numId w:val="3"/>
        </w:numPr>
        <w:tabs>
          <w:tab w:val="left" w:pos="923"/>
        </w:tabs>
        <w:spacing w:line="360" w:lineRule="auto"/>
        <w:rPr>
          <w:rFonts w:asciiTheme="majorBidi" w:hAnsiTheme="majorBidi" w:cstheme="majorBidi"/>
          <w:lang w:bidi="he-IL"/>
        </w:rPr>
      </w:pPr>
      <w:r w:rsidRPr="007E1CA7">
        <w:rPr>
          <w:rFonts w:asciiTheme="majorBidi" w:hAnsiTheme="majorBidi" w:cstheme="majorBidi"/>
          <w:b/>
          <w:bCs/>
          <w:lang w:bidi="he-IL"/>
        </w:rPr>
        <w:t>Blurring of personal and professional identity</w:t>
      </w:r>
      <w:r w:rsidR="007E1CA7">
        <w:rPr>
          <w:rFonts w:asciiTheme="majorBidi" w:hAnsiTheme="majorBidi" w:cstheme="majorBidi"/>
          <w:b/>
          <w:bCs/>
          <w:lang w:bidi="he-IL"/>
        </w:rPr>
        <w:t xml:space="preserve">. </w:t>
      </w:r>
      <w:r w:rsidR="007E1CA7" w:rsidRPr="007E1CA7">
        <w:rPr>
          <w:rFonts w:asciiTheme="majorBidi" w:hAnsiTheme="majorBidi" w:cstheme="majorBidi"/>
          <w:lang w:bidi="he-IL"/>
        </w:rPr>
        <w:t>As one therapist noted,</w:t>
      </w:r>
      <w:r w:rsidR="007E1CA7">
        <w:rPr>
          <w:rFonts w:asciiTheme="majorBidi" w:hAnsiTheme="majorBidi" w:cstheme="majorBidi"/>
          <w:b/>
          <w:bCs/>
          <w:lang w:bidi="he-IL"/>
        </w:rPr>
        <w:t xml:space="preserve"> </w:t>
      </w:r>
      <w:r w:rsidRPr="00B055B2">
        <w:rPr>
          <w:rFonts w:asciiTheme="majorBidi" w:hAnsiTheme="majorBidi" w:cstheme="majorBidi"/>
          <w:lang w:bidi="he-IL"/>
        </w:rPr>
        <w:t xml:space="preserve">“He doesn’t know how to function without the uniform,” highlighting the difficulty some officers face in separating their professional identity from their private </w:t>
      </w:r>
      <w:r w:rsidR="0026662F" w:rsidRPr="00B055B2">
        <w:rPr>
          <w:rFonts w:asciiTheme="majorBidi" w:hAnsiTheme="majorBidi" w:cstheme="majorBidi"/>
          <w:lang w:bidi="he-IL"/>
        </w:rPr>
        <w:t>one</w:t>
      </w:r>
      <w:r w:rsidRPr="00B055B2">
        <w:rPr>
          <w:rFonts w:asciiTheme="majorBidi" w:hAnsiTheme="majorBidi" w:cstheme="majorBidi"/>
          <w:lang w:bidi="he-IL"/>
        </w:rPr>
        <w:t>.</w:t>
      </w:r>
    </w:p>
    <w:p w14:paraId="0928AC1E" w14:textId="09F9AAE2" w:rsidR="00220ABA" w:rsidRPr="00B055B2" w:rsidRDefault="00F76B29" w:rsidP="0026662F">
      <w:pPr>
        <w:pStyle w:val="ListParagraph"/>
        <w:numPr>
          <w:ilvl w:val="0"/>
          <w:numId w:val="3"/>
        </w:numPr>
        <w:tabs>
          <w:tab w:val="left" w:pos="923"/>
        </w:tabs>
        <w:spacing w:line="360" w:lineRule="auto"/>
        <w:rPr>
          <w:rFonts w:asciiTheme="majorBidi" w:hAnsiTheme="majorBidi" w:cstheme="majorBidi"/>
          <w:lang w:bidi="he-IL"/>
        </w:rPr>
      </w:pPr>
      <w:r>
        <w:rPr>
          <w:rFonts w:asciiTheme="majorBidi" w:hAnsiTheme="majorBidi" w:cstheme="majorBidi"/>
          <w:b/>
          <w:bCs/>
          <w:lang w:bidi="he-IL"/>
        </w:rPr>
        <w:lastRenderedPageBreak/>
        <w:t>The link between violence and p</w:t>
      </w:r>
      <w:r w:rsidR="00220ABA" w:rsidRPr="00F76B29">
        <w:rPr>
          <w:rFonts w:asciiTheme="majorBidi" w:hAnsiTheme="majorBidi" w:cstheme="majorBidi"/>
          <w:b/>
          <w:bCs/>
          <w:lang w:bidi="he-IL"/>
        </w:rPr>
        <w:t>ost-trauma</w:t>
      </w:r>
      <w:r>
        <w:rPr>
          <w:rFonts w:asciiTheme="majorBidi" w:hAnsiTheme="majorBidi" w:cstheme="majorBidi"/>
          <w:b/>
          <w:bCs/>
          <w:lang w:bidi="he-IL"/>
        </w:rPr>
        <w:t>.</w:t>
      </w:r>
      <w:r w:rsidR="00220ABA" w:rsidRPr="00B055B2">
        <w:rPr>
          <w:rFonts w:asciiTheme="majorBidi" w:hAnsiTheme="majorBidi" w:cstheme="majorBidi"/>
          <w:lang w:bidi="he-IL"/>
        </w:rPr>
        <w:t xml:space="preserve"> Therapists pointed to a connection between traumatic experiences on the job and violent outbursts at home. As one therapist explained</w:t>
      </w:r>
      <w:r>
        <w:rPr>
          <w:rFonts w:asciiTheme="majorBidi" w:hAnsiTheme="majorBidi" w:cstheme="majorBidi"/>
          <w:lang w:bidi="he-IL"/>
        </w:rPr>
        <w:t xml:space="preserve">, </w:t>
      </w:r>
      <w:r w:rsidR="00220ABA" w:rsidRPr="00B055B2">
        <w:rPr>
          <w:rFonts w:asciiTheme="majorBidi" w:hAnsiTheme="majorBidi" w:cstheme="majorBidi"/>
          <w:lang w:bidi="he-IL"/>
        </w:rPr>
        <w:t>“</w:t>
      </w:r>
      <w:bookmarkStart w:id="13" w:name="_Hlk216620121"/>
      <w:r w:rsidR="00220ABA" w:rsidRPr="00B055B2">
        <w:rPr>
          <w:rFonts w:asciiTheme="majorBidi" w:hAnsiTheme="majorBidi" w:cstheme="majorBidi"/>
          <w:lang w:bidi="he-IL"/>
        </w:rPr>
        <w:t>None of them were physically violent, but they all reported shouting</w:t>
      </w:r>
      <w:r>
        <w:rPr>
          <w:rFonts w:asciiTheme="majorBidi" w:hAnsiTheme="majorBidi" w:cstheme="majorBidi"/>
          <w:lang w:bidi="he-IL"/>
        </w:rPr>
        <w:t>. T</w:t>
      </w:r>
      <w:r w:rsidR="00220ABA" w:rsidRPr="00B055B2">
        <w:rPr>
          <w:rFonts w:asciiTheme="majorBidi" w:hAnsiTheme="majorBidi" w:cstheme="majorBidi"/>
          <w:lang w:bidi="he-IL"/>
        </w:rPr>
        <w:t>hat’s what bothered them most, that they couldn’t control themselves</w:t>
      </w:r>
      <w:bookmarkEnd w:id="13"/>
      <w:r>
        <w:rPr>
          <w:rFonts w:asciiTheme="majorBidi" w:hAnsiTheme="majorBidi" w:cstheme="majorBidi"/>
          <w:lang w:bidi="he-IL"/>
        </w:rPr>
        <w:t>.</w:t>
      </w:r>
      <w:r w:rsidR="00220ABA" w:rsidRPr="00B055B2">
        <w:rPr>
          <w:rFonts w:asciiTheme="majorBidi" w:hAnsiTheme="majorBidi" w:cstheme="majorBidi"/>
          <w:lang w:bidi="he-IL"/>
        </w:rPr>
        <w:t>”</w:t>
      </w:r>
    </w:p>
    <w:p w14:paraId="1F3AF499" w14:textId="0A20FD85" w:rsidR="00220ABA" w:rsidRPr="003C66E8" w:rsidRDefault="00220ABA" w:rsidP="00220ABA">
      <w:pPr>
        <w:pStyle w:val="ListParagraph"/>
        <w:numPr>
          <w:ilvl w:val="0"/>
          <w:numId w:val="3"/>
        </w:numPr>
        <w:tabs>
          <w:tab w:val="left" w:pos="923"/>
        </w:tabs>
        <w:spacing w:line="360" w:lineRule="auto"/>
        <w:rPr>
          <w:rFonts w:asciiTheme="majorBidi" w:hAnsiTheme="majorBidi" w:cstheme="majorBidi"/>
          <w:lang w:bidi="he-IL"/>
        </w:rPr>
      </w:pPr>
      <w:r w:rsidRPr="003C66E8">
        <w:rPr>
          <w:rFonts w:asciiTheme="majorBidi" w:hAnsiTheme="majorBidi" w:cstheme="majorBidi"/>
          <w:b/>
          <w:bCs/>
          <w:lang w:bidi="he-IL"/>
        </w:rPr>
        <w:t>Barriers to seeking help</w:t>
      </w:r>
      <w:r w:rsidR="00F76B29" w:rsidRPr="003C66E8">
        <w:rPr>
          <w:rFonts w:asciiTheme="majorBidi" w:hAnsiTheme="majorBidi" w:cstheme="majorBidi"/>
          <w:b/>
          <w:bCs/>
          <w:lang w:bidi="he-IL"/>
        </w:rPr>
        <w:t>.</w:t>
      </w:r>
      <w:r w:rsidRPr="003C66E8">
        <w:rPr>
          <w:rFonts w:asciiTheme="majorBidi" w:hAnsiTheme="majorBidi" w:cstheme="majorBidi"/>
          <w:lang w:bidi="he-IL"/>
        </w:rPr>
        <w:t xml:space="preserve"> The organizational culture within the police and fear of stigma present significant obstacles to seeking help. </w:t>
      </w:r>
      <w:r w:rsidR="00E828A1" w:rsidRPr="003C66E8">
        <w:rPr>
          <w:rFonts w:asciiTheme="majorBidi" w:hAnsiTheme="majorBidi" w:cstheme="majorBidi"/>
          <w:lang w:bidi="he-IL"/>
        </w:rPr>
        <w:t xml:space="preserve">As one therapist put it, </w:t>
      </w:r>
      <w:r w:rsidRPr="003C66E8">
        <w:rPr>
          <w:rFonts w:asciiTheme="majorBidi" w:hAnsiTheme="majorBidi" w:cstheme="majorBidi"/>
          <w:lang w:bidi="he-IL"/>
        </w:rPr>
        <w:t>“They feel insecure when dealing with official institutions</w:t>
      </w:r>
      <w:r w:rsidR="00E828A1" w:rsidRPr="003C66E8">
        <w:rPr>
          <w:rFonts w:asciiTheme="majorBidi" w:hAnsiTheme="majorBidi" w:cstheme="majorBidi"/>
          <w:lang w:bidi="he-IL"/>
        </w:rPr>
        <w:t>.</w:t>
      </w:r>
      <w:r w:rsidRPr="003C66E8">
        <w:rPr>
          <w:rFonts w:asciiTheme="majorBidi" w:hAnsiTheme="majorBidi" w:cstheme="majorBidi"/>
          <w:lang w:bidi="he-IL"/>
        </w:rPr>
        <w:t xml:space="preserve">” </w:t>
      </w:r>
    </w:p>
    <w:p w14:paraId="1800E8D9" w14:textId="4162DA27" w:rsidR="00220ABA" w:rsidRPr="00B055B2" w:rsidRDefault="006609CC" w:rsidP="00220ABA">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ab/>
      </w:r>
      <w:r w:rsidR="00220ABA" w:rsidRPr="00B055B2">
        <w:rPr>
          <w:rFonts w:asciiTheme="majorBidi" w:hAnsiTheme="majorBidi" w:cstheme="majorBidi"/>
          <w:lang w:bidi="he-IL"/>
        </w:rPr>
        <w:t>More broadly, since the acts in question constitute criminal offenses, many officers are deeply reluctant to seek psychological help, fearing that disclosure of the violence may jeopardize their employment or chances of promotion.</w:t>
      </w:r>
    </w:p>
    <w:p w14:paraId="2FDB6680" w14:textId="77777777" w:rsidR="006609CC" w:rsidRPr="00B055B2" w:rsidRDefault="006609CC" w:rsidP="00220ABA">
      <w:pPr>
        <w:tabs>
          <w:tab w:val="left" w:pos="923"/>
        </w:tabs>
        <w:spacing w:line="360" w:lineRule="auto"/>
        <w:rPr>
          <w:rFonts w:asciiTheme="majorBidi" w:hAnsiTheme="majorBidi" w:cstheme="majorBidi"/>
          <w:lang w:bidi="he-IL"/>
        </w:rPr>
      </w:pPr>
    </w:p>
    <w:p w14:paraId="1E7B05E0" w14:textId="77777777" w:rsidR="006609CC" w:rsidRPr="00B055B2" w:rsidRDefault="006609CC" w:rsidP="006609CC">
      <w:pPr>
        <w:tabs>
          <w:tab w:val="left" w:pos="923"/>
        </w:tabs>
        <w:spacing w:line="360" w:lineRule="auto"/>
        <w:rPr>
          <w:rFonts w:asciiTheme="majorBidi" w:hAnsiTheme="majorBidi" w:cstheme="majorBidi"/>
          <w:b/>
          <w:bCs/>
          <w:lang w:bidi="he-IL"/>
        </w:rPr>
      </w:pPr>
      <w:r w:rsidRPr="00B055B2">
        <w:rPr>
          <w:rFonts w:asciiTheme="majorBidi" w:hAnsiTheme="majorBidi" w:cstheme="majorBidi"/>
          <w:b/>
          <w:bCs/>
          <w:lang w:bidi="he-IL"/>
        </w:rPr>
        <w:t>Discussion and Conclusion</w:t>
      </w:r>
    </w:p>
    <w:p w14:paraId="57C62210" w14:textId="77777777" w:rsidR="006609CC" w:rsidRPr="00B055B2" w:rsidRDefault="006609CC" w:rsidP="006609CC">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This study presents, for the first time in Israel, a comprehensive overview of domestic violence within police families. The findings point to several troubling trends:</w:t>
      </w:r>
    </w:p>
    <w:p w14:paraId="42193453" w14:textId="279C2091" w:rsidR="006609CC" w:rsidRPr="00B055B2" w:rsidRDefault="006609CC" w:rsidP="006609CC">
      <w:pPr>
        <w:pStyle w:val="ListParagraph"/>
        <w:numPr>
          <w:ilvl w:val="0"/>
          <w:numId w:val="4"/>
        </w:numPr>
        <w:tabs>
          <w:tab w:val="left" w:pos="923"/>
        </w:tabs>
        <w:spacing w:line="360" w:lineRule="auto"/>
        <w:rPr>
          <w:rFonts w:asciiTheme="majorBidi" w:hAnsiTheme="majorBidi" w:cstheme="majorBidi"/>
          <w:lang w:bidi="he-IL"/>
        </w:rPr>
      </w:pPr>
      <w:r w:rsidRPr="00B102D8">
        <w:rPr>
          <w:rFonts w:asciiTheme="majorBidi" w:hAnsiTheme="majorBidi" w:cstheme="majorBidi"/>
          <w:b/>
          <w:bCs/>
          <w:lang w:bidi="he-IL"/>
        </w:rPr>
        <w:t>The unique Israeli context</w:t>
      </w:r>
      <w:r w:rsidR="00B102D8">
        <w:rPr>
          <w:rFonts w:asciiTheme="majorBidi" w:hAnsiTheme="majorBidi" w:cstheme="majorBidi"/>
          <w:b/>
          <w:bCs/>
          <w:lang w:bidi="he-IL"/>
        </w:rPr>
        <w:t xml:space="preserve">. </w:t>
      </w:r>
      <w:r w:rsidRPr="00B055B2">
        <w:rPr>
          <w:rFonts w:asciiTheme="majorBidi" w:hAnsiTheme="majorBidi" w:cstheme="majorBidi"/>
          <w:lang w:bidi="he-IL"/>
        </w:rPr>
        <w:t>A combination of factors specific to Israel</w:t>
      </w:r>
      <w:r w:rsidR="00B102D8">
        <w:rPr>
          <w:rFonts w:asciiTheme="majorBidi" w:hAnsiTheme="majorBidi" w:cstheme="majorBidi"/>
          <w:lang w:bidi="he-IL"/>
        </w:rPr>
        <w:t xml:space="preserve">, including </w:t>
      </w:r>
      <w:r w:rsidRPr="00B055B2">
        <w:rPr>
          <w:rFonts w:asciiTheme="majorBidi" w:hAnsiTheme="majorBidi" w:cstheme="majorBidi"/>
          <w:lang w:bidi="he-IL"/>
        </w:rPr>
        <w:t>militarism, poor employment conditions, and the cumulative trauma from military and police service</w:t>
      </w:r>
      <w:r w:rsidR="00B102D8">
        <w:rPr>
          <w:rFonts w:asciiTheme="majorBidi" w:hAnsiTheme="majorBidi" w:cstheme="majorBidi"/>
          <w:lang w:bidi="he-IL"/>
        </w:rPr>
        <w:t xml:space="preserve">, </w:t>
      </w:r>
      <w:r w:rsidRPr="00B055B2">
        <w:rPr>
          <w:rFonts w:asciiTheme="majorBidi" w:hAnsiTheme="majorBidi" w:cstheme="majorBidi"/>
          <w:lang w:bidi="he-IL"/>
        </w:rPr>
        <w:t>contributes to an elevated risk of domestic violence in police households.</w:t>
      </w:r>
    </w:p>
    <w:p w14:paraId="002FC8EB" w14:textId="7675788A" w:rsidR="006609CC" w:rsidRPr="00B055B2" w:rsidRDefault="006609CC" w:rsidP="006609CC">
      <w:pPr>
        <w:pStyle w:val="ListParagraph"/>
        <w:numPr>
          <w:ilvl w:val="0"/>
          <w:numId w:val="4"/>
        </w:numPr>
        <w:tabs>
          <w:tab w:val="left" w:pos="923"/>
        </w:tabs>
        <w:spacing w:line="360" w:lineRule="auto"/>
        <w:rPr>
          <w:rFonts w:asciiTheme="majorBidi" w:hAnsiTheme="majorBidi" w:cstheme="majorBidi"/>
          <w:lang w:bidi="he-IL"/>
        </w:rPr>
      </w:pPr>
      <w:r w:rsidRPr="00B102D8">
        <w:rPr>
          <w:rFonts w:asciiTheme="majorBidi" w:hAnsiTheme="majorBidi" w:cstheme="majorBidi"/>
          <w:b/>
          <w:bCs/>
          <w:lang w:bidi="he-IL"/>
        </w:rPr>
        <w:t>Patterns of violence</w:t>
      </w:r>
      <w:r w:rsidR="00B102D8">
        <w:rPr>
          <w:rFonts w:asciiTheme="majorBidi" w:hAnsiTheme="majorBidi" w:cstheme="majorBidi"/>
          <w:b/>
          <w:bCs/>
          <w:lang w:bidi="he-IL"/>
        </w:rPr>
        <w:t>.</w:t>
      </w:r>
      <w:r w:rsidRPr="00B055B2">
        <w:rPr>
          <w:rFonts w:asciiTheme="majorBidi" w:hAnsiTheme="majorBidi" w:cstheme="majorBidi"/>
          <w:lang w:bidi="he-IL"/>
        </w:rPr>
        <w:t xml:space="preserve"> The study identifies a wide range of violent behaviors, including threats, use of </w:t>
      </w:r>
      <w:r w:rsidR="00B102D8">
        <w:rPr>
          <w:rFonts w:asciiTheme="majorBidi" w:hAnsiTheme="majorBidi" w:cstheme="majorBidi"/>
          <w:lang w:bidi="he-IL"/>
        </w:rPr>
        <w:t>weapons</w:t>
      </w:r>
      <w:r w:rsidRPr="00B055B2">
        <w:rPr>
          <w:rFonts w:asciiTheme="majorBidi" w:hAnsiTheme="majorBidi" w:cstheme="majorBidi"/>
          <w:lang w:bidi="he-IL"/>
        </w:rPr>
        <w:t>, and in the most extreme cases, murder. Particularly concerning is the use of police training and equipment as part of the abusive conduct.</w:t>
      </w:r>
    </w:p>
    <w:p w14:paraId="3A21BBAA" w14:textId="1FAAFD6A" w:rsidR="006609CC" w:rsidRPr="00B055B2" w:rsidRDefault="006609CC" w:rsidP="006609CC">
      <w:pPr>
        <w:pStyle w:val="ListParagraph"/>
        <w:numPr>
          <w:ilvl w:val="0"/>
          <w:numId w:val="4"/>
        </w:numPr>
        <w:tabs>
          <w:tab w:val="left" w:pos="923"/>
        </w:tabs>
        <w:spacing w:line="360" w:lineRule="auto"/>
        <w:rPr>
          <w:rFonts w:asciiTheme="majorBidi" w:hAnsiTheme="majorBidi" w:cstheme="majorBidi"/>
          <w:lang w:bidi="he-IL"/>
        </w:rPr>
      </w:pPr>
      <w:r w:rsidRPr="00B102D8">
        <w:rPr>
          <w:rFonts w:asciiTheme="majorBidi" w:hAnsiTheme="majorBidi" w:cstheme="majorBidi"/>
          <w:b/>
          <w:bCs/>
          <w:lang w:bidi="he-IL"/>
        </w:rPr>
        <w:t>Institutional barriers</w:t>
      </w:r>
      <w:r w:rsidR="00B102D8">
        <w:rPr>
          <w:rFonts w:asciiTheme="majorBidi" w:hAnsiTheme="majorBidi" w:cstheme="majorBidi"/>
          <w:b/>
          <w:bCs/>
          <w:lang w:bidi="he-IL"/>
        </w:rPr>
        <w:t>.</w:t>
      </w:r>
      <w:r w:rsidRPr="00B055B2">
        <w:rPr>
          <w:rFonts w:asciiTheme="majorBidi" w:hAnsiTheme="majorBidi" w:cstheme="majorBidi"/>
          <w:lang w:bidi="he-IL"/>
        </w:rPr>
        <w:t xml:space="preserve"> A significant gap exists between official policy regarding domestic violence and its practical application. Despite increasing awareness of the issue, particularly in recent years, there are still no specialized mechanisms for responding to domestic violence within police families.</w:t>
      </w:r>
    </w:p>
    <w:p w14:paraId="5F19124B" w14:textId="015C7811" w:rsidR="006609CC" w:rsidRPr="00B055B2" w:rsidRDefault="00B102D8" w:rsidP="006609CC">
      <w:pPr>
        <w:pStyle w:val="ListParagraph"/>
        <w:numPr>
          <w:ilvl w:val="0"/>
          <w:numId w:val="4"/>
        </w:numPr>
        <w:tabs>
          <w:tab w:val="left" w:pos="923"/>
        </w:tabs>
        <w:spacing w:line="360" w:lineRule="auto"/>
        <w:rPr>
          <w:rFonts w:asciiTheme="majorBidi" w:hAnsiTheme="majorBidi" w:cstheme="majorBidi"/>
          <w:lang w:bidi="he-IL"/>
        </w:rPr>
      </w:pPr>
      <w:r>
        <w:rPr>
          <w:rFonts w:asciiTheme="majorBidi" w:hAnsiTheme="majorBidi" w:cstheme="majorBidi"/>
          <w:b/>
          <w:bCs/>
          <w:lang w:bidi="he-IL"/>
        </w:rPr>
        <w:t>Complexity</w:t>
      </w:r>
      <w:r w:rsidR="006609CC" w:rsidRPr="00B102D8">
        <w:rPr>
          <w:rFonts w:asciiTheme="majorBidi" w:hAnsiTheme="majorBidi" w:cstheme="majorBidi"/>
          <w:b/>
          <w:bCs/>
          <w:lang w:bidi="he-IL"/>
        </w:rPr>
        <w:t xml:space="preserve"> of intervention</w:t>
      </w:r>
      <w:r>
        <w:rPr>
          <w:rFonts w:asciiTheme="majorBidi" w:hAnsiTheme="majorBidi" w:cstheme="majorBidi"/>
          <w:lang w:bidi="he-IL"/>
        </w:rPr>
        <w:t>.</w:t>
      </w:r>
      <w:r w:rsidR="006609CC" w:rsidRPr="00B055B2">
        <w:rPr>
          <w:rFonts w:asciiTheme="majorBidi" w:hAnsiTheme="majorBidi" w:cstheme="majorBidi"/>
          <w:lang w:bidi="he-IL"/>
        </w:rPr>
        <w:t xml:space="preserve"> Police officers often face difficulties in seeking psychological support due to an organizational culture that emphasizes power and resilience, as well as concerns about the professional repercussions of revealing psychological distress.</w:t>
      </w:r>
    </w:p>
    <w:p w14:paraId="1FA949F5" w14:textId="30BC114A" w:rsidR="00E76D5F" w:rsidRPr="00B055B2" w:rsidRDefault="00E76D5F" w:rsidP="00E76D5F">
      <w:pPr>
        <w:tabs>
          <w:tab w:val="left" w:pos="923"/>
        </w:tabs>
        <w:spacing w:line="360" w:lineRule="auto"/>
        <w:ind w:left="360"/>
        <w:rPr>
          <w:rFonts w:asciiTheme="majorBidi" w:hAnsiTheme="majorBidi" w:cstheme="majorBidi"/>
          <w:lang w:bidi="he-IL"/>
        </w:rPr>
      </w:pPr>
      <w:r w:rsidRPr="00B055B2">
        <w:rPr>
          <w:rFonts w:asciiTheme="majorBidi" w:hAnsiTheme="majorBidi" w:cstheme="majorBidi"/>
          <w:lang w:bidi="he-IL"/>
        </w:rPr>
        <w:t>Based on the study’s findings, we propose the following recommendations:</w:t>
      </w:r>
    </w:p>
    <w:p w14:paraId="4FA37B92" w14:textId="594FEB35" w:rsidR="00E76D5F" w:rsidRPr="00B055B2" w:rsidRDefault="00B102D8" w:rsidP="00E76D5F">
      <w:pPr>
        <w:pStyle w:val="ListParagraph"/>
        <w:numPr>
          <w:ilvl w:val="0"/>
          <w:numId w:val="6"/>
        </w:numPr>
        <w:tabs>
          <w:tab w:val="left" w:pos="923"/>
        </w:tabs>
        <w:spacing w:line="360" w:lineRule="auto"/>
        <w:rPr>
          <w:rFonts w:asciiTheme="majorBidi" w:hAnsiTheme="majorBidi" w:cstheme="majorBidi"/>
          <w:lang w:bidi="he-IL"/>
        </w:rPr>
      </w:pPr>
      <w:r w:rsidRPr="00B102D8">
        <w:rPr>
          <w:rFonts w:asciiTheme="majorBidi" w:hAnsiTheme="majorBidi" w:cstheme="majorBidi"/>
          <w:b/>
          <w:bCs/>
          <w:lang w:bidi="he-IL"/>
        </w:rPr>
        <w:lastRenderedPageBreak/>
        <w:t>Developing</w:t>
      </w:r>
      <w:r w:rsidR="00E76D5F" w:rsidRPr="00B102D8">
        <w:rPr>
          <w:rFonts w:asciiTheme="majorBidi" w:hAnsiTheme="majorBidi" w:cstheme="majorBidi"/>
          <w:b/>
          <w:bCs/>
          <w:lang w:bidi="he-IL"/>
        </w:rPr>
        <w:t xml:space="preserve"> an annual evaluation system</w:t>
      </w:r>
      <w:r w:rsidR="00B24440">
        <w:rPr>
          <w:rFonts w:asciiTheme="majorBidi" w:hAnsiTheme="majorBidi" w:cstheme="majorBidi"/>
          <w:b/>
          <w:bCs/>
          <w:lang w:bidi="he-IL"/>
        </w:rPr>
        <w:t xml:space="preserve"> -</w:t>
      </w:r>
      <w:r w:rsidR="00E76D5F" w:rsidRPr="00B055B2">
        <w:rPr>
          <w:rFonts w:asciiTheme="majorBidi" w:hAnsiTheme="majorBidi" w:cstheme="majorBidi"/>
          <w:lang w:bidi="he-IL"/>
        </w:rPr>
        <w:t xml:space="preserve"> Introducing an annual assessment for police officers that, in addition to evaluating professional performance, will also address their psychological and family situation</w:t>
      </w:r>
      <w:r>
        <w:rPr>
          <w:rFonts w:asciiTheme="majorBidi" w:hAnsiTheme="majorBidi" w:cstheme="majorBidi"/>
          <w:lang w:bidi="he-IL"/>
        </w:rPr>
        <w:t>,</w:t>
      </w:r>
      <w:r w:rsidR="00E76D5F" w:rsidRPr="00B055B2">
        <w:rPr>
          <w:rFonts w:asciiTheme="majorBidi" w:hAnsiTheme="majorBidi" w:cstheme="majorBidi"/>
          <w:lang w:bidi="he-IL"/>
        </w:rPr>
        <w:t xml:space="preserve"> and identify potential risk factors.</w:t>
      </w:r>
    </w:p>
    <w:p w14:paraId="3924CAC1" w14:textId="4C9FDAF3" w:rsidR="00E76D5F" w:rsidRPr="00B055B2" w:rsidRDefault="00E76D5F" w:rsidP="00E76D5F">
      <w:pPr>
        <w:pStyle w:val="ListParagraph"/>
        <w:numPr>
          <w:ilvl w:val="0"/>
          <w:numId w:val="6"/>
        </w:numPr>
        <w:tabs>
          <w:tab w:val="left" w:pos="923"/>
        </w:tabs>
        <w:spacing w:line="360" w:lineRule="auto"/>
        <w:rPr>
          <w:rFonts w:asciiTheme="majorBidi" w:hAnsiTheme="majorBidi" w:cstheme="majorBidi"/>
          <w:lang w:bidi="he-IL"/>
        </w:rPr>
      </w:pPr>
      <w:r w:rsidRPr="00B102D8">
        <w:rPr>
          <w:rFonts w:asciiTheme="majorBidi" w:hAnsiTheme="majorBidi" w:cstheme="majorBidi"/>
          <w:b/>
          <w:bCs/>
          <w:lang w:bidi="he-IL"/>
        </w:rPr>
        <w:t>Raising awareness</w:t>
      </w:r>
      <w:r w:rsidR="00B24440">
        <w:rPr>
          <w:rFonts w:asciiTheme="majorBidi" w:hAnsiTheme="majorBidi" w:cstheme="majorBidi"/>
          <w:b/>
          <w:bCs/>
          <w:lang w:bidi="he-IL"/>
        </w:rPr>
        <w:t xml:space="preserve"> -</w:t>
      </w:r>
      <w:r w:rsidRPr="00B055B2">
        <w:rPr>
          <w:rFonts w:asciiTheme="majorBidi" w:hAnsiTheme="majorBidi" w:cstheme="majorBidi"/>
          <w:lang w:bidi="he-IL"/>
        </w:rPr>
        <w:t xml:space="preserve"> Providing relevant information to officers and their commanding officers about early warning signs of domestic violence and available avenues for intervention.</w:t>
      </w:r>
    </w:p>
    <w:p w14:paraId="697B2EFE" w14:textId="70A55D29" w:rsidR="00E76D5F" w:rsidRPr="00B055B2" w:rsidRDefault="00E76D5F" w:rsidP="00436A0A">
      <w:pPr>
        <w:pStyle w:val="ListParagraph"/>
        <w:numPr>
          <w:ilvl w:val="0"/>
          <w:numId w:val="6"/>
        </w:numPr>
        <w:tabs>
          <w:tab w:val="left" w:pos="923"/>
        </w:tabs>
        <w:spacing w:line="360" w:lineRule="auto"/>
        <w:rPr>
          <w:rFonts w:asciiTheme="majorBidi" w:hAnsiTheme="majorBidi" w:cstheme="majorBidi"/>
          <w:lang w:bidi="he-IL"/>
        </w:rPr>
      </w:pPr>
      <w:r w:rsidRPr="00B102D8">
        <w:rPr>
          <w:rFonts w:asciiTheme="majorBidi" w:hAnsiTheme="majorBidi" w:cstheme="majorBidi"/>
          <w:b/>
          <w:bCs/>
          <w:lang w:bidi="he-IL"/>
        </w:rPr>
        <w:t>“Seeing the officer as a subject”</w:t>
      </w:r>
      <w:r w:rsidR="00B24440">
        <w:rPr>
          <w:rFonts w:asciiTheme="majorBidi" w:hAnsiTheme="majorBidi" w:cstheme="majorBidi"/>
          <w:b/>
          <w:bCs/>
          <w:lang w:bidi="he-IL"/>
        </w:rPr>
        <w:t xml:space="preserve"> -</w:t>
      </w:r>
      <w:r w:rsidRPr="00B055B2">
        <w:rPr>
          <w:rFonts w:asciiTheme="majorBidi" w:hAnsiTheme="majorBidi" w:cstheme="majorBidi"/>
          <w:lang w:bidi="he-IL"/>
        </w:rPr>
        <w:t xml:space="preserve"> </w:t>
      </w:r>
      <w:r w:rsidR="00B24440" w:rsidRPr="00B24440">
        <w:rPr>
          <w:rFonts w:asciiTheme="majorBidi" w:hAnsiTheme="majorBidi" w:cstheme="majorBidi"/>
          <w:lang w:bidi="he-IL"/>
        </w:rPr>
        <w:t>Developing a therapeutic approach that treats police officers as whole individuals, rather than solely as professionals, and expanding the psychological support framework available to officers and their family members.</w:t>
      </w:r>
    </w:p>
    <w:p w14:paraId="222F90BB" w14:textId="20D17ECA" w:rsidR="00E76D5F" w:rsidRPr="00B055B2" w:rsidRDefault="00E76D5F" w:rsidP="00436A0A">
      <w:pPr>
        <w:pStyle w:val="ListParagraph"/>
        <w:numPr>
          <w:ilvl w:val="0"/>
          <w:numId w:val="6"/>
        </w:numPr>
        <w:tabs>
          <w:tab w:val="left" w:pos="923"/>
        </w:tabs>
        <w:spacing w:line="360" w:lineRule="auto"/>
        <w:rPr>
          <w:rFonts w:asciiTheme="majorBidi" w:hAnsiTheme="majorBidi" w:cstheme="majorBidi"/>
          <w:lang w:bidi="he-IL"/>
        </w:rPr>
      </w:pPr>
      <w:r w:rsidRPr="00B24440">
        <w:rPr>
          <w:rFonts w:asciiTheme="majorBidi" w:hAnsiTheme="majorBidi" w:cstheme="majorBidi"/>
          <w:b/>
          <w:bCs/>
          <w:lang w:bidi="he-IL"/>
        </w:rPr>
        <w:t>Creatin</w:t>
      </w:r>
      <w:r w:rsidR="00436A0A" w:rsidRPr="00B24440">
        <w:rPr>
          <w:rFonts w:asciiTheme="majorBidi" w:hAnsiTheme="majorBidi" w:cstheme="majorBidi"/>
          <w:b/>
          <w:bCs/>
          <w:lang w:bidi="he-IL"/>
        </w:rPr>
        <w:t>g</w:t>
      </w:r>
      <w:r w:rsidRPr="00B24440">
        <w:rPr>
          <w:rFonts w:asciiTheme="majorBidi" w:hAnsiTheme="majorBidi" w:cstheme="majorBidi"/>
          <w:b/>
          <w:bCs/>
          <w:lang w:bidi="he-IL"/>
        </w:rPr>
        <w:t xml:space="preserve"> sports frameworks</w:t>
      </w:r>
      <w:r w:rsidRPr="00B055B2">
        <w:rPr>
          <w:rFonts w:asciiTheme="majorBidi" w:hAnsiTheme="majorBidi" w:cstheme="majorBidi"/>
          <w:lang w:bidi="he-IL"/>
        </w:rPr>
        <w:t xml:space="preserve"> </w:t>
      </w:r>
      <w:r w:rsidR="00B24440">
        <w:rPr>
          <w:rFonts w:asciiTheme="majorBidi" w:hAnsiTheme="majorBidi" w:cstheme="majorBidi"/>
          <w:lang w:bidi="he-IL"/>
        </w:rPr>
        <w:t>-</w:t>
      </w:r>
      <w:r w:rsidRPr="00B055B2">
        <w:rPr>
          <w:rFonts w:asciiTheme="majorBidi" w:hAnsiTheme="majorBidi" w:cstheme="majorBidi"/>
          <w:lang w:bidi="he-IL"/>
        </w:rPr>
        <w:t xml:space="preserve"> Establish</w:t>
      </w:r>
      <w:r w:rsidR="00436A0A" w:rsidRPr="00B055B2">
        <w:rPr>
          <w:rFonts w:asciiTheme="majorBidi" w:hAnsiTheme="majorBidi" w:cstheme="majorBidi"/>
          <w:lang w:bidi="he-IL"/>
        </w:rPr>
        <w:t>ing</w:t>
      </w:r>
      <w:r w:rsidRPr="00B055B2">
        <w:rPr>
          <w:rFonts w:asciiTheme="majorBidi" w:hAnsiTheme="majorBidi" w:cstheme="majorBidi"/>
          <w:lang w:bidi="he-IL"/>
        </w:rPr>
        <w:t xml:space="preserve"> sports centers to offer officers healthy and socially acceptable outlets for releasing stress and tension.</w:t>
      </w:r>
    </w:p>
    <w:p w14:paraId="6DC5BC1C" w14:textId="5E3A47E9" w:rsidR="00E76D5F" w:rsidRPr="00B055B2" w:rsidRDefault="00E76D5F" w:rsidP="00436A0A">
      <w:pPr>
        <w:pStyle w:val="ListParagraph"/>
        <w:numPr>
          <w:ilvl w:val="0"/>
          <w:numId w:val="6"/>
        </w:numPr>
        <w:tabs>
          <w:tab w:val="left" w:pos="923"/>
        </w:tabs>
        <w:spacing w:line="360" w:lineRule="auto"/>
        <w:rPr>
          <w:rFonts w:asciiTheme="majorBidi" w:hAnsiTheme="majorBidi" w:cstheme="majorBidi"/>
          <w:lang w:bidi="he-IL"/>
        </w:rPr>
      </w:pPr>
      <w:r w:rsidRPr="00B24440">
        <w:rPr>
          <w:rFonts w:asciiTheme="majorBidi" w:hAnsiTheme="majorBidi" w:cstheme="majorBidi"/>
          <w:b/>
          <w:bCs/>
          <w:lang w:bidi="he-IL"/>
        </w:rPr>
        <w:t>Collaborat</w:t>
      </w:r>
      <w:r w:rsidR="00436A0A" w:rsidRPr="00B24440">
        <w:rPr>
          <w:rFonts w:asciiTheme="majorBidi" w:hAnsiTheme="majorBidi" w:cstheme="majorBidi"/>
          <w:b/>
          <w:bCs/>
          <w:lang w:bidi="he-IL"/>
        </w:rPr>
        <w:t>i</w:t>
      </w:r>
      <w:r w:rsidRPr="00B24440">
        <w:rPr>
          <w:rFonts w:asciiTheme="majorBidi" w:hAnsiTheme="majorBidi" w:cstheme="majorBidi"/>
          <w:b/>
          <w:bCs/>
          <w:lang w:bidi="he-IL"/>
        </w:rPr>
        <w:t>n</w:t>
      </w:r>
      <w:r w:rsidR="00436A0A" w:rsidRPr="00B24440">
        <w:rPr>
          <w:rFonts w:asciiTheme="majorBidi" w:hAnsiTheme="majorBidi" w:cstheme="majorBidi"/>
          <w:b/>
          <w:bCs/>
          <w:lang w:bidi="he-IL"/>
        </w:rPr>
        <w:t>g</w:t>
      </w:r>
      <w:r w:rsidRPr="00B24440">
        <w:rPr>
          <w:rFonts w:asciiTheme="majorBidi" w:hAnsiTheme="majorBidi" w:cstheme="majorBidi"/>
          <w:b/>
          <w:bCs/>
          <w:lang w:bidi="he-IL"/>
        </w:rPr>
        <w:t xml:space="preserve"> with </w:t>
      </w:r>
      <w:r w:rsidR="00436A0A" w:rsidRPr="00B24440">
        <w:rPr>
          <w:rFonts w:asciiTheme="majorBidi" w:hAnsiTheme="majorBidi" w:cstheme="majorBidi"/>
          <w:b/>
          <w:bCs/>
          <w:lang w:bidi="he-IL"/>
        </w:rPr>
        <w:t>HMOs</w:t>
      </w:r>
      <w:r w:rsidRPr="00B055B2">
        <w:rPr>
          <w:rFonts w:asciiTheme="majorBidi" w:hAnsiTheme="majorBidi" w:cstheme="majorBidi"/>
          <w:lang w:bidi="he-IL"/>
        </w:rPr>
        <w:t xml:space="preserve"> – Creat</w:t>
      </w:r>
      <w:r w:rsidR="00436A0A" w:rsidRPr="00B055B2">
        <w:rPr>
          <w:rFonts w:asciiTheme="majorBidi" w:hAnsiTheme="majorBidi" w:cstheme="majorBidi"/>
          <w:lang w:bidi="he-IL"/>
        </w:rPr>
        <w:t>ing</w:t>
      </w:r>
      <w:r w:rsidRPr="00B055B2">
        <w:rPr>
          <w:rFonts w:asciiTheme="majorBidi" w:hAnsiTheme="majorBidi" w:cstheme="majorBidi"/>
          <w:lang w:bidi="he-IL"/>
        </w:rPr>
        <w:t xml:space="preserve"> discreet treatment pathways through the national health</w:t>
      </w:r>
      <w:r w:rsidR="000701BA">
        <w:rPr>
          <w:rFonts w:asciiTheme="majorBidi" w:hAnsiTheme="majorBidi" w:cstheme="majorBidi"/>
          <w:lang w:bidi="he-IL"/>
        </w:rPr>
        <w:t>care</w:t>
      </w:r>
      <w:r w:rsidRPr="00B055B2">
        <w:rPr>
          <w:rFonts w:asciiTheme="majorBidi" w:hAnsiTheme="majorBidi" w:cstheme="majorBidi"/>
          <w:lang w:bidi="he-IL"/>
        </w:rPr>
        <w:t xml:space="preserve"> system, which is perceived as less threatening than the police’s internal mental health department.</w:t>
      </w:r>
    </w:p>
    <w:p w14:paraId="49041CA0" w14:textId="556EF615" w:rsidR="00A36122" w:rsidRPr="00B055B2" w:rsidRDefault="00E76D5F" w:rsidP="00436A0A">
      <w:pPr>
        <w:pStyle w:val="ListParagraph"/>
        <w:numPr>
          <w:ilvl w:val="0"/>
          <w:numId w:val="3"/>
        </w:numPr>
        <w:tabs>
          <w:tab w:val="left" w:pos="923"/>
        </w:tabs>
        <w:spacing w:line="360" w:lineRule="auto"/>
        <w:rPr>
          <w:rFonts w:asciiTheme="majorBidi" w:hAnsiTheme="majorBidi" w:cstheme="majorBidi"/>
          <w:lang w:bidi="he-IL"/>
        </w:rPr>
      </w:pPr>
      <w:r w:rsidRPr="000701BA">
        <w:rPr>
          <w:rFonts w:asciiTheme="majorBidi" w:hAnsiTheme="majorBidi" w:cstheme="majorBidi"/>
          <w:b/>
          <w:bCs/>
          <w:lang w:bidi="he-IL"/>
        </w:rPr>
        <w:t>Mandatory treatment</w:t>
      </w:r>
      <w:r w:rsidRPr="00B055B2">
        <w:rPr>
          <w:rFonts w:asciiTheme="majorBidi" w:hAnsiTheme="majorBidi" w:cstheme="majorBidi"/>
          <w:lang w:bidi="he-IL"/>
        </w:rPr>
        <w:t xml:space="preserve"> – Introduc</w:t>
      </w:r>
      <w:r w:rsidR="00436A0A" w:rsidRPr="00B055B2">
        <w:rPr>
          <w:rFonts w:asciiTheme="majorBidi" w:hAnsiTheme="majorBidi" w:cstheme="majorBidi"/>
          <w:lang w:bidi="he-IL"/>
        </w:rPr>
        <w:t>ing</w:t>
      </w:r>
      <w:r w:rsidRPr="00B055B2">
        <w:rPr>
          <w:rFonts w:asciiTheme="majorBidi" w:hAnsiTheme="majorBidi" w:cstheme="majorBidi"/>
          <w:lang w:bidi="he-IL"/>
        </w:rPr>
        <w:t xml:space="preserve"> a treatment requirement into police officers’ employment contracts, similar to models in Sweden and elsewhere, based on the Domestic Violence Prevention Law, which includes a provision for court-ordered treatment.</w:t>
      </w:r>
    </w:p>
    <w:p w14:paraId="1297815A" w14:textId="170BFF35" w:rsidR="007F0655" w:rsidRPr="00B055B2" w:rsidRDefault="00A262F2" w:rsidP="00031E9A">
      <w:pPr>
        <w:tabs>
          <w:tab w:val="left" w:pos="923"/>
        </w:tabs>
        <w:spacing w:line="360" w:lineRule="auto"/>
        <w:rPr>
          <w:rFonts w:asciiTheme="majorBidi" w:hAnsiTheme="majorBidi" w:cstheme="majorBidi"/>
          <w:lang w:bidi="he-IL"/>
        </w:rPr>
      </w:pPr>
      <w:r>
        <w:rPr>
          <w:rFonts w:asciiTheme="majorBidi" w:hAnsiTheme="majorBidi" w:cstheme="majorBidi"/>
          <w:lang w:bidi="he-IL"/>
        </w:rPr>
        <w:tab/>
      </w:r>
      <w:r w:rsidRPr="00A262F2">
        <w:rPr>
          <w:rFonts w:asciiTheme="majorBidi" w:hAnsiTheme="majorBidi" w:cstheme="majorBidi"/>
          <w:lang w:bidi="he-IL"/>
        </w:rPr>
        <w:t>In conclusion, this exploratory study represents an initial step toward understanding the complex phenomenon of domestic violence among Israeli police officers. Despite its methodological limitations, the study reveals a troubling picture that warrants sustained systemic attention. It is our hope that this research will serve as a foundation for further studies and for the development of effective policies aimed at reducing the scope of the phenomenon and providing appropriate support to both officers in need and their family members.</w:t>
      </w:r>
    </w:p>
    <w:p w14:paraId="5A302C9E" w14:textId="77777777" w:rsidR="00BA0B40" w:rsidRPr="00B055B2" w:rsidRDefault="00BA0B40" w:rsidP="00031E9A">
      <w:pPr>
        <w:tabs>
          <w:tab w:val="left" w:pos="923"/>
        </w:tabs>
        <w:spacing w:line="360" w:lineRule="auto"/>
        <w:rPr>
          <w:rFonts w:asciiTheme="majorBidi" w:hAnsiTheme="majorBidi" w:cstheme="majorBidi"/>
          <w:lang w:bidi="he-IL"/>
        </w:rPr>
      </w:pPr>
    </w:p>
    <w:p w14:paraId="2034DE60" w14:textId="4E477631" w:rsidR="00CC1296" w:rsidRPr="00B055B2" w:rsidRDefault="00CC1296" w:rsidP="00031E9A">
      <w:pPr>
        <w:tabs>
          <w:tab w:val="left" w:pos="923"/>
        </w:tabs>
        <w:spacing w:line="360" w:lineRule="auto"/>
        <w:rPr>
          <w:rFonts w:asciiTheme="majorBidi" w:hAnsiTheme="majorBidi" w:cstheme="majorBidi"/>
          <w:b/>
          <w:bCs/>
          <w:lang w:bidi="he-IL"/>
        </w:rPr>
      </w:pPr>
      <w:r w:rsidRPr="00B055B2">
        <w:rPr>
          <w:rFonts w:asciiTheme="majorBidi" w:hAnsiTheme="majorBidi" w:cstheme="majorBidi"/>
          <w:b/>
          <w:bCs/>
          <w:lang w:bidi="he-IL"/>
        </w:rPr>
        <w:t>References</w:t>
      </w:r>
    </w:p>
    <w:p w14:paraId="3A77EB8A" w14:textId="77777777" w:rsidR="00E52149" w:rsidRPr="00B055B2" w:rsidRDefault="00E52149" w:rsidP="00861C59">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Ammons, J. L. (2005) </w:t>
      </w:r>
      <w:r>
        <w:rPr>
          <w:rFonts w:asciiTheme="majorBidi" w:hAnsiTheme="majorBidi" w:cstheme="majorBidi"/>
          <w:lang w:bidi="he-IL"/>
        </w:rPr>
        <w:t>‘</w:t>
      </w:r>
      <w:r w:rsidRPr="00B055B2">
        <w:rPr>
          <w:rFonts w:asciiTheme="majorBidi" w:hAnsiTheme="majorBidi" w:cstheme="majorBidi"/>
          <w:lang w:bidi="he-IL"/>
        </w:rPr>
        <w:t>Batterers with badges: Officer-involved domestic violence</w:t>
      </w:r>
      <w:r>
        <w:rPr>
          <w:rFonts w:asciiTheme="majorBidi" w:hAnsiTheme="majorBidi" w:cstheme="majorBidi"/>
          <w:lang w:bidi="he-IL"/>
        </w:rPr>
        <w:t>’,</w:t>
      </w:r>
      <w:r w:rsidRPr="00B055B2">
        <w:rPr>
          <w:rFonts w:asciiTheme="majorBidi" w:hAnsiTheme="majorBidi" w:cstheme="majorBidi"/>
          <w:lang w:bidi="he-IL"/>
        </w:rPr>
        <w:t xml:space="preserve"> </w:t>
      </w:r>
      <w:r w:rsidRPr="002762E5">
        <w:rPr>
          <w:rFonts w:asciiTheme="majorBidi" w:hAnsiTheme="majorBidi" w:cstheme="majorBidi"/>
          <w:i/>
          <w:iCs/>
          <w:lang w:bidi="he-IL"/>
        </w:rPr>
        <w:t>Women &amp; Criminal Justice</w:t>
      </w:r>
      <w:r w:rsidRPr="00B055B2">
        <w:rPr>
          <w:rFonts w:asciiTheme="majorBidi" w:hAnsiTheme="majorBidi" w:cstheme="majorBidi"/>
          <w:lang w:bidi="he-IL"/>
        </w:rPr>
        <w:t xml:space="preserve">, 16(4), </w:t>
      </w:r>
      <w:r>
        <w:rPr>
          <w:rFonts w:asciiTheme="majorBidi" w:hAnsiTheme="majorBidi" w:cstheme="majorBidi"/>
          <w:lang w:bidi="he-IL"/>
        </w:rPr>
        <w:t xml:space="preserve">pp. </w:t>
      </w:r>
      <w:r w:rsidRPr="00B055B2">
        <w:rPr>
          <w:rFonts w:asciiTheme="majorBidi" w:hAnsiTheme="majorBidi" w:cstheme="majorBidi"/>
          <w:lang w:bidi="he-IL"/>
        </w:rPr>
        <w:t>71–94.</w:t>
      </w:r>
    </w:p>
    <w:p w14:paraId="2593DC42"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r w:rsidRPr="00E52149">
        <w:rPr>
          <w:rFonts w:asciiTheme="majorBidi" w:hAnsiTheme="majorBidi" w:cstheme="majorBidi"/>
          <w:highlight w:val="yellow"/>
          <w:lang w:bidi="he-IL"/>
        </w:rPr>
        <w:lastRenderedPageBreak/>
        <w:t xml:space="preserve">Ariel, B., Levy-Ariel, Y. and </w:t>
      </w:r>
      <w:proofErr w:type="spellStart"/>
      <w:r w:rsidRPr="00E52149">
        <w:rPr>
          <w:rFonts w:asciiTheme="majorBidi" w:hAnsiTheme="majorBidi" w:cstheme="majorBidi"/>
          <w:highlight w:val="yellow"/>
          <w:lang w:bidi="he-IL"/>
        </w:rPr>
        <w:t>Amram</w:t>
      </w:r>
      <w:proofErr w:type="spellEnd"/>
      <w:r w:rsidRPr="00E52149">
        <w:rPr>
          <w:rFonts w:asciiTheme="majorBidi" w:hAnsiTheme="majorBidi" w:cstheme="majorBidi"/>
          <w:highlight w:val="yellow"/>
          <w:lang w:bidi="he-IL"/>
        </w:rPr>
        <w:t xml:space="preserve">, S. (2021) ‘What do police data tell us about domestic violence during the COVID-19 pandemic? A look at a pandemic, crime, and measurement’, </w:t>
      </w:r>
      <w:r w:rsidRPr="00E52149">
        <w:rPr>
          <w:rFonts w:asciiTheme="majorBidi" w:hAnsiTheme="majorBidi" w:cstheme="majorBidi"/>
          <w:i/>
          <w:iCs/>
          <w:highlight w:val="yellow"/>
          <w:lang w:bidi="he-IL"/>
        </w:rPr>
        <w:t>Israeli Sociology,</w:t>
      </w:r>
      <w:r w:rsidRPr="00E52149">
        <w:rPr>
          <w:rFonts w:asciiTheme="majorBidi" w:hAnsiTheme="majorBidi" w:cstheme="majorBidi"/>
          <w:highlight w:val="yellow"/>
          <w:lang w:bidi="he-IL"/>
        </w:rPr>
        <w:t xml:space="preserve"> 21(2), pp. 165–174.</w:t>
      </w:r>
    </w:p>
    <w:p w14:paraId="3475A2A0" w14:textId="77777777" w:rsidR="00E52149" w:rsidRPr="00B055B2" w:rsidRDefault="00E52149" w:rsidP="00861C59">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Barrie, D. </w:t>
      </w:r>
      <w:r>
        <w:rPr>
          <w:rFonts w:asciiTheme="majorBidi" w:hAnsiTheme="majorBidi" w:cstheme="majorBidi"/>
          <w:lang w:bidi="he-IL"/>
        </w:rPr>
        <w:t>and</w:t>
      </w:r>
      <w:r w:rsidRPr="00B055B2">
        <w:rPr>
          <w:rFonts w:asciiTheme="majorBidi" w:hAnsiTheme="majorBidi" w:cstheme="majorBidi"/>
          <w:lang w:bidi="he-IL"/>
        </w:rPr>
        <w:t xml:space="preserve"> Broomhall, S. (Eds.) (2012) </w:t>
      </w:r>
      <w:r w:rsidRPr="002762E5">
        <w:rPr>
          <w:rFonts w:asciiTheme="majorBidi" w:hAnsiTheme="majorBidi" w:cstheme="majorBidi"/>
          <w:i/>
          <w:iCs/>
          <w:lang w:bidi="he-IL"/>
        </w:rPr>
        <w:t>A history of police and masculinities,</w:t>
      </w:r>
      <w:r w:rsidRPr="00B055B2">
        <w:rPr>
          <w:rFonts w:asciiTheme="majorBidi" w:hAnsiTheme="majorBidi" w:cstheme="majorBidi"/>
          <w:lang w:bidi="he-IL"/>
        </w:rPr>
        <w:t xml:space="preserve"> </w:t>
      </w:r>
      <w:r w:rsidRPr="002762E5">
        <w:rPr>
          <w:rFonts w:asciiTheme="majorBidi" w:hAnsiTheme="majorBidi" w:cstheme="majorBidi"/>
          <w:i/>
          <w:iCs/>
          <w:lang w:bidi="he-IL"/>
        </w:rPr>
        <w:t>1700–2010</w:t>
      </w:r>
      <w:r w:rsidRPr="00B055B2">
        <w:rPr>
          <w:rFonts w:asciiTheme="majorBidi" w:hAnsiTheme="majorBidi" w:cstheme="majorBidi"/>
          <w:lang w:bidi="he-IL"/>
        </w:rPr>
        <w:t>. Routledge.</w:t>
      </w:r>
    </w:p>
    <w:p w14:paraId="1FEC9504" w14:textId="77777777" w:rsidR="00E52149" w:rsidRPr="00B055B2" w:rsidRDefault="00E52149" w:rsidP="00861C59">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Blumenstein, L., </w:t>
      </w:r>
      <w:proofErr w:type="spellStart"/>
      <w:r w:rsidRPr="00B055B2">
        <w:rPr>
          <w:rFonts w:asciiTheme="majorBidi" w:hAnsiTheme="majorBidi" w:cstheme="majorBidi"/>
          <w:lang w:bidi="he-IL"/>
        </w:rPr>
        <w:t>Fridell</w:t>
      </w:r>
      <w:proofErr w:type="spellEnd"/>
      <w:r w:rsidRPr="00B055B2">
        <w:rPr>
          <w:rFonts w:asciiTheme="majorBidi" w:hAnsiTheme="majorBidi" w:cstheme="majorBidi"/>
          <w:lang w:bidi="he-IL"/>
        </w:rPr>
        <w:t xml:space="preserve">, L., </w:t>
      </w:r>
      <w:r>
        <w:rPr>
          <w:rFonts w:asciiTheme="majorBidi" w:hAnsiTheme="majorBidi" w:cstheme="majorBidi"/>
          <w:lang w:bidi="he-IL"/>
        </w:rPr>
        <w:t>and</w:t>
      </w:r>
      <w:r w:rsidRPr="00B055B2">
        <w:rPr>
          <w:rFonts w:asciiTheme="majorBidi" w:hAnsiTheme="majorBidi" w:cstheme="majorBidi"/>
          <w:lang w:bidi="he-IL"/>
        </w:rPr>
        <w:t xml:space="preserve"> Jones, S. (2011) </w:t>
      </w:r>
      <w:r>
        <w:rPr>
          <w:rFonts w:asciiTheme="majorBidi" w:hAnsiTheme="majorBidi" w:cstheme="majorBidi"/>
          <w:lang w:bidi="he-IL"/>
        </w:rPr>
        <w:t>‘</w:t>
      </w:r>
      <w:r w:rsidRPr="00B055B2">
        <w:rPr>
          <w:rFonts w:asciiTheme="majorBidi" w:hAnsiTheme="majorBidi" w:cstheme="majorBidi"/>
          <w:lang w:bidi="he-IL"/>
        </w:rPr>
        <w:t>The link between traditional police sub-culture and police intimate partner violence</w:t>
      </w:r>
      <w:r>
        <w:rPr>
          <w:rFonts w:asciiTheme="majorBidi" w:hAnsiTheme="majorBidi" w:cstheme="majorBidi"/>
          <w:lang w:bidi="he-IL"/>
        </w:rPr>
        <w:t>’,</w:t>
      </w:r>
      <w:r w:rsidRPr="00B055B2">
        <w:rPr>
          <w:rFonts w:asciiTheme="majorBidi" w:hAnsiTheme="majorBidi" w:cstheme="majorBidi"/>
          <w:lang w:bidi="he-IL"/>
        </w:rPr>
        <w:t xml:space="preserve"> </w:t>
      </w:r>
      <w:r w:rsidRPr="002762E5">
        <w:rPr>
          <w:rFonts w:asciiTheme="majorBidi" w:hAnsiTheme="majorBidi" w:cstheme="majorBidi"/>
          <w:i/>
          <w:iCs/>
          <w:lang w:bidi="he-IL"/>
        </w:rPr>
        <w:t>Policing: An International Journal of Police Strategies &amp; Management,</w:t>
      </w:r>
      <w:r w:rsidRPr="00B055B2">
        <w:rPr>
          <w:rFonts w:asciiTheme="majorBidi" w:hAnsiTheme="majorBidi" w:cstheme="majorBidi"/>
          <w:lang w:bidi="he-IL"/>
        </w:rPr>
        <w:t xml:space="preserve"> 35(1), </w:t>
      </w:r>
      <w:r>
        <w:rPr>
          <w:rFonts w:asciiTheme="majorBidi" w:hAnsiTheme="majorBidi" w:cstheme="majorBidi"/>
          <w:lang w:bidi="he-IL"/>
        </w:rPr>
        <w:t xml:space="preserve">pp. </w:t>
      </w:r>
      <w:r w:rsidRPr="00B055B2">
        <w:rPr>
          <w:rFonts w:asciiTheme="majorBidi" w:hAnsiTheme="majorBidi" w:cstheme="majorBidi"/>
          <w:lang w:bidi="he-IL"/>
        </w:rPr>
        <w:t>147–164.</w:t>
      </w:r>
    </w:p>
    <w:p w14:paraId="521D7978"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Boshari</w:t>
      </w:r>
      <w:proofErr w:type="spellEnd"/>
      <w:r w:rsidRPr="00E52149">
        <w:rPr>
          <w:rFonts w:asciiTheme="majorBidi" w:hAnsiTheme="majorBidi" w:cstheme="majorBidi"/>
          <w:highlight w:val="yellow"/>
          <w:lang w:bidi="he-IL"/>
        </w:rPr>
        <w:t xml:space="preserve">, R. and Ben-Ari, A. (2012) ‘Policy towards intimate partner violence in Israel’, </w:t>
      </w:r>
      <w:r w:rsidRPr="00E52149">
        <w:rPr>
          <w:rFonts w:asciiTheme="majorBidi" w:hAnsiTheme="majorBidi" w:cstheme="majorBidi"/>
          <w:i/>
          <w:iCs/>
          <w:highlight w:val="yellow"/>
          <w:lang w:bidi="he-IL"/>
        </w:rPr>
        <w:t>Social Security,</w:t>
      </w:r>
      <w:r w:rsidRPr="00E52149">
        <w:rPr>
          <w:rFonts w:asciiTheme="majorBidi" w:hAnsiTheme="majorBidi" w:cstheme="majorBidi"/>
          <w:highlight w:val="yellow"/>
          <w:lang w:bidi="he-IL"/>
        </w:rPr>
        <w:t xml:space="preserve"> 90, pp. 109–145.</w:t>
      </w:r>
    </w:p>
    <w:p w14:paraId="4FC9C137" w14:textId="77777777" w:rsidR="00E52149" w:rsidRPr="00B055B2" w:rsidRDefault="00E52149" w:rsidP="00861C59">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Brown, J. (2007) </w:t>
      </w:r>
      <w:r>
        <w:rPr>
          <w:rFonts w:asciiTheme="majorBidi" w:hAnsiTheme="majorBidi" w:cstheme="majorBidi"/>
          <w:lang w:bidi="he-IL"/>
        </w:rPr>
        <w:t>‘</w:t>
      </w:r>
      <w:proofErr w:type="gramStart"/>
      <w:r w:rsidRPr="00B055B2">
        <w:rPr>
          <w:rFonts w:asciiTheme="majorBidi" w:hAnsiTheme="majorBidi" w:cstheme="majorBidi"/>
          <w:lang w:bidi="he-IL"/>
        </w:rPr>
        <w:t>From</w:t>
      </w:r>
      <w:proofErr w:type="gramEnd"/>
      <w:r w:rsidRPr="00B055B2">
        <w:rPr>
          <w:rFonts w:asciiTheme="majorBidi" w:hAnsiTheme="majorBidi" w:cstheme="majorBidi"/>
          <w:lang w:bidi="he-IL"/>
        </w:rPr>
        <w:t xml:space="preserve"> cult of masculinity to smart macho: Gender perspectives on police occupational culture</w:t>
      </w:r>
      <w:r>
        <w:rPr>
          <w:rFonts w:asciiTheme="majorBidi" w:hAnsiTheme="majorBidi" w:cstheme="majorBidi"/>
          <w:lang w:bidi="he-IL"/>
        </w:rPr>
        <w:t>’,</w:t>
      </w:r>
      <w:r w:rsidRPr="00B055B2">
        <w:rPr>
          <w:rFonts w:asciiTheme="majorBidi" w:hAnsiTheme="majorBidi" w:cstheme="majorBidi"/>
          <w:lang w:bidi="he-IL"/>
        </w:rPr>
        <w:t xml:space="preserve"> </w:t>
      </w:r>
      <w:r w:rsidRPr="002762E5">
        <w:rPr>
          <w:rFonts w:asciiTheme="majorBidi" w:hAnsiTheme="majorBidi" w:cstheme="majorBidi"/>
          <w:i/>
          <w:iCs/>
          <w:lang w:bidi="he-IL"/>
        </w:rPr>
        <w:t>Sociology of Crime Law and Deviance</w:t>
      </w:r>
      <w:r w:rsidRPr="00B055B2">
        <w:rPr>
          <w:rFonts w:asciiTheme="majorBidi" w:hAnsiTheme="majorBidi" w:cstheme="majorBidi"/>
          <w:lang w:bidi="he-IL"/>
        </w:rPr>
        <w:t xml:space="preserve">, 8, </w:t>
      </w:r>
      <w:r>
        <w:rPr>
          <w:rFonts w:asciiTheme="majorBidi" w:hAnsiTheme="majorBidi" w:cstheme="majorBidi"/>
          <w:lang w:bidi="he-IL"/>
        </w:rPr>
        <w:t xml:space="preserve">pp. </w:t>
      </w:r>
      <w:r w:rsidRPr="00B055B2">
        <w:rPr>
          <w:rFonts w:asciiTheme="majorBidi" w:hAnsiTheme="majorBidi" w:cstheme="majorBidi"/>
          <w:lang w:bidi="he-IL"/>
        </w:rPr>
        <w:t>205–226.</w:t>
      </w:r>
    </w:p>
    <w:p w14:paraId="0A0645E8" w14:textId="77777777" w:rsidR="00E52149" w:rsidRPr="00B055B2" w:rsidRDefault="00E52149" w:rsidP="00861C59">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Cheema, R. (2016) </w:t>
      </w:r>
      <w:r>
        <w:rPr>
          <w:rFonts w:asciiTheme="majorBidi" w:hAnsiTheme="majorBidi" w:cstheme="majorBidi"/>
          <w:lang w:bidi="he-IL"/>
        </w:rPr>
        <w:t>‘</w:t>
      </w:r>
      <w:r w:rsidRPr="00B055B2">
        <w:rPr>
          <w:rFonts w:asciiTheme="majorBidi" w:hAnsiTheme="majorBidi" w:cstheme="majorBidi"/>
          <w:lang w:bidi="he-IL"/>
        </w:rPr>
        <w:t>Black and blue bloods: Protecting police officer families from domestic violence</w:t>
      </w:r>
      <w:r>
        <w:rPr>
          <w:rFonts w:asciiTheme="majorBidi" w:hAnsiTheme="majorBidi" w:cstheme="majorBidi"/>
          <w:lang w:bidi="he-IL"/>
        </w:rPr>
        <w:t>’,</w:t>
      </w:r>
      <w:r w:rsidRPr="00B055B2">
        <w:rPr>
          <w:rFonts w:asciiTheme="majorBidi" w:hAnsiTheme="majorBidi" w:cstheme="majorBidi"/>
          <w:lang w:bidi="he-IL"/>
        </w:rPr>
        <w:t xml:space="preserve"> </w:t>
      </w:r>
      <w:r w:rsidRPr="002762E5">
        <w:rPr>
          <w:rFonts w:asciiTheme="majorBidi" w:hAnsiTheme="majorBidi" w:cstheme="majorBidi"/>
          <w:i/>
          <w:iCs/>
          <w:lang w:bidi="he-IL"/>
        </w:rPr>
        <w:t>Family Court Review,</w:t>
      </w:r>
      <w:r w:rsidRPr="00B055B2">
        <w:rPr>
          <w:rFonts w:asciiTheme="majorBidi" w:hAnsiTheme="majorBidi" w:cstheme="majorBidi"/>
          <w:lang w:bidi="he-IL"/>
        </w:rPr>
        <w:t xml:space="preserve"> 54(3),</w:t>
      </w:r>
      <w:r>
        <w:rPr>
          <w:rFonts w:asciiTheme="majorBidi" w:hAnsiTheme="majorBidi" w:cstheme="majorBidi"/>
          <w:lang w:bidi="he-IL"/>
        </w:rPr>
        <w:t xml:space="preserve"> pp.</w:t>
      </w:r>
      <w:r w:rsidRPr="00B055B2">
        <w:rPr>
          <w:rFonts w:asciiTheme="majorBidi" w:hAnsiTheme="majorBidi" w:cstheme="majorBidi"/>
          <w:lang w:bidi="he-IL"/>
        </w:rPr>
        <w:t xml:space="preserve"> 487–500.</w:t>
      </w:r>
    </w:p>
    <w:p w14:paraId="2DB4907A" w14:textId="77777777" w:rsidR="00E52149" w:rsidRPr="00B055B2" w:rsidRDefault="00E52149" w:rsidP="00861C59">
      <w:pPr>
        <w:tabs>
          <w:tab w:val="left" w:pos="923"/>
        </w:tabs>
        <w:spacing w:line="360" w:lineRule="auto"/>
        <w:rPr>
          <w:rFonts w:asciiTheme="majorBidi" w:hAnsiTheme="majorBidi" w:cstheme="majorBidi"/>
          <w:lang w:bidi="he-IL"/>
        </w:rPr>
      </w:pPr>
      <w:r w:rsidRPr="00B055B2">
        <w:rPr>
          <w:rFonts w:asciiTheme="majorBidi" w:hAnsiTheme="majorBidi" w:cstheme="majorBidi"/>
          <w:lang w:bidi="he-IL"/>
        </w:rPr>
        <w:t xml:space="preserve">Colman, S. </w:t>
      </w:r>
      <w:r>
        <w:rPr>
          <w:rFonts w:asciiTheme="majorBidi" w:hAnsiTheme="majorBidi" w:cstheme="majorBidi"/>
          <w:lang w:bidi="he-IL"/>
        </w:rPr>
        <w:t>and</w:t>
      </w:r>
      <w:r w:rsidRPr="00B055B2">
        <w:rPr>
          <w:rFonts w:asciiTheme="majorBidi" w:hAnsiTheme="majorBidi" w:cstheme="majorBidi"/>
          <w:lang w:bidi="he-IL"/>
        </w:rPr>
        <w:t xml:space="preserve"> Gorman, L.</w:t>
      </w:r>
      <w:r>
        <w:rPr>
          <w:rFonts w:asciiTheme="majorBidi" w:hAnsiTheme="majorBidi" w:cstheme="majorBidi"/>
          <w:lang w:bidi="he-IL"/>
        </w:rPr>
        <w:t xml:space="preserve"> </w:t>
      </w:r>
      <w:r w:rsidRPr="00B055B2">
        <w:rPr>
          <w:rFonts w:asciiTheme="majorBidi" w:hAnsiTheme="majorBidi" w:cstheme="majorBidi"/>
          <w:lang w:bidi="he-IL"/>
        </w:rPr>
        <w:t xml:space="preserve">P. (1982) </w:t>
      </w:r>
      <w:r>
        <w:rPr>
          <w:rFonts w:asciiTheme="majorBidi" w:hAnsiTheme="majorBidi" w:cstheme="majorBidi"/>
          <w:lang w:bidi="he-IL"/>
        </w:rPr>
        <w:t>‘</w:t>
      </w:r>
      <w:r w:rsidRPr="00B055B2">
        <w:rPr>
          <w:rFonts w:asciiTheme="majorBidi" w:hAnsiTheme="majorBidi" w:cstheme="majorBidi"/>
          <w:lang w:bidi="he-IL"/>
        </w:rPr>
        <w:t>Conservatism, dogmatism, and authoritarianism in British police officers</w:t>
      </w:r>
      <w:r>
        <w:rPr>
          <w:rFonts w:asciiTheme="majorBidi" w:hAnsiTheme="majorBidi" w:cstheme="majorBidi"/>
          <w:lang w:bidi="he-IL"/>
        </w:rPr>
        <w:t>’,</w:t>
      </w:r>
      <w:r w:rsidRPr="00B055B2">
        <w:rPr>
          <w:rFonts w:asciiTheme="majorBidi" w:hAnsiTheme="majorBidi" w:cstheme="majorBidi"/>
          <w:lang w:bidi="he-IL"/>
        </w:rPr>
        <w:t xml:space="preserve"> </w:t>
      </w:r>
      <w:r w:rsidRPr="00FE4409">
        <w:rPr>
          <w:rFonts w:asciiTheme="majorBidi" w:hAnsiTheme="majorBidi" w:cstheme="majorBidi"/>
          <w:i/>
          <w:iCs/>
          <w:lang w:bidi="he-IL"/>
        </w:rPr>
        <w:t>Sociology,</w:t>
      </w:r>
      <w:r w:rsidRPr="00B055B2">
        <w:rPr>
          <w:rFonts w:asciiTheme="majorBidi" w:hAnsiTheme="majorBidi" w:cstheme="majorBidi"/>
          <w:lang w:bidi="he-IL"/>
        </w:rPr>
        <w:t xml:space="preserve"> 16(1), </w:t>
      </w:r>
      <w:r>
        <w:rPr>
          <w:rFonts w:asciiTheme="majorBidi" w:hAnsiTheme="majorBidi" w:cstheme="majorBidi"/>
          <w:lang w:bidi="he-IL"/>
        </w:rPr>
        <w:t xml:space="preserve">pp. </w:t>
      </w:r>
      <w:r w:rsidRPr="00B055B2">
        <w:rPr>
          <w:rFonts w:asciiTheme="majorBidi" w:hAnsiTheme="majorBidi" w:cstheme="majorBidi"/>
          <w:lang w:bidi="he-IL"/>
        </w:rPr>
        <w:t>1–11.</w:t>
      </w:r>
    </w:p>
    <w:p w14:paraId="03175ED5" w14:textId="77777777" w:rsidR="00E52149" w:rsidRPr="00B055B2" w:rsidRDefault="00E52149" w:rsidP="00861C59">
      <w:pPr>
        <w:tabs>
          <w:tab w:val="left" w:pos="923"/>
        </w:tabs>
        <w:spacing w:line="360" w:lineRule="auto"/>
        <w:rPr>
          <w:rFonts w:asciiTheme="majorBidi" w:hAnsiTheme="majorBidi" w:cstheme="majorBidi"/>
          <w:lang w:bidi="he-IL"/>
        </w:rPr>
      </w:pPr>
      <w:proofErr w:type="spellStart"/>
      <w:r w:rsidRPr="00B055B2">
        <w:rPr>
          <w:rFonts w:asciiTheme="majorBidi" w:hAnsiTheme="majorBidi" w:cstheme="majorBidi"/>
          <w:lang w:bidi="he-IL"/>
        </w:rPr>
        <w:t>DeKeseredy</w:t>
      </w:r>
      <w:proofErr w:type="spellEnd"/>
      <w:r w:rsidRPr="00B055B2">
        <w:rPr>
          <w:rFonts w:asciiTheme="majorBidi" w:hAnsiTheme="majorBidi" w:cstheme="majorBidi"/>
          <w:lang w:bidi="he-IL"/>
        </w:rPr>
        <w:t xml:space="preserve">, W. S. (2011) </w:t>
      </w:r>
      <w:r w:rsidRPr="00FE4409">
        <w:rPr>
          <w:rFonts w:asciiTheme="majorBidi" w:hAnsiTheme="majorBidi" w:cstheme="majorBidi"/>
          <w:i/>
          <w:iCs/>
          <w:lang w:bidi="he-IL"/>
        </w:rPr>
        <w:t>Violence against women: Myths, facts, controversies</w:t>
      </w:r>
      <w:r w:rsidRPr="00B055B2">
        <w:rPr>
          <w:rFonts w:asciiTheme="majorBidi" w:hAnsiTheme="majorBidi" w:cstheme="majorBidi"/>
          <w:lang w:bidi="he-IL"/>
        </w:rPr>
        <w:t>. University of Toronto Press.</w:t>
      </w:r>
    </w:p>
    <w:p w14:paraId="329DC1EF" w14:textId="722C6FF8" w:rsidR="00E52149" w:rsidRPr="00E52149" w:rsidRDefault="00E52149" w:rsidP="008E6836">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Dilmon</w:t>
      </w:r>
      <w:proofErr w:type="spellEnd"/>
      <w:r w:rsidRPr="00E52149">
        <w:rPr>
          <w:rFonts w:asciiTheme="majorBidi" w:hAnsiTheme="majorBidi" w:cstheme="majorBidi"/>
          <w:highlight w:val="yellow"/>
          <w:lang w:bidi="he-IL"/>
        </w:rPr>
        <w:t xml:space="preserve">, R. (2009) </w:t>
      </w:r>
      <w:r w:rsidRPr="00E52149">
        <w:rPr>
          <w:rFonts w:asciiTheme="majorBidi" w:hAnsiTheme="majorBidi" w:cstheme="majorBidi"/>
          <w:i/>
          <w:iCs/>
          <w:highlight w:val="yellow"/>
          <w:lang w:bidi="he-IL"/>
        </w:rPr>
        <w:t xml:space="preserve">Narratives of men who attempted or committed intimate partner </w:t>
      </w:r>
      <w:r w:rsidR="008E6836">
        <w:rPr>
          <w:rFonts w:asciiTheme="majorBidi" w:hAnsiTheme="majorBidi" w:cstheme="majorBidi"/>
          <w:i/>
          <w:iCs/>
          <w:highlight w:val="yellow"/>
          <w:lang w:bidi="he-IL"/>
        </w:rPr>
        <w:t>murder</w:t>
      </w:r>
      <w:r w:rsidRPr="00E52149">
        <w:rPr>
          <w:rFonts w:asciiTheme="majorBidi" w:hAnsiTheme="majorBidi" w:cstheme="majorBidi"/>
          <w:i/>
          <w:iCs/>
          <w:highlight w:val="yellow"/>
          <w:lang w:bidi="he-IL"/>
        </w:rPr>
        <w:t xml:space="preserve">. </w:t>
      </w:r>
      <w:r w:rsidRPr="00E52149">
        <w:rPr>
          <w:rFonts w:asciiTheme="majorBidi" w:hAnsiTheme="majorBidi" w:cstheme="majorBidi"/>
          <w:highlight w:val="yellow"/>
          <w:lang w:bidi="he-IL"/>
        </w:rPr>
        <w:t>PhD thesis. Bar-</w:t>
      </w:r>
      <w:proofErr w:type="spellStart"/>
      <w:r w:rsidRPr="00E52149">
        <w:rPr>
          <w:rFonts w:asciiTheme="majorBidi" w:hAnsiTheme="majorBidi" w:cstheme="majorBidi"/>
          <w:highlight w:val="yellow"/>
          <w:lang w:bidi="he-IL"/>
        </w:rPr>
        <w:t>Ilan</w:t>
      </w:r>
      <w:proofErr w:type="spellEnd"/>
      <w:r w:rsidRPr="00E52149">
        <w:rPr>
          <w:rFonts w:asciiTheme="majorBidi" w:hAnsiTheme="majorBidi" w:cstheme="majorBidi"/>
          <w:highlight w:val="yellow"/>
          <w:lang w:bidi="he-IL"/>
        </w:rPr>
        <w:t xml:space="preserve"> University, Ramat </w:t>
      </w:r>
      <w:proofErr w:type="spellStart"/>
      <w:r w:rsidRPr="00E52149">
        <w:rPr>
          <w:rFonts w:asciiTheme="majorBidi" w:hAnsiTheme="majorBidi" w:cstheme="majorBidi"/>
          <w:highlight w:val="yellow"/>
          <w:lang w:bidi="he-IL"/>
        </w:rPr>
        <w:t>Gan</w:t>
      </w:r>
      <w:proofErr w:type="spellEnd"/>
      <w:r w:rsidRPr="00E52149">
        <w:rPr>
          <w:rFonts w:asciiTheme="majorBidi" w:hAnsiTheme="majorBidi" w:cstheme="majorBidi"/>
          <w:highlight w:val="yellow"/>
          <w:lang w:bidi="he-IL"/>
        </w:rPr>
        <w:t>.</w:t>
      </w:r>
    </w:p>
    <w:p w14:paraId="6925BC46"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r w:rsidRPr="00E52149">
        <w:rPr>
          <w:rFonts w:asciiTheme="majorBidi" w:hAnsiTheme="majorBidi" w:cstheme="majorBidi"/>
          <w:highlight w:val="yellow"/>
          <w:lang w:bidi="he-IL"/>
        </w:rPr>
        <w:t xml:space="preserve">Edelstein, A. (2012) ‘Cultural change, acculturation, and </w:t>
      </w:r>
      <w:proofErr w:type="spellStart"/>
      <w:r w:rsidRPr="00E52149">
        <w:rPr>
          <w:rFonts w:asciiTheme="majorBidi" w:hAnsiTheme="majorBidi" w:cstheme="majorBidi"/>
          <w:highlight w:val="yellow"/>
          <w:lang w:bidi="he-IL"/>
        </w:rPr>
        <w:t>femicide</w:t>
      </w:r>
      <w:proofErr w:type="spellEnd"/>
      <w:r w:rsidRPr="00E52149">
        <w:rPr>
          <w:rFonts w:asciiTheme="majorBidi" w:hAnsiTheme="majorBidi" w:cstheme="majorBidi"/>
          <w:highlight w:val="yellow"/>
          <w:lang w:bidi="he-IL"/>
        </w:rPr>
        <w:t xml:space="preserve"> among Ethiopian immigrants in Israel’, </w:t>
      </w:r>
      <w:r w:rsidRPr="00E52149">
        <w:rPr>
          <w:rFonts w:asciiTheme="majorBidi" w:hAnsiTheme="majorBidi" w:cstheme="majorBidi"/>
          <w:i/>
          <w:iCs/>
          <w:highlight w:val="yellow"/>
          <w:lang w:bidi="he-IL"/>
        </w:rPr>
        <w:t>Social Issues in Israel,</w:t>
      </w:r>
      <w:r w:rsidRPr="00E52149">
        <w:rPr>
          <w:rFonts w:asciiTheme="majorBidi" w:hAnsiTheme="majorBidi" w:cstheme="majorBidi"/>
          <w:highlight w:val="yellow"/>
          <w:lang w:bidi="he-IL"/>
        </w:rPr>
        <w:t xml:space="preserve"> 14.</w:t>
      </w:r>
    </w:p>
    <w:p w14:paraId="67B4C117" w14:textId="77777777" w:rsidR="00E52149" w:rsidRPr="00B055B2" w:rsidRDefault="00E52149" w:rsidP="00861C59">
      <w:pPr>
        <w:tabs>
          <w:tab w:val="left" w:pos="923"/>
        </w:tabs>
        <w:spacing w:line="360" w:lineRule="auto"/>
        <w:rPr>
          <w:rFonts w:asciiTheme="majorBidi" w:hAnsiTheme="majorBidi" w:cstheme="majorBidi"/>
          <w:lang w:bidi="he-IL"/>
        </w:rPr>
      </w:pPr>
      <w:proofErr w:type="spellStart"/>
      <w:r w:rsidRPr="00B055B2">
        <w:rPr>
          <w:rFonts w:asciiTheme="majorBidi" w:hAnsiTheme="majorBidi" w:cstheme="majorBidi"/>
          <w:lang w:bidi="he-IL"/>
        </w:rPr>
        <w:t>Fedders</w:t>
      </w:r>
      <w:proofErr w:type="spellEnd"/>
      <w:r w:rsidRPr="00B055B2">
        <w:rPr>
          <w:rFonts w:asciiTheme="majorBidi" w:hAnsiTheme="majorBidi" w:cstheme="majorBidi"/>
          <w:lang w:bidi="he-IL"/>
        </w:rPr>
        <w:t xml:space="preserve">, B. (1997) </w:t>
      </w:r>
      <w:r>
        <w:rPr>
          <w:rFonts w:asciiTheme="majorBidi" w:hAnsiTheme="majorBidi" w:cstheme="majorBidi"/>
          <w:lang w:bidi="he-IL"/>
        </w:rPr>
        <w:t>‘</w:t>
      </w:r>
      <w:r w:rsidRPr="00B055B2">
        <w:rPr>
          <w:rFonts w:asciiTheme="majorBidi" w:hAnsiTheme="majorBidi" w:cstheme="majorBidi"/>
          <w:lang w:bidi="he-IL"/>
        </w:rPr>
        <w:t>Lobbying for mandatory-arrest policies: Race, class, and the politics of the battered women's movement</w:t>
      </w:r>
      <w:r>
        <w:rPr>
          <w:rFonts w:asciiTheme="majorBidi" w:hAnsiTheme="majorBidi" w:cstheme="majorBidi"/>
          <w:lang w:bidi="he-IL"/>
        </w:rPr>
        <w:t>’,</w:t>
      </w:r>
      <w:r w:rsidRPr="00B055B2">
        <w:rPr>
          <w:rFonts w:asciiTheme="majorBidi" w:hAnsiTheme="majorBidi" w:cstheme="majorBidi"/>
          <w:lang w:bidi="he-IL"/>
        </w:rPr>
        <w:t xml:space="preserve"> </w:t>
      </w:r>
      <w:r w:rsidRPr="0034389D">
        <w:rPr>
          <w:rFonts w:asciiTheme="majorBidi" w:hAnsiTheme="majorBidi" w:cstheme="majorBidi"/>
          <w:i/>
          <w:iCs/>
          <w:lang w:bidi="he-IL"/>
        </w:rPr>
        <w:t>New York University Review of Law and Social Change</w:t>
      </w:r>
      <w:r w:rsidRPr="00B055B2">
        <w:rPr>
          <w:rFonts w:asciiTheme="majorBidi" w:hAnsiTheme="majorBidi" w:cstheme="majorBidi"/>
          <w:lang w:bidi="he-IL"/>
        </w:rPr>
        <w:t xml:space="preserve">, 23, </w:t>
      </w:r>
      <w:r>
        <w:rPr>
          <w:rFonts w:asciiTheme="majorBidi" w:hAnsiTheme="majorBidi" w:cstheme="majorBidi"/>
          <w:lang w:bidi="he-IL"/>
        </w:rPr>
        <w:t xml:space="preserve">pp. </w:t>
      </w:r>
      <w:r w:rsidRPr="00B055B2">
        <w:rPr>
          <w:rFonts w:asciiTheme="majorBidi" w:hAnsiTheme="majorBidi" w:cstheme="majorBidi"/>
          <w:lang w:bidi="he-IL"/>
        </w:rPr>
        <w:t>281–300.</w:t>
      </w:r>
    </w:p>
    <w:p w14:paraId="1C606C45" w14:textId="77777777" w:rsidR="00E52149" w:rsidRPr="00B055B2" w:rsidRDefault="00E52149" w:rsidP="00861C59">
      <w:pPr>
        <w:tabs>
          <w:tab w:val="left" w:pos="923"/>
        </w:tabs>
        <w:spacing w:line="360" w:lineRule="auto"/>
        <w:rPr>
          <w:rFonts w:asciiTheme="majorBidi" w:hAnsiTheme="majorBidi" w:cstheme="majorBidi"/>
          <w:lang w:bidi="he-IL"/>
        </w:rPr>
      </w:pPr>
      <w:r w:rsidRPr="0034389D">
        <w:rPr>
          <w:rFonts w:asciiTheme="majorBidi" w:hAnsiTheme="majorBidi" w:cstheme="majorBidi"/>
          <w:lang w:bidi="he-IL"/>
        </w:rPr>
        <w:t>Garcia, L., Soria, C. and Hurwitz, E.</w:t>
      </w:r>
      <w:r>
        <w:rPr>
          <w:rFonts w:asciiTheme="majorBidi" w:hAnsiTheme="majorBidi" w:cstheme="majorBidi"/>
          <w:lang w:bidi="he-IL"/>
        </w:rPr>
        <w:t xml:space="preserve"> </w:t>
      </w:r>
      <w:r w:rsidRPr="0034389D">
        <w:rPr>
          <w:rFonts w:asciiTheme="majorBidi" w:hAnsiTheme="majorBidi" w:cstheme="majorBidi"/>
          <w:lang w:bidi="he-IL"/>
        </w:rPr>
        <w:t xml:space="preserve">L. (2011) </w:t>
      </w:r>
      <w:r>
        <w:rPr>
          <w:rFonts w:asciiTheme="majorBidi" w:hAnsiTheme="majorBidi" w:cstheme="majorBidi"/>
          <w:lang w:bidi="he-IL"/>
        </w:rPr>
        <w:t>‘</w:t>
      </w:r>
      <w:r w:rsidRPr="0034389D">
        <w:rPr>
          <w:rFonts w:asciiTheme="majorBidi" w:hAnsiTheme="majorBidi" w:cstheme="majorBidi"/>
          <w:lang w:bidi="he-IL"/>
        </w:rPr>
        <w:t xml:space="preserve">Homicides and intimate partner violence: </w:t>
      </w:r>
      <w:r>
        <w:rPr>
          <w:rFonts w:asciiTheme="majorBidi" w:hAnsiTheme="majorBidi" w:cstheme="majorBidi"/>
          <w:lang w:bidi="he-IL"/>
        </w:rPr>
        <w:t>A</w:t>
      </w:r>
      <w:r w:rsidRPr="0034389D">
        <w:rPr>
          <w:rFonts w:asciiTheme="majorBidi" w:hAnsiTheme="majorBidi" w:cstheme="majorBidi"/>
          <w:lang w:bidi="he-IL"/>
        </w:rPr>
        <w:t xml:space="preserve"> literature review</w:t>
      </w:r>
      <w:r>
        <w:rPr>
          <w:rFonts w:asciiTheme="majorBidi" w:hAnsiTheme="majorBidi" w:cstheme="majorBidi"/>
          <w:lang w:bidi="he-IL"/>
        </w:rPr>
        <w:t>’,</w:t>
      </w:r>
      <w:r w:rsidRPr="0034389D">
        <w:rPr>
          <w:rFonts w:asciiTheme="majorBidi" w:hAnsiTheme="majorBidi" w:cstheme="majorBidi"/>
          <w:lang w:bidi="he-IL"/>
        </w:rPr>
        <w:t xml:space="preserve"> </w:t>
      </w:r>
      <w:r w:rsidRPr="0034389D">
        <w:rPr>
          <w:rFonts w:asciiTheme="majorBidi" w:hAnsiTheme="majorBidi" w:cstheme="majorBidi"/>
          <w:i/>
          <w:iCs/>
          <w:lang w:bidi="he-IL"/>
        </w:rPr>
        <w:t>Trauma, Violence, &amp; Abuse,</w:t>
      </w:r>
      <w:r w:rsidRPr="0034389D">
        <w:rPr>
          <w:rFonts w:asciiTheme="majorBidi" w:hAnsiTheme="majorBidi" w:cstheme="majorBidi"/>
          <w:lang w:bidi="he-IL"/>
        </w:rPr>
        <w:t xml:space="preserve"> 12(2), pp. 115–132.</w:t>
      </w:r>
    </w:p>
    <w:p w14:paraId="3A264F89" w14:textId="77777777" w:rsidR="00E52149" w:rsidRPr="00B055B2" w:rsidRDefault="00E52149" w:rsidP="00861C59">
      <w:pPr>
        <w:tabs>
          <w:tab w:val="left" w:pos="923"/>
        </w:tabs>
        <w:spacing w:line="360" w:lineRule="auto"/>
        <w:rPr>
          <w:rFonts w:asciiTheme="majorBidi" w:hAnsiTheme="majorBidi" w:cstheme="majorBidi"/>
          <w:lang w:bidi="he-IL"/>
        </w:rPr>
      </w:pPr>
      <w:commentRangeStart w:id="14"/>
      <w:r w:rsidRPr="00B055B2">
        <w:rPr>
          <w:rFonts w:asciiTheme="majorBidi" w:hAnsiTheme="majorBidi" w:cstheme="majorBidi"/>
          <w:lang w:bidi="he-IL"/>
        </w:rPr>
        <w:lastRenderedPageBreak/>
        <w:t>Green-Forsythe</w:t>
      </w:r>
      <w:commentRangeEnd w:id="14"/>
      <w:r w:rsidRPr="00B055B2">
        <w:rPr>
          <w:rStyle w:val="CommentReference"/>
          <w:rFonts w:asciiTheme="majorBidi" w:hAnsiTheme="majorBidi" w:cstheme="majorBidi"/>
          <w:sz w:val="24"/>
          <w:szCs w:val="24"/>
          <w:lang w:bidi="he-IL"/>
        </w:rPr>
        <w:commentReference w:id="14"/>
      </w:r>
      <w:r w:rsidRPr="00B055B2">
        <w:rPr>
          <w:rFonts w:asciiTheme="majorBidi" w:hAnsiTheme="majorBidi" w:cstheme="majorBidi"/>
          <w:lang w:bidi="he-IL"/>
        </w:rPr>
        <w:t xml:space="preserve">, J. (2000) </w:t>
      </w:r>
      <w:r>
        <w:rPr>
          <w:rFonts w:asciiTheme="majorBidi" w:hAnsiTheme="majorBidi" w:cstheme="majorBidi"/>
          <w:lang w:bidi="he-IL"/>
        </w:rPr>
        <w:t>‘</w:t>
      </w:r>
      <w:r w:rsidRPr="00B055B2">
        <w:rPr>
          <w:rFonts w:asciiTheme="majorBidi" w:hAnsiTheme="majorBidi" w:cstheme="majorBidi"/>
          <w:lang w:bidi="he-IL"/>
        </w:rPr>
        <w:t>Domestic violence among police officers: Examining police response to officer-involved domestic violence</w:t>
      </w:r>
      <w:r>
        <w:rPr>
          <w:rFonts w:asciiTheme="majorBidi" w:hAnsiTheme="majorBidi" w:cstheme="majorBidi"/>
          <w:lang w:bidi="he-IL"/>
        </w:rPr>
        <w:t>’,</w:t>
      </w:r>
      <w:r w:rsidRPr="00B055B2">
        <w:rPr>
          <w:rFonts w:asciiTheme="majorBidi" w:hAnsiTheme="majorBidi" w:cstheme="majorBidi"/>
          <w:lang w:bidi="he-IL"/>
        </w:rPr>
        <w:t xml:space="preserve"> </w:t>
      </w:r>
      <w:r w:rsidRPr="0034389D">
        <w:rPr>
          <w:rFonts w:asciiTheme="majorBidi" w:hAnsiTheme="majorBidi" w:cstheme="majorBidi"/>
          <w:i/>
          <w:iCs/>
          <w:lang w:bidi="he-IL"/>
        </w:rPr>
        <w:t>Law Enforcement Executive Forum,</w:t>
      </w:r>
      <w:r w:rsidRPr="00B055B2">
        <w:rPr>
          <w:rFonts w:asciiTheme="majorBidi" w:hAnsiTheme="majorBidi" w:cstheme="majorBidi"/>
          <w:lang w:bidi="he-IL"/>
        </w:rPr>
        <w:t xml:space="preserve"> 1(1), </w:t>
      </w:r>
      <w:r>
        <w:rPr>
          <w:rFonts w:asciiTheme="majorBidi" w:hAnsiTheme="majorBidi" w:cstheme="majorBidi"/>
          <w:lang w:bidi="he-IL"/>
        </w:rPr>
        <w:t xml:space="preserve">pp. </w:t>
      </w:r>
      <w:r w:rsidRPr="00B055B2">
        <w:rPr>
          <w:rFonts w:asciiTheme="majorBidi" w:hAnsiTheme="majorBidi" w:cstheme="majorBidi"/>
          <w:lang w:bidi="he-IL"/>
        </w:rPr>
        <w:t>55–74.</w:t>
      </w:r>
    </w:p>
    <w:p w14:paraId="6AC604A6"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r w:rsidRPr="00E52149">
        <w:rPr>
          <w:rFonts w:asciiTheme="majorBidi" w:hAnsiTheme="majorBidi" w:cstheme="majorBidi"/>
          <w:highlight w:val="yellow"/>
          <w:lang w:bidi="he-IL"/>
        </w:rPr>
        <w:t>Haj-</w:t>
      </w:r>
      <w:proofErr w:type="spellStart"/>
      <w:r w:rsidRPr="00E52149">
        <w:rPr>
          <w:rFonts w:asciiTheme="majorBidi" w:hAnsiTheme="majorBidi" w:cstheme="majorBidi"/>
          <w:highlight w:val="yellow"/>
          <w:lang w:bidi="he-IL"/>
        </w:rPr>
        <w:t>Yahia</w:t>
      </w:r>
      <w:proofErr w:type="spellEnd"/>
      <w:r w:rsidRPr="00E52149">
        <w:rPr>
          <w:rFonts w:asciiTheme="majorBidi" w:hAnsiTheme="majorBidi" w:cstheme="majorBidi"/>
          <w:highlight w:val="yellow"/>
          <w:lang w:bidi="he-IL"/>
        </w:rPr>
        <w:t xml:space="preserve">, M. (2015) ‘Violence against women and </w:t>
      </w:r>
      <w:proofErr w:type="spellStart"/>
      <w:r w:rsidRPr="00E52149">
        <w:rPr>
          <w:rFonts w:asciiTheme="majorBidi" w:hAnsiTheme="majorBidi" w:cstheme="majorBidi"/>
          <w:highlight w:val="yellow"/>
          <w:lang w:bidi="he-IL"/>
        </w:rPr>
        <w:t>femicide</w:t>
      </w:r>
      <w:proofErr w:type="spellEnd"/>
      <w:r w:rsidRPr="00E52149">
        <w:rPr>
          <w:rFonts w:asciiTheme="majorBidi" w:hAnsiTheme="majorBidi" w:cstheme="majorBidi"/>
          <w:highlight w:val="yellow"/>
          <w:lang w:bidi="he-IL"/>
        </w:rPr>
        <w:t xml:space="preserve"> in Arab families in Israel’, </w:t>
      </w:r>
      <w:r w:rsidRPr="00E52149">
        <w:rPr>
          <w:rFonts w:asciiTheme="majorBidi" w:hAnsiTheme="majorBidi" w:cstheme="majorBidi"/>
          <w:i/>
          <w:iCs/>
          <w:highlight w:val="yellow"/>
          <w:lang w:bidi="he-IL"/>
        </w:rPr>
        <w:t>Social Security,</w:t>
      </w:r>
      <w:r w:rsidRPr="00E52149">
        <w:rPr>
          <w:rFonts w:asciiTheme="majorBidi" w:hAnsiTheme="majorBidi" w:cstheme="majorBidi"/>
          <w:highlight w:val="yellow"/>
          <w:lang w:bidi="he-IL"/>
        </w:rPr>
        <w:t xml:space="preserve"> 97, pp. 41–77.</w:t>
      </w:r>
    </w:p>
    <w:p w14:paraId="49AD31E4" w14:textId="32861CCE" w:rsidR="00E52149" w:rsidRPr="00B055B2" w:rsidRDefault="00E52149" w:rsidP="008E6836">
      <w:pPr>
        <w:tabs>
          <w:tab w:val="left" w:pos="923"/>
        </w:tabs>
        <w:spacing w:line="360" w:lineRule="auto"/>
        <w:rPr>
          <w:rFonts w:asciiTheme="majorBidi" w:hAnsiTheme="majorBidi" w:cstheme="majorBidi"/>
          <w:lang w:bidi="he-IL"/>
        </w:rPr>
      </w:pPr>
      <w:r w:rsidRPr="0034389D">
        <w:rPr>
          <w:rFonts w:asciiTheme="majorBidi" w:hAnsiTheme="majorBidi" w:cstheme="majorBidi"/>
          <w:lang w:bidi="he-IL"/>
        </w:rPr>
        <w:t xml:space="preserve">Harris, J. (1999) </w:t>
      </w:r>
      <w:r w:rsidRPr="0034389D">
        <w:rPr>
          <w:rFonts w:asciiTheme="majorBidi" w:hAnsiTheme="majorBidi" w:cstheme="majorBidi"/>
          <w:i/>
          <w:iCs/>
          <w:lang w:bidi="he-IL"/>
        </w:rPr>
        <w:t xml:space="preserve">Masculinity and policing: </w:t>
      </w:r>
      <w:r w:rsidR="008E6836">
        <w:rPr>
          <w:rFonts w:asciiTheme="majorBidi" w:hAnsiTheme="majorBidi" w:cstheme="majorBidi"/>
          <w:i/>
          <w:iCs/>
          <w:lang w:bidi="he-IL"/>
        </w:rPr>
        <w:t>M</w:t>
      </w:r>
      <w:r w:rsidRPr="0034389D">
        <w:rPr>
          <w:rFonts w:asciiTheme="majorBidi" w:hAnsiTheme="majorBidi" w:cstheme="majorBidi"/>
          <w:i/>
          <w:iCs/>
          <w:lang w:bidi="he-IL"/>
        </w:rPr>
        <w:t>en and the police occupation.</w:t>
      </w:r>
      <w:r w:rsidRPr="0034389D">
        <w:rPr>
          <w:rFonts w:asciiTheme="majorBidi" w:hAnsiTheme="majorBidi" w:cstheme="majorBidi"/>
          <w:lang w:bidi="he-IL"/>
        </w:rPr>
        <w:t xml:space="preserve"> Unpublished doctoral dissertation, Deakin University, Melbourne.</w:t>
      </w:r>
    </w:p>
    <w:p w14:paraId="145FCCBA" w14:textId="77777777" w:rsidR="00E52149" w:rsidRPr="00B055B2" w:rsidRDefault="00E52149" w:rsidP="00861C59">
      <w:pPr>
        <w:tabs>
          <w:tab w:val="left" w:pos="923"/>
        </w:tabs>
        <w:spacing w:line="360" w:lineRule="auto"/>
        <w:rPr>
          <w:rFonts w:asciiTheme="majorBidi" w:hAnsiTheme="majorBidi" w:cstheme="majorBidi"/>
          <w:lang w:bidi="he-IL"/>
        </w:rPr>
      </w:pPr>
      <w:r w:rsidRPr="0034389D">
        <w:rPr>
          <w:rFonts w:asciiTheme="majorBidi" w:hAnsiTheme="majorBidi" w:cstheme="majorBidi"/>
          <w:lang w:bidi="he-IL"/>
        </w:rPr>
        <w:t>Harris, M.</w:t>
      </w:r>
      <w:r>
        <w:rPr>
          <w:rFonts w:asciiTheme="majorBidi" w:hAnsiTheme="majorBidi" w:cstheme="majorBidi"/>
          <w:lang w:bidi="he-IL"/>
        </w:rPr>
        <w:t xml:space="preserve"> </w:t>
      </w:r>
      <w:r w:rsidRPr="0034389D">
        <w:rPr>
          <w:rFonts w:asciiTheme="majorBidi" w:hAnsiTheme="majorBidi" w:cstheme="majorBidi"/>
          <w:lang w:bidi="he-IL"/>
        </w:rPr>
        <w:t xml:space="preserve">B. (2000) </w:t>
      </w:r>
      <w:r>
        <w:rPr>
          <w:rFonts w:asciiTheme="majorBidi" w:hAnsiTheme="majorBidi" w:cstheme="majorBidi"/>
          <w:lang w:bidi="he-IL"/>
        </w:rPr>
        <w:t>‘</w:t>
      </w:r>
      <w:r w:rsidRPr="0034389D">
        <w:rPr>
          <w:rFonts w:asciiTheme="majorBidi" w:hAnsiTheme="majorBidi" w:cstheme="majorBidi"/>
          <w:lang w:bidi="he-IL"/>
        </w:rPr>
        <w:t>Aggression, gender, and ethnicity</w:t>
      </w:r>
      <w:r>
        <w:rPr>
          <w:rFonts w:asciiTheme="majorBidi" w:hAnsiTheme="majorBidi" w:cstheme="majorBidi"/>
          <w:lang w:bidi="he-IL"/>
        </w:rPr>
        <w:t>’,</w:t>
      </w:r>
      <w:r w:rsidRPr="0034389D">
        <w:rPr>
          <w:rFonts w:asciiTheme="majorBidi" w:hAnsiTheme="majorBidi" w:cstheme="majorBidi"/>
          <w:lang w:bidi="he-IL"/>
        </w:rPr>
        <w:t xml:space="preserve"> </w:t>
      </w:r>
      <w:r w:rsidRPr="0034389D">
        <w:rPr>
          <w:rFonts w:asciiTheme="majorBidi" w:hAnsiTheme="majorBidi" w:cstheme="majorBidi"/>
          <w:i/>
          <w:iCs/>
          <w:lang w:bidi="he-IL"/>
        </w:rPr>
        <w:t>Aggression and Violent Behavior,</w:t>
      </w:r>
      <w:r w:rsidRPr="0034389D">
        <w:rPr>
          <w:rFonts w:asciiTheme="majorBidi" w:hAnsiTheme="majorBidi" w:cstheme="majorBidi"/>
          <w:lang w:bidi="he-IL"/>
        </w:rPr>
        <w:t xml:space="preserve"> 5(2), pp. 123–146.</w:t>
      </w:r>
    </w:p>
    <w:p w14:paraId="3A3DA754" w14:textId="2C4A9660" w:rsidR="00E52149" w:rsidRPr="00B055B2" w:rsidRDefault="00E52149" w:rsidP="00861C59">
      <w:pPr>
        <w:tabs>
          <w:tab w:val="left" w:pos="923"/>
        </w:tabs>
        <w:spacing w:line="360" w:lineRule="auto"/>
        <w:rPr>
          <w:rFonts w:asciiTheme="majorBidi" w:hAnsiTheme="majorBidi" w:cstheme="majorBidi"/>
          <w:lang w:bidi="he-IL"/>
        </w:rPr>
      </w:pPr>
      <w:r w:rsidRPr="0034389D">
        <w:rPr>
          <w:rFonts w:asciiTheme="majorBidi" w:hAnsiTheme="majorBidi" w:cstheme="majorBidi"/>
          <w:lang w:bidi="he-IL"/>
        </w:rPr>
        <w:t xml:space="preserve">International Association of Chiefs of Police (IACP) (2003) </w:t>
      </w:r>
      <w:r w:rsidRPr="0034389D">
        <w:rPr>
          <w:rFonts w:asciiTheme="majorBidi" w:hAnsiTheme="majorBidi" w:cstheme="majorBidi"/>
          <w:i/>
          <w:iCs/>
          <w:lang w:bidi="he-IL"/>
        </w:rPr>
        <w:t xml:space="preserve">Domestic violence by police officers: a policy of the IACP. </w:t>
      </w:r>
      <w:r w:rsidR="008E6836">
        <w:rPr>
          <w:rFonts w:asciiTheme="majorBidi" w:hAnsiTheme="majorBidi" w:cstheme="majorBidi"/>
          <w:lang w:bidi="he-IL"/>
        </w:rPr>
        <w:t>Alexandria, VA.</w:t>
      </w:r>
      <w:r w:rsidRPr="0034389D">
        <w:rPr>
          <w:rFonts w:asciiTheme="majorBidi" w:hAnsiTheme="majorBidi" w:cstheme="majorBidi"/>
          <w:lang w:bidi="he-IL"/>
        </w:rPr>
        <w:t xml:space="preserve"> International Association of Chiefs of Police.</w:t>
      </w:r>
    </w:p>
    <w:p w14:paraId="6A491E59"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Izikovitz</w:t>
      </w:r>
      <w:proofErr w:type="spellEnd"/>
      <w:r w:rsidRPr="00E52149">
        <w:rPr>
          <w:rFonts w:asciiTheme="majorBidi" w:hAnsiTheme="majorBidi" w:cstheme="majorBidi"/>
          <w:highlight w:val="yellow"/>
          <w:lang w:bidi="he-IL"/>
        </w:rPr>
        <w:t xml:space="preserve">, T. and </w:t>
      </w:r>
      <w:proofErr w:type="spellStart"/>
      <w:r w:rsidRPr="00E52149">
        <w:rPr>
          <w:rFonts w:asciiTheme="majorBidi" w:hAnsiTheme="majorBidi" w:cstheme="majorBidi"/>
          <w:highlight w:val="yellow"/>
          <w:lang w:bidi="he-IL"/>
        </w:rPr>
        <w:t>Gripel</w:t>
      </w:r>
      <w:proofErr w:type="spellEnd"/>
      <w:r w:rsidRPr="00E52149">
        <w:rPr>
          <w:rFonts w:asciiTheme="majorBidi" w:hAnsiTheme="majorBidi" w:cstheme="majorBidi"/>
          <w:highlight w:val="yellow"/>
          <w:lang w:bidi="he-IL"/>
        </w:rPr>
        <w:t xml:space="preserve">, A. (1998) </w:t>
      </w:r>
      <w:proofErr w:type="gramStart"/>
      <w:r w:rsidRPr="00E52149">
        <w:rPr>
          <w:rFonts w:asciiTheme="majorBidi" w:hAnsiTheme="majorBidi" w:cstheme="majorBidi"/>
          <w:i/>
          <w:iCs/>
          <w:highlight w:val="yellow"/>
          <w:lang w:bidi="he-IL"/>
        </w:rPr>
        <w:t>An</w:t>
      </w:r>
      <w:proofErr w:type="gramEnd"/>
      <w:r w:rsidRPr="00E52149">
        <w:rPr>
          <w:rFonts w:asciiTheme="majorBidi" w:hAnsiTheme="majorBidi" w:cstheme="majorBidi"/>
          <w:i/>
          <w:iCs/>
          <w:highlight w:val="yellow"/>
          <w:lang w:bidi="he-IL"/>
        </w:rPr>
        <w:t xml:space="preserve"> evaluation study of police intervention in cases of violence against women</w:t>
      </w:r>
      <w:r w:rsidRPr="00E52149">
        <w:rPr>
          <w:rFonts w:asciiTheme="majorBidi" w:hAnsiTheme="majorBidi" w:cstheme="majorBidi"/>
          <w:highlight w:val="yellow"/>
          <w:lang w:bidi="he-IL"/>
        </w:rPr>
        <w:t>. Jerusalem. Ministry of Public Security, Chief Scientist’s Office.</w:t>
      </w:r>
    </w:p>
    <w:p w14:paraId="121E3E8F" w14:textId="77777777" w:rsidR="00E52149" w:rsidRPr="00B055B2" w:rsidRDefault="00E52149" w:rsidP="00861C59">
      <w:pPr>
        <w:tabs>
          <w:tab w:val="left" w:pos="923"/>
        </w:tabs>
        <w:spacing w:line="360" w:lineRule="auto"/>
        <w:rPr>
          <w:rFonts w:asciiTheme="majorBidi" w:hAnsiTheme="majorBidi" w:cstheme="majorBidi"/>
          <w:lang w:bidi="he-IL"/>
        </w:rPr>
      </w:pPr>
      <w:r w:rsidRPr="0034389D">
        <w:rPr>
          <w:rFonts w:asciiTheme="majorBidi" w:hAnsiTheme="majorBidi" w:cstheme="majorBidi"/>
          <w:lang w:bidi="he-IL"/>
        </w:rPr>
        <w:t>Johnson, L.</w:t>
      </w:r>
      <w:r>
        <w:rPr>
          <w:rFonts w:asciiTheme="majorBidi" w:hAnsiTheme="majorBidi" w:cstheme="majorBidi"/>
          <w:lang w:bidi="he-IL"/>
        </w:rPr>
        <w:t xml:space="preserve"> </w:t>
      </w:r>
      <w:r w:rsidRPr="0034389D">
        <w:rPr>
          <w:rFonts w:asciiTheme="majorBidi" w:hAnsiTheme="majorBidi" w:cstheme="majorBidi"/>
          <w:lang w:bidi="he-IL"/>
        </w:rPr>
        <w:t xml:space="preserve">B., Todd, M. and Subramanian, G. (2005) </w:t>
      </w:r>
      <w:r>
        <w:rPr>
          <w:rFonts w:asciiTheme="majorBidi" w:hAnsiTheme="majorBidi" w:cstheme="majorBidi"/>
          <w:lang w:bidi="he-IL"/>
        </w:rPr>
        <w:t>‘</w:t>
      </w:r>
      <w:r w:rsidRPr="0034389D">
        <w:rPr>
          <w:rFonts w:asciiTheme="majorBidi" w:hAnsiTheme="majorBidi" w:cstheme="majorBidi"/>
          <w:lang w:bidi="he-IL"/>
        </w:rPr>
        <w:t xml:space="preserve">Violence in police families: </w:t>
      </w:r>
      <w:r>
        <w:rPr>
          <w:rFonts w:asciiTheme="majorBidi" w:hAnsiTheme="majorBidi" w:cstheme="majorBidi"/>
          <w:lang w:bidi="he-IL"/>
        </w:rPr>
        <w:t>W</w:t>
      </w:r>
      <w:r w:rsidRPr="0034389D">
        <w:rPr>
          <w:rFonts w:asciiTheme="majorBidi" w:hAnsiTheme="majorBidi" w:cstheme="majorBidi"/>
          <w:lang w:bidi="he-IL"/>
        </w:rPr>
        <w:t>ork–family spillover</w:t>
      </w:r>
      <w:r>
        <w:rPr>
          <w:rFonts w:asciiTheme="majorBidi" w:hAnsiTheme="majorBidi" w:cstheme="majorBidi"/>
          <w:lang w:bidi="he-IL"/>
        </w:rPr>
        <w:t>’,</w:t>
      </w:r>
      <w:r w:rsidRPr="0034389D">
        <w:rPr>
          <w:rFonts w:asciiTheme="majorBidi" w:hAnsiTheme="majorBidi" w:cstheme="majorBidi"/>
          <w:lang w:bidi="he-IL"/>
        </w:rPr>
        <w:t xml:space="preserve"> </w:t>
      </w:r>
      <w:r w:rsidRPr="0034389D">
        <w:rPr>
          <w:rFonts w:asciiTheme="majorBidi" w:hAnsiTheme="majorBidi" w:cstheme="majorBidi"/>
          <w:i/>
          <w:iCs/>
          <w:lang w:bidi="he-IL"/>
        </w:rPr>
        <w:t>Journal of Family Violence,</w:t>
      </w:r>
      <w:r w:rsidRPr="0034389D">
        <w:rPr>
          <w:rFonts w:asciiTheme="majorBidi" w:hAnsiTheme="majorBidi" w:cstheme="majorBidi"/>
          <w:lang w:bidi="he-IL"/>
        </w:rPr>
        <w:t xml:space="preserve"> 20(1), pp. 3–12.</w:t>
      </w:r>
    </w:p>
    <w:p w14:paraId="2D52C1F3" w14:textId="77777777" w:rsidR="00E52149" w:rsidRPr="00B055B2" w:rsidRDefault="00E52149" w:rsidP="00861C59">
      <w:pPr>
        <w:tabs>
          <w:tab w:val="left" w:pos="923"/>
        </w:tabs>
        <w:spacing w:line="360" w:lineRule="auto"/>
        <w:rPr>
          <w:rFonts w:asciiTheme="majorBidi" w:hAnsiTheme="majorBidi" w:cstheme="majorBidi"/>
          <w:lang w:bidi="he-IL"/>
        </w:rPr>
      </w:pPr>
      <w:r w:rsidRPr="00905B74">
        <w:rPr>
          <w:rFonts w:asciiTheme="majorBidi" w:hAnsiTheme="majorBidi" w:cstheme="majorBidi"/>
          <w:lang w:bidi="he-IL"/>
        </w:rPr>
        <w:t>Kaufman, E., Morrison, C.</w:t>
      </w:r>
      <w:r>
        <w:rPr>
          <w:rFonts w:asciiTheme="majorBidi" w:hAnsiTheme="majorBidi" w:cstheme="majorBidi"/>
          <w:lang w:bidi="he-IL"/>
        </w:rPr>
        <w:t xml:space="preserve"> </w:t>
      </w:r>
      <w:r w:rsidRPr="00905B74">
        <w:rPr>
          <w:rFonts w:asciiTheme="majorBidi" w:hAnsiTheme="majorBidi" w:cstheme="majorBidi"/>
          <w:lang w:bidi="he-IL"/>
        </w:rPr>
        <w:t xml:space="preserve">N., </w:t>
      </w:r>
      <w:proofErr w:type="spellStart"/>
      <w:r w:rsidRPr="00905B74">
        <w:rPr>
          <w:rFonts w:asciiTheme="majorBidi" w:hAnsiTheme="majorBidi" w:cstheme="majorBidi"/>
          <w:lang w:bidi="he-IL"/>
        </w:rPr>
        <w:t>Branas</w:t>
      </w:r>
      <w:proofErr w:type="spellEnd"/>
      <w:r w:rsidRPr="00905B74">
        <w:rPr>
          <w:rFonts w:asciiTheme="majorBidi" w:hAnsiTheme="majorBidi" w:cstheme="majorBidi"/>
          <w:lang w:bidi="he-IL"/>
        </w:rPr>
        <w:t>, C.</w:t>
      </w:r>
      <w:r>
        <w:rPr>
          <w:rFonts w:asciiTheme="majorBidi" w:hAnsiTheme="majorBidi" w:cstheme="majorBidi"/>
          <w:lang w:bidi="he-IL"/>
        </w:rPr>
        <w:t xml:space="preserve"> </w:t>
      </w:r>
      <w:r w:rsidRPr="00905B74">
        <w:rPr>
          <w:rFonts w:asciiTheme="majorBidi" w:hAnsiTheme="majorBidi" w:cstheme="majorBidi"/>
          <w:lang w:bidi="he-IL"/>
        </w:rPr>
        <w:t>C. and Wiebe, D.</w:t>
      </w:r>
      <w:r>
        <w:rPr>
          <w:rFonts w:asciiTheme="majorBidi" w:hAnsiTheme="majorBidi" w:cstheme="majorBidi"/>
          <w:lang w:bidi="he-IL"/>
        </w:rPr>
        <w:t xml:space="preserve"> </w:t>
      </w:r>
      <w:r w:rsidRPr="00905B74">
        <w:rPr>
          <w:rFonts w:asciiTheme="majorBidi" w:hAnsiTheme="majorBidi" w:cstheme="majorBidi"/>
          <w:lang w:bidi="he-IL"/>
        </w:rPr>
        <w:t xml:space="preserve">J. (2018) ‘State firearm laws and interstate firearm deaths from homicide and suicide in the United States: </w:t>
      </w:r>
      <w:r>
        <w:rPr>
          <w:rFonts w:asciiTheme="majorBidi" w:hAnsiTheme="majorBidi" w:cstheme="majorBidi"/>
          <w:lang w:bidi="he-IL"/>
        </w:rPr>
        <w:t>A</w:t>
      </w:r>
      <w:r w:rsidRPr="00905B74">
        <w:rPr>
          <w:rFonts w:asciiTheme="majorBidi" w:hAnsiTheme="majorBidi" w:cstheme="majorBidi"/>
          <w:lang w:bidi="he-IL"/>
        </w:rPr>
        <w:t xml:space="preserve"> cross-sectional analysis of data by county’, </w:t>
      </w:r>
      <w:r w:rsidRPr="00905B74">
        <w:rPr>
          <w:rFonts w:asciiTheme="majorBidi" w:hAnsiTheme="majorBidi" w:cstheme="majorBidi"/>
          <w:i/>
          <w:iCs/>
          <w:lang w:bidi="he-IL"/>
        </w:rPr>
        <w:t>JAMA Internal Medicine,</w:t>
      </w:r>
      <w:r w:rsidRPr="00905B74">
        <w:rPr>
          <w:rFonts w:asciiTheme="majorBidi" w:hAnsiTheme="majorBidi" w:cstheme="majorBidi"/>
          <w:lang w:bidi="he-IL"/>
        </w:rPr>
        <w:t xml:space="preserve"> 178(5), pp. 692–700.</w:t>
      </w:r>
    </w:p>
    <w:p w14:paraId="5AE7647D" w14:textId="4485C3DF" w:rsidR="00E52149" w:rsidRPr="00B055B2" w:rsidRDefault="00E52149" w:rsidP="008E6836">
      <w:pPr>
        <w:tabs>
          <w:tab w:val="left" w:pos="923"/>
        </w:tabs>
        <w:spacing w:line="360" w:lineRule="auto"/>
        <w:rPr>
          <w:rFonts w:asciiTheme="majorBidi" w:hAnsiTheme="majorBidi" w:cstheme="majorBidi"/>
          <w:lang w:bidi="he-IL"/>
        </w:rPr>
      </w:pPr>
      <w:proofErr w:type="spellStart"/>
      <w:r w:rsidRPr="00905B74">
        <w:rPr>
          <w:rFonts w:asciiTheme="majorBidi" w:hAnsiTheme="majorBidi" w:cstheme="majorBidi"/>
          <w:lang w:bidi="he-IL"/>
        </w:rPr>
        <w:t>Kirschman</w:t>
      </w:r>
      <w:proofErr w:type="spellEnd"/>
      <w:r w:rsidRPr="00905B74">
        <w:rPr>
          <w:rFonts w:asciiTheme="majorBidi" w:hAnsiTheme="majorBidi" w:cstheme="majorBidi"/>
          <w:lang w:bidi="he-IL"/>
        </w:rPr>
        <w:t xml:space="preserve">, E.F. (2013) ‘Organization consultation to law enforcement: </w:t>
      </w:r>
      <w:r>
        <w:rPr>
          <w:rFonts w:asciiTheme="majorBidi" w:hAnsiTheme="majorBidi" w:cstheme="majorBidi"/>
          <w:lang w:bidi="he-IL"/>
        </w:rPr>
        <w:t>A</w:t>
      </w:r>
      <w:r w:rsidRPr="00905B74">
        <w:rPr>
          <w:rFonts w:asciiTheme="majorBidi" w:hAnsiTheme="majorBidi" w:cstheme="majorBidi"/>
          <w:lang w:bidi="he-IL"/>
        </w:rPr>
        <w:t>n essay from the field’. In: Blau, T.</w:t>
      </w:r>
      <w:r w:rsidR="008E6836">
        <w:rPr>
          <w:rFonts w:asciiTheme="majorBidi" w:hAnsiTheme="majorBidi" w:cstheme="majorBidi"/>
          <w:lang w:bidi="he-IL"/>
        </w:rPr>
        <w:t xml:space="preserve"> </w:t>
      </w:r>
      <w:r w:rsidRPr="00905B74">
        <w:rPr>
          <w:rFonts w:asciiTheme="majorBidi" w:hAnsiTheme="majorBidi" w:cstheme="majorBidi"/>
          <w:lang w:bidi="he-IL"/>
        </w:rPr>
        <w:t xml:space="preserve">H. (ed.) </w:t>
      </w:r>
      <w:r w:rsidRPr="00905B74">
        <w:rPr>
          <w:rFonts w:asciiTheme="majorBidi" w:hAnsiTheme="majorBidi" w:cstheme="majorBidi"/>
          <w:i/>
          <w:iCs/>
          <w:lang w:bidi="he-IL"/>
        </w:rPr>
        <w:t>Police psychology into the 21st century.</w:t>
      </w:r>
      <w:r w:rsidRPr="00905B74">
        <w:rPr>
          <w:rFonts w:asciiTheme="majorBidi" w:hAnsiTheme="majorBidi" w:cstheme="majorBidi"/>
          <w:lang w:bidi="he-IL"/>
        </w:rPr>
        <w:t xml:space="preserve"> London</w:t>
      </w:r>
      <w:r w:rsidR="008E6836">
        <w:rPr>
          <w:rFonts w:asciiTheme="majorBidi" w:hAnsiTheme="majorBidi" w:cstheme="majorBidi"/>
          <w:lang w:bidi="he-IL"/>
        </w:rPr>
        <w:t>.</w:t>
      </w:r>
      <w:r w:rsidRPr="00905B74">
        <w:rPr>
          <w:rFonts w:asciiTheme="majorBidi" w:hAnsiTheme="majorBidi" w:cstheme="majorBidi"/>
          <w:lang w:bidi="he-IL"/>
        </w:rPr>
        <w:t xml:space="preserve"> Psychology Press.</w:t>
      </w:r>
    </w:p>
    <w:p w14:paraId="7A06E7BF"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Levenkron</w:t>
      </w:r>
      <w:proofErr w:type="spellEnd"/>
      <w:r w:rsidRPr="00E52149">
        <w:rPr>
          <w:rFonts w:asciiTheme="majorBidi" w:hAnsiTheme="majorBidi" w:cstheme="majorBidi"/>
          <w:highlight w:val="yellow"/>
          <w:lang w:bidi="he-IL"/>
        </w:rPr>
        <w:t xml:space="preserve">, N. (2014) </w:t>
      </w:r>
      <w:r w:rsidRPr="00E52149">
        <w:rPr>
          <w:rFonts w:asciiTheme="majorBidi" w:hAnsiTheme="majorBidi" w:cstheme="majorBidi"/>
          <w:i/>
          <w:iCs/>
          <w:highlight w:val="yellow"/>
          <w:lang w:bidi="he-IL"/>
        </w:rPr>
        <w:t>Blue code of silence: Sexual harassment in the Israel Police.</w:t>
      </w:r>
      <w:r w:rsidRPr="00E52149">
        <w:rPr>
          <w:rFonts w:asciiTheme="majorBidi" w:hAnsiTheme="majorBidi" w:cstheme="majorBidi"/>
          <w:highlight w:val="yellow"/>
          <w:lang w:bidi="he-IL"/>
        </w:rPr>
        <w:t xml:space="preserve"> Tel Aviv. Association for Civil Rights in Israel.</w:t>
      </w:r>
    </w:p>
    <w:p w14:paraId="75F59081"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Levenkron</w:t>
      </w:r>
      <w:proofErr w:type="spellEnd"/>
      <w:r w:rsidRPr="00E52149">
        <w:rPr>
          <w:rFonts w:asciiTheme="majorBidi" w:hAnsiTheme="majorBidi" w:cstheme="majorBidi"/>
          <w:highlight w:val="yellow"/>
          <w:lang w:bidi="he-IL"/>
        </w:rPr>
        <w:t xml:space="preserve">, N. (2024) </w:t>
      </w:r>
      <w:proofErr w:type="gramStart"/>
      <w:r w:rsidRPr="00E52149">
        <w:rPr>
          <w:rFonts w:asciiTheme="majorBidi" w:hAnsiTheme="majorBidi" w:cstheme="majorBidi"/>
          <w:i/>
          <w:iCs/>
          <w:highlight w:val="yellow"/>
          <w:lang w:bidi="he-IL"/>
        </w:rPr>
        <w:t>The</w:t>
      </w:r>
      <w:proofErr w:type="gramEnd"/>
      <w:r w:rsidRPr="00E52149">
        <w:rPr>
          <w:rFonts w:asciiTheme="majorBidi" w:hAnsiTheme="majorBidi" w:cstheme="majorBidi"/>
          <w:i/>
          <w:iCs/>
          <w:highlight w:val="yellow"/>
          <w:lang w:bidi="he-IL"/>
        </w:rPr>
        <w:t xml:space="preserve"> cost of policing: Trauma and psychological support in the Israel Police.</w:t>
      </w:r>
      <w:r w:rsidRPr="00E52149">
        <w:rPr>
          <w:rFonts w:asciiTheme="majorBidi" w:hAnsiTheme="majorBidi" w:cstheme="majorBidi"/>
          <w:highlight w:val="yellow"/>
          <w:lang w:bidi="he-IL"/>
        </w:rPr>
        <w:t xml:space="preserve"> Jerusalem. Israel Democracy Institute.</w:t>
      </w:r>
    </w:p>
    <w:p w14:paraId="68B5AA75" w14:textId="77777777" w:rsidR="00E52149" w:rsidRPr="00B055B2" w:rsidRDefault="00E52149" w:rsidP="00861C59">
      <w:pPr>
        <w:tabs>
          <w:tab w:val="left" w:pos="923"/>
        </w:tabs>
        <w:spacing w:line="360" w:lineRule="auto"/>
        <w:rPr>
          <w:rFonts w:asciiTheme="majorBidi" w:hAnsiTheme="majorBidi" w:cstheme="majorBidi"/>
          <w:lang w:bidi="he-IL"/>
        </w:rPr>
      </w:pPr>
      <w:proofErr w:type="spellStart"/>
      <w:r w:rsidRPr="00B055B2">
        <w:rPr>
          <w:rFonts w:asciiTheme="majorBidi" w:hAnsiTheme="majorBidi" w:cstheme="majorBidi"/>
          <w:lang w:bidi="he-IL"/>
        </w:rPr>
        <w:t>Lonsway</w:t>
      </w:r>
      <w:proofErr w:type="spellEnd"/>
      <w:r w:rsidRPr="00B055B2">
        <w:rPr>
          <w:rFonts w:asciiTheme="majorBidi" w:hAnsiTheme="majorBidi" w:cstheme="majorBidi"/>
          <w:lang w:bidi="he-IL"/>
        </w:rPr>
        <w:t xml:space="preserve">, K. A. (2006) </w:t>
      </w:r>
      <w:r>
        <w:rPr>
          <w:rFonts w:asciiTheme="majorBidi" w:hAnsiTheme="majorBidi" w:cstheme="majorBidi"/>
          <w:lang w:bidi="he-IL"/>
        </w:rPr>
        <w:t>‘</w:t>
      </w:r>
      <w:r w:rsidRPr="00B055B2">
        <w:rPr>
          <w:rFonts w:asciiTheme="majorBidi" w:hAnsiTheme="majorBidi" w:cstheme="majorBidi"/>
          <w:lang w:bidi="he-IL"/>
        </w:rPr>
        <w:t>Policies on police officer domestic violence: Prevalence and specific provisions within large police agencies</w:t>
      </w:r>
      <w:r>
        <w:rPr>
          <w:rFonts w:asciiTheme="majorBidi" w:hAnsiTheme="majorBidi" w:cstheme="majorBidi"/>
          <w:lang w:bidi="he-IL"/>
        </w:rPr>
        <w:t>’,</w:t>
      </w:r>
      <w:r w:rsidRPr="00B055B2">
        <w:rPr>
          <w:rFonts w:asciiTheme="majorBidi" w:hAnsiTheme="majorBidi" w:cstheme="majorBidi"/>
          <w:lang w:bidi="he-IL"/>
        </w:rPr>
        <w:t xml:space="preserve"> </w:t>
      </w:r>
      <w:r w:rsidRPr="00905B74">
        <w:rPr>
          <w:rFonts w:asciiTheme="majorBidi" w:hAnsiTheme="majorBidi" w:cstheme="majorBidi"/>
          <w:i/>
          <w:iCs/>
          <w:lang w:bidi="he-IL"/>
        </w:rPr>
        <w:t xml:space="preserve">Police Quarterly, </w:t>
      </w:r>
      <w:r w:rsidRPr="00B055B2">
        <w:rPr>
          <w:rFonts w:asciiTheme="majorBidi" w:hAnsiTheme="majorBidi" w:cstheme="majorBidi"/>
          <w:lang w:bidi="he-IL"/>
        </w:rPr>
        <w:t xml:space="preserve">9(4), </w:t>
      </w:r>
      <w:r>
        <w:rPr>
          <w:rFonts w:asciiTheme="majorBidi" w:hAnsiTheme="majorBidi" w:cstheme="majorBidi"/>
          <w:lang w:bidi="he-IL"/>
        </w:rPr>
        <w:t xml:space="preserve">pp. </w:t>
      </w:r>
      <w:r w:rsidRPr="00B055B2">
        <w:rPr>
          <w:rFonts w:asciiTheme="majorBidi" w:hAnsiTheme="majorBidi" w:cstheme="majorBidi"/>
          <w:lang w:bidi="he-IL"/>
        </w:rPr>
        <w:t>397–422.</w:t>
      </w:r>
    </w:p>
    <w:p w14:paraId="1C59459D"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Malach</w:t>
      </w:r>
      <w:proofErr w:type="spellEnd"/>
      <w:r w:rsidRPr="00E52149">
        <w:rPr>
          <w:rFonts w:asciiTheme="majorBidi" w:hAnsiTheme="majorBidi" w:cstheme="majorBidi"/>
          <w:highlight w:val="yellow"/>
          <w:lang w:bidi="he-IL"/>
        </w:rPr>
        <w:t xml:space="preserve">-Pines, A. and </w:t>
      </w:r>
      <w:proofErr w:type="spellStart"/>
      <w:r w:rsidRPr="00E52149">
        <w:rPr>
          <w:rFonts w:asciiTheme="majorBidi" w:hAnsiTheme="majorBidi" w:cstheme="majorBidi"/>
          <w:highlight w:val="yellow"/>
          <w:lang w:bidi="he-IL"/>
        </w:rPr>
        <w:t>Keinan</w:t>
      </w:r>
      <w:proofErr w:type="spellEnd"/>
      <w:r w:rsidRPr="00E52149">
        <w:rPr>
          <w:rFonts w:asciiTheme="majorBidi" w:hAnsiTheme="majorBidi" w:cstheme="majorBidi"/>
          <w:highlight w:val="yellow"/>
          <w:lang w:bidi="he-IL"/>
        </w:rPr>
        <w:t xml:space="preserve">, G. (2003) </w:t>
      </w:r>
      <w:r w:rsidRPr="00E52149">
        <w:rPr>
          <w:rFonts w:asciiTheme="majorBidi" w:hAnsiTheme="majorBidi" w:cstheme="majorBidi"/>
          <w:i/>
          <w:iCs/>
          <w:highlight w:val="yellow"/>
          <w:lang w:bidi="he-IL"/>
        </w:rPr>
        <w:t xml:space="preserve">Stress and burnout among officers in the Israel Police. </w:t>
      </w:r>
      <w:r w:rsidRPr="00E52149">
        <w:rPr>
          <w:rFonts w:asciiTheme="majorBidi" w:hAnsiTheme="majorBidi" w:cstheme="majorBidi"/>
          <w:highlight w:val="yellow"/>
          <w:lang w:bidi="he-IL"/>
        </w:rPr>
        <w:t>Ministry of Public Security, Chief Scientist’s Office.</w:t>
      </w:r>
    </w:p>
    <w:p w14:paraId="27D05C39" w14:textId="77777777" w:rsidR="00E52149" w:rsidRPr="00B055B2" w:rsidRDefault="00E52149" w:rsidP="00861C59">
      <w:pPr>
        <w:tabs>
          <w:tab w:val="left" w:pos="923"/>
        </w:tabs>
        <w:spacing w:line="360" w:lineRule="auto"/>
        <w:rPr>
          <w:rFonts w:asciiTheme="majorBidi" w:hAnsiTheme="majorBidi" w:cstheme="majorBidi"/>
          <w:lang w:bidi="he-IL"/>
        </w:rPr>
      </w:pPr>
      <w:proofErr w:type="spellStart"/>
      <w:r w:rsidRPr="00905B74">
        <w:rPr>
          <w:rFonts w:asciiTheme="majorBidi" w:hAnsiTheme="majorBidi" w:cstheme="majorBidi"/>
          <w:lang w:bidi="he-IL"/>
        </w:rPr>
        <w:lastRenderedPageBreak/>
        <w:t>Micucci</w:t>
      </w:r>
      <w:proofErr w:type="spellEnd"/>
      <w:r w:rsidRPr="00905B74">
        <w:rPr>
          <w:rFonts w:asciiTheme="majorBidi" w:hAnsiTheme="majorBidi" w:cstheme="majorBidi"/>
          <w:lang w:bidi="he-IL"/>
        </w:rPr>
        <w:t>, A.</w:t>
      </w:r>
      <w:r>
        <w:rPr>
          <w:rFonts w:asciiTheme="majorBidi" w:hAnsiTheme="majorBidi" w:cstheme="majorBidi"/>
          <w:lang w:bidi="he-IL"/>
        </w:rPr>
        <w:t xml:space="preserve"> </w:t>
      </w:r>
      <w:r w:rsidRPr="00905B74">
        <w:rPr>
          <w:rFonts w:asciiTheme="majorBidi" w:hAnsiTheme="majorBidi" w:cstheme="majorBidi"/>
          <w:lang w:bidi="he-IL"/>
        </w:rPr>
        <w:t xml:space="preserve">J. and </w:t>
      </w:r>
      <w:proofErr w:type="spellStart"/>
      <w:r w:rsidRPr="00905B74">
        <w:rPr>
          <w:rFonts w:asciiTheme="majorBidi" w:hAnsiTheme="majorBidi" w:cstheme="majorBidi"/>
          <w:lang w:bidi="he-IL"/>
        </w:rPr>
        <w:t>Gomme</w:t>
      </w:r>
      <w:proofErr w:type="spellEnd"/>
      <w:r w:rsidRPr="00905B74">
        <w:rPr>
          <w:rFonts w:asciiTheme="majorBidi" w:hAnsiTheme="majorBidi" w:cstheme="majorBidi"/>
          <w:lang w:bidi="he-IL"/>
        </w:rPr>
        <w:t>, I.</w:t>
      </w:r>
      <w:r>
        <w:rPr>
          <w:rFonts w:asciiTheme="majorBidi" w:hAnsiTheme="majorBidi" w:cstheme="majorBidi"/>
          <w:lang w:bidi="he-IL"/>
        </w:rPr>
        <w:t xml:space="preserve"> </w:t>
      </w:r>
      <w:r w:rsidRPr="00905B74">
        <w:rPr>
          <w:rFonts w:asciiTheme="majorBidi" w:hAnsiTheme="majorBidi" w:cstheme="majorBidi"/>
          <w:lang w:bidi="he-IL"/>
        </w:rPr>
        <w:t xml:space="preserve">M. (2005) ‘American police and subcultural support for the use of excessive force’, </w:t>
      </w:r>
      <w:r w:rsidRPr="00905B74">
        <w:rPr>
          <w:rFonts w:asciiTheme="majorBidi" w:hAnsiTheme="majorBidi" w:cstheme="majorBidi"/>
          <w:i/>
          <w:iCs/>
          <w:lang w:bidi="he-IL"/>
        </w:rPr>
        <w:t>Journal of Criminal Justice,</w:t>
      </w:r>
      <w:r w:rsidRPr="00905B74">
        <w:rPr>
          <w:rFonts w:asciiTheme="majorBidi" w:hAnsiTheme="majorBidi" w:cstheme="majorBidi"/>
          <w:lang w:bidi="he-IL"/>
        </w:rPr>
        <w:t xml:space="preserve"> 33(5), pp. 487–500.</w:t>
      </w:r>
    </w:p>
    <w:p w14:paraId="7F6EB56B" w14:textId="77777777" w:rsidR="00E52149" w:rsidRPr="00B055B2" w:rsidRDefault="00E52149" w:rsidP="00861C59">
      <w:pPr>
        <w:tabs>
          <w:tab w:val="left" w:pos="923"/>
        </w:tabs>
        <w:spacing w:line="360" w:lineRule="auto"/>
        <w:rPr>
          <w:rFonts w:asciiTheme="majorBidi" w:hAnsiTheme="majorBidi" w:cstheme="majorBidi"/>
          <w:lang w:bidi="he-IL"/>
        </w:rPr>
      </w:pPr>
      <w:r w:rsidRPr="00905B74">
        <w:rPr>
          <w:rFonts w:asciiTheme="majorBidi" w:hAnsiTheme="majorBidi" w:cstheme="majorBidi"/>
          <w:lang w:bidi="he-IL"/>
        </w:rPr>
        <w:t xml:space="preserve">Miller, L. (2007) ‘Police families: stresses, syndromes, and solutions’, </w:t>
      </w:r>
      <w:r w:rsidRPr="00905B74">
        <w:rPr>
          <w:rFonts w:asciiTheme="majorBidi" w:hAnsiTheme="majorBidi" w:cstheme="majorBidi"/>
          <w:i/>
          <w:iCs/>
          <w:lang w:bidi="he-IL"/>
        </w:rPr>
        <w:t>The American Journal of Family Therapy,</w:t>
      </w:r>
      <w:r w:rsidRPr="00905B74">
        <w:rPr>
          <w:rFonts w:asciiTheme="majorBidi" w:hAnsiTheme="majorBidi" w:cstheme="majorBidi"/>
          <w:lang w:bidi="he-IL"/>
        </w:rPr>
        <w:t xml:space="preserve"> 35(1), pp. 21–40.</w:t>
      </w:r>
    </w:p>
    <w:p w14:paraId="5532CB59" w14:textId="77777777" w:rsidR="00E52149" w:rsidRPr="00B055B2" w:rsidRDefault="00E52149" w:rsidP="00861C59">
      <w:pPr>
        <w:tabs>
          <w:tab w:val="left" w:pos="923"/>
        </w:tabs>
        <w:spacing w:line="360" w:lineRule="auto"/>
        <w:rPr>
          <w:rFonts w:asciiTheme="majorBidi" w:hAnsiTheme="majorBidi" w:cstheme="majorBidi"/>
          <w:lang w:bidi="he-IL"/>
        </w:rPr>
      </w:pPr>
      <w:r w:rsidRPr="00905B74">
        <w:rPr>
          <w:rFonts w:asciiTheme="majorBidi" w:hAnsiTheme="majorBidi" w:cstheme="majorBidi"/>
          <w:lang w:bidi="he-IL"/>
        </w:rPr>
        <w:t xml:space="preserve">Narayanan, G. (2005) ‘Theorizing police response to domestic violence in the Singaporean context: </w:t>
      </w:r>
      <w:r>
        <w:rPr>
          <w:rFonts w:asciiTheme="majorBidi" w:hAnsiTheme="majorBidi" w:cstheme="majorBidi"/>
          <w:lang w:bidi="he-IL"/>
        </w:rPr>
        <w:t>P</w:t>
      </w:r>
      <w:r w:rsidRPr="00905B74">
        <w:rPr>
          <w:rFonts w:asciiTheme="majorBidi" w:hAnsiTheme="majorBidi" w:cstheme="majorBidi"/>
          <w:lang w:bidi="he-IL"/>
        </w:rPr>
        <w:t xml:space="preserve">olice subculture revisited’, </w:t>
      </w:r>
      <w:r w:rsidRPr="00905B74">
        <w:rPr>
          <w:rFonts w:asciiTheme="majorBidi" w:hAnsiTheme="majorBidi" w:cstheme="majorBidi"/>
          <w:i/>
          <w:iCs/>
          <w:lang w:bidi="he-IL"/>
        </w:rPr>
        <w:t>Journal of Criminal Justice,</w:t>
      </w:r>
      <w:r w:rsidRPr="00905B74">
        <w:rPr>
          <w:rFonts w:asciiTheme="majorBidi" w:hAnsiTheme="majorBidi" w:cstheme="majorBidi"/>
          <w:lang w:bidi="he-IL"/>
        </w:rPr>
        <w:t xml:space="preserve"> 33(5), pp. 429–439.</w:t>
      </w:r>
    </w:p>
    <w:p w14:paraId="18AFEA61" w14:textId="77777777" w:rsidR="00E52149" w:rsidRPr="00B055B2" w:rsidRDefault="00E52149" w:rsidP="00861C59">
      <w:pPr>
        <w:tabs>
          <w:tab w:val="left" w:pos="923"/>
        </w:tabs>
        <w:spacing w:line="360" w:lineRule="auto"/>
        <w:rPr>
          <w:rFonts w:asciiTheme="majorBidi" w:hAnsiTheme="majorBidi" w:cstheme="majorBidi"/>
          <w:lang w:bidi="he-IL"/>
        </w:rPr>
      </w:pPr>
      <w:proofErr w:type="spellStart"/>
      <w:r w:rsidRPr="00905B74">
        <w:rPr>
          <w:rFonts w:asciiTheme="majorBidi" w:hAnsiTheme="majorBidi" w:cstheme="majorBidi"/>
          <w:lang w:bidi="he-IL"/>
        </w:rPr>
        <w:t>Oehme</w:t>
      </w:r>
      <w:proofErr w:type="spellEnd"/>
      <w:r w:rsidRPr="00905B74">
        <w:rPr>
          <w:rFonts w:asciiTheme="majorBidi" w:hAnsiTheme="majorBidi" w:cstheme="majorBidi"/>
          <w:lang w:bidi="he-IL"/>
        </w:rPr>
        <w:t xml:space="preserve">, K., Donnelly, E.A. and Martin, A. (2012) ‘Alcohol abuse, PTSD, and officer-committed domestic violence’, </w:t>
      </w:r>
      <w:r w:rsidRPr="00905B74">
        <w:rPr>
          <w:rFonts w:asciiTheme="majorBidi" w:hAnsiTheme="majorBidi" w:cstheme="majorBidi"/>
          <w:i/>
          <w:iCs/>
          <w:lang w:bidi="he-IL"/>
        </w:rPr>
        <w:t xml:space="preserve">Policing: A Journal of Policy and Practice, </w:t>
      </w:r>
      <w:r w:rsidRPr="00905B74">
        <w:rPr>
          <w:rFonts w:asciiTheme="majorBidi" w:hAnsiTheme="majorBidi" w:cstheme="majorBidi"/>
          <w:lang w:bidi="he-IL"/>
        </w:rPr>
        <w:t>6(4), pp. 418–430.</w:t>
      </w:r>
    </w:p>
    <w:p w14:paraId="2FBF44EF" w14:textId="77777777" w:rsidR="00E52149" w:rsidRPr="00B055B2" w:rsidRDefault="00E52149" w:rsidP="00861C59">
      <w:pPr>
        <w:tabs>
          <w:tab w:val="left" w:pos="923"/>
        </w:tabs>
        <w:spacing w:line="360" w:lineRule="auto"/>
        <w:rPr>
          <w:rFonts w:asciiTheme="majorBidi" w:hAnsiTheme="majorBidi" w:cstheme="majorBidi"/>
          <w:lang w:bidi="he-IL"/>
        </w:rPr>
      </w:pPr>
      <w:proofErr w:type="spellStart"/>
      <w:r w:rsidRPr="00905B74">
        <w:rPr>
          <w:rFonts w:asciiTheme="majorBidi" w:hAnsiTheme="majorBidi" w:cstheme="majorBidi"/>
          <w:lang w:bidi="he-IL"/>
        </w:rPr>
        <w:t>Ranes</w:t>
      </w:r>
      <w:proofErr w:type="spellEnd"/>
      <w:r w:rsidRPr="00905B74">
        <w:rPr>
          <w:rFonts w:asciiTheme="majorBidi" w:hAnsiTheme="majorBidi" w:cstheme="majorBidi"/>
          <w:lang w:bidi="he-IL"/>
        </w:rPr>
        <w:t xml:space="preserve">, B. (2016) ‘Alcohol use and abuse among law enforcement: a critical analysis’, </w:t>
      </w:r>
      <w:r w:rsidRPr="00905B74">
        <w:rPr>
          <w:rFonts w:asciiTheme="majorBidi" w:hAnsiTheme="majorBidi" w:cstheme="majorBidi"/>
          <w:i/>
          <w:iCs/>
          <w:lang w:bidi="he-IL"/>
        </w:rPr>
        <w:t xml:space="preserve">Journal of Law Enforcement, </w:t>
      </w:r>
      <w:r w:rsidRPr="00905B74">
        <w:rPr>
          <w:rFonts w:asciiTheme="majorBidi" w:hAnsiTheme="majorBidi" w:cstheme="majorBidi"/>
          <w:lang w:bidi="he-IL"/>
        </w:rPr>
        <w:t>5(6), pp. 1–3.</w:t>
      </w:r>
    </w:p>
    <w:p w14:paraId="57C4596B" w14:textId="77777777" w:rsidR="00E52149" w:rsidRPr="00B055B2" w:rsidRDefault="00E52149" w:rsidP="00031E9A">
      <w:pPr>
        <w:tabs>
          <w:tab w:val="left" w:pos="923"/>
        </w:tabs>
        <w:spacing w:line="360" w:lineRule="auto"/>
        <w:rPr>
          <w:rFonts w:asciiTheme="majorBidi" w:hAnsiTheme="majorBidi" w:cstheme="majorBidi"/>
          <w:lang w:bidi="he-IL"/>
        </w:rPr>
      </w:pPr>
      <w:proofErr w:type="spellStart"/>
      <w:r w:rsidRPr="00E52149">
        <w:rPr>
          <w:rFonts w:asciiTheme="majorBidi" w:hAnsiTheme="majorBidi" w:cstheme="majorBidi"/>
          <w:highlight w:val="yellow"/>
          <w:lang w:bidi="he-IL"/>
        </w:rPr>
        <w:t>Sasson</w:t>
      </w:r>
      <w:proofErr w:type="spellEnd"/>
      <w:r w:rsidRPr="00E52149">
        <w:rPr>
          <w:rFonts w:asciiTheme="majorBidi" w:hAnsiTheme="majorBidi" w:cstheme="majorBidi"/>
          <w:highlight w:val="yellow"/>
          <w:lang w:bidi="he-IL"/>
        </w:rPr>
        <w:t xml:space="preserve">-Levy, O. (2006). </w:t>
      </w:r>
      <w:r w:rsidRPr="00353AD5">
        <w:rPr>
          <w:rFonts w:asciiTheme="majorBidi" w:hAnsiTheme="majorBidi" w:cstheme="majorBidi"/>
          <w:i/>
          <w:iCs/>
          <w:highlight w:val="yellow"/>
          <w:lang w:bidi="he-IL"/>
        </w:rPr>
        <w:t>Identities in uniform: Masculinity and femininity in the Israeli military.</w:t>
      </w:r>
      <w:r w:rsidRPr="00E52149">
        <w:rPr>
          <w:rFonts w:asciiTheme="majorBidi" w:hAnsiTheme="majorBidi" w:cstheme="majorBidi"/>
          <w:highlight w:val="yellow"/>
          <w:lang w:bidi="he-IL"/>
        </w:rPr>
        <w:t xml:space="preserve"> Jerusalem. </w:t>
      </w:r>
      <w:proofErr w:type="spellStart"/>
      <w:r w:rsidRPr="00E52149">
        <w:rPr>
          <w:rFonts w:asciiTheme="majorBidi" w:hAnsiTheme="majorBidi" w:cstheme="majorBidi"/>
          <w:highlight w:val="yellow"/>
          <w:lang w:bidi="he-IL"/>
        </w:rPr>
        <w:t>Magnes</w:t>
      </w:r>
      <w:proofErr w:type="spellEnd"/>
      <w:r w:rsidRPr="00E52149">
        <w:rPr>
          <w:rFonts w:asciiTheme="majorBidi" w:hAnsiTheme="majorBidi" w:cstheme="majorBidi"/>
          <w:highlight w:val="yellow"/>
          <w:lang w:bidi="he-IL"/>
        </w:rPr>
        <w:t>.</w:t>
      </w:r>
    </w:p>
    <w:p w14:paraId="22A73A7C" w14:textId="77777777" w:rsidR="00E52149" w:rsidRPr="00B055B2" w:rsidRDefault="00E52149" w:rsidP="00861C59">
      <w:pPr>
        <w:tabs>
          <w:tab w:val="left" w:pos="923"/>
        </w:tabs>
        <w:spacing w:line="360" w:lineRule="auto"/>
        <w:rPr>
          <w:rFonts w:asciiTheme="majorBidi" w:hAnsiTheme="majorBidi" w:cstheme="majorBidi"/>
          <w:lang w:bidi="he-IL"/>
        </w:rPr>
      </w:pPr>
      <w:proofErr w:type="spellStart"/>
      <w:r w:rsidRPr="00905B74">
        <w:rPr>
          <w:rFonts w:asciiTheme="majorBidi" w:hAnsiTheme="majorBidi" w:cstheme="majorBidi"/>
          <w:lang w:bidi="he-IL"/>
        </w:rPr>
        <w:t>Shernock</w:t>
      </w:r>
      <w:proofErr w:type="spellEnd"/>
      <w:r w:rsidRPr="00905B74">
        <w:rPr>
          <w:rFonts w:asciiTheme="majorBidi" w:hAnsiTheme="majorBidi" w:cstheme="majorBidi"/>
          <w:lang w:bidi="he-IL"/>
        </w:rPr>
        <w:t>, S.</w:t>
      </w:r>
      <w:r>
        <w:rPr>
          <w:rFonts w:asciiTheme="majorBidi" w:hAnsiTheme="majorBidi" w:cstheme="majorBidi"/>
          <w:lang w:bidi="he-IL"/>
        </w:rPr>
        <w:t xml:space="preserve"> </w:t>
      </w:r>
      <w:r w:rsidRPr="00905B74">
        <w:rPr>
          <w:rFonts w:asciiTheme="majorBidi" w:hAnsiTheme="majorBidi" w:cstheme="majorBidi"/>
          <w:lang w:bidi="he-IL"/>
        </w:rPr>
        <w:t xml:space="preserve">K. (1995) ‘Police officer support for quasi-military stress training and orientation toward outsiders and non-law enforcement functions’, </w:t>
      </w:r>
      <w:r w:rsidRPr="00905B74">
        <w:rPr>
          <w:rFonts w:asciiTheme="majorBidi" w:hAnsiTheme="majorBidi" w:cstheme="majorBidi"/>
          <w:i/>
          <w:iCs/>
          <w:lang w:bidi="he-IL"/>
        </w:rPr>
        <w:t>Journal of Police and Criminal Psychology,</w:t>
      </w:r>
      <w:r w:rsidRPr="00905B74">
        <w:rPr>
          <w:rFonts w:asciiTheme="majorBidi" w:hAnsiTheme="majorBidi" w:cstheme="majorBidi"/>
          <w:lang w:bidi="he-IL"/>
        </w:rPr>
        <w:t xml:space="preserve"> 10(1), pp. 20–29.</w:t>
      </w:r>
    </w:p>
    <w:p w14:paraId="047B6E02"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Shoham</w:t>
      </w:r>
      <w:proofErr w:type="spellEnd"/>
      <w:r w:rsidRPr="00E52149">
        <w:rPr>
          <w:rFonts w:asciiTheme="majorBidi" w:hAnsiTheme="majorBidi" w:cstheme="majorBidi"/>
          <w:highlight w:val="yellow"/>
          <w:lang w:bidi="he-IL"/>
        </w:rPr>
        <w:t xml:space="preserve">, A. (2004) Intimate partner violence in Israel: Legislation and enforcement. </w:t>
      </w:r>
      <w:r w:rsidRPr="00E52149">
        <w:rPr>
          <w:rFonts w:asciiTheme="majorBidi" w:hAnsiTheme="majorBidi" w:cstheme="majorBidi"/>
          <w:i/>
          <w:iCs/>
          <w:highlight w:val="yellow"/>
          <w:lang w:bidi="he-IL"/>
        </w:rPr>
        <w:t>Israeli Criminology,</w:t>
      </w:r>
      <w:r w:rsidRPr="00E52149">
        <w:rPr>
          <w:rFonts w:asciiTheme="majorBidi" w:hAnsiTheme="majorBidi" w:cstheme="majorBidi"/>
          <w:highlight w:val="yellow"/>
          <w:lang w:bidi="he-IL"/>
        </w:rPr>
        <w:t xml:space="preserve"> 3, pp. 105–132.</w:t>
      </w:r>
    </w:p>
    <w:p w14:paraId="0E37F6BB"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Shoham</w:t>
      </w:r>
      <w:proofErr w:type="spellEnd"/>
      <w:r w:rsidRPr="00E52149">
        <w:rPr>
          <w:rFonts w:asciiTheme="majorBidi" w:hAnsiTheme="majorBidi" w:cstheme="majorBidi"/>
          <w:highlight w:val="yellow"/>
          <w:lang w:bidi="he-IL"/>
        </w:rPr>
        <w:t xml:space="preserve">, A. and </w:t>
      </w:r>
      <w:proofErr w:type="spellStart"/>
      <w:r w:rsidRPr="00E52149">
        <w:rPr>
          <w:rFonts w:asciiTheme="majorBidi" w:hAnsiTheme="majorBidi" w:cstheme="majorBidi"/>
          <w:highlight w:val="yellow"/>
          <w:lang w:bidi="he-IL"/>
        </w:rPr>
        <w:t>Regev</w:t>
      </w:r>
      <w:proofErr w:type="spellEnd"/>
      <w:r w:rsidRPr="00E52149">
        <w:rPr>
          <w:rFonts w:asciiTheme="majorBidi" w:hAnsiTheme="majorBidi" w:cstheme="majorBidi"/>
          <w:highlight w:val="yellow"/>
          <w:lang w:bidi="he-IL"/>
        </w:rPr>
        <w:t xml:space="preserve">, Y. (1998) ‘Police officers’ attitudes toward police intervention in intimate partner violence’, </w:t>
      </w:r>
      <w:r w:rsidRPr="00E52149">
        <w:rPr>
          <w:rFonts w:asciiTheme="majorBidi" w:hAnsiTheme="majorBidi" w:cstheme="majorBidi"/>
          <w:i/>
          <w:iCs/>
          <w:highlight w:val="yellow"/>
          <w:lang w:bidi="he-IL"/>
        </w:rPr>
        <w:t>Police and Society,</w:t>
      </w:r>
      <w:r w:rsidRPr="00E52149">
        <w:rPr>
          <w:rFonts w:asciiTheme="majorBidi" w:hAnsiTheme="majorBidi" w:cstheme="majorBidi"/>
          <w:highlight w:val="yellow"/>
          <w:lang w:bidi="he-IL"/>
        </w:rPr>
        <w:t xml:space="preserve"> 2, pp. 5–31.</w:t>
      </w:r>
    </w:p>
    <w:p w14:paraId="140119A9"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Shoham</w:t>
      </w:r>
      <w:proofErr w:type="spellEnd"/>
      <w:r w:rsidRPr="00E52149">
        <w:rPr>
          <w:rFonts w:asciiTheme="majorBidi" w:hAnsiTheme="majorBidi" w:cstheme="majorBidi"/>
          <w:highlight w:val="yellow"/>
          <w:lang w:bidi="he-IL"/>
        </w:rPr>
        <w:t xml:space="preserve">, A. and </w:t>
      </w:r>
      <w:proofErr w:type="spellStart"/>
      <w:r w:rsidRPr="00E52149">
        <w:rPr>
          <w:rFonts w:asciiTheme="majorBidi" w:hAnsiTheme="majorBidi" w:cstheme="majorBidi"/>
          <w:highlight w:val="yellow"/>
          <w:lang w:bidi="he-IL"/>
        </w:rPr>
        <w:t>Regev</w:t>
      </w:r>
      <w:proofErr w:type="spellEnd"/>
      <w:r w:rsidRPr="00E52149">
        <w:rPr>
          <w:rFonts w:asciiTheme="majorBidi" w:hAnsiTheme="majorBidi" w:cstheme="majorBidi"/>
          <w:highlight w:val="yellow"/>
          <w:lang w:bidi="he-IL"/>
        </w:rPr>
        <w:t xml:space="preserve">, Y. (2000) ‘Police officers’ attitudes toward handling complaints of domestic violence by husbands against their wives’, </w:t>
      </w:r>
      <w:r w:rsidRPr="00E52149">
        <w:rPr>
          <w:rFonts w:asciiTheme="majorBidi" w:hAnsiTheme="majorBidi" w:cstheme="majorBidi"/>
          <w:i/>
          <w:iCs/>
          <w:highlight w:val="yellow"/>
          <w:lang w:bidi="he-IL"/>
        </w:rPr>
        <w:t>Police and Society,</w:t>
      </w:r>
      <w:r w:rsidRPr="00E52149">
        <w:rPr>
          <w:rFonts w:asciiTheme="majorBidi" w:hAnsiTheme="majorBidi" w:cstheme="majorBidi"/>
          <w:highlight w:val="yellow"/>
          <w:lang w:bidi="he-IL"/>
        </w:rPr>
        <w:t xml:space="preserve"> 4, pp. 135–154.</w:t>
      </w:r>
    </w:p>
    <w:p w14:paraId="094224F1" w14:textId="5587CA3F" w:rsidR="00E52149" w:rsidRPr="00B055B2" w:rsidRDefault="00E52149" w:rsidP="00861C59">
      <w:pPr>
        <w:tabs>
          <w:tab w:val="left" w:pos="923"/>
        </w:tabs>
        <w:spacing w:line="360" w:lineRule="auto"/>
        <w:rPr>
          <w:rFonts w:asciiTheme="majorBidi" w:hAnsiTheme="majorBidi" w:cstheme="majorBidi"/>
          <w:lang w:bidi="he-IL"/>
        </w:rPr>
      </w:pPr>
      <w:r w:rsidRPr="00905B74">
        <w:rPr>
          <w:rFonts w:asciiTheme="majorBidi" w:hAnsiTheme="majorBidi" w:cstheme="majorBidi"/>
          <w:lang w:bidi="he-IL"/>
        </w:rPr>
        <w:t xml:space="preserve">Skolnick, J.H. (2022) </w:t>
      </w:r>
      <w:proofErr w:type="gramStart"/>
      <w:r w:rsidRPr="00905B74">
        <w:rPr>
          <w:rFonts w:asciiTheme="majorBidi" w:hAnsiTheme="majorBidi" w:cstheme="majorBidi"/>
          <w:i/>
          <w:iCs/>
          <w:lang w:bidi="he-IL"/>
        </w:rPr>
        <w:t>The</w:t>
      </w:r>
      <w:proofErr w:type="gramEnd"/>
      <w:r w:rsidRPr="00905B74">
        <w:rPr>
          <w:rFonts w:asciiTheme="majorBidi" w:hAnsiTheme="majorBidi" w:cstheme="majorBidi"/>
          <w:i/>
          <w:iCs/>
          <w:lang w:bidi="he-IL"/>
        </w:rPr>
        <w:t xml:space="preserve"> thin blue line: </w:t>
      </w:r>
      <w:r>
        <w:rPr>
          <w:rFonts w:asciiTheme="majorBidi" w:hAnsiTheme="majorBidi" w:cstheme="majorBidi"/>
          <w:i/>
          <w:iCs/>
          <w:lang w:bidi="he-IL"/>
        </w:rPr>
        <w:t>T</w:t>
      </w:r>
      <w:r w:rsidRPr="00905B74">
        <w:rPr>
          <w:rFonts w:asciiTheme="majorBidi" w:hAnsiTheme="majorBidi" w:cstheme="majorBidi"/>
          <w:i/>
          <w:iCs/>
          <w:lang w:bidi="he-IL"/>
        </w:rPr>
        <w:t>he politics of policing.</w:t>
      </w:r>
      <w:r w:rsidRPr="00905B74">
        <w:rPr>
          <w:rFonts w:asciiTheme="majorBidi" w:hAnsiTheme="majorBidi" w:cstheme="majorBidi"/>
          <w:lang w:bidi="he-IL"/>
        </w:rPr>
        <w:t xml:space="preserve"> </w:t>
      </w:r>
      <w:r w:rsidR="00353AD5">
        <w:rPr>
          <w:rFonts w:asciiTheme="majorBidi" w:hAnsiTheme="majorBidi" w:cstheme="majorBidi"/>
          <w:lang w:bidi="he-IL"/>
        </w:rPr>
        <w:t xml:space="preserve">Oxford. </w:t>
      </w:r>
      <w:r w:rsidRPr="00905B74">
        <w:rPr>
          <w:rFonts w:asciiTheme="majorBidi" w:hAnsiTheme="majorBidi" w:cstheme="majorBidi"/>
          <w:lang w:bidi="he-IL"/>
        </w:rPr>
        <w:t>Oxford University Press.</w:t>
      </w:r>
    </w:p>
    <w:p w14:paraId="498FDC09" w14:textId="77777777" w:rsidR="00E52149" w:rsidRPr="00B055B2" w:rsidRDefault="00E52149" w:rsidP="00861C59">
      <w:pPr>
        <w:tabs>
          <w:tab w:val="left" w:pos="923"/>
        </w:tabs>
        <w:spacing w:line="360" w:lineRule="auto"/>
        <w:rPr>
          <w:rFonts w:asciiTheme="majorBidi" w:hAnsiTheme="majorBidi" w:cstheme="majorBidi"/>
          <w:lang w:bidi="he-IL"/>
        </w:rPr>
      </w:pPr>
      <w:r w:rsidRPr="0049501B">
        <w:rPr>
          <w:rFonts w:asciiTheme="majorBidi" w:hAnsiTheme="majorBidi" w:cstheme="majorBidi"/>
          <w:lang w:bidi="he-IL"/>
        </w:rPr>
        <w:t xml:space="preserve">Stark, E. and Hester, M. (2018) ‘Coercive control: </w:t>
      </w:r>
      <w:r>
        <w:rPr>
          <w:rFonts w:asciiTheme="majorBidi" w:hAnsiTheme="majorBidi" w:cstheme="majorBidi"/>
          <w:lang w:bidi="he-IL"/>
        </w:rPr>
        <w:t>U</w:t>
      </w:r>
      <w:r w:rsidRPr="0049501B">
        <w:rPr>
          <w:rFonts w:asciiTheme="majorBidi" w:hAnsiTheme="majorBidi" w:cstheme="majorBidi"/>
          <w:lang w:bidi="he-IL"/>
        </w:rPr>
        <w:t xml:space="preserve">pdate and review’, </w:t>
      </w:r>
      <w:r w:rsidRPr="0049501B">
        <w:rPr>
          <w:rFonts w:asciiTheme="majorBidi" w:hAnsiTheme="majorBidi" w:cstheme="majorBidi"/>
          <w:i/>
          <w:iCs/>
          <w:lang w:bidi="he-IL"/>
        </w:rPr>
        <w:t>Vi</w:t>
      </w:r>
      <w:bookmarkStart w:id="15" w:name="_GoBack"/>
      <w:bookmarkEnd w:id="15"/>
      <w:r w:rsidRPr="0049501B">
        <w:rPr>
          <w:rFonts w:asciiTheme="majorBidi" w:hAnsiTheme="majorBidi" w:cstheme="majorBidi"/>
          <w:i/>
          <w:iCs/>
          <w:lang w:bidi="he-IL"/>
        </w:rPr>
        <w:t xml:space="preserve">olence </w:t>
      </w:r>
      <w:proofErr w:type="gramStart"/>
      <w:r w:rsidRPr="0049501B">
        <w:rPr>
          <w:rFonts w:asciiTheme="majorBidi" w:hAnsiTheme="majorBidi" w:cstheme="majorBidi"/>
          <w:i/>
          <w:iCs/>
          <w:lang w:bidi="he-IL"/>
        </w:rPr>
        <w:t>Against</w:t>
      </w:r>
      <w:proofErr w:type="gramEnd"/>
      <w:r w:rsidRPr="0049501B">
        <w:rPr>
          <w:rFonts w:asciiTheme="majorBidi" w:hAnsiTheme="majorBidi" w:cstheme="majorBidi"/>
          <w:i/>
          <w:iCs/>
          <w:lang w:bidi="he-IL"/>
        </w:rPr>
        <w:t xml:space="preserve"> Women,</w:t>
      </w:r>
      <w:r w:rsidRPr="0049501B">
        <w:rPr>
          <w:rFonts w:asciiTheme="majorBidi" w:hAnsiTheme="majorBidi" w:cstheme="majorBidi"/>
          <w:lang w:bidi="he-IL"/>
        </w:rPr>
        <w:t xml:space="preserve"> 25(1), pp. 81–104.</w:t>
      </w:r>
    </w:p>
    <w:p w14:paraId="2EF91EBC" w14:textId="77777777" w:rsidR="00E52149" w:rsidRPr="00B055B2" w:rsidRDefault="00E52149" w:rsidP="00861C59">
      <w:pPr>
        <w:tabs>
          <w:tab w:val="left" w:pos="923"/>
        </w:tabs>
        <w:spacing w:line="360" w:lineRule="auto"/>
        <w:rPr>
          <w:rFonts w:asciiTheme="majorBidi" w:hAnsiTheme="majorBidi" w:cstheme="majorBidi"/>
          <w:lang w:bidi="he-IL"/>
        </w:rPr>
      </w:pPr>
      <w:r w:rsidRPr="0049501B">
        <w:rPr>
          <w:rFonts w:asciiTheme="majorBidi" w:hAnsiTheme="majorBidi" w:cstheme="majorBidi"/>
          <w:lang w:bidi="he-IL"/>
        </w:rPr>
        <w:lastRenderedPageBreak/>
        <w:t>Stinson, P.</w:t>
      </w:r>
      <w:r>
        <w:rPr>
          <w:rFonts w:asciiTheme="majorBidi" w:hAnsiTheme="majorBidi" w:cstheme="majorBidi"/>
          <w:lang w:bidi="he-IL"/>
        </w:rPr>
        <w:t xml:space="preserve"> </w:t>
      </w:r>
      <w:r w:rsidRPr="0049501B">
        <w:rPr>
          <w:rFonts w:asciiTheme="majorBidi" w:hAnsiTheme="majorBidi" w:cstheme="majorBidi"/>
          <w:lang w:bidi="he-IL"/>
        </w:rPr>
        <w:t xml:space="preserve">M. and </w:t>
      </w:r>
      <w:proofErr w:type="spellStart"/>
      <w:r w:rsidRPr="0049501B">
        <w:rPr>
          <w:rFonts w:asciiTheme="majorBidi" w:hAnsiTheme="majorBidi" w:cstheme="majorBidi"/>
          <w:lang w:bidi="he-IL"/>
        </w:rPr>
        <w:t>Liederbach</w:t>
      </w:r>
      <w:proofErr w:type="spellEnd"/>
      <w:r w:rsidRPr="0049501B">
        <w:rPr>
          <w:rFonts w:asciiTheme="majorBidi" w:hAnsiTheme="majorBidi" w:cstheme="majorBidi"/>
          <w:lang w:bidi="he-IL"/>
        </w:rPr>
        <w:t xml:space="preserve">, J. (2013) ‘Fox in the henhouse: </w:t>
      </w:r>
      <w:r>
        <w:rPr>
          <w:rFonts w:asciiTheme="majorBidi" w:hAnsiTheme="majorBidi" w:cstheme="majorBidi"/>
          <w:lang w:bidi="he-IL"/>
        </w:rPr>
        <w:t>A</w:t>
      </w:r>
      <w:r w:rsidRPr="0049501B">
        <w:rPr>
          <w:rFonts w:asciiTheme="majorBidi" w:hAnsiTheme="majorBidi" w:cstheme="majorBidi"/>
          <w:lang w:bidi="he-IL"/>
        </w:rPr>
        <w:t xml:space="preserve"> study of police officers arrested for crimes associated with domestic and/or family violence’, </w:t>
      </w:r>
      <w:r w:rsidRPr="0049501B">
        <w:rPr>
          <w:rFonts w:asciiTheme="majorBidi" w:hAnsiTheme="majorBidi" w:cstheme="majorBidi"/>
          <w:i/>
          <w:iCs/>
          <w:lang w:bidi="he-IL"/>
        </w:rPr>
        <w:t>Criminal Justice Policy Review,</w:t>
      </w:r>
      <w:r w:rsidRPr="0049501B">
        <w:rPr>
          <w:rFonts w:asciiTheme="majorBidi" w:hAnsiTheme="majorBidi" w:cstheme="majorBidi"/>
          <w:lang w:bidi="he-IL"/>
        </w:rPr>
        <w:t xml:space="preserve"> 24(5), pp. 601–625.</w:t>
      </w:r>
    </w:p>
    <w:p w14:paraId="261CE77E" w14:textId="77777777" w:rsidR="00E52149" w:rsidRPr="00B055B2" w:rsidRDefault="00E52149" w:rsidP="00861C59">
      <w:pPr>
        <w:tabs>
          <w:tab w:val="left" w:pos="923"/>
        </w:tabs>
        <w:spacing w:line="360" w:lineRule="auto"/>
        <w:rPr>
          <w:rFonts w:asciiTheme="majorBidi" w:hAnsiTheme="majorBidi" w:cstheme="majorBidi"/>
          <w:lang w:bidi="he-IL"/>
        </w:rPr>
      </w:pPr>
      <w:r w:rsidRPr="0049501B">
        <w:rPr>
          <w:rFonts w:asciiTheme="majorBidi" w:hAnsiTheme="majorBidi" w:cstheme="majorBidi"/>
          <w:lang w:bidi="he-IL"/>
        </w:rPr>
        <w:t>Sweeting, F., Cole, T. and Hills, P. (2022) ‘Is the blue wall of silence a fallacy in cases of police sexual misconduct?</w:t>
      </w:r>
      <w:proofErr w:type="gramStart"/>
      <w:r w:rsidRPr="0049501B">
        <w:rPr>
          <w:rFonts w:asciiTheme="majorBidi" w:hAnsiTheme="majorBidi" w:cstheme="majorBidi"/>
          <w:lang w:bidi="he-IL"/>
        </w:rPr>
        <w:t>’,</w:t>
      </w:r>
      <w:proofErr w:type="gramEnd"/>
      <w:r w:rsidRPr="0049501B">
        <w:rPr>
          <w:rFonts w:asciiTheme="majorBidi" w:hAnsiTheme="majorBidi" w:cstheme="majorBidi"/>
          <w:lang w:bidi="he-IL"/>
        </w:rPr>
        <w:t xml:space="preserve"> </w:t>
      </w:r>
      <w:r w:rsidRPr="0049501B">
        <w:rPr>
          <w:rFonts w:asciiTheme="majorBidi" w:hAnsiTheme="majorBidi" w:cstheme="majorBidi"/>
          <w:i/>
          <w:iCs/>
          <w:lang w:bidi="he-IL"/>
        </w:rPr>
        <w:t>International Journal of Police Science and Management,</w:t>
      </w:r>
      <w:r w:rsidRPr="0049501B">
        <w:rPr>
          <w:rFonts w:asciiTheme="majorBidi" w:hAnsiTheme="majorBidi" w:cstheme="majorBidi"/>
          <w:lang w:bidi="he-IL"/>
        </w:rPr>
        <w:t xml:space="preserve"> 24(3), pp. 285–296.</w:t>
      </w:r>
    </w:p>
    <w:p w14:paraId="3DE99468" w14:textId="77777777" w:rsidR="00E52149" w:rsidRPr="00E52149" w:rsidRDefault="00E52149" w:rsidP="00031E9A">
      <w:pPr>
        <w:tabs>
          <w:tab w:val="left" w:pos="923"/>
        </w:tabs>
        <w:spacing w:line="360" w:lineRule="auto"/>
        <w:rPr>
          <w:rFonts w:asciiTheme="majorBidi" w:hAnsiTheme="majorBidi" w:cstheme="majorBidi"/>
          <w:highlight w:val="yellow"/>
          <w:lang w:bidi="he-IL"/>
        </w:rPr>
      </w:pPr>
      <w:proofErr w:type="spellStart"/>
      <w:r w:rsidRPr="00E52149">
        <w:rPr>
          <w:rFonts w:asciiTheme="majorBidi" w:hAnsiTheme="majorBidi" w:cstheme="majorBidi"/>
          <w:highlight w:val="yellow"/>
          <w:lang w:bidi="he-IL"/>
        </w:rPr>
        <w:t>Yassour-Borochowitz</w:t>
      </w:r>
      <w:proofErr w:type="spellEnd"/>
      <w:r w:rsidRPr="00E52149">
        <w:rPr>
          <w:rFonts w:asciiTheme="majorBidi" w:hAnsiTheme="majorBidi" w:cstheme="majorBidi"/>
          <w:highlight w:val="yellow"/>
          <w:lang w:bidi="he-IL"/>
        </w:rPr>
        <w:t xml:space="preserve">, D. and </w:t>
      </w:r>
      <w:proofErr w:type="spellStart"/>
      <w:r w:rsidRPr="00E52149">
        <w:rPr>
          <w:rFonts w:asciiTheme="majorBidi" w:hAnsiTheme="majorBidi" w:cstheme="majorBidi"/>
          <w:highlight w:val="yellow"/>
          <w:lang w:bidi="he-IL"/>
        </w:rPr>
        <w:t>Lavi-Efrat</w:t>
      </w:r>
      <w:proofErr w:type="spellEnd"/>
      <w:r w:rsidRPr="00E52149">
        <w:rPr>
          <w:rFonts w:asciiTheme="majorBidi" w:hAnsiTheme="majorBidi" w:cstheme="majorBidi"/>
          <w:highlight w:val="yellow"/>
          <w:lang w:bidi="he-IL"/>
        </w:rPr>
        <w:t xml:space="preserve">, N. (2002) ‘Battered women’s attitudes toward the police’, </w:t>
      </w:r>
      <w:r w:rsidRPr="00E52149">
        <w:rPr>
          <w:rFonts w:asciiTheme="majorBidi" w:hAnsiTheme="majorBidi" w:cstheme="majorBidi"/>
          <w:i/>
          <w:iCs/>
          <w:highlight w:val="yellow"/>
          <w:lang w:bidi="he-IL"/>
        </w:rPr>
        <w:t>Police and Society</w:t>
      </w:r>
      <w:r w:rsidRPr="00E52149">
        <w:rPr>
          <w:rFonts w:asciiTheme="majorBidi" w:hAnsiTheme="majorBidi" w:cstheme="majorBidi"/>
          <w:highlight w:val="yellow"/>
          <w:lang w:bidi="he-IL"/>
        </w:rPr>
        <w:t>, 6, pp. 82–97.</w:t>
      </w:r>
    </w:p>
    <w:p w14:paraId="44EF2622" w14:textId="77777777" w:rsidR="00E52149" w:rsidRPr="00861C59" w:rsidRDefault="00E52149" w:rsidP="0049501B">
      <w:pPr>
        <w:tabs>
          <w:tab w:val="left" w:pos="923"/>
        </w:tabs>
        <w:spacing w:line="360" w:lineRule="auto"/>
        <w:rPr>
          <w:rFonts w:asciiTheme="majorBidi" w:hAnsiTheme="majorBidi" w:cstheme="majorBidi"/>
          <w:lang w:val="en-GB" w:bidi="he-IL"/>
        </w:rPr>
      </w:pPr>
      <w:r w:rsidRPr="0049501B">
        <w:rPr>
          <w:rFonts w:asciiTheme="majorBidi" w:hAnsiTheme="majorBidi" w:cstheme="majorBidi"/>
          <w:lang w:bidi="he-IL"/>
        </w:rPr>
        <w:t xml:space="preserve">Zavala, E. and </w:t>
      </w:r>
      <w:proofErr w:type="spellStart"/>
      <w:r w:rsidRPr="0049501B">
        <w:rPr>
          <w:rFonts w:asciiTheme="majorBidi" w:hAnsiTheme="majorBidi" w:cstheme="majorBidi"/>
          <w:lang w:bidi="he-IL"/>
        </w:rPr>
        <w:t>Melander</w:t>
      </w:r>
      <w:proofErr w:type="spellEnd"/>
      <w:r w:rsidRPr="0049501B">
        <w:rPr>
          <w:rFonts w:asciiTheme="majorBidi" w:hAnsiTheme="majorBidi" w:cstheme="majorBidi"/>
          <w:lang w:bidi="he-IL"/>
        </w:rPr>
        <w:t>, L.</w:t>
      </w:r>
      <w:r>
        <w:rPr>
          <w:rFonts w:asciiTheme="majorBidi" w:hAnsiTheme="majorBidi" w:cstheme="majorBidi"/>
          <w:lang w:bidi="he-IL"/>
        </w:rPr>
        <w:t xml:space="preserve"> </w:t>
      </w:r>
      <w:r w:rsidRPr="0049501B">
        <w:rPr>
          <w:rFonts w:asciiTheme="majorBidi" w:hAnsiTheme="majorBidi" w:cstheme="majorBidi"/>
          <w:lang w:bidi="he-IL"/>
        </w:rPr>
        <w:t xml:space="preserve">A. (2019) ‘Intimate partner violence and psychological distress: </w:t>
      </w:r>
      <w:r>
        <w:rPr>
          <w:rFonts w:asciiTheme="majorBidi" w:hAnsiTheme="majorBidi" w:cstheme="majorBidi"/>
          <w:lang w:bidi="he-IL"/>
        </w:rPr>
        <w:t>T</w:t>
      </w:r>
      <w:r w:rsidRPr="0049501B">
        <w:rPr>
          <w:rFonts w:asciiTheme="majorBidi" w:hAnsiTheme="majorBidi" w:cstheme="majorBidi"/>
          <w:lang w:bidi="he-IL"/>
        </w:rPr>
        <w:t xml:space="preserve">he moderating role of social support among Mexican American college women’, </w:t>
      </w:r>
      <w:r w:rsidRPr="0049501B">
        <w:rPr>
          <w:rFonts w:asciiTheme="majorBidi" w:hAnsiTheme="majorBidi" w:cstheme="majorBidi"/>
          <w:i/>
          <w:iCs/>
          <w:lang w:bidi="he-IL"/>
        </w:rPr>
        <w:t>Journal of Interpersonal Violence,</w:t>
      </w:r>
      <w:r w:rsidRPr="0049501B">
        <w:rPr>
          <w:rFonts w:asciiTheme="majorBidi" w:hAnsiTheme="majorBidi" w:cstheme="majorBidi"/>
          <w:lang w:bidi="he-IL"/>
        </w:rPr>
        <w:t xml:space="preserve"> 36(11–12), pp. 5632–5660.</w:t>
      </w:r>
    </w:p>
    <w:sectPr w:rsidR="00E52149" w:rsidRPr="00861C5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niella Blau" w:date="2025-12-13T15:03:00Z" w:initials="DB">
    <w:p w14:paraId="6CCE77D8" w14:textId="77777777" w:rsidR="00237F38" w:rsidRPr="00B055B2" w:rsidRDefault="00237F38" w:rsidP="00237F38">
      <w:pPr>
        <w:pStyle w:val="CommentText"/>
      </w:pPr>
      <w:r w:rsidRPr="00B055B2">
        <w:rPr>
          <w:rStyle w:val="CommentReference"/>
        </w:rPr>
        <w:annotationRef/>
      </w:r>
      <w:r w:rsidRPr="00B055B2">
        <w:t>Add 4-6 keywords per the journal instructions</w:t>
      </w:r>
    </w:p>
  </w:comment>
  <w:comment w:id="1" w:author="Daniella Blau" w:date="2025-12-13T15:08:00Z" w:initials="DB">
    <w:p w14:paraId="41E1515E" w14:textId="77777777" w:rsidR="00E146C3" w:rsidRPr="00B055B2" w:rsidRDefault="00E146C3" w:rsidP="00E146C3">
      <w:pPr>
        <w:pStyle w:val="CommentText"/>
      </w:pPr>
      <w:r w:rsidRPr="00B055B2">
        <w:rPr>
          <w:rStyle w:val="CommentReference"/>
        </w:rPr>
        <w:annotationRef/>
      </w:r>
      <w:r w:rsidRPr="00B055B2">
        <w:t>This doesn’t appear in the reference list</w:t>
      </w:r>
    </w:p>
  </w:comment>
  <w:comment w:id="2" w:author="Daniella Blau" w:date="2025-12-13T15:15:00Z" w:initials="DB">
    <w:p w14:paraId="3FBAC1F9" w14:textId="77777777" w:rsidR="0028718D" w:rsidRPr="00B055B2" w:rsidRDefault="0028718D" w:rsidP="0028718D">
      <w:pPr>
        <w:pStyle w:val="CommentText"/>
      </w:pPr>
      <w:r w:rsidRPr="00B055B2">
        <w:rPr>
          <w:rStyle w:val="CommentReference"/>
        </w:rPr>
        <w:annotationRef/>
      </w:r>
      <w:r w:rsidRPr="00B055B2">
        <w:t>This quote needs to be verified.</w:t>
      </w:r>
    </w:p>
  </w:comment>
  <w:comment w:id="3" w:author="Daniella Blau" w:date="2025-12-13T16:27:00Z" w:initials="DB">
    <w:p w14:paraId="35BC3562" w14:textId="77777777" w:rsidR="007B6FA7" w:rsidRPr="00B055B2" w:rsidRDefault="007B6FA7" w:rsidP="007B6FA7">
      <w:pPr>
        <w:pStyle w:val="CommentText"/>
      </w:pPr>
      <w:r w:rsidRPr="00B055B2">
        <w:rPr>
          <w:rStyle w:val="CommentReference"/>
        </w:rPr>
        <w:annotationRef/>
      </w:r>
      <w:r w:rsidRPr="00B055B2">
        <w:t>This doesn’t appear in the reference list</w:t>
      </w:r>
    </w:p>
  </w:comment>
  <w:comment w:id="4" w:author="Daniella Blau" w:date="2025-12-13T17:21:00Z" w:initials="DB">
    <w:p w14:paraId="09565662" w14:textId="77777777" w:rsidR="00DA38B9" w:rsidRPr="00B055B2" w:rsidRDefault="00DA38B9" w:rsidP="00DA38B9">
      <w:pPr>
        <w:pStyle w:val="CommentText"/>
      </w:pPr>
      <w:r w:rsidRPr="00B055B2">
        <w:rPr>
          <w:rStyle w:val="CommentReference"/>
        </w:rPr>
        <w:annotationRef/>
      </w:r>
      <w:r w:rsidRPr="00B055B2">
        <w:t>This doesn’t appear in the reference list.</w:t>
      </w:r>
    </w:p>
  </w:comment>
  <w:comment w:id="5" w:author="Daniella Blau" w:date="2025-12-14T11:55:00Z" w:initials="DB">
    <w:p w14:paraId="113D79E7" w14:textId="77777777" w:rsidR="002970EC" w:rsidRPr="00B055B2" w:rsidRDefault="002970EC" w:rsidP="002970EC">
      <w:pPr>
        <w:pStyle w:val="CommentText"/>
      </w:pPr>
      <w:r w:rsidRPr="00B055B2">
        <w:rPr>
          <w:rStyle w:val="CommentReference"/>
        </w:rPr>
        <w:annotationRef/>
      </w:r>
      <w:r w:rsidRPr="00B055B2">
        <w:t>Perhaps add a footnote explaining the reference, perhaps something like:</w:t>
      </w:r>
      <w:r w:rsidRPr="00B055B2">
        <w:br/>
      </w:r>
      <w:r w:rsidRPr="00B055B2">
        <w:br/>
        <w:t xml:space="preserve">*This refers to the widespread civil unrest and intercommunal violence that occurred in several mixed Jewish–Arab cities in Israel during and following the military escalation between Israel and Hamas. </w:t>
      </w:r>
    </w:p>
  </w:comment>
  <w:comment w:id="6" w:author="Daniella Blau" w:date="2025-12-14T12:02:00Z" w:initials="DB">
    <w:p w14:paraId="27E0F51E" w14:textId="77777777" w:rsidR="00B71976" w:rsidRPr="00B055B2" w:rsidRDefault="00B71976" w:rsidP="00B71976">
      <w:pPr>
        <w:pStyle w:val="CommentText"/>
      </w:pPr>
      <w:r w:rsidRPr="00B055B2">
        <w:rPr>
          <w:rStyle w:val="CommentReference"/>
        </w:rPr>
        <w:annotationRef/>
      </w:r>
      <w:r w:rsidRPr="00B055B2">
        <w:t>This doesn’t appear in the reference list.</w:t>
      </w:r>
    </w:p>
  </w:comment>
  <w:comment w:id="7" w:author="Daniella Blau" w:date="2025-12-14T13:06:00Z" w:initials="DB">
    <w:p w14:paraId="6F17E403" w14:textId="77777777" w:rsidR="009E0254" w:rsidRPr="00B055B2" w:rsidRDefault="009E0254" w:rsidP="009E0254">
      <w:pPr>
        <w:pStyle w:val="CommentText"/>
      </w:pPr>
      <w:r w:rsidRPr="00B055B2">
        <w:rPr>
          <w:rStyle w:val="CommentReference"/>
        </w:rPr>
        <w:annotationRef/>
      </w:r>
      <w:r w:rsidRPr="00B055B2">
        <w:t>This doesn’t appear in the reference list</w:t>
      </w:r>
    </w:p>
  </w:comment>
  <w:comment w:id="8" w:author="Daniella Blau" w:date="2025-12-14T13:07:00Z" w:initials="DB">
    <w:p w14:paraId="0EE20370" w14:textId="77777777" w:rsidR="009E0254" w:rsidRPr="00B055B2" w:rsidRDefault="009E0254" w:rsidP="009E0254">
      <w:pPr>
        <w:pStyle w:val="CommentText"/>
      </w:pPr>
      <w:r w:rsidRPr="00B055B2">
        <w:rPr>
          <w:rStyle w:val="CommentReference"/>
        </w:rPr>
        <w:annotationRef/>
      </w:r>
      <w:r w:rsidRPr="00B055B2">
        <w:t>Doesn’t appear in the reference list.</w:t>
      </w:r>
    </w:p>
  </w:comment>
  <w:comment w:id="9" w:author="Daniella Blau" w:date="2025-12-08T20:12:00Z" w:initials="DB">
    <w:p w14:paraId="24CAC8CB" w14:textId="77777777" w:rsidR="00CF5538" w:rsidRPr="00B055B2" w:rsidRDefault="00CF5538" w:rsidP="00CF5538">
      <w:pPr>
        <w:pStyle w:val="CommentText"/>
      </w:pPr>
      <w:r w:rsidRPr="00B055B2">
        <w:rPr>
          <w:rStyle w:val="CommentReference"/>
        </w:rPr>
        <w:annotationRef/>
      </w:r>
      <w:r w:rsidRPr="00B055B2">
        <w:t>Added based on the reference comment in the Hebrew on page 11.</w:t>
      </w:r>
    </w:p>
  </w:comment>
  <w:comment w:id="10" w:author="Daniella Blau" w:date="2025-12-14T14:12:00Z" w:initials="DB">
    <w:p w14:paraId="1C0D2683" w14:textId="77777777" w:rsidR="00213C9F" w:rsidRPr="00B055B2" w:rsidRDefault="007C4CD1" w:rsidP="00213C9F">
      <w:pPr>
        <w:pStyle w:val="CommentText"/>
      </w:pPr>
      <w:r w:rsidRPr="00B055B2">
        <w:rPr>
          <w:rStyle w:val="CommentReference"/>
        </w:rPr>
        <w:annotationRef/>
      </w:r>
      <w:r w:rsidR="00213C9F" w:rsidRPr="00B055B2">
        <w:t>I think there needs to be a footnote with the reference here</w:t>
      </w:r>
      <w:r w:rsidR="00213C9F" w:rsidRPr="00B055B2">
        <w:br/>
      </w:r>
      <w:r w:rsidR="00213C9F" w:rsidRPr="00B055B2">
        <w:br/>
        <w:t xml:space="preserve">State of Israel v. </w:t>
      </w:r>
      <w:proofErr w:type="spellStart"/>
      <w:r w:rsidR="00213C9F" w:rsidRPr="00B055B2">
        <w:t>Revach</w:t>
      </w:r>
      <w:proofErr w:type="spellEnd"/>
      <w:r w:rsidR="00213C9F" w:rsidRPr="00B055B2">
        <w:t xml:space="preserve">, </w:t>
      </w:r>
      <w:proofErr w:type="spellStart"/>
      <w:r w:rsidR="00213C9F" w:rsidRPr="00B055B2">
        <w:t>CrimC</w:t>
      </w:r>
      <w:proofErr w:type="spellEnd"/>
      <w:r w:rsidR="00213C9F" w:rsidRPr="00B055B2">
        <w:t xml:space="preserve"> 12978-01-22, 22 June 2023 (</w:t>
      </w:r>
      <w:proofErr w:type="spellStart"/>
      <w:r w:rsidR="00213C9F" w:rsidRPr="00B055B2">
        <w:t>Nevo</w:t>
      </w:r>
      <w:proofErr w:type="spellEnd"/>
      <w:r w:rsidR="00213C9F" w:rsidRPr="00B055B2">
        <w:t>).</w:t>
      </w:r>
      <w:r w:rsidR="00213C9F" w:rsidRPr="00B055B2">
        <w:br/>
      </w:r>
    </w:p>
  </w:comment>
  <w:comment w:id="12" w:author="Daniella Blau" w:date="2025-12-14T14:46:00Z" w:initials="DB">
    <w:p w14:paraId="451D1835" w14:textId="77777777" w:rsidR="00791344" w:rsidRDefault="00791344" w:rsidP="00791344">
      <w:pPr>
        <w:pStyle w:val="CommentText"/>
      </w:pPr>
      <w:r w:rsidRPr="00B055B2">
        <w:rPr>
          <w:rStyle w:val="CommentReference"/>
        </w:rPr>
        <w:annotationRef/>
      </w:r>
      <w:r w:rsidRPr="00B055B2">
        <w:t>Reference?</w:t>
      </w:r>
    </w:p>
  </w:comment>
  <w:comment w:id="14" w:author="Daniella Blau" w:date="2025-12-10T19:45:00Z" w:initials="DB">
    <w:p w14:paraId="2596C3B7" w14:textId="77777777" w:rsidR="00E52149" w:rsidRPr="00B055B2" w:rsidRDefault="00E52149" w:rsidP="00981D3C">
      <w:pPr>
        <w:pStyle w:val="CommentText"/>
      </w:pPr>
      <w:r w:rsidRPr="00B055B2">
        <w:rPr>
          <w:rStyle w:val="CommentReference"/>
        </w:rPr>
        <w:annotationRef/>
      </w:r>
      <w:r w:rsidRPr="00B055B2">
        <w:t>Doesn’t appear in the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E77D8" w15:done="0"/>
  <w15:commentEx w15:paraId="41E1515E" w15:done="0"/>
  <w15:commentEx w15:paraId="3FBAC1F9" w15:done="0"/>
  <w15:commentEx w15:paraId="35BC3562" w15:done="0"/>
  <w15:commentEx w15:paraId="09565662" w15:done="0"/>
  <w15:commentEx w15:paraId="113D79E7" w15:done="0"/>
  <w15:commentEx w15:paraId="27E0F51E" w15:done="0"/>
  <w15:commentEx w15:paraId="6F17E403" w15:done="0"/>
  <w15:commentEx w15:paraId="0EE20370" w15:done="0"/>
  <w15:commentEx w15:paraId="24CAC8CB" w15:done="0"/>
  <w15:commentEx w15:paraId="1C0D2683" w15:done="0"/>
  <w15:commentEx w15:paraId="451D1835" w15:done="0"/>
  <w15:commentEx w15:paraId="2596C3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7F59E7" w16cex:dateUtc="2025-12-13T13:03:00Z"/>
  <w16cex:commentExtensible w16cex:durableId="7EB2094D" w16cex:dateUtc="2025-12-13T13:08:00Z"/>
  <w16cex:commentExtensible w16cex:durableId="6F4D6B7A" w16cex:dateUtc="2025-12-13T13:15:00Z"/>
  <w16cex:commentExtensible w16cex:durableId="66E4D4B8" w16cex:dateUtc="2025-12-13T14:27:00Z"/>
  <w16cex:commentExtensible w16cex:durableId="07EAA4DA" w16cex:dateUtc="2025-12-13T15:21:00Z"/>
  <w16cex:commentExtensible w16cex:durableId="38994122" w16cex:dateUtc="2025-12-14T09:55:00Z"/>
  <w16cex:commentExtensible w16cex:durableId="2E447589" w16cex:dateUtc="2025-12-14T10:02:00Z"/>
  <w16cex:commentExtensible w16cex:durableId="55472B24" w16cex:dateUtc="2025-12-14T11:06:00Z"/>
  <w16cex:commentExtensible w16cex:durableId="709AD7E9" w16cex:dateUtc="2025-12-14T11:07:00Z"/>
  <w16cex:commentExtensible w16cex:durableId="6EF36319" w16cex:dateUtc="2025-12-08T18:12:00Z"/>
  <w16cex:commentExtensible w16cex:durableId="081A6ACA" w16cex:dateUtc="2025-12-14T12:12:00Z"/>
  <w16cex:commentExtensible w16cex:durableId="3CB70377" w16cex:dateUtc="2025-12-14T12:46:00Z"/>
  <w16cex:commentExtensible w16cex:durableId="0B67C7E7" w16cex:dateUtc="2025-12-10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CE77D8" w16cid:durableId="5A7F59E7"/>
  <w16cid:commentId w16cid:paraId="41E1515E" w16cid:durableId="7EB2094D"/>
  <w16cid:commentId w16cid:paraId="3FBAC1F9" w16cid:durableId="6F4D6B7A"/>
  <w16cid:commentId w16cid:paraId="35BC3562" w16cid:durableId="66E4D4B8"/>
  <w16cid:commentId w16cid:paraId="09565662" w16cid:durableId="07EAA4DA"/>
  <w16cid:commentId w16cid:paraId="113D79E7" w16cid:durableId="38994122"/>
  <w16cid:commentId w16cid:paraId="27E0F51E" w16cid:durableId="2E447589"/>
  <w16cid:commentId w16cid:paraId="6F17E403" w16cid:durableId="55472B24"/>
  <w16cid:commentId w16cid:paraId="0EE20370" w16cid:durableId="709AD7E9"/>
  <w16cid:commentId w16cid:paraId="24CAC8CB" w16cid:durableId="6EF36319"/>
  <w16cid:commentId w16cid:paraId="1C0D2683" w16cid:durableId="081A6ACA"/>
  <w16cid:commentId w16cid:paraId="451D1835" w16cid:durableId="3CB70377"/>
  <w16cid:commentId w16cid:paraId="2596C3B7" w16cid:durableId="0B67C7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5168" w14:textId="77777777" w:rsidR="00021B7B" w:rsidRPr="00B055B2" w:rsidRDefault="00021B7B" w:rsidP="00DC7E46">
      <w:pPr>
        <w:spacing w:after="0" w:line="240" w:lineRule="auto"/>
      </w:pPr>
      <w:r w:rsidRPr="00B055B2">
        <w:separator/>
      </w:r>
    </w:p>
  </w:endnote>
  <w:endnote w:type="continuationSeparator" w:id="0">
    <w:p w14:paraId="25129EF1" w14:textId="77777777" w:rsidR="00021B7B" w:rsidRPr="00B055B2" w:rsidRDefault="00021B7B" w:rsidP="00DC7E46">
      <w:pPr>
        <w:spacing w:after="0" w:line="240" w:lineRule="auto"/>
      </w:pPr>
      <w:r w:rsidRPr="00B05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12786"/>
      <w:docPartObj>
        <w:docPartGallery w:val="Page Numbers (Bottom of Page)"/>
        <w:docPartUnique/>
      </w:docPartObj>
    </w:sdtPr>
    <w:sdtEndPr/>
    <w:sdtContent>
      <w:p w14:paraId="2C58A78F" w14:textId="6A93669D" w:rsidR="00DC7E46" w:rsidRPr="00B055B2" w:rsidRDefault="00DC7E46">
        <w:pPr>
          <w:pStyle w:val="Footer"/>
          <w:jc w:val="center"/>
        </w:pPr>
        <w:r w:rsidRPr="00B055B2">
          <w:fldChar w:fldCharType="begin"/>
        </w:r>
        <w:r w:rsidRPr="00B055B2">
          <w:instrText>PAGE   \* MERGEFORMAT</w:instrText>
        </w:r>
        <w:r w:rsidRPr="00B055B2">
          <w:fldChar w:fldCharType="separate"/>
        </w:r>
        <w:r w:rsidR="00353AD5">
          <w:rPr>
            <w:noProof/>
          </w:rPr>
          <w:t>31</w:t>
        </w:r>
        <w:r w:rsidRPr="00B055B2">
          <w:fldChar w:fldCharType="end"/>
        </w:r>
      </w:p>
    </w:sdtContent>
  </w:sdt>
  <w:p w14:paraId="6740FA48" w14:textId="77777777" w:rsidR="00DC7E46" w:rsidRPr="00B055B2" w:rsidRDefault="00DC7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4C605" w14:textId="77777777" w:rsidR="00021B7B" w:rsidRPr="00B055B2" w:rsidRDefault="00021B7B" w:rsidP="00DC7E46">
      <w:pPr>
        <w:spacing w:after="0" w:line="240" w:lineRule="auto"/>
      </w:pPr>
      <w:r w:rsidRPr="00B055B2">
        <w:separator/>
      </w:r>
    </w:p>
  </w:footnote>
  <w:footnote w:type="continuationSeparator" w:id="0">
    <w:p w14:paraId="7D340E0B" w14:textId="77777777" w:rsidR="00021B7B" w:rsidRPr="00B055B2" w:rsidRDefault="00021B7B" w:rsidP="00DC7E46">
      <w:pPr>
        <w:spacing w:after="0" w:line="240" w:lineRule="auto"/>
      </w:pPr>
      <w:r w:rsidRPr="00B055B2">
        <w:continuationSeparator/>
      </w:r>
    </w:p>
  </w:footnote>
  <w:footnote w:id="1">
    <w:p w14:paraId="37ABFED8" w14:textId="1D58F485" w:rsidR="00C22DD4" w:rsidRPr="00B055B2" w:rsidRDefault="00C22DD4">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Procedure 02.220.002, </w:t>
      </w:r>
      <w:r w:rsidR="00C74DAA" w:rsidRPr="00B055B2">
        <w:rPr>
          <w:rFonts w:asciiTheme="majorBidi" w:hAnsiTheme="majorBidi" w:cstheme="majorBidi"/>
        </w:rPr>
        <w:t xml:space="preserve">“Patrol Officer Response to an Incident and Crime Scene in Cases of Intimate Partner Violence (Domestic Violence), Threatening Harassment, and Enforcement of Protection Orders” (issued June 2013; updated </w:t>
      </w:r>
      <w:r w:rsidR="00B348EB" w:rsidRPr="00B055B2">
        <w:rPr>
          <w:rFonts w:asciiTheme="majorBidi" w:hAnsiTheme="majorBidi" w:cstheme="majorBidi"/>
        </w:rPr>
        <w:t xml:space="preserve">17 </w:t>
      </w:r>
      <w:r w:rsidR="00C74DAA" w:rsidRPr="00B055B2">
        <w:rPr>
          <w:rFonts w:asciiTheme="majorBidi" w:hAnsiTheme="majorBidi" w:cstheme="majorBidi"/>
        </w:rPr>
        <w:t>May 2017)</w:t>
      </w:r>
      <w:r w:rsidR="00052343" w:rsidRPr="00B055B2">
        <w:rPr>
          <w:rFonts w:asciiTheme="majorBidi" w:hAnsiTheme="majorBidi" w:cstheme="majorBidi"/>
        </w:rPr>
        <w:t>.</w:t>
      </w:r>
      <w:r w:rsidRPr="00B055B2">
        <w:rPr>
          <w:rFonts w:asciiTheme="majorBidi" w:hAnsiTheme="majorBidi" w:cstheme="majorBidi"/>
        </w:rPr>
        <w:t xml:space="preserve"> </w:t>
      </w:r>
      <w:r w:rsidR="00052343" w:rsidRPr="00B055B2">
        <w:rPr>
          <w:rFonts w:asciiTheme="majorBidi" w:hAnsiTheme="majorBidi" w:cstheme="majorBidi"/>
        </w:rPr>
        <w:t>A</w:t>
      </w:r>
      <w:r w:rsidRPr="00B055B2">
        <w:rPr>
          <w:rFonts w:asciiTheme="majorBidi" w:hAnsiTheme="majorBidi" w:cstheme="majorBidi"/>
        </w:rPr>
        <w:t xml:space="preserve"> copy is on file with the authors.</w:t>
      </w:r>
    </w:p>
  </w:footnote>
  <w:footnote w:id="2">
    <w:p w14:paraId="11C575B9" w14:textId="60BC2635" w:rsidR="00F23F62" w:rsidRPr="00B055B2" w:rsidRDefault="00F23F62">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r w:rsidR="00831E16" w:rsidRPr="00B055B2">
        <w:rPr>
          <w:rFonts w:asciiTheme="majorBidi" w:hAnsiTheme="majorBidi" w:cstheme="majorBidi"/>
          <w:i/>
          <w:iCs/>
        </w:rPr>
        <w:t xml:space="preserve">State of Israel v. Amir </w:t>
      </w:r>
      <w:proofErr w:type="spellStart"/>
      <w:r w:rsidR="00831E16" w:rsidRPr="00B055B2">
        <w:rPr>
          <w:rFonts w:asciiTheme="majorBidi" w:hAnsiTheme="majorBidi" w:cstheme="majorBidi"/>
          <w:i/>
          <w:iCs/>
        </w:rPr>
        <w:t>Raz</w:t>
      </w:r>
      <w:proofErr w:type="spellEnd"/>
      <w:r w:rsidR="00831E16" w:rsidRPr="00B055B2">
        <w:rPr>
          <w:rFonts w:asciiTheme="majorBidi" w:hAnsiTheme="majorBidi" w:cstheme="majorBidi"/>
        </w:rPr>
        <w:t xml:space="preserve">, </w:t>
      </w:r>
      <w:proofErr w:type="spellStart"/>
      <w:r w:rsidR="00831E16" w:rsidRPr="00B055B2">
        <w:rPr>
          <w:rFonts w:asciiTheme="majorBidi" w:hAnsiTheme="majorBidi" w:cstheme="majorBidi"/>
        </w:rPr>
        <w:t>CrimC</w:t>
      </w:r>
      <w:proofErr w:type="spellEnd"/>
      <w:r w:rsidR="00831E16" w:rsidRPr="00B055B2">
        <w:rPr>
          <w:rFonts w:asciiTheme="majorBidi" w:hAnsiTheme="majorBidi" w:cstheme="majorBidi"/>
        </w:rPr>
        <w:t xml:space="preserve"> (Central) 55532-02-21, </w:t>
      </w:r>
      <w:r w:rsidR="00736EA3" w:rsidRPr="00B055B2">
        <w:rPr>
          <w:rFonts w:asciiTheme="majorBidi" w:hAnsiTheme="majorBidi" w:cstheme="majorBidi"/>
        </w:rPr>
        <w:t>S</w:t>
      </w:r>
      <w:r w:rsidR="00831E16" w:rsidRPr="00B055B2">
        <w:rPr>
          <w:rFonts w:asciiTheme="majorBidi" w:hAnsiTheme="majorBidi" w:cstheme="majorBidi"/>
        </w:rPr>
        <w:t xml:space="preserve">entencing </w:t>
      </w:r>
      <w:r w:rsidR="00736EA3" w:rsidRPr="00B055B2">
        <w:rPr>
          <w:rFonts w:asciiTheme="majorBidi" w:hAnsiTheme="majorBidi" w:cstheme="majorBidi"/>
        </w:rPr>
        <w:t>D</w:t>
      </w:r>
      <w:r w:rsidR="00831E16" w:rsidRPr="00B055B2">
        <w:rPr>
          <w:rFonts w:asciiTheme="majorBidi" w:hAnsiTheme="majorBidi" w:cstheme="majorBidi"/>
        </w:rPr>
        <w:t>ecision, 25 February 2021.</w:t>
      </w:r>
    </w:p>
  </w:footnote>
  <w:footnote w:id="3">
    <w:p w14:paraId="55CBA5D3" w14:textId="4B1D56DD" w:rsidR="00D63A83" w:rsidRPr="00B055B2" w:rsidRDefault="00D63A83">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proofErr w:type="spellStart"/>
      <w:r w:rsidRPr="00B055B2">
        <w:rPr>
          <w:rFonts w:asciiTheme="majorBidi" w:hAnsiTheme="majorBidi" w:cstheme="majorBidi"/>
        </w:rPr>
        <w:t>Hakmon</w:t>
      </w:r>
      <w:proofErr w:type="spellEnd"/>
      <w:r w:rsidRPr="00B055B2">
        <w:rPr>
          <w:rFonts w:asciiTheme="majorBidi" w:hAnsiTheme="majorBidi" w:cstheme="majorBidi"/>
        </w:rPr>
        <w:t xml:space="preserve">, A. (2022) </w:t>
      </w:r>
      <w:r w:rsidR="00736EA3" w:rsidRPr="00B055B2">
        <w:rPr>
          <w:rFonts w:asciiTheme="majorBidi" w:hAnsiTheme="majorBidi" w:cstheme="majorBidi"/>
        </w:rPr>
        <w:t>“</w:t>
      </w:r>
      <w:proofErr w:type="spellStart"/>
      <w:r w:rsidRPr="00B055B2">
        <w:rPr>
          <w:rFonts w:asciiTheme="majorBidi" w:hAnsiTheme="majorBidi" w:cstheme="majorBidi"/>
        </w:rPr>
        <w:t>Mahash</w:t>
      </w:r>
      <w:proofErr w:type="spellEnd"/>
      <w:r w:rsidRPr="00B055B2">
        <w:rPr>
          <w:rFonts w:asciiTheme="majorBidi" w:hAnsiTheme="majorBidi" w:cstheme="majorBidi"/>
        </w:rPr>
        <w:t xml:space="preserve"> is investigating police officers suspected of assaulting their partners or mothers</w:t>
      </w:r>
      <w:r w:rsidR="00736EA3" w:rsidRPr="00B055B2">
        <w:rPr>
          <w:rFonts w:asciiTheme="majorBidi" w:hAnsiTheme="majorBidi" w:cstheme="majorBidi"/>
        </w:rPr>
        <w:t>”</w:t>
      </w:r>
      <w:r w:rsidRPr="00B055B2">
        <w:rPr>
          <w:rFonts w:asciiTheme="majorBidi" w:hAnsiTheme="majorBidi" w:cstheme="majorBidi"/>
        </w:rPr>
        <w:t xml:space="preserve">, </w:t>
      </w:r>
      <w:proofErr w:type="spellStart"/>
      <w:r w:rsidRPr="00B055B2">
        <w:rPr>
          <w:rFonts w:asciiTheme="majorBidi" w:hAnsiTheme="majorBidi" w:cstheme="majorBidi"/>
          <w:i/>
          <w:iCs/>
        </w:rPr>
        <w:t>Maariv</w:t>
      </w:r>
      <w:proofErr w:type="spellEnd"/>
      <w:r w:rsidRPr="00B055B2">
        <w:rPr>
          <w:rFonts w:asciiTheme="majorBidi" w:hAnsiTheme="majorBidi" w:cstheme="majorBidi"/>
        </w:rPr>
        <w:t xml:space="preserve">, 31 January. Available at: </w:t>
      </w:r>
      <w:hyperlink r:id="rId1" w:history="1">
        <w:r w:rsidRPr="00B055B2">
          <w:rPr>
            <w:rStyle w:val="Hyperlink"/>
            <w:rFonts w:asciiTheme="majorBidi" w:hAnsiTheme="majorBidi" w:cstheme="majorBidi"/>
          </w:rPr>
          <w:t>https://www.maariv.co.il/news/law/Article-894839</w:t>
        </w:r>
      </w:hyperlink>
      <w:r w:rsidRPr="00B055B2">
        <w:rPr>
          <w:rFonts w:asciiTheme="majorBidi" w:hAnsiTheme="majorBidi" w:cstheme="majorBidi"/>
        </w:rPr>
        <w:t xml:space="preserve"> </w:t>
      </w:r>
    </w:p>
  </w:footnote>
  <w:footnote w:id="4">
    <w:p w14:paraId="417A1563" w14:textId="1B1F364C" w:rsidR="00210C44" w:rsidRPr="00B055B2" w:rsidRDefault="00210C44">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r w:rsidRPr="00B055B2">
        <w:rPr>
          <w:rFonts w:asciiTheme="majorBidi" w:hAnsiTheme="majorBidi" w:cstheme="majorBidi"/>
          <w:i/>
          <w:iCs/>
        </w:rPr>
        <w:t>State of Israel v. Anonymous</w:t>
      </w:r>
      <w:r w:rsidRPr="00B055B2">
        <w:rPr>
          <w:rFonts w:asciiTheme="majorBidi" w:hAnsiTheme="majorBidi" w:cstheme="majorBidi"/>
        </w:rPr>
        <w:t xml:space="preserve">, </w:t>
      </w:r>
      <w:proofErr w:type="spellStart"/>
      <w:r w:rsidRPr="00B055B2">
        <w:rPr>
          <w:rFonts w:asciiTheme="majorBidi" w:hAnsiTheme="majorBidi" w:cstheme="majorBidi"/>
        </w:rPr>
        <w:t>CrimC</w:t>
      </w:r>
      <w:proofErr w:type="spellEnd"/>
      <w:r w:rsidRPr="00B055B2">
        <w:rPr>
          <w:rFonts w:asciiTheme="majorBidi" w:hAnsiTheme="majorBidi" w:cstheme="majorBidi"/>
        </w:rPr>
        <w:t xml:space="preserve"> (Haifa District) 11909-07-09, Sentencing Decision, 19 April 2012.</w:t>
      </w:r>
    </w:p>
  </w:footnote>
  <w:footnote w:id="5">
    <w:p w14:paraId="4B85EDD3" w14:textId="4B1E7E1B" w:rsidR="00CF5538" w:rsidRPr="00B055B2" w:rsidRDefault="00CF5538">
      <w:pPr>
        <w:pStyle w:val="FootnoteText"/>
        <w:rPr>
          <w:rFonts w:asciiTheme="majorBidi" w:hAnsiTheme="majorBidi" w:cstheme="majorBidi"/>
          <w:lang w:bidi="he-IL"/>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r w:rsidR="007C4CD1" w:rsidRPr="00B055B2">
        <w:rPr>
          <w:rFonts w:asciiTheme="majorBidi" w:hAnsiTheme="majorBidi" w:cstheme="majorBidi"/>
          <w:i/>
          <w:iCs/>
        </w:rPr>
        <w:t xml:space="preserve">State of Israel v. </w:t>
      </w:r>
      <w:proofErr w:type="spellStart"/>
      <w:r w:rsidR="007C4CD1" w:rsidRPr="00B055B2">
        <w:rPr>
          <w:rFonts w:asciiTheme="majorBidi" w:hAnsiTheme="majorBidi" w:cstheme="majorBidi"/>
          <w:i/>
          <w:iCs/>
        </w:rPr>
        <w:t>Revach</w:t>
      </w:r>
      <w:proofErr w:type="spellEnd"/>
      <w:r w:rsidR="007C4CD1" w:rsidRPr="00B055B2">
        <w:rPr>
          <w:rFonts w:asciiTheme="majorBidi" w:hAnsiTheme="majorBidi" w:cstheme="majorBidi"/>
          <w:i/>
          <w:iCs/>
        </w:rPr>
        <w:t xml:space="preserve">, </w:t>
      </w:r>
      <w:proofErr w:type="spellStart"/>
      <w:r w:rsidR="007C4CD1" w:rsidRPr="00B055B2">
        <w:rPr>
          <w:rFonts w:asciiTheme="majorBidi" w:hAnsiTheme="majorBidi" w:cstheme="majorBidi"/>
        </w:rPr>
        <w:t>CrimC</w:t>
      </w:r>
      <w:proofErr w:type="spellEnd"/>
      <w:r w:rsidR="007C4CD1" w:rsidRPr="00B055B2">
        <w:rPr>
          <w:rFonts w:asciiTheme="majorBidi" w:hAnsiTheme="majorBidi" w:cstheme="majorBidi"/>
        </w:rPr>
        <w:t xml:space="preserve"> 12978-01-22, 22 June 2023 (</w:t>
      </w:r>
      <w:proofErr w:type="spellStart"/>
      <w:r w:rsidR="007C4CD1" w:rsidRPr="00B055B2">
        <w:rPr>
          <w:rFonts w:asciiTheme="majorBidi" w:hAnsiTheme="majorBidi" w:cstheme="majorBidi"/>
        </w:rPr>
        <w:t>Nevo</w:t>
      </w:r>
      <w:proofErr w:type="spellEnd"/>
      <w:r w:rsidR="007C4CD1" w:rsidRPr="00B055B2">
        <w:rPr>
          <w:rFonts w:asciiTheme="majorBidi" w:hAnsiTheme="majorBidi" w:cstheme="majorBidi"/>
        </w:rPr>
        <w:t>).</w:t>
      </w:r>
    </w:p>
  </w:footnote>
  <w:footnote w:id="6">
    <w:p w14:paraId="2F53AEDD" w14:textId="0A4EA4F6" w:rsidR="00704E64" w:rsidRPr="00B055B2" w:rsidRDefault="00704E64">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r w:rsidRPr="00B055B2">
        <w:rPr>
          <w:rFonts w:asciiTheme="majorBidi" w:hAnsiTheme="majorBidi" w:cstheme="majorBidi"/>
          <w:i/>
          <w:iCs/>
        </w:rPr>
        <w:t>State of Israel v. Anonymous</w:t>
      </w:r>
      <w:r w:rsidRPr="00B055B2">
        <w:rPr>
          <w:rFonts w:asciiTheme="majorBidi" w:hAnsiTheme="majorBidi" w:cstheme="majorBidi"/>
        </w:rPr>
        <w:t xml:space="preserve">, </w:t>
      </w:r>
      <w:proofErr w:type="spellStart"/>
      <w:r w:rsidRPr="00B055B2">
        <w:rPr>
          <w:rFonts w:asciiTheme="majorBidi" w:hAnsiTheme="majorBidi" w:cstheme="majorBidi"/>
        </w:rPr>
        <w:t>CrimC</w:t>
      </w:r>
      <w:proofErr w:type="spellEnd"/>
      <w:r w:rsidRPr="00B055B2">
        <w:rPr>
          <w:rFonts w:asciiTheme="majorBidi" w:hAnsiTheme="majorBidi" w:cstheme="majorBidi"/>
        </w:rPr>
        <w:t xml:space="preserve"> 31525-02-19, Sentencing Decision, 5 August 2019.</w:t>
      </w:r>
    </w:p>
  </w:footnote>
  <w:footnote w:id="7">
    <w:p w14:paraId="6B84FA9D" w14:textId="10D4E951" w:rsidR="00B76E77" w:rsidRPr="00B055B2" w:rsidRDefault="00B76E77">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bookmarkStart w:id="11" w:name="_Hlk216624110"/>
      <w:r w:rsidRPr="00B055B2">
        <w:rPr>
          <w:rFonts w:asciiTheme="majorBidi" w:hAnsiTheme="majorBidi" w:cstheme="majorBidi"/>
          <w:i/>
          <w:iCs/>
        </w:rPr>
        <w:t xml:space="preserve">State of Israel v. </w:t>
      </w:r>
      <w:proofErr w:type="spellStart"/>
      <w:r w:rsidRPr="00B055B2">
        <w:rPr>
          <w:rFonts w:asciiTheme="majorBidi" w:hAnsiTheme="majorBidi" w:cstheme="majorBidi"/>
          <w:i/>
          <w:iCs/>
        </w:rPr>
        <w:t>Abramovich</w:t>
      </w:r>
      <w:proofErr w:type="spellEnd"/>
      <w:r w:rsidRPr="00B055B2">
        <w:rPr>
          <w:rFonts w:asciiTheme="majorBidi" w:hAnsiTheme="majorBidi" w:cstheme="majorBidi"/>
        </w:rPr>
        <w:t xml:space="preserve">, </w:t>
      </w:r>
      <w:proofErr w:type="spellStart"/>
      <w:r w:rsidRPr="00B055B2">
        <w:rPr>
          <w:rFonts w:asciiTheme="majorBidi" w:hAnsiTheme="majorBidi" w:cstheme="majorBidi"/>
        </w:rPr>
        <w:t>CrimC</w:t>
      </w:r>
      <w:proofErr w:type="spellEnd"/>
      <w:r w:rsidRPr="00B055B2">
        <w:rPr>
          <w:rFonts w:asciiTheme="majorBidi" w:hAnsiTheme="majorBidi" w:cstheme="majorBidi"/>
        </w:rPr>
        <w:t xml:space="preserve"> (TA) 3812/06, </w:t>
      </w:r>
      <w:r w:rsidR="00736EA3" w:rsidRPr="00B055B2">
        <w:rPr>
          <w:rFonts w:asciiTheme="majorBidi" w:hAnsiTheme="majorBidi" w:cstheme="majorBidi"/>
        </w:rPr>
        <w:t>Verdict,</w:t>
      </w:r>
      <w:r w:rsidRPr="00B055B2">
        <w:rPr>
          <w:rFonts w:asciiTheme="majorBidi" w:hAnsiTheme="majorBidi" w:cstheme="majorBidi"/>
        </w:rPr>
        <w:t xml:space="preserve"> 24 September 2007.</w:t>
      </w:r>
      <w:bookmarkEnd w:id="11"/>
    </w:p>
  </w:footnote>
  <w:footnote w:id="8">
    <w:p w14:paraId="52E1C63C" w14:textId="7CA7EDCA" w:rsidR="00B76E77" w:rsidRPr="00B055B2" w:rsidRDefault="00B76E77">
      <w:pPr>
        <w:pStyle w:val="FootnoteText"/>
        <w:rPr>
          <w:rFonts w:asciiTheme="majorBidi" w:hAnsiTheme="majorBidi" w:cstheme="majorBidi"/>
          <w:rtl/>
          <w:lang w:bidi="he-IL"/>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proofErr w:type="spellStart"/>
      <w:r w:rsidR="005B6B91" w:rsidRPr="00B055B2">
        <w:rPr>
          <w:rFonts w:asciiTheme="majorBidi" w:hAnsiTheme="majorBidi" w:cstheme="majorBidi"/>
          <w:i/>
          <w:iCs/>
        </w:rPr>
        <w:t>Mahash</w:t>
      </w:r>
      <w:proofErr w:type="spellEnd"/>
      <w:r w:rsidR="005B6B91" w:rsidRPr="00B055B2">
        <w:rPr>
          <w:rFonts w:asciiTheme="majorBidi" w:hAnsiTheme="majorBidi" w:cstheme="majorBidi"/>
          <w:i/>
          <w:iCs/>
        </w:rPr>
        <w:t xml:space="preserve"> v. Elhanan </w:t>
      </w:r>
      <w:proofErr w:type="spellStart"/>
      <w:r w:rsidR="005B6B91" w:rsidRPr="00B055B2">
        <w:rPr>
          <w:rFonts w:asciiTheme="majorBidi" w:hAnsiTheme="majorBidi" w:cstheme="majorBidi"/>
          <w:i/>
          <w:iCs/>
        </w:rPr>
        <w:t>Twito</w:t>
      </w:r>
      <w:proofErr w:type="spellEnd"/>
      <w:r w:rsidR="005B6B91" w:rsidRPr="00B055B2">
        <w:rPr>
          <w:rFonts w:asciiTheme="majorBidi" w:hAnsiTheme="majorBidi" w:cstheme="majorBidi"/>
          <w:i/>
          <w:iCs/>
        </w:rPr>
        <w:t>,</w:t>
      </w:r>
      <w:r w:rsidR="005B6B91" w:rsidRPr="00B055B2">
        <w:rPr>
          <w:rFonts w:asciiTheme="majorBidi" w:hAnsiTheme="majorBidi" w:cstheme="majorBidi"/>
        </w:rPr>
        <w:t xml:space="preserve"> </w:t>
      </w:r>
      <w:r w:rsidR="005B6B91" w:rsidRPr="00B055B2">
        <w:rPr>
          <w:rFonts w:asciiTheme="majorBidi" w:hAnsiTheme="majorBidi" w:cstheme="majorBidi"/>
          <w:lang w:bidi="he-IL"/>
        </w:rPr>
        <w:t>detention proceedings,</w:t>
      </w:r>
      <w:r w:rsidR="005B6B91" w:rsidRPr="00B055B2">
        <w:rPr>
          <w:rFonts w:asciiTheme="majorBidi" w:hAnsiTheme="majorBidi" w:cstheme="majorBidi"/>
        </w:rPr>
        <w:t xml:space="preserve"> 22009/02/21, 24 February 2021).</w:t>
      </w:r>
    </w:p>
  </w:footnote>
  <w:footnote w:id="9">
    <w:p w14:paraId="06ABE971" w14:textId="1851F18A" w:rsidR="00921884" w:rsidRPr="00B055B2" w:rsidRDefault="00921884">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proofErr w:type="spellStart"/>
      <w:r w:rsidRPr="00B055B2">
        <w:rPr>
          <w:rFonts w:asciiTheme="majorBidi" w:hAnsiTheme="majorBidi" w:cstheme="majorBidi"/>
        </w:rPr>
        <w:t>Itiel</w:t>
      </w:r>
      <w:proofErr w:type="spellEnd"/>
      <w:r w:rsidRPr="00B055B2">
        <w:rPr>
          <w:rFonts w:asciiTheme="majorBidi" w:hAnsiTheme="majorBidi" w:cstheme="majorBidi"/>
        </w:rPr>
        <w:t>, Y. (2023) “</w:t>
      </w:r>
      <w:r w:rsidR="00F40966" w:rsidRPr="00B055B2">
        <w:rPr>
          <w:rFonts w:asciiTheme="majorBidi" w:hAnsiTheme="majorBidi" w:cstheme="majorBidi"/>
        </w:rPr>
        <w:t>‘</w:t>
      </w:r>
      <w:r w:rsidRPr="00B055B2">
        <w:rPr>
          <w:rFonts w:asciiTheme="majorBidi" w:hAnsiTheme="majorBidi" w:cstheme="majorBidi"/>
        </w:rPr>
        <w:t>I’m a scapegoat</w:t>
      </w:r>
      <w:r w:rsidR="00F40966" w:rsidRPr="00B055B2">
        <w:rPr>
          <w:rFonts w:asciiTheme="majorBidi" w:hAnsiTheme="majorBidi" w:cstheme="majorBidi"/>
        </w:rPr>
        <w:t>’</w:t>
      </w:r>
      <w:r w:rsidRPr="00B055B2">
        <w:rPr>
          <w:rFonts w:asciiTheme="majorBidi" w:hAnsiTheme="majorBidi" w:cstheme="majorBidi"/>
        </w:rPr>
        <w:t>: The version of the police officer accused of assaulting a civil rights activist about five years ago</w:t>
      </w:r>
      <w:r w:rsidR="00F40966" w:rsidRPr="00B055B2">
        <w:rPr>
          <w:rFonts w:asciiTheme="majorBidi" w:hAnsiTheme="majorBidi" w:cstheme="majorBidi"/>
        </w:rPr>
        <w:t>’</w:t>
      </w:r>
      <w:r w:rsidRPr="00B055B2">
        <w:rPr>
          <w:rFonts w:asciiTheme="majorBidi" w:hAnsiTheme="majorBidi" w:cstheme="majorBidi"/>
        </w:rPr>
        <w:t xml:space="preserve">, </w:t>
      </w:r>
      <w:r w:rsidRPr="00B055B2">
        <w:rPr>
          <w:rFonts w:asciiTheme="majorBidi" w:hAnsiTheme="majorBidi" w:cstheme="majorBidi"/>
          <w:i/>
          <w:iCs/>
        </w:rPr>
        <w:t>Walla News</w:t>
      </w:r>
      <w:r w:rsidRPr="00B055B2">
        <w:rPr>
          <w:rFonts w:asciiTheme="majorBidi" w:hAnsiTheme="majorBidi" w:cstheme="majorBidi"/>
        </w:rPr>
        <w:t xml:space="preserve">, 28 February. Available at: </w:t>
      </w:r>
      <w:hyperlink r:id="rId2" w:history="1">
        <w:r w:rsidR="00F40966" w:rsidRPr="00B055B2">
          <w:rPr>
            <w:rStyle w:val="Hyperlink"/>
            <w:rFonts w:asciiTheme="majorBidi" w:hAnsiTheme="majorBidi" w:cstheme="majorBidi"/>
          </w:rPr>
          <w:t>https://news.walla.co.il/item/3562030</w:t>
        </w:r>
      </w:hyperlink>
      <w:r w:rsidR="00F40966" w:rsidRPr="00B055B2">
        <w:rPr>
          <w:rFonts w:asciiTheme="majorBidi" w:hAnsiTheme="majorBidi" w:cstheme="majorBidi"/>
        </w:rPr>
        <w:t xml:space="preserve"> </w:t>
      </w:r>
    </w:p>
  </w:footnote>
  <w:footnote w:id="10">
    <w:p w14:paraId="458860D5" w14:textId="42F96DD4" w:rsidR="00DD1F0A" w:rsidRPr="00B055B2" w:rsidRDefault="00DD1F0A" w:rsidP="00DD1F0A">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Levi, Y. (2008) </w:t>
      </w:r>
      <w:r w:rsidR="00736EA3" w:rsidRPr="00B055B2">
        <w:rPr>
          <w:rFonts w:asciiTheme="majorBidi" w:hAnsiTheme="majorBidi" w:cstheme="majorBidi"/>
        </w:rPr>
        <w:t>“</w:t>
      </w:r>
      <w:r w:rsidRPr="00B055B2">
        <w:rPr>
          <w:rFonts w:asciiTheme="majorBidi" w:hAnsiTheme="majorBidi" w:cstheme="majorBidi"/>
        </w:rPr>
        <w:t xml:space="preserve">The tragedy in </w:t>
      </w:r>
      <w:proofErr w:type="spellStart"/>
      <w:r w:rsidRPr="00B055B2">
        <w:rPr>
          <w:rFonts w:asciiTheme="majorBidi" w:hAnsiTheme="majorBidi" w:cstheme="majorBidi"/>
        </w:rPr>
        <w:t>Hod</w:t>
      </w:r>
      <w:proofErr w:type="spellEnd"/>
      <w:r w:rsidRPr="00B055B2">
        <w:rPr>
          <w:rFonts w:asciiTheme="majorBidi" w:hAnsiTheme="majorBidi" w:cstheme="majorBidi"/>
        </w:rPr>
        <w:t xml:space="preserve"> </w:t>
      </w:r>
      <w:proofErr w:type="spellStart"/>
      <w:r w:rsidRPr="00B055B2">
        <w:rPr>
          <w:rFonts w:asciiTheme="majorBidi" w:hAnsiTheme="majorBidi" w:cstheme="majorBidi"/>
        </w:rPr>
        <w:t>HaSharon</w:t>
      </w:r>
      <w:proofErr w:type="spellEnd"/>
      <w:r w:rsidRPr="00B055B2">
        <w:rPr>
          <w:rFonts w:asciiTheme="majorBidi" w:hAnsiTheme="majorBidi" w:cstheme="majorBidi"/>
        </w:rPr>
        <w:t xml:space="preserve">: </w:t>
      </w:r>
      <w:r w:rsidR="00F40966" w:rsidRPr="00B055B2">
        <w:rPr>
          <w:rFonts w:asciiTheme="majorBidi" w:hAnsiTheme="majorBidi" w:cstheme="majorBidi"/>
        </w:rPr>
        <w:t>‘</w:t>
      </w:r>
      <w:r w:rsidRPr="00B055B2">
        <w:rPr>
          <w:rFonts w:asciiTheme="majorBidi" w:hAnsiTheme="majorBidi" w:cstheme="majorBidi"/>
        </w:rPr>
        <w:t>There must have been early signs</w:t>
      </w:r>
      <w:r w:rsidR="00F40966" w:rsidRPr="00B055B2">
        <w:rPr>
          <w:rFonts w:asciiTheme="majorBidi" w:hAnsiTheme="majorBidi" w:cstheme="majorBidi"/>
        </w:rPr>
        <w:t>’</w:t>
      </w:r>
      <w:r w:rsidR="00D16A31" w:rsidRPr="00B055B2">
        <w:rPr>
          <w:rFonts w:asciiTheme="majorBidi" w:hAnsiTheme="majorBidi" w:cstheme="majorBidi"/>
        </w:rPr>
        <w:t>”</w:t>
      </w:r>
      <w:r w:rsidRPr="00B055B2">
        <w:rPr>
          <w:rFonts w:asciiTheme="majorBidi" w:hAnsiTheme="majorBidi" w:cstheme="majorBidi"/>
        </w:rPr>
        <w:t xml:space="preserve">, </w:t>
      </w:r>
      <w:proofErr w:type="spellStart"/>
      <w:r w:rsidRPr="00B055B2">
        <w:rPr>
          <w:rFonts w:asciiTheme="majorBidi" w:hAnsiTheme="majorBidi" w:cstheme="majorBidi"/>
          <w:i/>
          <w:iCs/>
        </w:rPr>
        <w:t>Ynet</w:t>
      </w:r>
      <w:proofErr w:type="spellEnd"/>
      <w:r w:rsidRPr="00B055B2">
        <w:rPr>
          <w:rFonts w:asciiTheme="majorBidi" w:hAnsiTheme="majorBidi" w:cstheme="majorBidi"/>
        </w:rPr>
        <w:t>, 24 October.</w:t>
      </w:r>
    </w:p>
  </w:footnote>
  <w:footnote w:id="11">
    <w:p w14:paraId="734EF9C9" w14:textId="3AFC68AA" w:rsidR="00DD1F0A" w:rsidRPr="00B055B2" w:rsidRDefault="00DD1F0A" w:rsidP="00DD1F0A">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r w:rsidRPr="00B055B2">
        <w:rPr>
          <w:rFonts w:asciiTheme="majorBidi" w:hAnsiTheme="majorBidi" w:cstheme="majorBidi"/>
          <w:i/>
          <w:iCs/>
        </w:rPr>
        <w:t xml:space="preserve">State of Israel v. </w:t>
      </w:r>
      <w:proofErr w:type="spellStart"/>
      <w:r w:rsidRPr="00B055B2">
        <w:rPr>
          <w:rFonts w:asciiTheme="majorBidi" w:hAnsiTheme="majorBidi" w:cstheme="majorBidi"/>
          <w:i/>
          <w:iCs/>
        </w:rPr>
        <w:t>Abramovich</w:t>
      </w:r>
      <w:proofErr w:type="spellEnd"/>
      <w:r w:rsidRPr="00B055B2">
        <w:rPr>
          <w:rFonts w:asciiTheme="majorBidi" w:hAnsiTheme="majorBidi" w:cstheme="majorBidi"/>
        </w:rPr>
        <w:t xml:space="preserve">, </w:t>
      </w:r>
      <w:proofErr w:type="spellStart"/>
      <w:r w:rsidRPr="00B055B2">
        <w:rPr>
          <w:rFonts w:asciiTheme="majorBidi" w:hAnsiTheme="majorBidi" w:cstheme="majorBidi"/>
        </w:rPr>
        <w:t>CrimC</w:t>
      </w:r>
      <w:proofErr w:type="spellEnd"/>
      <w:r w:rsidRPr="00B055B2">
        <w:rPr>
          <w:rFonts w:asciiTheme="majorBidi" w:hAnsiTheme="majorBidi" w:cstheme="majorBidi"/>
        </w:rPr>
        <w:t xml:space="preserve"> (TA) 3812/06, </w:t>
      </w:r>
      <w:r w:rsidR="00736EA3" w:rsidRPr="00B055B2">
        <w:rPr>
          <w:rFonts w:asciiTheme="majorBidi" w:hAnsiTheme="majorBidi" w:cstheme="majorBidi"/>
        </w:rPr>
        <w:t>Verdict,</w:t>
      </w:r>
      <w:r w:rsidRPr="00B055B2">
        <w:rPr>
          <w:rFonts w:asciiTheme="majorBidi" w:hAnsiTheme="majorBidi" w:cstheme="majorBidi"/>
        </w:rPr>
        <w:t xml:space="preserve"> 24 September 2007.</w:t>
      </w:r>
    </w:p>
  </w:footnote>
  <w:footnote w:id="12">
    <w:p w14:paraId="62D35AEC" w14:textId="3EF0B840" w:rsidR="002D0077" w:rsidRPr="00B055B2" w:rsidRDefault="002D0077" w:rsidP="002D0077">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r w:rsidRPr="00B055B2">
        <w:rPr>
          <w:rFonts w:asciiTheme="majorBidi" w:hAnsiTheme="majorBidi" w:cstheme="majorBidi"/>
          <w:i/>
          <w:iCs/>
        </w:rPr>
        <w:t>State of Israel v. Anonymous</w:t>
      </w:r>
      <w:r w:rsidRPr="00B055B2">
        <w:rPr>
          <w:rFonts w:asciiTheme="majorBidi" w:hAnsiTheme="majorBidi" w:cstheme="majorBidi"/>
        </w:rPr>
        <w:t xml:space="preserve">, </w:t>
      </w:r>
      <w:proofErr w:type="spellStart"/>
      <w:r w:rsidRPr="00B055B2">
        <w:rPr>
          <w:rFonts w:asciiTheme="majorBidi" w:hAnsiTheme="majorBidi" w:cstheme="majorBidi"/>
        </w:rPr>
        <w:t>CrimC</w:t>
      </w:r>
      <w:proofErr w:type="spellEnd"/>
      <w:r w:rsidRPr="00B055B2">
        <w:rPr>
          <w:rFonts w:asciiTheme="majorBidi" w:hAnsiTheme="majorBidi" w:cstheme="majorBidi"/>
        </w:rPr>
        <w:t xml:space="preserve"> 31525-02-19, </w:t>
      </w:r>
      <w:r w:rsidR="00736EA3" w:rsidRPr="00B055B2">
        <w:rPr>
          <w:rFonts w:asciiTheme="majorBidi" w:hAnsiTheme="majorBidi" w:cstheme="majorBidi"/>
        </w:rPr>
        <w:t>Verdict,</w:t>
      </w:r>
      <w:r w:rsidRPr="00B055B2">
        <w:rPr>
          <w:rFonts w:asciiTheme="majorBidi" w:hAnsiTheme="majorBidi" w:cstheme="majorBidi"/>
        </w:rPr>
        <w:t xml:space="preserve"> 5 August 2019.</w:t>
      </w:r>
    </w:p>
  </w:footnote>
  <w:footnote w:id="13">
    <w:p w14:paraId="6216058E" w14:textId="46C0D983" w:rsidR="002D0077" w:rsidRPr="008B102D" w:rsidRDefault="002D0077" w:rsidP="002D0077">
      <w:pPr>
        <w:pStyle w:val="FootnoteText"/>
        <w:rPr>
          <w:rFonts w:asciiTheme="majorBidi" w:hAnsiTheme="majorBidi" w:cstheme="majorBidi"/>
        </w:rPr>
      </w:pPr>
      <w:r w:rsidRPr="00B055B2">
        <w:rPr>
          <w:rStyle w:val="FootnoteReference"/>
          <w:rFonts w:asciiTheme="majorBidi" w:hAnsiTheme="majorBidi" w:cstheme="majorBidi"/>
        </w:rPr>
        <w:footnoteRef/>
      </w:r>
      <w:r w:rsidRPr="00B055B2">
        <w:rPr>
          <w:rFonts w:asciiTheme="majorBidi" w:hAnsiTheme="majorBidi" w:cstheme="majorBidi"/>
        </w:rPr>
        <w:t xml:space="preserve"> </w:t>
      </w:r>
      <w:r w:rsidRPr="00B055B2">
        <w:rPr>
          <w:rFonts w:asciiTheme="majorBidi" w:hAnsiTheme="majorBidi" w:cstheme="majorBidi"/>
          <w:i/>
          <w:iCs/>
        </w:rPr>
        <w:t>State of Israel v. Anonymous</w:t>
      </w:r>
      <w:r w:rsidRPr="00B055B2">
        <w:rPr>
          <w:rFonts w:asciiTheme="majorBidi" w:hAnsiTheme="majorBidi" w:cstheme="majorBidi"/>
        </w:rPr>
        <w:t xml:space="preserve">, </w:t>
      </w:r>
      <w:proofErr w:type="spellStart"/>
      <w:r w:rsidRPr="00B055B2">
        <w:rPr>
          <w:rFonts w:asciiTheme="majorBidi" w:hAnsiTheme="majorBidi" w:cstheme="majorBidi"/>
        </w:rPr>
        <w:t>CrimC</w:t>
      </w:r>
      <w:proofErr w:type="spellEnd"/>
      <w:r w:rsidRPr="00B055B2">
        <w:rPr>
          <w:rFonts w:asciiTheme="majorBidi" w:hAnsiTheme="majorBidi" w:cstheme="majorBidi"/>
        </w:rPr>
        <w:t xml:space="preserve"> (Haifa District) 11909-07-09, </w:t>
      </w:r>
      <w:r w:rsidR="00736EA3" w:rsidRPr="00B055B2">
        <w:rPr>
          <w:rFonts w:asciiTheme="majorBidi" w:hAnsiTheme="majorBidi" w:cstheme="majorBidi"/>
        </w:rPr>
        <w:t>Verdict,</w:t>
      </w:r>
      <w:r w:rsidRPr="00B055B2">
        <w:rPr>
          <w:rFonts w:asciiTheme="majorBidi" w:hAnsiTheme="majorBidi" w:cstheme="majorBidi"/>
        </w:rPr>
        <w:t xml:space="preserve"> 19 April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5631B"/>
    <w:multiLevelType w:val="hybridMultilevel"/>
    <w:tmpl w:val="3292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53645"/>
    <w:multiLevelType w:val="hybridMultilevel"/>
    <w:tmpl w:val="95C2DF56"/>
    <w:lvl w:ilvl="0" w:tplc="27D8F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CB5320"/>
    <w:multiLevelType w:val="hybridMultilevel"/>
    <w:tmpl w:val="DA7C5CEA"/>
    <w:lvl w:ilvl="0" w:tplc="2D9C4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D8131A"/>
    <w:multiLevelType w:val="hybridMultilevel"/>
    <w:tmpl w:val="9518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96D48"/>
    <w:multiLevelType w:val="hybridMultilevel"/>
    <w:tmpl w:val="8CA6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43F8C"/>
    <w:multiLevelType w:val="hybridMultilevel"/>
    <w:tmpl w:val="AF4C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a Blau">
    <w15:presenceInfo w15:providerId="Windows Live" w15:userId="70e1dfd3e49cf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5A"/>
    <w:rsid w:val="000124E0"/>
    <w:rsid w:val="00021B7B"/>
    <w:rsid w:val="00031E9A"/>
    <w:rsid w:val="0003592F"/>
    <w:rsid w:val="00041B03"/>
    <w:rsid w:val="0005081C"/>
    <w:rsid w:val="00052143"/>
    <w:rsid w:val="00052343"/>
    <w:rsid w:val="000542C4"/>
    <w:rsid w:val="0006657E"/>
    <w:rsid w:val="000672FB"/>
    <w:rsid w:val="00067D41"/>
    <w:rsid w:val="000701BA"/>
    <w:rsid w:val="000704AB"/>
    <w:rsid w:val="00081BCD"/>
    <w:rsid w:val="000B2C2C"/>
    <w:rsid w:val="000B6A59"/>
    <w:rsid w:val="000B6A6A"/>
    <w:rsid w:val="000E55AE"/>
    <w:rsid w:val="00100625"/>
    <w:rsid w:val="001021DA"/>
    <w:rsid w:val="001115F7"/>
    <w:rsid w:val="00123F9C"/>
    <w:rsid w:val="00146020"/>
    <w:rsid w:val="0015040C"/>
    <w:rsid w:val="001542F7"/>
    <w:rsid w:val="00154577"/>
    <w:rsid w:val="00155A71"/>
    <w:rsid w:val="00175980"/>
    <w:rsid w:val="001904C5"/>
    <w:rsid w:val="001A4495"/>
    <w:rsid w:val="001B3B28"/>
    <w:rsid w:val="001B3FC4"/>
    <w:rsid w:val="001B7CC9"/>
    <w:rsid w:val="001C2ED6"/>
    <w:rsid w:val="001F48A3"/>
    <w:rsid w:val="001F7972"/>
    <w:rsid w:val="0021012F"/>
    <w:rsid w:val="00210C44"/>
    <w:rsid w:val="00212B53"/>
    <w:rsid w:val="00213C9F"/>
    <w:rsid w:val="00220ABA"/>
    <w:rsid w:val="00237F38"/>
    <w:rsid w:val="00243F54"/>
    <w:rsid w:val="00244D41"/>
    <w:rsid w:val="00256875"/>
    <w:rsid w:val="00261249"/>
    <w:rsid w:val="0026662F"/>
    <w:rsid w:val="002762E5"/>
    <w:rsid w:val="00280382"/>
    <w:rsid w:val="0028718D"/>
    <w:rsid w:val="002924B9"/>
    <w:rsid w:val="00293AC7"/>
    <w:rsid w:val="002970EC"/>
    <w:rsid w:val="002C3A19"/>
    <w:rsid w:val="002D0077"/>
    <w:rsid w:val="002D4CDB"/>
    <w:rsid w:val="002F09AB"/>
    <w:rsid w:val="003139BE"/>
    <w:rsid w:val="00313AD8"/>
    <w:rsid w:val="00315F28"/>
    <w:rsid w:val="00330BF7"/>
    <w:rsid w:val="0033385D"/>
    <w:rsid w:val="0034389D"/>
    <w:rsid w:val="00350A30"/>
    <w:rsid w:val="00353AD5"/>
    <w:rsid w:val="003601B9"/>
    <w:rsid w:val="00373C8F"/>
    <w:rsid w:val="003945C9"/>
    <w:rsid w:val="003A133D"/>
    <w:rsid w:val="003A7CAC"/>
    <w:rsid w:val="003C2C5C"/>
    <w:rsid w:val="003C66E8"/>
    <w:rsid w:val="003D321F"/>
    <w:rsid w:val="003D5C88"/>
    <w:rsid w:val="004142BC"/>
    <w:rsid w:val="00417AA3"/>
    <w:rsid w:val="00425A29"/>
    <w:rsid w:val="00436A0A"/>
    <w:rsid w:val="0046221A"/>
    <w:rsid w:val="0047030C"/>
    <w:rsid w:val="004721D2"/>
    <w:rsid w:val="004922A3"/>
    <w:rsid w:val="0049501B"/>
    <w:rsid w:val="004A4AE5"/>
    <w:rsid w:val="004A6ABD"/>
    <w:rsid w:val="004A78FB"/>
    <w:rsid w:val="004B066F"/>
    <w:rsid w:val="004B4438"/>
    <w:rsid w:val="004B596F"/>
    <w:rsid w:val="004B5978"/>
    <w:rsid w:val="004C3B3C"/>
    <w:rsid w:val="004D01B0"/>
    <w:rsid w:val="004D294D"/>
    <w:rsid w:val="0050230B"/>
    <w:rsid w:val="00511485"/>
    <w:rsid w:val="00531422"/>
    <w:rsid w:val="005375DB"/>
    <w:rsid w:val="00552589"/>
    <w:rsid w:val="00555E18"/>
    <w:rsid w:val="00565761"/>
    <w:rsid w:val="005820F8"/>
    <w:rsid w:val="00582E47"/>
    <w:rsid w:val="005A00BA"/>
    <w:rsid w:val="005B18EA"/>
    <w:rsid w:val="005B6B91"/>
    <w:rsid w:val="005C4D6A"/>
    <w:rsid w:val="005D58E9"/>
    <w:rsid w:val="005E4458"/>
    <w:rsid w:val="005E7A67"/>
    <w:rsid w:val="00612343"/>
    <w:rsid w:val="00614C3B"/>
    <w:rsid w:val="00622C91"/>
    <w:rsid w:val="00630413"/>
    <w:rsid w:val="00655F3C"/>
    <w:rsid w:val="006609CC"/>
    <w:rsid w:val="00672D2C"/>
    <w:rsid w:val="00673B51"/>
    <w:rsid w:val="0067589E"/>
    <w:rsid w:val="006B0374"/>
    <w:rsid w:val="006B0608"/>
    <w:rsid w:val="006C3D8A"/>
    <w:rsid w:val="006D34E9"/>
    <w:rsid w:val="006D6DCD"/>
    <w:rsid w:val="006E3068"/>
    <w:rsid w:val="006F77CE"/>
    <w:rsid w:val="00704E64"/>
    <w:rsid w:val="007151E2"/>
    <w:rsid w:val="00715B7D"/>
    <w:rsid w:val="0073515A"/>
    <w:rsid w:val="00736EA3"/>
    <w:rsid w:val="00762DD0"/>
    <w:rsid w:val="00770B8D"/>
    <w:rsid w:val="00772B0A"/>
    <w:rsid w:val="00775350"/>
    <w:rsid w:val="007858F4"/>
    <w:rsid w:val="00786ECC"/>
    <w:rsid w:val="00791344"/>
    <w:rsid w:val="007922DA"/>
    <w:rsid w:val="007A66B5"/>
    <w:rsid w:val="007A7E07"/>
    <w:rsid w:val="007B0E81"/>
    <w:rsid w:val="007B42F0"/>
    <w:rsid w:val="007B6FA7"/>
    <w:rsid w:val="007C010B"/>
    <w:rsid w:val="007C4CD1"/>
    <w:rsid w:val="007D2019"/>
    <w:rsid w:val="007D2A62"/>
    <w:rsid w:val="007D6333"/>
    <w:rsid w:val="007E1CA7"/>
    <w:rsid w:val="007E58E7"/>
    <w:rsid w:val="007E656F"/>
    <w:rsid w:val="007F0655"/>
    <w:rsid w:val="00802E5A"/>
    <w:rsid w:val="008229C2"/>
    <w:rsid w:val="00825287"/>
    <w:rsid w:val="00831E16"/>
    <w:rsid w:val="00833664"/>
    <w:rsid w:val="00837CAA"/>
    <w:rsid w:val="008408A3"/>
    <w:rsid w:val="00861C59"/>
    <w:rsid w:val="00862FBE"/>
    <w:rsid w:val="008645A3"/>
    <w:rsid w:val="00866363"/>
    <w:rsid w:val="00876CC9"/>
    <w:rsid w:val="00881893"/>
    <w:rsid w:val="00886083"/>
    <w:rsid w:val="008B01AB"/>
    <w:rsid w:val="008B102D"/>
    <w:rsid w:val="008C7C17"/>
    <w:rsid w:val="008D596B"/>
    <w:rsid w:val="008D76F4"/>
    <w:rsid w:val="008E6836"/>
    <w:rsid w:val="008F64AF"/>
    <w:rsid w:val="00905B74"/>
    <w:rsid w:val="00910094"/>
    <w:rsid w:val="009144A8"/>
    <w:rsid w:val="00921884"/>
    <w:rsid w:val="0096240B"/>
    <w:rsid w:val="00981D3C"/>
    <w:rsid w:val="009D2116"/>
    <w:rsid w:val="009D473D"/>
    <w:rsid w:val="009D5391"/>
    <w:rsid w:val="009D67E5"/>
    <w:rsid w:val="009E0254"/>
    <w:rsid w:val="009E1005"/>
    <w:rsid w:val="009F0608"/>
    <w:rsid w:val="009F7AEE"/>
    <w:rsid w:val="00A06A3B"/>
    <w:rsid w:val="00A23E7C"/>
    <w:rsid w:val="00A262F2"/>
    <w:rsid w:val="00A36122"/>
    <w:rsid w:val="00A515F4"/>
    <w:rsid w:val="00A64AE6"/>
    <w:rsid w:val="00A7419D"/>
    <w:rsid w:val="00A90F34"/>
    <w:rsid w:val="00AA3A66"/>
    <w:rsid w:val="00AA3BDA"/>
    <w:rsid w:val="00AB0881"/>
    <w:rsid w:val="00AC6CD3"/>
    <w:rsid w:val="00AD0D89"/>
    <w:rsid w:val="00AD2F43"/>
    <w:rsid w:val="00AE29D7"/>
    <w:rsid w:val="00AF697D"/>
    <w:rsid w:val="00B029F9"/>
    <w:rsid w:val="00B055B2"/>
    <w:rsid w:val="00B102D8"/>
    <w:rsid w:val="00B21CE0"/>
    <w:rsid w:val="00B238A1"/>
    <w:rsid w:val="00B24440"/>
    <w:rsid w:val="00B348EB"/>
    <w:rsid w:val="00B40AE9"/>
    <w:rsid w:val="00B477A1"/>
    <w:rsid w:val="00B47912"/>
    <w:rsid w:val="00B5392F"/>
    <w:rsid w:val="00B6707D"/>
    <w:rsid w:val="00B71976"/>
    <w:rsid w:val="00B76E77"/>
    <w:rsid w:val="00B84E56"/>
    <w:rsid w:val="00B9472D"/>
    <w:rsid w:val="00BA0B40"/>
    <w:rsid w:val="00BB588B"/>
    <w:rsid w:val="00BE11B5"/>
    <w:rsid w:val="00C03D9E"/>
    <w:rsid w:val="00C144BA"/>
    <w:rsid w:val="00C22DD4"/>
    <w:rsid w:val="00C242D9"/>
    <w:rsid w:val="00C31AC6"/>
    <w:rsid w:val="00C3545B"/>
    <w:rsid w:val="00C4018C"/>
    <w:rsid w:val="00C44757"/>
    <w:rsid w:val="00C46AF1"/>
    <w:rsid w:val="00C64570"/>
    <w:rsid w:val="00C71D49"/>
    <w:rsid w:val="00C74DAA"/>
    <w:rsid w:val="00C82478"/>
    <w:rsid w:val="00C8452B"/>
    <w:rsid w:val="00CA1379"/>
    <w:rsid w:val="00CB639A"/>
    <w:rsid w:val="00CC1296"/>
    <w:rsid w:val="00CC3DD5"/>
    <w:rsid w:val="00CE44FA"/>
    <w:rsid w:val="00CE65CD"/>
    <w:rsid w:val="00CE6C73"/>
    <w:rsid w:val="00CF5538"/>
    <w:rsid w:val="00D11CEB"/>
    <w:rsid w:val="00D134E0"/>
    <w:rsid w:val="00D16A31"/>
    <w:rsid w:val="00D21042"/>
    <w:rsid w:val="00D245CE"/>
    <w:rsid w:val="00D24D10"/>
    <w:rsid w:val="00D37DDD"/>
    <w:rsid w:val="00D42C5B"/>
    <w:rsid w:val="00D43F32"/>
    <w:rsid w:val="00D457AA"/>
    <w:rsid w:val="00D519CA"/>
    <w:rsid w:val="00D52108"/>
    <w:rsid w:val="00D551D7"/>
    <w:rsid w:val="00D6013C"/>
    <w:rsid w:val="00D62B7D"/>
    <w:rsid w:val="00D63A83"/>
    <w:rsid w:val="00D6551F"/>
    <w:rsid w:val="00D67321"/>
    <w:rsid w:val="00D86293"/>
    <w:rsid w:val="00D94422"/>
    <w:rsid w:val="00DA38B9"/>
    <w:rsid w:val="00DB7298"/>
    <w:rsid w:val="00DC5EFD"/>
    <w:rsid w:val="00DC6B1C"/>
    <w:rsid w:val="00DC7E46"/>
    <w:rsid w:val="00DD060F"/>
    <w:rsid w:val="00DD1631"/>
    <w:rsid w:val="00DD1F0A"/>
    <w:rsid w:val="00DD5F0D"/>
    <w:rsid w:val="00DE39F3"/>
    <w:rsid w:val="00DF38F1"/>
    <w:rsid w:val="00DF7759"/>
    <w:rsid w:val="00E01EDD"/>
    <w:rsid w:val="00E07201"/>
    <w:rsid w:val="00E11030"/>
    <w:rsid w:val="00E146C3"/>
    <w:rsid w:val="00E16FDD"/>
    <w:rsid w:val="00E2653F"/>
    <w:rsid w:val="00E409BD"/>
    <w:rsid w:val="00E436A9"/>
    <w:rsid w:val="00E4460E"/>
    <w:rsid w:val="00E47645"/>
    <w:rsid w:val="00E52149"/>
    <w:rsid w:val="00E65681"/>
    <w:rsid w:val="00E71A1A"/>
    <w:rsid w:val="00E750C2"/>
    <w:rsid w:val="00E7515F"/>
    <w:rsid w:val="00E76D5F"/>
    <w:rsid w:val="00E828A1"/>
    <w:rsid w:val="00E831F9"/>
    <w:rsid w:val="00E865BE"/>
    <w:rsid w:val="00E8683E"/>
    <w:rsid w:val="00E90047"/>
    <w:rsid w:val="00E92232"/>
    <w:rsid w:val="00E924B2"/>
    <w:rsid w:val="00EA4A02"/>
    <w:rsid w:val="00EA75BB"/>
    <w:rsid w:val="00EC42FE"/>
    <w:rsid w:val="00EC68C3"/>
    <w:rsid w:val="00ED002A"/>
    <w:rsid w:val="00ED1281"/>
    <w:rsid w:val="00ED3827"/>
    <w:rsid w:val="00ED64AB"/>
    <w:rsid w:val="00ED6827"/>
    <w:rsid w:val="00ED6AEA"/>
    <w:rsid w:val="00EE0A65"/>
    <w:rsid w:val="00EE0B07"/>
    <w:rsid w:val="00EE3838"/>
    <w:rsid w:val="00F02DA9"/>
    <w:rsid w:val="00F05641"/>
    <w:rsid w:val="00F23F62"/>
    <w:rsid w:val="00F40966"/>
    <w:rsid w:val="00F53797"/>
    <w:rsid w:val="00F70A58"/>
    <w:rsid w:val="00F76B29"/>
    <w:rsid w:val="00F76CAD"/>
    <w:rsid w:val="00F80DDB"/>
    <w:rsid w:val="00F86448"/>
    <w:rsid w:val="00FA4F2D"/>
    <w:rsid w:val="00FA7355"/>
    <w:rsid w:val="00FB07F6"/>
    <w:rsid w:val="00FB141D"/>
    <w:rsid w:val="00FB1BDE"/>
    <w:rsid w:val="00FC75C2"/>
    <w:rsid w:val="00FD0021"/>
    <w:rsid w:val="00FD09C8"/>
    <w:rsid w:val="00FD2102"/>
    <w:rsid w:val="00FE2BE4"/>
    <w:rsid w:val="00FE3A81"/>
    <w:rsid w:val="00FE4409"/>
    <w:rsid w:val="00FF42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8BD2"/>
  <w15:chartTrackingRefBased/>
  <w15:docId w15:val="{5F928B7C-8264-4596-94C2-C4F4157F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E5A"/>
    <w:rPr>
      <w:rFonts w:eastAsiaTheme="majorEastAsia" w:cstheme="majorBidi"/>
      <w:color w:val="272727" w:themeColor="text1" w:themeTint="D8"/>
    </w:rPr>
  </w:style>
  <w:style w:type="paragraph" w:styleId="Title">
    <w:name w:val="Title"/>
    <w:basedOn w:val="Normal"/>
    <w:next w:val="Normal"/>
    <w:link w:val="TitleChar"/>
    <w:uiPriority w:val="10"/>
    <w:qFormat/>
    <w:rsid w:val="00802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E5A"/>
    <w:pPr>
      <w:spacing w:before="160"/>
      <w:jc w:val="center"/>
    </w:pPr>
    <w:rPr>
      <w:i/>
      <w:iCs/>
      <w:color w:val="404040" w:themeColor="text1" w:themeTint="BF"/>
    </w:rPr>
  </w:style>
  <w:style w:type="character" w:customStyle="1" w:styleId="QuoteChar">
    <w:name w:val="Quote Char"/>
    <w:basedOn w:val="DefaultParagraphFont"/>
    <w:link w:val="Quote"/>
    <w:uiPriority w:val="29"/>
    <w:rsid w:val="00802E5A"/>
    <w:rPr>
      <w:i/>
      <w:iCs/>
      <w:color w:val="404040" w:themeColor="text1" w:themeTint="BF"/>
    </w:rPr>
  </w:style>
  <w:style w:type="paragraph" w:styleId="ListParagraph">
    <w:name w:val="List Paragraph"/>
    <w:basedOn w:val="Normal"/>
    <w:uiPriority w:val="34"/>
    <w:qFormat/>
    <w:rsid w:val="00802E5A"/>
    <w:pPr>
      <w:ind w:left="720"/>
      <w:contextualSpacing/>
    </w:pPr>
  </w:style>
  <w:style w:type="character" w:styleId="IntenseEmphasis">
    <w:name w:val="Intense Emphasis"/>
    <w:basedOn w:val="DefaultParagraphFont"/>
    <w:uiPriority w:val="21"/>
    <w:qFormat/>
    <w:rsid w:val="00802E5A"/>
    <w:rPr>
      <w:i/>
      <w:iCs/>
      <w:color w:val="0F4761" w:themeColor="accent1" w:themeShade="BF"/>
    </w:rPr>
  </w:style>
  <w:style w:type="paragraph" w:styleId="IntenseQuote">
    <w:name w:val="Intense Quote"/>
    <w:basedOn w:val="Normal"/>
    <w:next w:val="Normal"/>
    <w:link w:val="IntenseQuoteChar"/>
    <w:uiPriority w:val="30"/>
    <w:qFormat/>
    <w:rsid w:val="00802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E5A"/>
    <w:rPr>
      <w:i/>
      <w:iCs/>
      <w:color w:val="0F4761" w:themeColor="accent1" w:themeShade="BF"/>
    </w:rPr>
  </w:style>
  <w:style w:type="character" w:styleId="IntenseReference">
    <w:name w:val="Intense Reference"/>
    <w:basedOn w:val="DefaultParagraphFont"/>
    <w:uiPriority w:val="32"/>
    <w:qFormat/>
    <w:rsid w:val="00802E5A"/>
    <w:rPr>
      <w:b/>
      <w:bCs/>
      <w:smallCaps/>
      <w:color w:val="0F4761" w:themeColor="accent1" w:themeShade="BF"/>
      <w:spacing w:val="5"/>
    </w:rPr>
  </w:style>
  <w:style w:type="paragraph" w:styleId="Header">
    <w:name w:val="header"/>
    <w:basedOn w:val="Normal"/>
    <w:link w:val="HeaderChar"/>
    <w:uiPriority w:val="99"/>
    <w:unhideWhenUsed/>
    <w:rsid w:val="00DC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E46"/>
  </w:style>
  <w:style w:type="paragraph" w:styleId="Footer">
    <w:name w:val="footer"/>
    <w:basedOn w:val="Normal"/>
    <w:link w:val="FooterChar"/>
    <w:uiPriority w:val="99"/>
    <w:unhideWhenUsed/>
    <w:rsid w:val="00DC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E46"/>
  </w:style>
  <w:style w:type="character" w:styleId="CommentReference">
    <w:name w:val="annotation reference"/>
    <w:basedOn w:val="DefaultParagraphFont"/>
    <w:uiPriority w:val="99"/>
    <w:semiHidden/>
    <w:unhideWhenUsed/>
    <w:rsid w:val="00FA4F2D"/>
    <w:rPr>
      <w:sz w:val="16"/>
      <w:szCs w:val="16"/>
    </w:rPr>
  </w:style>
  <w:style w:type="paragraph" w:styleId="CommentText">
    <w:name w:val="annotation text"/>
    <w:basedOn w:val="Normal"/>
    <w:link w:val="CommentTextChar"/>
    <w:uiPriority w:val="99"/>
    <w:unhideWhenUsed/>
    <w:rsid w:val="00FA4F2D"/>
    <w:pPr>
      <w:spacing w:line="240" w:lineRule="auto"/>
    </w:pPr>
    <w:rPr>
      <w:sz w:val="20"/>
      <w:szCs w:val="20"/>
    </w:rPr>
  </w:style>
  <w:style w:type="character" w:customStyle="1" w:styleId="CommentTextChar">
    <w:name w:val="Comment Text Char"/>
    <w:basedOn w:val="DefaultParagraphFont"/>
    <w:link w:val="CommentText"/>
    <w:uiPriority w:val="99"/>
    <w:rsid w:val="00FA4F2D"/>
    <w:rPr>
      <w:sz w:val="20"/>
      <w:szCs w:val="20"/>
    </w:rPr>
  </w:style>
  <w:style w:type="paragraph" w:styleId="CommentSubject">
    <w:name w:val="annotation subject"/>
    <w:basedOn w:val="CommentText"/>
    <w:next w:val="CommentText"/>
    <w:link w:val="CommentSubjectChar"/>
    <w:uiPriority w:val="99"/>
    <w:semiHidden/>
    <w:unhideWhenUsed/>
    <w:rsid w:val="00FA4F2D"/>
    <w:rPr>
      <w:b/>
      <w:bCs/>
    </w:rPr>
  </w:style>
  <w:style w:type="character" w:customStyle="1" w:styleId="CommentSubjectChar">
    <w:name w:val="Comment Subject Char"/>
    <w:basedOn w:val="CommentTextChar"/>
    <w:link w:val="CommentSubject"/>
    <w:uiPriority w:val="99"/>
    <w:semiHidden/>
    <w:rsid w:val="00FA4F2D"/>
    <w:rPr>
      <w:b/>
      <w:bCs/>
      <w:sz w:val="20"/>
      <w:szCs w:val="20"/>
    </w:rPr>
  </w:style>
  <w:style w:type="paragraph" w:styleId="FootnoteText">
    <w:name w:val="footnote text"/>
    <w:basedOn w:val="Normal"/>
    <w:link w:val="FootnoteTextChar"/>
    <w:uiPriority w:val="99"/>
    <w:semiHidden/>
    <w:unhideWhenUsed/>
    <w:rsid w:val="00C22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DD4"/>
    <w:rPr>
      <w:sz w:val="20"/>
      <w:szCs w:val="20"/>
    </w:rPr>
  </w:style>
  <w:style w:type="character" w:styleId="FootnoteReference">
    <w:name w:val="footnote reference"/>
    <w:basedOn w:val="DefaultParagraphFont"/>
    <w:uiPriority w:val="99"/>
    <w:semiHidden/>
    <w:unhideWhenUsed/>
    <w:rsid w:val="00C22DD4"/>
    <w:rPr>
      <w:vertAlign w:val="superscript"/>
    </w:rPr>
  </w:style>
  <w:style w:type="character" w:styleId="Hyperlink">
    <w:name w:val="Hyperlink"/>
    <w:basedOn w:val="DefaultParagraphFont"/>
    <w:uiPriority w:val="99"/>
    <w:unhideWhenUsed/>
    <w:rsid w:val="00D63A83"/>
    <w:rPr>
      <w:color w:val="467886" w:themeColor="hyperlink"/>
      <w:u w:val="single"/>
    </w:rPr>
  </w:style>
  <w:style w:type="character" w:customStyle="1" w:styleId="UnresolvedMention">
    <w:name w:val="Unresolved Mention"/>
    <w:basedOn w:val="DefaultParagraphFont"/>
    <w:uiPriority w:val="99"/>
    <w:semiHidden/>
    <w:unhideWhenUsed/>
    <w:rsid w:val="00D63A83"/>
    <w:rPr>
      <w:color w:val="605E5C"/>
      <w:shd w:val="clear" w:color="auto" w:fill="E1DFDD"/>
    </w:rPr>
  </w:style>
  <w:style w:type="paragraph" w:styleId="BalloonText">
    <w:name w:val="Balloon Text"/>
    <w:basedOn w:val="Normal"/>
    <w:link w:val="BalloonTextChar"/>
    <w:uiPriority w:val="99"/>
    <w:semiHidden/>
    <w:unhideWhenUsed/>
    <w:rsid w:val="00833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news.walla.co.il/item/3562030" TargetMode="External"/><Relationship Id="rId1" Type="http://schemas.openxmlformats.org/officeDocument/2006/relationships/hyperlink" Target="https://www.maariv.co.il/news/law/Article-894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3078-013D-4651-9975-018916F5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33</Pages>
  <Words>11126</Words>
  <Characters>63424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Blau</dc:creator>
  <cp:keywords/>
  <dc:description/>
  <cp:lastModifiedBy>Microsoft account</cp:lastModifiedBy>
  <cp:revision>250</cp:revision>
  <dcterms:created xsi:type="dcterms:W3CDTF">2025-12-01T16:51:00Z</dcterms:created>
  <dcterms:modified xsi:type="dcterms:W3CDTF">2025-12-14T19:28:00Z</dcterms:modified>
</cp:coreProperties>
</file>