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73A0" w14:textId="583A02AA" w:rsidR="00210943" w:rsidRPr="00D41C4B" w:rsidRDefault="00210943" w:rsidP="00210943">
      <w:pPr>
        <w:contextualSpacing/>
        <w:jc w:val="center"/>
        <w:rPr>
          <w:rFonts w:ascii="Garamond" w:hAnsi="Garamond" w:cstheme="majorBidi"/>
          <w:b/>
          <w:bCs/>
          <w:smallCaps/>
          <w:sz w:val="40"/>
          <w:szCs w:val="40"/>
        </w:rPr>
      </w:pPr>
      <w:bookmarkStart w:id="0" w:name="_Hlk209077981"/>
      <w:bookmarkStart w:id="1" w:name="_Toc202804161"/>
      <w:bookmarkStart w:id="2" w:name="_Hlk48278842"/>
      <w:bookmarkStart w:id="3" w:name="PartI"/>
      <w:bookmarkStart w:id="4" w:name="_Toc471934633"/>
      <w:bookmarkStart w:id="5" w:name="_Toc462840701"/>
      <w:bookmarkStart w:id="6" w:name="_Ref475723510"/>
      <w:bookmarkStart w:id="7" w:name="_Toc476301793"/>
      <w:bookmarkEnd w:id="0"/>
      <w:r w:rsidRPr="00D41C4B">
        <w:rPr>
          <w:rFonts w:ascii="Garamond" w:hAnsi="Garamond" w:cstheme="majorBidi"/>
          <w:b/>
          <w:bCs/>
          <w:smallCaps/>
          <w:sz w:val="40"/>
          <w:szCs w:val="40"/>
        </w:rPr>
        <w:t>Gener</w:t>
      </w:r>
      <w:r w:rsidR="009C4BF0" w:rsidRPr="00D41C4B">
        <w:rPr>
          <w:rFonts w:ascii="Garamond" w:hAnsi="Garamond" w:cstheme="majorBidi"/>
          <w:b/>
          <w:bCs/>
          <w:smallCaps/>
          <w:sz w:val="40"/>
          <w:szCs w:val="40"/>
        </w:rPr>
        <w:t>n</w:t>
      </w:r>
      <w:r w:rsidRPr="00D41C4B">
        <w:rPr>
          <w:rFonts w:ascii="Garamond" w:hAnsi="Garamond" w:cstheme="majorBidi"/>
          <w:b/>
          <w:bCs/>
          <w:smallCaps/>
          <w:sz w:val="40"/>
          <w:szCs w:val="40"/>
        </w:rPr>
        <w:t>ative Advertising</w:t>
      </w:r>
    </w:p>
    <w:p w14:paraId="11C60E6A" w14:textId="7EA5E1E5" w:rsidR="00817BE5" w:rsidRDefault="00817BE5" w:rsidP="00B46898">
      <w:pPr>
        <w:spacing w:after="120"/>
        <w:jc w:val="center"/>
        <w:rPr>
          <w:rFonts w:ascii="Garamond" w:hAnsi="Garamond"/>
          <w:smallCaps/>
          <w:color w:val="000000" w:themeColor="text1"/>
        </w:rPr>
      </w:pPr>
      <w:r w:rsidRPr="00BE4742">
        <w:rPr>
          <w:rFonts w:ascii="Garamond" w:eastAsia="Times New Roman" w:hAnsi="Garamond" w:cstheme="majorBidi"/>
          <w:lang w:val="en-GB"/>
        </w:rPr>
        <w:t>Uri Y. Hacohen</w:t>
      </w:r>
      <w:r w:rsidRPr="001A045C">
        <w:rPr>
          <w:rStyle w:val="FootnoteReference"/>
          <w:rFonts w:ascii="Garamond" w:hAnsi="Garamond"/>
          <w:smallCaps/>
          <w:color w:val="000000" w:themeColor="text1"/>
        </w:rPr>
        <w:footnoteReference w:customMarkFollows="1" w:id="2"/>
        <w:t>†</w:t>
      </w:r>
    </w:p>
    <w:p w14:paraId="2FCBAA98" w14:textId="77777777" w:rsidR="00D41C4B" w:rsidRDefault="00FC252C" w:rsidP="00D41C4B">
      <w:pPr>
        <w:spacing w:line="240" w:lineRule="auto"/>
        <w:ind w:firstLine="450"/>
        <w:jc w:val="center"/>
        <w:rPr>
          <w:rFonts w:ascii="Garamond" w:hAnsi="Garamond" w:cstheme="majorBidi"/>
          <w:i/>
          <w:iCs/>
        </w:rPr>
      </w:pPr>
      <w:r w:rsidRPr="008665EA">
        <w:rPr>
          <w:rFonts w:ascii="Garamond" w:hAnsi="Garamond" w:cstheme="majorBidi"/>
          <w:i/>
          <w:iCs/>
        </w:rPr>
        <w:t>“ChatGPT chooses products independently. Learn More.”</w:t>
      </w:r>
      <w:r w:rsidR="00BE4742">
        <w:rPr>
          <w:rFonts w:ascii="Garamond" w:hAnsi="Garamond" w:cstheme="majorBidi"/>
          <w:i/>
          <w:iCs/>
        </w:rPr>
        <w:t xml:space="preserve"> </w:t>
      </w:r>
    </w:p>
    <w:p w14:paraId="24D186FB" w14:textId="03003FF9" w:rsidR="00FC252C" w:rsidRDefault="00FC252C" w:rsidP="00D41C4B">
      <w:pPr>
        <w:spacing w:line="240" w:lineRule="auto"/>
        <w:ind w:firstLine="450"/>
        <w:jc w:val="center"/>
        <w:rPr>
          <w:rFonts w:ascii="Garamond" w:hAnsi="Garamond" w:cstheme="majorBidi"/>
        </w:rPr>
      </w:pPr>
      <w:r w:rsidRPr="008665EA">
        <w:rPr>
          <w:rFonts w:ascii="Garamond" w:hAnsi="Garamond" w:cstheme="majorBidi"/>
        </w:rPr>
        <w:t xml:space="preserve">ChatGPT, </w:t>
      </w:r>
      <w:r w:rsidR="00E23808">
        <w:rPr>
          <w:rFonts w:ascii="Garamond" w:hAnsi="Garamond" w:cstheme="majorBidi"/>
        </w:rPr>
        <w:t>A</w:t>
      </w:r>
      <w:r w:rsidR="00614F0C">
        <w:rPr>
          <w:rFonts w:ascii="Garamond" w:hAnsi="Garamond" w:cstheme="majorBidi"/>
        </w:rPr>
        <w:t>pril</w:t>
      </w:r>
      <w:r w:rsidRPr="008665EA">
        <w:rPr>
          <w:rFonts w:ascii="Garamond" w:hAnsi="Garamond" w:cstheme="majorBidi"/>
        </w:rPr>
        <w:t xml:space="preserve"> 2025</w:t>
      </w:r>
      <w:bookmarkStart w:id="8" w:name="_Ref214881658"/>
      <w:r w:rsidR="001C517C">
        <w:rPr>
          <w:rStyle w:val="FootnoteReference"/>
          <w:rFonts w:ascii="Garamond" w:hAnsi="Garamond" w:cstheme="majorBidi"/>
        </w:rPr>
        <w:footnoteReference w:id="3"/>
      </w:r>
      <w:bookmarkEnd w:id="8"/>
    </w:p>
    <w:p w14:paraId="1CEA101E" w14:textId="77777777" w:rsidR="00050DA7" w:rsidRDefault="00050DA7" w:rsidP="00D41C4B">
      <w:pPr>
        <w:spacing w:line="240" w:lineRule="auto"/>
        <w:ind w:firstLine="450"/>
        <w:jc w:val="center"/>
        <w:rPr>
          <w:rFonts w:ascii="Garamond" w:hAnsi="Garamond" w:cstheme="majorBidi"/>
        </w:rPr>
      </w:pPr>
    </w:p>
    <w:p w14:paraId="7623A0D1" w14:textId="0AE36B5E" w:rsidR="00817BE5" w:rsidRPr="001A045C" w:rsidRDefault="00817BE5" w:rsidP="00817BE5">
      <w:pPr>
        <w:spacing w:after="120"/>
        <w:jc w:val="center"/>
        <w:rPr>
          <w:rFonts w:ascii="Garamond" w:hAnsi="Garamond"/>
          <w:b/>
          <w:bCs/>
          <w:smallCaps/>
          <w:color w:val="000000" w:themeColor="text1"/>
        </w:rPr>
      </w:pPr>
      <w:r w:rsidRPr="001A045C">
        <w:rPr>
          <w:rFonts w:ascii="Garamond" w:hAnsi="Garamond"/>
          <w:b/>
          <w:bCs/>
          <w:smallCaps/>
          <w:color w:val="000000" w:themeColor="text1"/>
        </w:rPr>
        <w:t>Abstract</w:t>
      </w:r>
    </w:p>
    <w:p w14:paraId="11BB00D4" w14:textId="0A9B0A57" w:rsidR="00482E43" w:rsidRDefault="00BE4742" w:rsidP="009F0F42">
      <w:pPr>
        <w:pStyle w:val="1JOLTBodyText"/>
        <w:ind w:firstLine="0"/>
        <w:rPr>
          <w:rFonts w:ascii="Garamond" w:hAnsi="Garamond" w:cstheme="majorBidi"/>
          <w:i/>
          <w:iCs/>
          <w:sz w:val="22"/>
          <w:szCs w:val="22"/>
        </w:rPr>
      </w:pPr>
      <w:r w:rsidRPr="00BE4742">
        <w:rPr>
          <w:rFonts w:ascii="Garamond" w:hAnsi="Garamond" w:cstheme="majorBidi"/>
          <w:i/>
          <w:iCs/>
          <w:sz w:val="22"/>
          <w:szCs w:val="22"/>
        </w:rPr>
        <w:t>This Article identifies and analyzes a new and largely unregulated form of commercial persuasion that emerges at the intersection of generative artificial intelligence and native advertising. Termed “genernative advertising,” this phenomenon occurs when large language model (</w:t>
      </w:r>
      <w:r w:rsidR="00D50BAB">
        <w:rPr>
          <w:rFonts w:ascii="Garamond" w:hAnsi="Garamond" w:cstheme="majorBidi"/>
          <w:i/>
          <w:iCs/>
          <w:sz w:val="22"/>
          <w:szCs w:val="22"/>
        </w:rPr>
        <w:t>LLMs) chatbots</w:t>
      </w:r>
      <w:r w:rsidRPr="00BE4742">
        <w:rPr>
          <w:rFonts w:ascii="Garamond" w:hAnsi="Garamond" w:cstheme="majorBidi"/>
          <w:i/>
          <w:iCs/>
          <w:sz w:val="22"/>
          <w:szCs w:val="22"/>
        </w:rPr>
        <w:t xml:space="preserve"> incorporate commercially sponsored material into their conversational outputs without clearly distinguishing it from editorial or informational content. In doing so, they collapse the disclosure safeguards that consumer protection law has long relied upon and blur the line between neutral assistance and paid promotion.</w:t>
      </w:r>
      <w:r w:rsidRPr="00890035">
        <w:rPr>
          <w:rFonts w:ascii="Garamond" w:hAnsi="Garamond" w:cstheme="majorBidi"/>
          <w:i/>
          <w:iCs/>
          <w:sz w:val="22"/>
          <w:szCs w:val="22"/>
        </w:rPr>
        <w:t xml:space="preserve"> </w:t>
      </w:r>
      <w:r w:rsidRPr="00BE4742">
        <w:rPr>
          <w:rFonts w:ascii="Garamond" w:hAnsi="Garamond" w:cstheme="majorBidi"/>
          <w:i/>
          <w:iCs/>
          <w:sz w:val="22"/>
          <w:szCs w:val="22"/>
        </w:rPr>
        <w:t>Drawing on a pair of large-scale experimental studies, this Article provides the first empirical evidence that AI-mediated sponsorship dramatically amplifies the persuasive risks of native advertising. Participants routinely failed to recognize when chatbot responses were influenced by sponsored content, even when conventional disclosures were present</w:t>
      </w:r>
      <w:r w:rsidR="002D37BB">
        <w:rPr>
          <w:rFonts w:ascii="Garamond" w:hAnsi="Garamond" w:cstheme="majorBidi"/>
          <w:i/>
          <w:iCs/>
          <w:sz w:val="22"/>
          <w:szCs w:val="22"/>
          <w:lang w:bidi="he-IL"/>
        </w:rPr>
        <w:t xml:space="preserve">, let alone when they </w:t>
      </w:r>
      <w:r w:rsidR="005D2422">
        <w:rPr>
          <w:rFonts w:ascii="Garamond" w:hAnsi="Garamond" w:cstheme="majorBidi"/>
          <w:i/>
          <w:iCs/>
          <w:sz w:val="22"/>
          <w:szCs w:val="22"/>
          <w:lang w:bidi="he-IL"/>
        </w:rPr>
        <w:t>were not</w:t>
      </w:r>
      <w:r w:rsidRPr="00BE4742">
        <w:rPr>
          <w:rFonts w:ascii="Garamond" w:hAnsi="Garamond" w:cstheme="majorBidi"/>
          <w:i/>
          <w:iCs/>
          <w:sz w:val="22"/>
          <w:szCs w:val="22"/>
        </w:rPr>
        <w:t xml:space="preserve">. Yet the studies also reveal a powerful countervailing opportunity: when disclosure was made affirmative—requiring users to actively acknowledge the presence of advertising—recognition increased </w:t>
      </w:r>
      <w:r w:rsidR="007C6D2E">
        <w:rPr>
          <w:rFonts w:ascii="Garamond" w:hAnsi="Garamond" w:cstheme="majorBidi"/>
          <w:i/>
          <w:iCs/>
          <w:sz w:val="22"/>
          <w:szCs w:val="22"/>
        </w:rPr>
        <w:t>fivefold</w:t>
      </w:r>
      <w:r w:rsidRPr="00BE4742">
        <w:rPr>
          <w:rFonts w:ascii="Garamond" w:hAnsi="Garamond" w:cstheme="majorBidi"/>
          <w:i/>
          <w:iCs/>
          <w:sz w:val="22"/>
          <w:szCs w:val="22"/>
        </w:rPr>
        <w:t>, and participants’ purchasing decisions shifted accordingly, all without diminishing trust in the chatbot.</w:t>
      </w:r>
      <w:r w:rsidRPr="00890035">
        <w:rPr>
          <w:rFonts w:ascii="Garamond" w:hAnsi="Garamond" w:cstheme="majorBidi"/>
          <w:i/>
          <w:iCs/>
          <w:sz w:val="22"/>
          <w:szCs w:val="22"/>
        </w:rPr>
        <w:t xml:space="preserve"> </w:t>
      </w:r>
      <w:r w:rsidRPr="00BE4742">
        <w:rPr>
          <w:rFonts w:ascii="Garamond" w:hAnsi="Garamond" w:cstheme="majorBidi"/>
          <w:i/>
          <w:iCs/>
          <w:sz w:val="22"/>
          <w:szCs w:val="22"/>
        </w:rPr>
        <w:t xml:space="preserve">These findings have significant regulatory implications. They demonstrate that generative AI technologies, often criticized for eroding transparency, can also be harnessed to enhance it. </w:t>
      </w:r>
      <w:r w:rsidR="00BA7726">
        <w:rPr>
          <w:rFonts w:ascii="Garamond" w:hAnsi="Garamond" w:cstheme="majorBidi"/>
          <w:i/>
          <w:iCs/>
          <w:sz w:val="22"/>
          <w:szCs w:val="22"/>
        </w:rPr>
        <w:t xml:space="preserve">Building on </w:t>
      </w:r>
      <w:r w:rsidR="00A00AC3">
        <w:rPr>
          <w:rFonts w:ascii="Garamond" w:hAnsi="Garamond" w:cstheme="majorBidi"/>
          <w:i/>
          <w:iCs/>
          <w:sz w:val="22"/>
          <w:szCs w:val="22"/>
        </w:rPr>
        <w:t xml:space="preserve">behavioral economics literature </w:t>
      </w:r>
      <w:r w:rsidR="00BF4FC9">
        <w:rPr>
          <w:rFonts w:ascii="Garamond" w:hAnsi="Garamond" w:cstheme="majorBidi"/>
          <w:i/>
          <w:iCs/>
          <w:sz w:val="22"/>
          <w:szCs w:val="22"/>
        </w:rPr>
        <w:t xml:space="preserve">on </w:t>
      </w:r>
      <w:r w:rsidR="00690302">
        <w:rPr>
          <w:rFonts w:ascii="Garamond" w:hAnsi="Garamond" w:cstheme="majorBidi"/>
          <w:i/>
          <w:iCs/>
          <w:sz w:val="22"/>
          <w:szCs w:val="22"/>
        </w:rPr>
        <w:t xml:space="preserve">emerging </w:t>
      </w:r>
      <w:r w:rsidR="001375C2">
        <w:rPr>
          <w:rFonts w:ascii="Garamond" w:hAnsi="Garamond" w:cstheme="majorBidi"/>
          <w:i/>
          <w:iCs/>
          <w:sz w:val="22"/>
          <w:szCs w:val="22"/>
        </w:rPr>
        <w:t xml:space="preserve">transparency </w:t>
      </w:r>
      <w:r w:rsidR="00BF4FC9">
        <w:rPr>
          <w:rFonts w:ascii="Garamond" w:hAnsi="Garamond" w:cstheme="majorBidi"/>
          <w:i/>
          <w:iCs/>
          <w:sz w:val="22"/>
          <w:szCs w:val="22"/>
        </w:rPr>
        <w:t xml:space="preserve">regulations </w:t>
      </w:r>
      <w:r w:rsidR="00E43FF4">
        <w:rPr>
          <w:rFonts w:ascii="Garamond" w:hAnsi="Garamond" w:cstheme="majorBidi"/>
          <w:i/>
          <w:iCs/>
          <w:sz w:val="22"/>
          <w:szCs w:val="22"/>
        </w:rPr>
        <w:t xml:space="preserve">in states such as Utah and Colorado, </w:t>
      </w:r>
      <w:r w:rsidRPr="00BE4742">
        <w:rPr>
          <w:rFonts w:ascii="Garamond" w:hAnsi="Garamond" w:cstheme="majorBidi"/>
          <w:i/>
          <w:iCs/>
          <w:sz w:val="22"/>
          <w:szCs w:val="22"/>
        </w:rPr>
        <w:t>this Article proposes that GenAI companies</w:t>
      </w:r>
      <w:r w:rsidR="009F0F42">
        <w:rPr>
          <w:rFonts w:ascii="Garamond" w:hAnsi="Garamond" w:cstheme="majorBidi"/>
          <w:i/>
          <w:iCs/>
          <w:sz w:val="22"/>
          <w:szCs w:val="22"/>
        </w:rPr>
        <w:t xml:space="preserve"> should</w:t>
      </w:r>
      <w:r w:rsidRPr="00BE4742">
        <w:rPr>
          <w:rFonts w:ascii="Garamond" w:hAnsi="Garamond" w:cstheme="majorBidi"/>
          <w:i/>
          <w:iCs/>
          <w:sz w:val="22"/>
          <w:szCs w:val="22"/>
        </w:rPr>
        <w:t xml:space="preserve"> be required not only to disclose </w:t>
      </w:r>
      <w:r w:rsidR="009F0F42">
        <w:rPr>
          <w:rFonts w:ascii="Garamond" w:hAnsi="Garamond" w:cstheme="majorBidi"/>
          <w:i/>
          <w:iCs/>
          <w:sz w:val="22"/>
          <w:szCs w:val="22"/>
        </w:rPr>
        <w:t xml:space="preserve">the </w:t>
      </w:r>
      <w:r w:rsidRPr="00BE4742">
        <w:rPr>
          <w:rFonts w:ascii="Garamond" w:hAnsi="Garamond" w:cstheme="majorBidi"/>
          <w:i/>
          <w:iCs/>
          <w:sz w:val="22"/>
          <w:szCs w:val="22"/>
        </w:rPr>
        <w:t xml:space="preserve">advertising ties </w:t>
      </w:r>
      <w:r w:rsidR="009F0F42">
        <w:rPr>
          <w:rFonts w:ascii="Garamond" w:hAnsi="Garamond" w:cstheme="majorBidi"/>
          <w:i/>
          <w:iCs/>
          <w:sz w:val="22"/>
          <w:szCs w:val="22"/>
        </w:rPr>
        <w:t xml:space="preserve">that </w:t>
      </w:r>
      <w:r w:rsidR="00812B36">
        <w:rPr>
          <w:rFonts w:ascii="Garamond" w:hAnsi="Garamond" w:cstheme="majorBidi"/>
          <w:i/>
          <w:iCs/>
          <w:sz w:val="22"/>
          <w:szCs w:val="22"/>
        </w:rPr>
        <w:t xml:space="preserve">may influence their sources </w:t>
      </w:r>
      <w:r w:rsidRPr="00BE4742">
        <w:rPr>
          <w:rFonts w:ascii="Garamond" w:hAnsi="Garamond" w:cstheme="majorBidi"/>
          <w:i/>
          <w:iCs/>
          <w:sz w:val="22"/>
          <w:szCs w:val="22"/>
        </w:rPr>
        <w:t xml:space="preserve">but </w:t>
      </w:r>
      <w:r w:rsidR="003E2B7B">
        <w:rPr>
          <w:rFonts w:ascii="Garamond" w:hAnsi="Garamond" w:cstheme="majorBidi"/>
          <w:i/>
          <w:iCs/>
          <w:sz w:val="22"/>
          <w:szCs w:val="22"/>
        </w:rPr>
        <w:t xml:space="preserve">also </w:t>
      </w:r>
      <w:r w:rsidRPr="00BE4742">
        <w:rPr>
          <w:rFonts w:ascii="Garamond" w:hAnsi="Garamond" w:cstheme="majorBidi"/>
          <w:i/>
          <w:iCs/>
          <w:sz w:val="22"/>
          <w:szCs w:val="22"/>
        </w:rPr>
        <w:t xml:space="preserve">to do so through interactive, verifiable, and user-responsive mechanisms. In this way, the conversational interface that </w:t>
      </w:r>
      <w:r w:rsidR="00881CD8">
        <w:rPr>
          <w:rFonts w:ascii="Garamond" w:hAnsi="Garamond" w:cstheme="majorBidi"/>
          <w:i/>
          <w:iCs/>
          <w:sz w:val="22"/>
          <w:szCs w:val="22"/>
        </w:rPr>
        <w:t>now</w:t>
      </w:r>
      <w:r w:rsidRPr="00BE4742">
        <w:rPr>
          <w:rFonts w:ascii="Garamond" w:hAnsi="Garamond" w:cstheme="majorBidi"/>
          <w:i/>
          <w:iCs/>
          <w:sz w:val="22"/>
          <w:szCs w:val="22"/>
        </w:rPr>
        <w:t xml:space="preserve"> </w:t>
      </w:r>
      <w:r w:rsidR="00881CD8">
        <w:rPr>
          <w:rFonts w:ascii="Garamond" w:hAnsi="Garamond" w:cstheme="majorBidi"/>
          <w:i/>
          <w:iCs/>
          <w:sz w:val="22"/>
          <w:szCs w:val="22"/>
        </w:rPr>
        <w:t>threatens</w:t>
      </w:r>
      <w:r w:rsidRPr="00BE4742">
        <w:rPr>
          <w:rFonts w:ascii="Garamond" w:hAnsi="Garamond" w:cstheme="majorBidi"/>
          <w:i/>
          <w:iCs/>
          <w:sz w:val="22"/>
          <w:szCs w:val="22"/>
        </w:rPr>
        <w:t xml:space="preserve"> to conceal commercial influence can become a tool of meaningful consumer </w:t>
      </w:r>
      <w:r w:rsidR="00881CD8" w:rsidRPr="00BE4742">
        <w:rPr>
          <w:rFonts w:ascii="Garamond" w:hAnsi="Garamond" w:cstheme="majorBidi"/>
          <w:i/>
          <w:iCs/>
          <w:sz w:val="22"/>
          <w:szCs w:val="22"/>
        </w:rPr>
        <w:t xml:space="preserve">empowerment, </w:t>
      </w:r>
      <w:r w:rsidRPr="00BE4742">
        <w:rPr>
          <w:rFonts w:ascii="Garamond" w:hAnsi="Garamond" w:cstheme="majorBidi"/>
          <w:i/>
          <w:iCs/>
          <w:sz w:val="22"/>
          <w:szCs w:val="22"/>
        </w:rPr>
        <w:t>transforming disclosure from a perfunctory label into a new form of digital accountability.</w:t>
      </w:r>
    </w:p>
    <w:p w14:paraId="459DFFCC" w14:textId="358715EE" w:rsidR="00482E43" w:rsidRDefault="00482E43" w:rsidP="00690302">
      <w:pPr>
        <w:pStyle w:val="TOCHeading"/>
        <w:numPr>
          <w:ilvl w:val="0"/>
          <w:numId w:val="0"/>
        </w:numPr>
        <w:jc w:val="left"/>
        <w:rPr>
          <w:rFonts w:ascii="Garamond" w:hAnsi="Garamond"/>
          <w:i/>
          <w:iCs/>
          <w:sz w:val="22"/>
          <w:szCs w:val="22"/>
        </w:rPr>
      </w:pPr>
    </w:p>
    <w:sdt>
      <w:sdtPr>
        <w:rPr>
          <w:sz w:val="24"/>
          <w:szCs w:val="24"/>
        </w:rPr>
        <w:id w:val="-555242944"/>
        <w:docPartObj>
          <w:docPartGallery w:val="Table of Contents"/>
          <w:docPartUnique/>
        </w:docPartObj>
      </w:sdtPr>
      <w:sdtEndPr>
        <w:rPr>
          <w:b/>
          <w:bCs/>
          <w:noProof/>
        </w:rPr>
      </w:sdtEndPr>
      <w:sdtContent>
        <w:p w14:paraId="25A4D58C" w14:textId="4AB61059" w:rsidR="00045956" w:rsidRPr="00482E43" w:rsidRDefault="00A32F59" w:rsidP="00482E43">
          <w:pPr>
            <w:pStyle w:val="1JOLTBodyText"/>
            <w:ind w:firstLine="0"/>
            <w:jc w:val="center"/>
            <w:rPr>
              <w:rFonts w:ascii="Garamond" w:hAnsi="Garamond"/>
              <w:b/>
              <w:bCs/>
              <w:smallCaps/>
              <w:sz w:val="22"/>
              <w:szCs w:val="22"/>
            </w:rPr>
          </w:pPr>
          <w:r w:rsidRPr="00482E43">
            <w:rPr>
              <w:rFonts w:ascii="Garamond" w:hAnsi="Garamond"/>
              <w:b/>
              <w:bCs/>
              <w:smallCaps/>
              <w:sz w:val="22"/>
              <w:szCs w:val="22"/>
            </w:rPr>
            <w:t>Table of Contents</w:t>
          </w:r>
        </w:p>
        <w:p w14:paraId="1B0C0F99" w14:textId="77777777" w:rsidR="00403833" w:rsidRPr="00403833" w:rsidRDefault="00403833" w:rsidP="00403833"/>
        <w:p w14:paraId="578234AB" w14:textId="132D181F" w:rsidR="00045956" w:rsidRPr="00403833" w:rsidRDefault="00045956" w:rsidP="00403833">
          <w:pPr>
            <w:pStyle w:val="TOC1"/>
            <w:spacing w:before="0" w:after="0"/>
            <w:contextualSpacing/>
            <w:rPr>
              <w:rFonts w:eastAsiaTheme="minorEastAsia"/>
              <w:b w:val="0"/>
              <w:bCs w:val="0"/>
              <w:caps w:val="0"/>
              <w:sz w:val="22"/>
              <w:szCs w:val="22"/>
              <w:lang w:bidi="he-IL"/>
            </w:rPr>
          </w:pPr>
          <w:r>
            <w:fldChar w:fldCharType="begin"/>
          </w:r>
          <w:r>
            <w:instrText xml:space="preserve"> TOC \o "1-3" \h \z \u </w:instrText>
          </w:r>
          <w:r>
            <w:fldChar w:fldCharType="separate"/>
          </w:r>
          <w:hyperlink w:anchor="_Toc212649921" w:history="1">
            <w:r w:rsidRPr="00403833">
              <w:rPr>
                <w:rStyle w:val="Hyperlink"/>
                <w:color w:val="auto"/>
                <w:sz w:val="22"/>
                <w:szCs w:val="22"/>
              </w:rPr>
              <w:t>Introduction</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_Toc212649921 \h </w:instrText>
            </w:r>
            <w:r w:rsidRPr="00403833">
              <w:rPr>
                <w:webHidden/>
                <w:sz w:val="22"/>
                <w:szCs w:val="22"/>
              </w:rPr>
            </w:r>
            <w:r w:rsidRPr="00403833">
              <w:rPr>
                <w:webHidden/>
                <w:sz w:val="22"/>
                <w:szCs w:val="22"/>
              </w:rPr>
              <w:fldChar w:fldCharType="separate"/>
            </w:r>
            <w:r w:rsidRPr="00403833">
              <w:rPr>
                <w:webHidden/>
                <w:sz w:val="22"/>
                <w:szCs w:val="22"/>
              </w:rPr>
              <w:t>4</w:t>
            </w:r>
            <w:r w:rsidRPr="00403833">
              <w:rPr>
                <w:webHidden/>
                <w:sz w:val="22"/>
                <w:szCs w:val="22"/>
              </w:rPr>
              <w:fldChar w:fldCharType="end"/>
            </w:r>
          </w:hyperlink>
        </w:p>
        <w:p w14:paraId="392B5A24" w14:textId="45AB8890" w:rsidR="00045956" w:rsidRPr="00403833" w:rsidRDefault="00045956" w:rsidP="00403833">
          <w:pPr>
            <w:pStyle w:val="TOC1"/>
            <w:spacing w:before="0" w:after="0"/>
            <w:contextualSpacing/>
            <w:rPr>
              <w:rFonts w:eastAsiaTheme="minorEastAsia"/>
              <w:b w:val="0"/>
              <w:bCs w:val="0"/>
              <w:caps w:val="0"/>
              <w:sz w:val="22"/>
              <w:szCs w:val="22"/>
              <w:lang w:bidi="he-IL"/>
            </w:rPr>
          </w:pPr>
          <w:hyperlink w:anchor="_Toc212649922" w:history="1">
            <w:r w:rsidRPr="00403833">
              <w:rPr>
                <w:rStyle w:val="Hyperlink"/>
                <w:color w:val="auto"/>
                <w:sz w:val="22"/>
                <w:szCs w:val="22"/>
              </w:rPr>
              <w:t>II.</w:t>
            </w:r>
            <w:r w:rsidRPr="00403833">
              <w:rPr>
                <w:rFonts w:eastAsiaTheme="minorEastAsia"/>
                <w:b w:val="0"/>
                <w:bCs w:val="0"/>
                <w:caps w:val="0"/>
                <w:sz w:val="22"/>
                <w:szCs w:val="22"/>
                <w:lang w:bidi="he-IL"/>
              </w:rPr>
              <w:tab/>
            </w:r>
            <w:r w:rsidRPr="00403833">
              <w:rPr>
                <w:rStyle w:val="Hyperlink"/>
                <w:color w:val="auto"/>
                <w:sz w:val="22"/>
                <w:szCs w:val="22"/>
              </w:rPr>
              <w:t>The History, Psychology, and Regulation of Native Advertising</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_Toc212649922 \h </w:instrText>
            </w:r>
            <w:r w:rsidRPr="00403833">
              <w:rPr>
                <w:webHidden/>
                <w:sz w:val="22"/>
                <w:szCs w:val="22"/>
              </w:rPr>
            </w:r>
            <w:r w:rsidRPr="00403833">
              <w:rPr>
                <w:webHidden/>
                <w:sz w:val="22"/>
                <w:szCs w:val="22"/>
              </w:rPr>
              <w:fldChar w:fldCharType="separate"/>
            </w:r>
            <w:r w:rsidRPr="00403833">
              <w:rPr>
                <w:webHidden/>
                <w:sz w:val="22"/>
                <w:szCs w:val="22"/>
              </w:rPr>
              <w:t>8</w:t>
            </w:r>
            <w:r w:rsidRPr="00403833">
              <w:rPr>
                <w:webHidden/>
                <w:sz w:val="22"/>
                <w:szCs w:val="22"/>
              </w:rPr>
              <w:fldChar w:fldCharType="end"/>
            </w:r>
          </w:hyperlink>
        </w:p>
        <w:p w14:paraId="4F2DDEA2" w14:textId="6337B9BE"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23" w:history="1">
            <w:r w:rsidRPr="00403833">
              <w:rPr>
                <w:rStyle w:val="Hyperlink"/>
                <w:rFonts w:ascii="Garamond" w:hAnsi="Garamond"/>
                <w:color w:val="auto"/>
                <w:sz w:val="22"/>
                <w:szCs w:val="22"/>
              </w:rPr>
              <w:t>A.</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Native Advertising in Traditional and Digital Media</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_Toc212649923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8</w:t>
            </w:r>
            <w:r w:rsidRPr="00403833">
              <w:rPr>
                <w:rFonts w:ascii="Garamond" w:hAnsi="Garamond"/>
                <w:webHidden/>
                <w:color w:val="auto"/>
                <w:sz w:val="22"/>
                <w:szCs w:val="22"/>
              </w:rPr>
              <w:fldChar w:fldCharType="end"/>
            </w:r>
          </w:hyperlink>
        </w:p>
        <w:p w14:paraId="2DC2D89A" w14:textId="2E4D0877"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24" w:history="1">
            <w:r w:rsidRPr="00403833">
              <w:rPr>
                <w:rStyle w:val="Hyperlink"/>
                <w:rFonts w:ascii="Garamond" w:hAnsi="Garamond"/>
                <w:color w:val="auto"/>
                <w:sz w:val="22"/>
                <w:szCs w:val="22"/>
              </w:rPr>
              <w:t>B.</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Enter Genernative Advertising</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_Toc212649924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17</w:t>
            </w:r>
            <w:r w:rsidRPr="00403833">
              <w:rPr>
                <w:rFonts w:ascii="Garamond" w:hAnsi="Garamond"/>
                <w:webHidden/>
                <w:color w:val="auto"/>
                <w:sz w:val="22"/>
                <w:szCs w:val="22"/>
              </w:rPr>
              <w:fldChar w:fldCharType="end"/>
            </w:r>
          </w:hyperlink>
        </w:p>
        <w:p w14:paraId="26FC4711" w14:textId="327037C9" w:rsidR="00045956" w:rsidRPr="00403833" w:rsidRDefault="00045956" w:rsidP="00403833">
          <w:pPr>
            <w:pStyle w:val="TOC1"/>
            <w:spacing w:before="0" w:after="0"/>
            <w:contextualSpacing/>
            <w:rPr>
              <w:rFonts w:eastAsiaTheme="minorEastAsia"/>
              <w:b w:val="0"/>
              <w:bCs w:val="0"/>
              <w:caps w:val="0"/>
              <w:sz w:val="22"/>
              <w:szCs w:val="22"/>
              <w:lang w:bidi="he-IL"/>
            </w:rPr>
          </w:pPr>
          <w:hyperlink w:anchor="_Toc212649925" w:history="1">
            <w:r w:rsidRPr="00403833">
              <w:rPr>
                <w:rStyle w:val="Hyperlink"/>
                <w:color w:val="auto"/>
                <w:sz w:val="22"/>
                <w:szCs w:val="22"/>
              </w:rPr>
              <w:t>III.</w:t>
            </w:r>
            <w:r w:rsidRPr="00403833">
              <w:rPr>
                <w:rFonts w:eastAsiaTheme="minorEastAsia"/>
                <w:b w:val="0"/>
                <w:bCs w:val="0"/>
                <w:caps w:val="0"/>
                <w:sz w:val="22"/>
                <w:szCs w:val="22"/>
                <w:lang w:bidi="he-IL"/>
              </w:rPr>
              <w:tab/>
            </w:r>
            <w:r w:rsidRPr="00403833">
              <w:rPr>
                <w:rStyle w:val="Hyperlink"/>
                <w:color w:val="auto"/>
                <w:sz w:val="22"/>
                <w:szCs w:val="22"/>
              </w:rPr>
              <w:t>Sponsorship Disclosures’ Impact on Genernative Advertising—Recognition, Attitudes, and Behavior</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_Toc212649925 \h </w:instrText>
            </w:r>
            <w:r w:rsidRPr="00403833">
              <w:rPr>
                <w:webHidden/>
                <w:sz w:val="22"/>
                <w:szCs w:val="22"/>
              </w:rPr>
            </w:r>
            <w:r w:rsidRPr="00403833">
              <w:rPr>
                <w:webHidden/>
                <w:sz w:val="22"/>
                <w:szCs w:val="22"/>
              </w:rPr>
              <w:fldChar w:fldCharType="separate"/>
            </w:r>
            <w:r w:rsidRPr="00403833">
              <w:rPr>
                <w:webHidden/>
                <w:sz w:val="22"/>
                <w:szCs w:val="22"/>
              </w:rPr>
              <w:t>28</w:t>
            </w:r>
            <w:r w:rsidRPr="00403833">
              <w:rPr>
                <w:webHidden/>
                <w:sz w:val="22"/>
                <w:szCs w:val="22"/>
              </w:rPr>
              <w:fldChar w:fldCharType="end"/>
            </w:r>
          </w:hyperlink>
        </w:p>
        <w:p w14:paraId="373F16B7" w14:textId="52DAB86D"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26" w:history="1">
            <w:r w:rsidRPr="00403833">
              <w:rPr>
                <w:rStyle w:val="Hyperlink"/>
                <w:rFonts w:ascii="Garamond" w:hAnsi="Garamond"/>
                <w:color w:val="auto"/>
                <w:sz w:val="22"/>
                <w:szCs w:val="22"/>
              </w:rPr>
              <w:t>A.</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eastAsia="MS Mincho" w:hAnsi="Garamond"/>
                <w:color w:val="auto"/>
                <w:sz w:val="22"/>
                <w:szCs w:val="22"/>
                <w:lang w:eastAsia="ja-JP"/>
              </w:rPr>
              <w:t>E</w:t>
            </w:r>
            <w:r w:rsidRPr="00403833">
              <w:rPr>
                <w:rStyle w:val="Hyperlink"/>
                <w:rFonts w:ascii="Garamond" w:hAnsi="Garamond"/>
                <w:color w:val="auto"/>
                <w:sz w:val="22"/>
                <w:szCs w:val="22"/>
              </w:rPr>
              <w:t>xisting Research and Study Hypotheses</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_Toc212649926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29</w:t>
            </w:r>
            <w:r w:rsidRPr="00403833">
              <w:rPr>
                <w:rFonts w:ascii="Garamond" w:hAnsi="Garamond"/>
                <w:webHidden/>
                <w:color w:val="auto"/>
                <w:sz w:val="22"/>
                <w:szCs w:val="22"/>
              </w:rPr>
              <w:fldChar w:fldCharType="end"/>
            </w:r>
          </w:hyperlink>
        </w:p>
        <w:p w14:paraId="0A574586" w14:textId="19B16073"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27"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Persuasion, Knowledge, and the Effect of Sponsorship Disclosures on Native Advertising Recognition</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_Toc212649927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29</w:t>
            </w:r>
            <w:r w:rsidRPr="00403833">
              <w:rPr>
                <w:rFonts w:ascii="Garamond" w:hAnsi="Garamond"/>
                <w:noProof/>
                <w:webHidden/>
                <w:color w:val="auto"/>
                <w:sz w:val="22"/>
                <w:szCs w:val="22"/>
              </w:rPr>
              <w:fldChar w:fldCharType="end"/>
            </w:r>
          </w:hyperlink>
        </w:p>
        <w:p w14:paraId="5112CD64" w14:textId="260AC87F"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28" w:history="1">
            <w:r w:rsidRPr="00403833">
              <w:rPr>
                <w:rStyle w:val="Hyperlink"/>
                <w:rFonts w:ascii="Garamond" w:hAnsi="Garamond"/>
                <w:noProof/>
                <w:color w:val="auto"/>
                <w:sz w:val="22"/>
                <w:szCs w:val="22"/>
              </w:rPr>
              <w:t>2.</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Effects  of Advertising Recognition on Consumers’ Attitudes</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_Toc212649928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33</w:t>
            </w:r>
            <w:r w:rsidRPr="00403833">
              <w:rPr>
                <w:rFonts w:ascii="Garamond" w:hAnsi="Garamond"/>
                <w:noProof/>
                <w:webHidden/>
                <w:color w:val="auto"/>
                <w:sz w:val="22"/>
                <w:szCs w:val="22"/>
              </w:rPr>
              <w:fldChar w:fldCharType="end"/>
            </w:r>
          </w:hyperlink>
        </w:p>
        <w:p w14:paraId="595E5982" w14:textId="38610623"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29" w:history="1">
            <w:r w:rsidRPr="00403833">
              <w:rPr>
                <w:rStyle w:val="Hyperlink"/>
                <w:rFonts w:ascii="Garamond" w:hAnsi="Garamond"/>
                <w:noProof/>
                <w:color w:val="auto"/>
                <w:sz w:val="22"/>
                <w:szCs w:val="22"/>
              </w:rPr>
              <w:t>3.</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Effects of Advertising Recognition on Consumers’ Behavior</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_Toc212649929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43</w:t>
            </w:r>
            <w:r w:rsidRPr="00403833">
              <w:rPr>
                <w:rFonts w:ascii="Garamond" w:hAnsi="Garamond"/>
                <w:noProof/>
                <w:webHidden/>
                <w:color w:val="auto"/>
                <w:sz w:val="22"/>
                <w:szCs w:val="22"/>
              </w:rPr>
              <w:fldChar w:fldCharType="end"/>
            </w:r>
          </w:hyperlink>
        </w:p>
        <w:p w14:paraId="139CA473" w14:textId="001A04AD"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30" w:history="1">
            <w:r w:rsidRPr="00403833">
              <w:rPr>
                <w:rStyle w:val="Hyperlink"/>
                <w:rFonts w:ascii="Garamond" w:hAnsi="Garamond"/>
                <w:color w:val="auto"/>
                <w:sz w:val="22"/>
                <w:szCs w:val="22"/>
              </w:rPr>
              <w:t>B.</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Methods</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_Toc212649930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44</w:t>
            </w:r>
            <w:r w:rsidRPr="00403833">
              <w:rPr>
                <w:rFonts w:ascii="Garamond" w:hAnsi="Garamond"/>
                <w:webHidden/>
                <w:color w:val="auto"/>
                <w:sz w:val="22"/>
                <w:szCs w:val="22"/>
              </w:rPr>
              <w:fldChar w:fldCharType="end"/>
            </w:r>
          </w:hyperlink>
        </w:p>
        <w:p w14:paraId="7B5D898B" w14:textId="785C902B"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1"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Participants</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_Toc212649931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44</w:t>
            </w:r>
            <w:r w:rsidRPr="00403833">
              <w:rPr>
                <w:rFonts w:ascii="Garamond" w:hAnsi="Garamond"/>
                <w:noProof/>
                <w:webHidden/>
                <w:color w:val="auto"/>
                <w:sz w:val="22"/>
                <w:szCs w:val="22"/>
              </w:rPr>
              <w:fldChar w:fldCharType="end"/>
            </w:r>
          </w:hyperlink>
        </w:p>
        <w:p w14:paraId="4E729B6C" w14:textId="1ABFD1C5"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2" w:history="1">
            <w:r w:rsidRPr="00403833">
              <w:rPr>
                <w:rStyle w:val="Hyperlink"/>
                <w:rFonts w:ascii="Garamond" w:hAnsi="Garamond"/>
                <w:noProof/>
                <w:color w:val="auto"/>
                <w:sz w:val="22"/>
                <w:szCs w:val="22"/>
              </w:rPr>
              <w:t>2.</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Design</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_Toc212649932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45</w:t>
            </w:r>
            <w:r w:rsidRPr="00403833">
              <w:rPr>
                <w:rFonts w:ascii="Garamond" w:hAnsi="Garamond"/>
                <w:noProof/>
                <w:webHidden/>
                <w:color w:val="auto"/>
                <w:sz w:val="22"/>
                <w:szCs w:val="22"/>
              </w:rPr>
              <w:fldChar w:fldCharType="end"/>
            </w:r>
          </w:hyperlink>
        </w:p>
        <w:p w14:paraId="1DC156E1" w14:textId="4A532AB6"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3" w:history="1">
            <w:r w:rsidRPr="00403833">
              <w:rPr>
                <w:rStyle w:val="Hyperlink"/>
                <w:rFonts w:ascii="Garamond" w:hAnsi="Garamond"/>
                <w:noProof/>
                <w:color w:val="auto"/>
                <w:sz w:val="22"/>
                <w:szCs w:val="22"/>
              </w:rPr>
              <w:t>3.</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Stimulus Materials</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_Toc212649933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46</w:t>
            </w:r>
            <w:r w:rsidRPr="00403833">
              <w:rPr>
                <w:rFonts w:ascii="Garamond" w:hAnsi="Garamond"/>
                <w:noProof/>
                <w:webHidden/>
                <w:color w:val="auto"/>
                <w:sz w:val="22"/>
                <w:szCs w:val="22"/>
              </w:rPr>
              <w:fldChar w:fldCharType="end"/>
            </w:r>
          </w:hyperlink>
        </w:p>
        <w:p w14:paraId="1D2EA4A5" w14:textId="05B259E9"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4" w:history="1">
            <w:r w:rsidRPr="00403833">
              <w:rPr>
                <w:rStyle w:val="Hyperlink"/>
                <w:rFonts w:ascii="Garamond" w:hAnsi="Garamond"/>
                <w:noProof/>
                <w:color w:val="auto"/>
                <w:sz w:val="22"/>
                <w:szCs w:val="22"/>
              </w:rPr>
              <w:t>4.</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Data Collection, Behavioral Tracking, and Survey</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_Toc212649934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48</w:t>
            </w:r>
            <w:r w:rsidRPr="00403833">
              <w:rPr>
                <w:rFonts w:ascii="Garamond" w:hAnsi="Garamond"/>
                <w:noProof/>
                <w:webHidden/>
                <w:color w:val="auto"/>
                <w:sz w:val="22"/>
                <w:szCs w:val="22"/>
              </w:rPr>
              <w:fldChar w:fldCharType="end"/>
            </w:r>
          </w:hyperlink>
        </w:p>
        <w:p w14:paraId="216F1C8B" w14:textId="19CAEFB6"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5" w:history="1">
            <w:r w:rsidRPr="00403833">
              <w:rPr>
                <w:rStyle w:val="Hyperlink"/>
                <w:rFonts w:ascii="Garamond" w:hAnsi="Garamond"/>
                <w:noProof/>
                <w:color w:val="auto"/>
                <w:sz w:val="22"/>
                <w:szCs w:val="22"/>
              </w:rPr>
              <w:t>5.</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Procedure</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_Toc212649935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48</w:t>
            </w:r>
            <w:r w:rsidRPr="00403833">
              <w:rPr>
                <w:rFonts w:ascii="Garamond" w:hAnsi="Garamond"/>
                <w:noProof/>
                <w:webHidden/>
                <w:color w:val="auto"/>
                <w:sz w:val="22"/>
                <w:szCs w:val="22"/>
              </w:rPr>
              <w:fldChar w:fldCharType="end"/>
            </w:r>
          </w:hyperlink>
        </w:p>
        <w:p w14:paraId="3EA6C8BA" w14:textId="4C64A982"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6" w:history="1">
            <w:r w:rsidRPr="00403833">
              <w:rPr>
                <w:rStyle w:val="Hyperlink"/>
                <w:rFonts w:ascii="Garamond" w:hAnsi="Garamond"/>
                <w:noProof/>
                <w:color w:val="auto"/>
                <w:sz w:val="22"/>
                <w:szCs w:val="22"/>
              </w:rPr>
              <w:t>6.</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Limitations</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_Toc212649936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49</w:t>
            </w:r>
            <w:r w:rsidRPr="00403833">
              <w:rPr>
                <w:rFonts w:ascii="Garamond" w:hAnsi="Garamond"/>
                <w:noProof/>
                <w:webHidden/>
                <w:color w:val="auto"/>
                <w:sz w:val="22"/>
                <w:szCs w:val="22"/>
              </w:rPr>
              <w:fldChar w:fldCharType="end"/>
            </w:r>
          </w:hyperlink>
        </w:p>
        <w:p w14:paraId="1F6F654F" w14:textId="284D8C6A"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37" w:history="1">
            <w:r w:rsidRPr="00403833">
              <w:rPr>
                <w:rStyle w:val="Hyperlink"/>
                <w:rFonts w:ascii="Garamond" w:hAnsi="Garamond"/>
                <w:color w:val="auto"/>
                <w:sz w:val="22"/>
                <w:szCs w:val="22"/>
              </w:rPr>
              <w:t>C.</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Results</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_Toc212649937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50</w:t>
            </w:r>
            <w:r w:rsidRPr="00403833">
              <w:rPr>
                <w:rFonts w:ascii="Garamond" w:hAnsi="Garamond"/>
                <w:webHidden/>
                <w:color w:val="auto"/>
                <w:sz w:val="22"/>
                <w:szCs w:val="22"/>
              </w:rPr>
              <w:fldChar w:fldCharType="end"/>
            </w:r>
          </w:hyperlink>
        </w:p>
        <w:p w14:paraId="0F8E4418" w14:textId="0F21FD7E"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8"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I</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_Toc212649938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50</w:t>
            </w:r>
            <w:r w:rsidRPr="00403833">
              <w:rPr>
                <w:rFonts w:ascii="Garamond" w:hAnsi="Garamond"/>
                <w:noProof/>
                <w:webHidden/>
                <w:color w:val="auto"/>
                <w:sz w:val="22"/>
                <w:szCs w:val="22"/>
              </w:rPr>
              <w:fldChar w:fldCharType="end"/>
            </w:r>
          </w:hyperlink>
        </w:p>
        <w:p w14:paraId="5FD70FA1" w14:textId="64E94F1B"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39" w:history="1">
            <w:r w:rsidRPr="00403833">
              <w:rPr>
                <w:rStyle w:val="Hyperlink"/>
                <w:rFonts w:ascii="Garamond" w:hAnsi="Garamond"/>
                <w:noProof/>
                <w:color w:val="auto"/>
                <w:sz w:val="22"/>
                <w:szCs w:val="22"/>
              </w:rPr>
              <w:t>2.</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II</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_Toc212649939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55</w:t>
            </w:r>
            <w:r w:rsidRPr="00403833">
              <w:rPr>
                <w:rFonts w:ascii="Garamond" w:hAnsi="Garamond"/>
                <w:noProof/>
                <w:webHidden/>
                <w:color w:val="auto"/>
                <w:sz w:val="22"/>
                <w:szCs w:val="22"/>
              </w:rPr>
              <w:fldChar w:fldCharType="end"/>
            </w:r>
          </w:hyperlink>
        </w:p>
        <w:p w14:paraId="587F7532" w14:textId="6104C4BB" w:rsidR="00045956" w:rsidRPr="00403833" w:rsidRDefault="00045956" w:rsidP="00403833">
          <w:pPr>
            <w:pStyle w:val="TOC1"/>
            <w:spacing w:before="0" w:after="0"/>
            <w:contextualSpacing/>
            <w:rPr>
              <w:rFonts w:eastAsiaTheme="minorEastAsia"/>
              <w:b w:val="0"/>
              <w:bCs w:val="0"/>
              <w:caps w:val="0"/>
              <w:sz w:val="22"/>
              <w:szCs w:val="22"/>
              <w:lang w:bidi="he-IL"/>
            </w:rPr>
          </w:pPr>
          <w:hyperlink w:anchor="_Toc212649940" w:history="1">
            <w:r w:rsidRPr="00403833">
              <w:rPr>
                <w:rStyle w:val="Hyperlink"/>
                <w:color w:val="auto"/>
                <w:sz w:val="22"/>
                <w:szCs w:val="22"/>
              </w:rPr>
              <w:t>IV.</w:t>
            </w:r>
            <w:r w:rsidRPr="00403833">
              <w:rPr>
                <w:rFonts w:eastAsiaTheme="minorEastAsia"/>
                <w:b w:val="0"/>
                <w:bCs w:val="0"/>
                <w:caps w:val="0"/>
                <w:sz w:val="22"/>
                <w:szCs w:val="22"/>
                <w:lang w:bidi="he-IL"/>
              </w:rPr>
              <w:tab/>
            </w:r>
            <w:r w:rsidRPr="00403833">
              <w:rPr>
                <w:rStyle w:val="Hyperlink"/>
                <w:color w:val="auto"/>
                <w:sz w:val="22"/>
                <w:szCs w:val="22"/>
              </w:rPr>
              <w:t>Policy Implications</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_Toc212649940 \h </w:instrText>
            </w:r>
            <w:r w:rsidRPr="00403833">
              <w:rPr>
                <w:webHidden/>
                <w:sz w:val="22"/>
                <w:szCs w:val="22"/>
              </w:rPr>
            </w:r>
            <w:r w:rsidRPr="00403833">
              <w:rPr>
                <w:webHidden/>
                <w:sz w:val="22"/>
                <w:szCs w:val="22"/>
              </w:rPr>
              <w:fldChar w:fldCharType="separate"/>
            </w:r>
            <w:r w:rsidRPr="00403833">
              <w:rPr>
                <w:webHidden/>
                <w:sz w:val="22"/>
                <w:szCs w:val="22"/>
              </w:rPr>
              <w:t>59</w:t>
            </w:r>
            <w:r w:rsidRPr="00403833">
              <w:rPr>
                <w:webHidden/>
                <w:sz w:val="22"/>
                <w:szCs w:val="22"/>
              </w:rPr>
              <w:fldChar w:fldCharType="end"/>
            </w:r>
          </w:hyperlink>
        </w:p>
        <w:p w14:paraId="2CBFD39C" w14:textId="77DA213C" w:rsidR="00045956" w:rsidRPr="00403833" w:rsidRDefault="00045956" w:rsidP="00403833">
          <w:pPr>
            <w:pStyle w:val="TOC1"/>
            <w:spacing w:before="0" w:after="0"/>
            <w:contextualSpacing/>
            <w:rPr>
              <w:rFonts w:eastAsiaTheme="minorEastAsia"/>
              <w:b w:val="0"/>
              <w:bCs w:val="0"/>
              <w:caps w:val="0"/>
              <w:sz w:val="22"/>
              <w:szCs w:val="22"/>
              <w:lang w:bidi="he-IL"/>
            </w:rPr>
          </w:pPr>
          <w:hyperlink w:anchor="_Toc212649941" w:history="1">
            <w:r w:rsidRPr="00403833">
              <w:rPr>
                <w:rStyle w:val="Hyperlink"/>
                <w:color w:val="auto"/>
                <w:sz w:val="22"/>
                <w:szCs w:val="22"/>
              </w:rPr>
              <w:t>V.</w:t>
            </w:r>
            <w:r w:rsidRPr="00403833">
              <w:rPr>
                <w:rFonts w:eastAsiaTheme="minorEastAsia"/>
                <w:b w:val="0"/>
                <w:bCs w:val="0"/>
                <w:caps w:val="0"/>
                <w:sz w:val="22"/>
                <w:szCs w:val="22"/>
                <w:lang w:bidi="he-IL"/>
              </w:rPr>
              <w:tab/>
            </w:r>
            <w:r w:rsidRPr="00403833">
              <w:rPr>
                <w:rStyle w:val="Hyperlink"/>
                <w:color w:val="auto"/>
                <w:sz w:val="22"/>
                <w:szCs w:val="22"/>
              </w:rPr>
              <w:t>Conclusion</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_Toc212649941 \h </w:instrText>
            </w:r>
            <w:r w:rsidRPr="00403833">
              <w:rPr>
                <w:webHidden/>
                <w:sz w:val="22"/>
                <w:szCs w:val="22"/>
              </w:rPr>
            </w:r>
            <w:r w:rsidRPr="00403833">
              <w:rPr>
                <w:webHidden/>
                <w:sz w:val="22"/>
                <w:szCs w:val="22"/>
              </w:rPr>
              <w:fldChar w:fldCharType="separate"/>
            </w:r>
            <w:r w:rsidRPr="00403833">
              <w:rPr>
                <w:webHidden/>
                <w:sz w:val="22"/>
                <w:szCs w:val="22"/>
              </w:rPr>
              <w:t>65</w:t>
            </w:r>
            <w:r w:rsidRPr="00403833">
              <w:rPr>
                <w:webHidden/>
                <w:sz w:val="22"/>
                <w:szCs w:val="22"/>
              </w:rPr>
              <w:fldChar w:fldCharType="end"/>
            </w:r>
          </w:hyperlink>
        </w:p>
        <w:p w14:paraId="5625D658" w14:textId="7A7E73D0" w:rsidR="00045956" w:rsidRPr="00403833" w:rsidRDefault="00045956" w:rsidP="00403833">
          <w:pPr>
            <w:pStyle w:val="TOC1"/>
            <w:spacing w:before="0" w:after="0"/>
            <w:contextualSpacing/>
            <w:rPr>
              <w:rFonts w:eastAsiaTheme="minorEastAsia"/>
              <w:b w:val="0"/>
              <w:bCs w:val="0"/>
              <w:caps w:val="0"/>
              <w:sz w:val="22"/>
              <w:szCs w:val="22"/>
              <w:lang w:bidi="he-IL"/>
            </w:rPr>
          </w:pPr>
          <w:hyperlink w:anchor="_Toc212649942" w:history="1">
            <w:r w:rsidRPr="00403833">
              <w:rPr>
                <w:rStyle w:val="Hyperlink"/>
                <w:color w:val="auto"/>
                <w:sz w:val="22"/>
                <w:szCs w:val="22"/>
              </w:rPr>
              <w:t>VI.</w:t>
            </w:r>
            <w:r w:rsidRPr="00403833">
              <w:rPr>
                <w:rFonts w:eastAsiaTheme="minorEastAsia"/>
                <w:b w:val="0"/>
                <w:bCs w:val="0"/>
                <w:caps w:val="0"/>
                <w:sz w:val="22"/>
                <w:szCs w:val="22"/>
                <w:lang w:bidi="he-IL"/>
              </w:rPr>
              <w:tab/>
            </w:r>
            <w:r w:rsidRPr="00403833">
              <w:rPr>
                <w:rStyle w:val="Hyperlink"/>
                <w:color w:val="auto"/>
                <w:sz w:val="22"/>
                <w:szCs w:val="22"/>
              </w:rPr>
              <w:t>Appendices</w:t>
            </w:r>
            <w:r w:rsidRPr="00403833">
              <w:rPr>
                <w:webHidden/>
                <w:sz w:val="22"/>
                <w:szCs w:val="22"/>
              </w:rPr>
              <w:tab/>
            </w:r>
            <w:r w:rsidRPr="00403833">
              <w:rPr>
                <w:webHidden/>
                <w:sz w:val="22"/>
                <w:szCs w:val="22"/>
              </w:rPr>
              <w:fldChar w:fldCharType="begin"/>
            </w:r>
            <w:r w:rsidRPr="00403833">
              <w:rPr>
                <w:webHidden/>
                <w:sz w:val="22"/>
                <w:szCs w:val="22"/>
              </w:rPr>
              <w:instrText xml:space="preserve"> PAGEREF _Toc212649942 \h </w:instrText>
            </w:r>
            <w:r w:rsidRPr="00403833">
              <w:rPr>
                <w:webHidden/>
                <w:sz w:val="22"/>
                <w:szCs w:val="22"/>
              </w:rPr>
            </w:r>
            <w:r w:rsidRPr="00403833">
              <w:rPr>
                <w:webHidden/>
                <w:sz w:val="22"/>
                <w:szCs w:val="22"/>
              </w:rPr>
              <w:fldChar w:fldCharType="separate"/>
            </w:r>
            <w:r w:rsidRPr="00403833">
              <w:rPr>
                <w:webHidden/>
                <w:sz w:val="22"/>
                <w:szCs w:val="22"/>
              </w:rPr>
              <w:t>67</w:t>
            </w:r>
            <w:r w:rsidRPr="00403833">
              <w:rPr>
                <w:webHidden/>
                <w:sz w:val="22"/>
                <w:szCs w:val="22"/>
              </w:rPr>
              <w:fldChar w:fldCharType="end"/>
            </w:r>
          </w:hyperlink>
        </w:p>
        <w:p w14:paraId="049CE389" w14:textId="5A7CE0EA"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43" w:history="1">
            <w:r w:rsidRPr="00403833">
              <w:rPr>
                <w:rStyle w:val="Hyperlink"/>
                <w:rFonts w:ascii="Garamond" w:hAnsi="Garamond"/>
                <w:color w:val="auto"/>
                <w:sz w:val="22"/>
                <w:szCs w:val="22"/>
              </w:rPr>
              <w:t>A.</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Appendix I – Stimulated Materials</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_Toc212649943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67</w:t>
            </w:r>
            <w:r w:rsidRPr="00403833">
              <w:rPr>
                <w:rFonts w:ascii="Garamond" w:hAnsi="Garamond"/>
                <w:webHidden/>
                <w:color w:val="auto"/>
                <w:sz w:val="22"/>
                <w:szCs w:val="22"/>
              </w:rPr>
              <w:fldChar w:fldCharType="end"/>
            </w:r>
          </w:hyperlink>
        </w:p>
        <w:p w14:paraId="11D1B206" w14:textId="7A7D21CC"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44"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I</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_Toc212649944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67</w:t>
            </w:r>
            <w:r w:rsidRPr="00403833">
              <w:rPr>
                <w:rFonts w:ascii="Garamond" w:hAnsi="Garamond"/>
                <w:noProof/>
                <w:webHidden/>
                <w:color w:val="auto"/>
                <w:sz w:val="22"/>
                <w:szCs w:val="22"/>
              </w:rPr>
              <w:fldChar w:fldCharType="end"/>
            </w:r>
          </w:hyperlink>
        </w:p>
        <w:p w14:paraId="34A74CF3" w14:textId="1B9CBF9C"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45" w:history="1">
            <w:r w:rsidRPr="00403833">
              <w:rPr>
                <w:rStyle w:val="Hyperlink"/>
                <w:rFonts w:ascii="Garamond" w:hAnsi="Garamond"/>
                <w:color w:val="auto"/>
                <w:sz w:val="22"/>
                <w:szCs w:val="22"/>
                <w:rtl/>
              </w:rPr>
              <w:t>B.</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Appendix II – Full Survey</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_Toc212649945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72</w:t>
            </w:r>
            <w:r w:rsidRPr="00403833">
              <w:rPr>
                <w:rFonts w:ascii="Garamond" w:hAnsi="Garamond"/>
                <w:webHidden/>
                <w:color w:val="auto"/>
                <w:sz w:val="22"/>
                <w:szCs w:val="22"/>
              </w:rPr>
              <w:fldChar w:fldCharType="end"/>
            </w:r>
          </w:hyperlink>
        </w:p>
        <w:p w14:paraId="113FC5AB" w14:textId="3ED82953"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46"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I</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_Toc212649946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72</w:t>
            </w:r>
            <w:r w:rsidRPr="00403833">
              <w:rPr>
                <w:rFonts w:ascii="Garamond" w:hAnsi="Garamond"/>
                <w:noProof/>
                <w:webHidden/>
                <w:color w:val="auto"/>
                <w:sz w:val="22"/>
                <w:szCs w:val="22"/>
              </w:rPr>
              <w:fldChar w:fldCharType="end"/>
            </w:r>
          </w:hyperlink>
        </w:p>
        <w:p w14:paraId="568EFE39" w14:textId="384702AE"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47" w:history="1">
            <w:r w:rsidRPr="00403833">
              <w:rPr>
                <w:rStyle w:val="Hyperlink"/>
                <w:rFonts w:ascii="Garamond" w:hAnsi="Garamond"/>
                <w:color w:val="auto"/>
                <w:sz w:val="22"/>
                <w:szCs w:val="22"/>
                <w:rtl/>
              </w:rPr>
              <w:t>C.</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Appendix III – Procedure</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_Toc212649947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84</w:t>
            </w:r>
            <w:r w:rsidRPr="00403833">
              <w:rPr>
                <w:rFonts w:ascii="Garamond" w:hAnsi="Garamond"/>
                <w:webHidden/>
                <w:color w:val="auto"/>
                <w:sz w:val="22"/>
                <w:szCs w:val="22"/>
              </w:rPr>
              <w:fldChar w:fldCharType="end"/>
            </w:r>
          </w:hyperlink>
        </w:p>
        <w:p w14:paraId="46BBA706" w14:textId="590E95BB" w:rsidR="00045956" w:rsidRPr="00403833" w:rsidRDefault="00045956" w:rsidP="00403833">
          <w:pPr>
            <w:pStyle w:val="TOC2"/>
            <w:spacing w:before="0" w:line="240" w:lineRule="auto"/>
            <w:ind w:left="0"/>
            <w:contextualSpacing/>
            <w:rPr>
              <w:rFonts w:ascii="Garamond" w:eastAsiaTheme="minorEastAsia" w:hAnsi="Garamond" w:cstheme="minorBidi"/>
              <w:bCs w:val="0"/>
              <w:i w:val="0"/>
              <w:iCs w:val="0"/>
              <w:color w:val="auto"/>
              <w:sz w:val="22"/>
              <w:szCs w:val="22"/>
              <w:lang w:bidi="he-IL"/>
            </w:rPr>
          </w:pPr>
          <w:hyperlink w:anchor="_Toc212649948" w:history="1">
            <w:r w:rsidRPr="00403833">
              <w:rPr>
                <w:rStyle w:val="Hyperlink"/>
                <w:rFonts w:ascii="Garamond" w:hAnsi="Garamond"/>
                <w:color w:val="auto"/>
                <w:sz w:val="22"/>
                <w:szCs w:val="22"/>
                <w:rtl/>
              </w:rPr>
              <w:t>D.</w:t>
            </w:r>
            <w:r w:rsidRPr="00403833">
              <w:rPr>
                <w:rFonts w:ascii="Garamond" w:eastAsiaTheme="minorEastAsia" w:hAnsi="Garamond" w:cstheme="minorBidi"/>
                <w:bCs w:val="0"/>
                <w:i w:val="0"/>
                <w:iCs w:val="0"/>
                <w:color w:val="auto"/>
                <w:sz w:val="22"/>
                <w:szCs w:val="22"/>
                <w:lang w:bidi="he-IL"/>
              </w:rPr>
              <w:tab/>
            </w:r>
            <w:r w:rsidRPr="00403833">
              <w:rPr>
                <w:rStyle w:val="Hyperlink"/>
                <w:rFonts w:ascii="Garamond" w:hAnsi="Garamond"/>
                <w:color w:val="auto"/>
                <w:sz w:val="22"/>
                <w:szCs w:val="22"/>
              </w:rPr>
              <w:t>Appendix IV – Additional Findings</w:t>
            </w:r>
            <w:r w:rsidRPr="00403833">
              <w:rPr>
                <w:rFonts w:ascii="Garamond" w:hAnsi="Garamond"/>
                <w:webHidden/>
                <w:color w:val="auto"/>
                <w:sz w:val="22"/>
                <w:szCs w:val="22"/>
              </w:rPr>
              <w:tab/>
            </w:r>
            <w:r w:rsidRPr="00403833">
              <w:rPr>
                <w:rFonts w:ascii="Garamond" w:hAnsi="Garamond"/>
                <w:webHidden/>
                <w:color w:val="auto"/>
                <w:sz w:val="22"/>
                <w:szCs w:val="22"/>
              </w:rPr>
              <w:fldChar w:fldCharType="begin"/>
            </w:r>
            <w:r w:rsidRPr="00403833">
              <w:rPr>
                <w:rFonts w:ascii="Garamond" w:hAnsi="Garamond"/>
                <w:webHidden/>
                <w:color w:val="auto"/>
                <w:sz w:val="22"/>
                <w:szCs w:val="22"/>
              </w:rPr>
              <w:instrText xml:space="preserve"> PAGEREF _Toc212649948 \h </w:instrText>
            </w:r>
            <w:r w:rsidRPr="00403833">
              <w:rPr>
                <w:rFonts w:ascii="Garamond" w:hAnsi="Garamond"/>
                <w:webHidden/>
                <w:color w:val="auto"/>
                <w:sz w:val="22"/>
                <w:szCs w:val="22"/>
              </w:rPr>
            </w:r>
            <w:r w:rsidRPr="00403833">
              <w:rPr>
                <w:rFonts w:ascii="Garamond" w:hAnsi="Garamond"/>
                <w:webHidden/>
                <w:color w:val="auto"/>
                <w:sz w:val="22"/>
                <w:szCs w:val="22"/>
              </w:rPr>
              <w:fldChar w:fldCharType="separate"/>
            </w:r>
            <w:r w:rsidRPr="00403833">
              <w:rPr>
                <w:rFonts w:ascii="Garamond" w:hAnsi="Garamond"/>
                <w:webHidden/>
                <w:color w:val="auto"/>
                <w:sz w:val="22"/>
                <w:szCs w:val="22"/>
              </w:rPr>
              <w:t>84</w:t>
            </w:r>
            <w:r w:rsidRPr="00403833">
              <w:rPr>
                <w:rFonts w:ascii="Garamond" w:hAnsi="Garamond"/>
                <w:webHidden/>
                <w:color w:val="auto"/>
                <w:sz w:val="22"/>
                <w:szCs w:val="22"/>
              </w:rPr>
              <w:fldChar w:fldCharType="end"/>
            </w:r>
          </w:hyperlink>
        </w:p>
        <w:p w14:paraId="2803749C" w14:textId="67044CEB" w:rsidR="00045956" w:rsidRPr="00403833" w:rsidRDefault="00045956" w:rsidP="00403833">
          <w:pPr>
            <w:pStyle w:val="TOC3"/>
            <w:tabs>
              <w:tab w:val="left" w:pos="960"/>
              <w:tab w:val="right" w:leader="dot" w:pos="6470"/>
            </w:tabs>
            <w:spacing w:before="0" w:line="240" w:lineRule="auto"/>
            <w:ind w:left="0"/>
            <w:contextualSpacing/>
            <w:rPr>
              <w:rFonts w:ascii="Garamond" w:eastAsiaTheme="minorEastAsia" w:hAnsi="Garamond" w:cstheme="minorBidi"/>
              <w:bCs w:val="0"/>
              <w:i w:val="0"/>
              <w:iCs w:val="0"/>
              <w:noProof/>
              <w:color w:val="auto"/>
              <w:sz w:val="22"/>
              <w:szCs w:val="22"/>
              <w:lang w:bidi="he-IL"/>
            </w:rPr>
          </w:pPr>
          <w:hyperlink w:anchor="_Toc212649949" w:history="1">
            <w:r w:rsidRPr="00403833">
              <w:rPr>
                <w:rStyle w:val="Hyperlink"/>
                <w:rFonts w:ascii="Garamond" w:hAnsi="Garamond"/>
                <w:noProof/>
                <w:color w:val="auto"/>
                <w:sz w:val="22"/>
                <w:szCs w:val="22"/>
              </w:rPr>
              <w:t>1.</w:t>
            </w:r>
            <w:r w:rsidRPr="00403833">
              <w:rPr>
                <w:rFonts w:ascii="Garamond" w:eastAsiaTheme="minorEastAsia" w:hAnsi="Garamond" w:cstheme="minorBidi"/>
                <w:bCs w:val="0"/>
                <w:i w:val="0"/>
                <w:iCs w:val="0"/>
                <w:noProof/>
                <w:color w:val="auto"/>
                <w:sz w:val="22"/>
                <w:szCs w:val="22"/>
                <w:lang w:bidi="he-IL"/>
              </w:rPr>
              <w:tab/>
            </w:r>
            <w:r w:rsidRPr="00403833">
              <w:rPr>
                <w:rStyle w:val="Hyperlink"/>
                <w:rFonts w:ascii="Garamond" w:hAnsi="Garamond"/>
                <w:noProof/>
                <w:color w:val="auto"/>
                <w:sz w:val="22"/>
                <w:szCs w:val="22"/>
              </w:rPr>
              <w:t>Study I</w:t>
            </w:r>
            <w:r w:rsidRPr="00403833">
              <w:rPr>
                <w:rFonts w:ascii="Garamond" w:hAnsi="Garamond"/>
                <w:noProof/>
                <w:webHidden/>
                <w:color w:val="auto"/>
                <w:sz w:val="22"/>
                <w:szCs w:val="22"/>
              </w:rPr>
              <w:tab/>
            </w:r>
            <w:r w:rsidRPr="00403833">
              <w:rPr>
                <w:rFonts w:ascii="Garamond" w:hAnsi="Garamond"/>
                <w:noProof/>
                <w:webHidden/>
                <w:color w:val="auto"/>
                <w:sz w:val="22"/>
                <w:szCs w:val="22"/>
              </w:rPr>
              <w:fldChar w:fldCharType="begin"/>
            </w:r>
            <w:r w:rsidRPr="00403833">
              <w:rPr>
                <w:rFonts w:ascii="Garamond" w:hAnsi="Garamond"/>
                <w:noProof/>
                <w:webHidden/>
                <w:color w:val="auto"/>
                <w:sz w:val="22"/>
                <w:szCs w:val="22"/>
              </w:rPr>
              <w:instrText xml:space="preserve"> PAGEREF _Toc212649949 \h </w:instrText>
            </w:r>
            <w:r w:rsidRPr="00403833">
              <w:rPr>
                <w:rFonts w:ascii="Garamond" w:hAnsi="Garamond"/>
                <w:noProof/>
                <w:webHidden/>
                <w:color w:val="auto"/>
                <w:sz w:val="22"/>
                <w:szCs w:val="22"/>
              </w:rPr>
            </w:r>
            <w:r w:rsidRPr="00403833">
              <w:rPr>
                <w:rFonts w:ascii="Garamond" w:hAnsi="Garamond"/>
                <w:noProof/>
                <w:webHidden/>
                <w:color w:val="auto"/>
                <w:sz w:val="22"/>
                <w:szCs w:val="22"/>
              </w:rPr>
              <w:fldChar w:fldCharType="separate"/>
            </w:r>
            <w:r w:rsidRPr="00403833">
              <w:rPr>
                <w:rFonts w:ascii="Garamond" w:hAnsi="Garamond"/>
                <w:noProof/>
                <w:webHidden/>
                <w:color w:val="auto"/>
                <w:sz w:val="22"/>
                <w:szCs w:val="22"/>
              </w:rPr>
              <w:t>84</w:t>
            </w:r>
            <w:r w:rsidRPr="00403833">
              <w:rPr>
                <w:rFonts w:ascii="Garamond" w:hAnsi="Garamond"/>
                <w:noProof/>
                <w:webHidden/>
                <w:color w:val="auto"/>
                <w:sz w:val="22"/>
                <w:szCs w:val="22"/>
              </w:rPr>
              <w:fldChar w:fldCharType="end"/>
            </w:r>
          </w:hyperlink>
        </w:p>
        <w:p w14:paraId="4048846E" w14:textId="28ACEBAC" w:rsidR="00D41C4B" w:rsidRPr="00BE4742" w:rsidRDefault="00045956" w:rsidP="00A03718">
          <w:r>
            <w:rPr>
              <w:b/>
              <w:bCs/>
              <w:noProof/>
            </w:rPr>
            <w:fldChar w:fldCharType="end"/>
          </w:r>
        </w:p>
      </w:sdtContent>
    </w:sdt>
    <w:p w14:paraId="4833F9A3" w14:textId="07A252EE" w:rsidR="00B27D9A" w:rsidRPr="001A045C" w:rsidRDefault="00D41C4B" w:rsidP="00B27D9A">
      <w:pPr>
        <w:pStyle w:val="Heading1"/>
        <w:numPr>
          <w:ilvl w:val="0"/>
          <w:numId w:val="0"/>
        </w:numPr>
        <w:rPr>
          <w:rFonts w:ascii="Garamond" w:hAnsi="Garamond"/>
        </w:rPr>
      </w:pPr>
      <w:r>
        <w:rPr>
          <w:rFonts w:ascii="Garamond" w:hAnsi="Garamond"/>
        </w:rPr>
        <w:br w:type="column"/>
      </w:r>
      <w:bookmarkStart w:id="9" w:name="_Toc212649921"/>
      <w:r w:rsidR="003069BF" w:rsidRPr="001A045C">
        <w:rPr>
          <w:rFonts w:ascii="Garamond" w:hAnsi="Garamond"/>
        </w:rPr>
        <w:t>Introduction</w:t>
      </w:r>
      <w:bookmarkEnd w:id="1"/>
      <w:bookmarkEnd w:id="9"/>
    </w:p>
    <w:bookmarkEnd w:id="2"/>
    <w:bookmarkEnd w:id="3"/>
    <w:bookmarkEnd w:id="4"/>
    <w:bookmarkEnd w:id="5"/>
    <w:bookmarkEnd w:id="6"/>
    <w:bookmarkEnd w:id="7"/>
    <w:p w14:paraId="776917AD" w14:textId="5C052D2D" w:rsidR="008E2380" w:rsidRPr="00FF5EC5" w:rsidRDefault="008E2380" w:rsidP="008E2380">
      <w:pPr>
        <w:ind w:firstLine="360"/>
        <w:jc w:val="both"/>
        <w:rPr>
          <w:rFonts w:ascii="Garamond" w:hAnsi="Garamond" w:cstheme="majorBidi"/>
          <w:lang w:bidi="he-IL"/>
        </w:rPr>
      </w:pPr>
      <w:r w:rsidRPr="008E2380">
        <w:rPr>
          <w:rFonts w:ascii="Garamond" w:hAnsi="Garamond" w:cstheme="majorBidi"/>
          <w:lang w:bidi="he-IL"/>
        </w:rPr>
        <w:t>Native advertising—promotional content designed to blend seamlessly into its editorial surroundings—has existed for decades.</w:t>
      </w:r>
      <w:bookmarkStart w:id="10" w:name="_Ref214295989"/>
      <w:r>
        <w:rPr>
          <w:rStyle w:val="FootnoteReference"/>
          <w:rFonts w:ascii="Garamond" w:hAnsi="Garamond" w:cstheme="majorBidi"/>
        </w:rPr>
        <w:footnoteReference w:id="4"/>
      </w:r>
      <w:bookmarkEnd w:id="10"/>
      <w:r w:rsidRPr="008E2380">
        <w:rPr>
          <w:rFonts w:ascii="Garamond" w:hAnsi="Garamond" w:cstheme="majorBidi"/>
          <w:lang w:bidi="he-IL"/>
        </w:rPr>
        <w:t xml:space="preserve"> In early print media, the “reading notice” mimicked the look and tone of ordinary articles.</w:t>
      </w:r>
      <w:r>
        <w:rPr>
          <w:rStyle w:val="FootnoteReference"/>
          <w:rFonts w:ascii="Garamond" w:hAnsi="Garamond" w:cstheme="majorBidi"/>
        </w:rPr>
        <w:footnoteReference w:id="5"/>
      </w:r>
      <w:r w:rsidRPr="008E2380">
        <w:rPr>
          <w:rFonts w:ascii="Garamond" w:hAnsi="Garamond" w:cstheme="majorBidi"/>
          <w:lang w:bidi="he-IL"/>
        </w:rPr>
        <w:t xml:space="preserve"> On television, the infomercial and the embedded product placement operated similarly, weaving marketing into entertainment in ways meant to feel organic rather than intrusive.</w:t>
      </w:r>
      <w:bookmarkStart w:id="11" w:name="_Ref212655002"/>
      <w:r w:rsidRPr="00FE6F6E">
        <w:rPr>
          <w:rStyle w:val="FootnoteReference"/>
          <w:rFonts w:ascii="Garamond" w:hAnsi="Garamond" w:cstheme="majorBidi"/>
        </w:rPr>
        <w:footnoteReference w:id="6"/>
      </w:r>
      <w:bookmarkEnd w:id="11"/>
      <w:r w:rsidRPr="008E2380">
        <w:rPr>
          <w:rFonts w:ascii="Garamond" w:hAnsi="Garamond" w:cstheme="majorBidi"/>
          <w:lang w:bidi="he-IL"/>
        </w:rPr>
        <w:t xml:space="preserve"> The digital turn transformed these practices into a dominant business model: major outlets such as the </w:t>
      </w:r>
      <w:r w:rsidRPr="008E2380">
        <w:rPr>
          <w:rFonts w:ascii="Garamond" w:hAnsi="Garamond" w:cstheme="majorBidi"/>
          <w:i/>
          <w:iCs/>
          <w:lang w:bidi="he-IL"/>
        </w:rPr>
        <w:t>New York Times</w:t>
      </w:r>
      <w:r w:rsidRPr="008E2380">
        <w:rPr>
          <w:rFonts w:ascii="Garamond" w:hAnsi="Garamond" w:cstheme="majorBidi"/>
          <w:lang w:bidi="he-IL"/>
        </w:rPr>
        <w:t xml:space="preserve"> and </w:t>
      </w:r>
      <w:r w:rsidRPr="008E2380">
        <w:rPr>
          <w:rFonts w:ascii="Garamond" w:hAnsi="Garamond" w:cstheme="majorBidi"/>
          <w:i/>
          <w:iCs/>
          <w:lang w:bidi="he-IL"/>
        </w:rPr>
        <w:t>Washington Post</w:t>
      </w:r>
      <w:r w:rsidRPr="008E2380">
        <w:rPr>
          <w:rFonts w:ascii="Garamond" w:hAnsi="Garamond" w:cstheme="majorBidi"/>
          <w:lang w:bidi="he-IL"/>
        </w:rPr>
        <w:t xml:space="preserve"> now run sophisticated advertorials, while bloggers and influencers routinely integrate sponsored endorsements into the fabric of their advice and storytelling.</w:t>
      </w:r>
      <w:bookmarkStart w:id="12" w:name="_Ref214457905"/>
      <w:r>
        <w:rPr>
          <w:rStyle w:val="FootnoteReference"/>
          <w:rFonts w:ascii="Garamond" w:hAnsi="Garamond" w:cstheme="majorBidi"/>
        </w:rPr>
        <w:footnoteReference w:id="7"/>
      </w:r>
      <w:bookmarkEnd w:id="12"/>
      <w:r w:rsidRPr="008E2380">
        <w:rPr>
          <w:rFonts w:ascii="Garamond" w:hAnsi="Garamond" w:cstheme="majorBidi"/>
          <w:lang w:bidi="he-IL"/>
        </w:rPr>
        <w:t xml:space="preserve"> Today</w:t>
      </w:r>
      <w:r w:rsidR="00C46458">
        <w:rPr>
          <w:rFonts w:ascii="Garamond" w:hAnsi="Garamond" w:cstheme="majorBidi"/>
          <w:lang w:bidi="he-IL"/>
        </w:rPr>
        <w:t>,</w:t>
      </w:r>
      <w:r w:rsidRPr="008E2380">
        <w:rPr>
          <w:rFonts w:ascii="Garamond" w:hAnsi="Garamond" w:cstheme="majorBidi"/>
          <w:lang w:bidi="he-IL"/>
        </w:rPr>
        <w:t xml:space="preserve"> native advertising is not merely common; it is ubiquitous, with industry reports estimating that it accounts for more than 90% of U.S. marketers’ digital display spending—totaling more than $148 billion in 2023 alone.</w:t>
      </w:r>
      <w:r>
        <w:rPr>
          <w:rStyle w:val="FootnoteReference"/>
          <w:rFonts w:ascii="Garamond" w:hAnsi="Garamond" w:cstheme="majorBidi"/>
        </w:rPr>
        <w:footnoteReference w:id="8"/>
      </w:r>
    </w:p>
    <w:p w14:paraId="20D493DE" w14:textId="0A92882F" w:rsidR="00FF5EC5" w:rsidRPr="00FF5EC5" w:rsidRDefault="00005B17" w:rsidP="00005B17">
      <w:pPr>
        <w:ind w:firstLine="360"/>
        <w:jc w:val="both"/>
        <w:rPr>
          <w:rFonts w:ascii="Garamond" w:hAnsi="Garamond" w:cstheme="majorBidi"/>
          <w:lang w:bidi="he-IL"/>
        </w:rPr>
      </w:pPr>
      <w:r w:rsidRPr="00005B17">
        <w:rPr>
          <w:rFonts w:ascii="Garamond" w:hAnsi="Garamond" w:cstheme="majorBidi"/>
        </w:rPr>
        <w:t>The social risks of this blending are well understood. When consumers mistake marketing for editorial judgment, they are more easily persuaded by messages grounded not in independent expertise but in commercial interest.</w:t>
      </w:r>
      <w:r>
        <w:rPr>
          <w:rStyle w:val="FootnoteReference"/>
          <w:rFonts w:ascii="Garamond" w:hAnsi="Garamond" w:cstheme="majorBidi"/>
        </w:rPr>
        <w:footnoteReference w:id="9"/>
      </w:r>
      <w:r w:rsidRPr="00005B17">
        <w:rPr>
          <w:rFonts w:ascii="Garamond" w:hAnsi="Garamond" w:cstheme="majorBidi"/>
        </w:rPr>
        <w:t xml:space="preserve"> This blurring can distort consumer choice and erode trust in information ecosystems.</w:t>
      </w:r>
      <w:r>
        <w:rPr>
          <w:rStyle w:val="FootnoteReference"/>
          <w:rFonts w:ascii="Garamond" w:hAnsi="Garamond" w:cstheme="majorBidi"/>
        </w:rPr>
        <w:footnoteReference w:id="10"/>
      </w:r>
      <w:r w:rsidRPr="00005B17">
        <w:rPr>
          <w:rFonts w:ascii="Garamond" w:hAnsi="Garamond" w:cstheme="majorBidi"/>
        </w:rPr>
        <w:t xml:space="preserve"> Over time, however, consumer perception and regulatory interventions have matured. Where early internet users were routinely deceived by sponsored search results or undisclosed influencer marketing, today’s users increasingly expect commercial influence online and calibrate their skepticism accordingly.</w:t>
      </w:r>
      <w:r>
        <w:rPr>
          <w:rStyle w:val="FootnoteReference"/>
          <w:rFonts w:ascii="Garamond" w:hAnsi="Garamond" w:cstheme="majorBidi"/>
        </w:rPr>
        <w:footnoteReference w:id="11"/>
      </w:r>
      <w:r w:rsidRPr="00005B17">
        <w:rPr>
          <w:rFonts w:ascii="Garamond" w:hAnsi="Garamond" w:cstheme="majorBidi"/>
        </w:rPr>
        <w:t xml:space="preserve"> Regulators worldwide have reinforced this shift by requiring advertisers to clearly disclose sponsorship—through conspicuous labels, hashtags, formatting conventions, and other visual cues.</w:t>
      </w:r>
      <w:r w:rsidR="003E376E" w:rsidRPr="00710F41">
        <w:rPr>
          <w:rStyle w:val="FootnoteReference"/>
          <w:rFonts w:ascii="Garamond" w:hAnsi="Garamond" w:cstheme="majorBidi"/>
        </w:rPr>
        <w:footnoteReference w:id="12"/>
      </w:r>
    </w:p>
    <w:p w14:paraId="24B55B1D" w14:textId="37A1FAD1" w:rsidR="001F52E5" w:rsidRDefault="00F02053" w:rsidP="00F02053">
      <w:pPr>
        <w:ind w:firstLine="360"/>
        <w:jc w:val="both"/>
        <w:rPr>
          <w:rFonts w:ascii="Garamond" w:hAnsi="Garamond" w:cstheme="majorBidi"/>
          <w:lang w:bidi="he-IL"/>
        </w:rPr>
      </w:pPr>
      <w:r w:rsidRPr="00F02053">
        <w:rPr>
          <w:rFonts w:ascii="Garamond" w:hAnsi="Garamond" w:cstheme="majorBidi"/>
        </w:rPr>
        <w:t>Generative artificial intelligence threatens to unsettle this hard-won progress. As users turn to large language–model (LLM) chatbots such as Google’s Gemini and OpenAI’s ChatGPT for news, advice, and product recommendations, the visual indicators that once signaled commercial influence—sponsored tags, hyperlinks, layout, and disclosure labels—disappear.</w:t>
      </w:r>
      <w:r w:rsidRPr="00710F41">
        <w:rPr>
          <w:rStyle w:val="FootnoteReference"/>
          <w:rFonts w:ascii="Garamond" w:hAnsi="Garamond" w:cstheme="majorBidi"/>
        </w:rPr>
        <w:footnoteReference w:id="13"/>
      </w:r>
      <w:r w:rsidRPr="00F02053">
        <w:rPr>
          <w:rFonts w:ascii="Garamond" w:hAnsi="Garamond" w:cstheme="majorBidi"/>
        </w:rPr>
        <w:t xml:space="preserve"> Users now receive information in fluid, conversational prose, often without visible links to underlying sources. What was once a mediated process of browsing, comparing, and noticing signals of influence has become a frictionless exchange: a question asked, an answer given.</w:t>
      </w:r>
      <w:r w:rsidR="00BB5F2C">
        <w:rPr>
          <w:rStyle w:val="FootnoteReference"/>
          <w:rFonts w:ascii="Garamond" w:hAnsi="Garamond" w:cstheme="majorBidi"/>
          <w:lang w:bidi="he-IL"/>
        </w:rPr>
        <w:footnoteReference w:id="14"/>
      </w:r>
      <w:r w:rsidR="00524DF6">
        <w:rPr>
          <w:rFonts w:ascii="Garamond" w:hAnsi="Garamond" w:cstheme="majorBidi"/>
        </w:rPr>
        <w:t xml:space="preserve"> </w:t>
      </w:r>
    </w:p>
    <w:p w14:paraId="5F7616D1" w14:textId="55F200BB" w:rsidR="008A4A84" w:rsidRDefault="004650D0" w:rsidP="00C43861">
      <w:pPr>
        <w:ind w:firstLine="360"/>
        <w:jc w:val="both"/>
        <w:rPr>
          <w:rFonts w:ascii="Garamond" w:hAnsi="Garamond" w:cstheme="majorBidi"/>
          <w:lang w:bidi="he-IL"/>
        </w:rPr>
      </w:pPr>
      <w:r w:rsidRPr="004650D0">
        <w:rPr>
          <w:rFonts w:ascii="Garamond" w:hAnsi="Garamond" w:cstheme="majorBidi"/>
        </w:rPr>
        <w:t>This new mode of information consumption magnifies the opacity of commercial influence.</w:t>
      </w:r>
      <w:r w:rsidRPr="00FB4689">
        <w:rPr>
          <w:rStyle w:val="FootnoteReference"/>
          <w:rFonts w:ascii="Garamond" w:hAnsi="Garamond" w:cstheme="majorBidi"/>
          <w:lang w:bidi="he-IL"/>
        </w:rPr>
        <w:footnoteReference w:id="15"/>
      </w:r>
      <w:r w:rsidRPr="004650D0">
        <w:rPr>
          <w:rFonts w:ascii="Garamond" w:hAnsi="Garamond" w:cstheme="majorBidi"/>
        </w:rPr>
        <w:t xml:space="preserve"> Users may be aware that AI systems sometimes “hallucinate,” but once they conclude that a response is not wholly fabricated, they rarely scrutinize its provenance.</w:t>
      </w:r>
      <w:r w:rsidRPr="000710BB">
        <w:rPr>
          <w:rStyle w:val="FootnoteReference"/>
          <w:rFonts w:ascii="Garamond" w:hAnsi="Garamond" w:cstheme="majorBidi"/>
        </w:rPr>
        <w:footnoteReference w:id="16"/>
      </w:r>
      <w:r w:rsidRPr="004650D0">
        <w:rPr>
          <w:rFonts w:ascii="Garamond" w:hAnsi="Garamond" w:cstheme="majorBidi"/>
        </w:rPr>
        <w:t xml:space="preserve"> Instead, they rely on reputational heuristics—trusting references to sources such as the </w:t>
      </w:r>
      <w:r w:rsidRPr="004650D0">
        <w:rPr>
          <w:rFonts w:ascii="Garamond" w:hAnsi="Garamond" w:cstheme="majorBidi"/>
          <w:i/>
          <w:iCs/>
        </w:rPr>
        <w:t>New York Times</w:t>
      </w:r>
      <w:r w:rsidRPr="004650D0">
        <w:rPr>
          <w:rFonts w:ascii="Garamond" w:hAnsi="Garamond" w:cstheme="majorBidi"/>
        </w:rPr>
        <w:t xml:space="preserve"> without verifying the underlying content.</w:t>
      </w:r>
      <w:r w:rsidRPr="00EE2AF2">
        <w:rPr>
          <w:rStyle w:val="FootnoteReference"/>
          <w:rFonts w:ascii="Garamond" w:hAnsi="Garamond" w:cstheme="majorBidi"/>
        </w:rPr>
        <w:footnoteReference w:id="17"/>
      </w:r>
      <w:r w:rsidRPr="004650D0">
        <w:rPr>
          <w:rFonts w:ascii="Garamond" w:hAnsi="Garamond" w:cstheme="majorBidi"/>
        </w:rPr>
        <w:t xml:space="preserve"> Because current chatbots neither distinguish between sponsored and editorial material nor disclose whether their responses draw on advertorials, users cannot determine when commercial interests shape the information they receiv</w:t>
      </w:r>
      <w:bookmarkStart w:id="13" w:name="_Ref214878507"/>
      <w:r w:rsidR="00C43861">
        <w:rPr>
          <w:rFonts w:ascii="Garamond" w:hAnsi="Garamond" w:cstheme="majorBidi"/>
        </w:rPr>
        <w:t>e.</w:t>
      </w:r>
      <w:r w:rsidRPr="00E353A5">
        <w:rPr>
          <w:rStyle w:val="FootnoteReference"/>
          <w:rFonts w:ascii="Garamond" w:hAnsi="Garamond" w:cstheme="majorBidi"/>
        </w:rPr>
        <w:footnoteReference w:id="18"/>
      </w:r>
      <w:bookmarkEnd w:id="13"/>
      <w:r w:rsidRPr="004650D0">
        <w:rPr>
          <w:rFonts w:ascii="Garamond" w:hAnsi="Garamond" w:cstheme="majorBidi"/>
        </w:rPr>
        <w:t xml:space="preserve"> Compounding the problem, the search technologies that feed LLMs disproportionately privilege commercial results whenever queries carry commercial implications.</w:t>
      </w:r>
      <w:r w:rsidR="00C43861">
        <w:rPr>
          <w:rStyle w:val="FootnoteReference"/>
          <w:rFonts w:ascii="Garamond" w:hAnsi="Garamond" w:cstheme="majorBidi"/>
        </w:rPr>
        <w:footnoteReference w:id="19"/>
      </w:r>
      <w:r w:rsidRPr="004650D0">
        <w:rPr>
          <w:rFonts w:ascii="Garamond" w:hAnsi="Garamond" w:cstheme="majorBidi"/>
        </w:rPr>
        <w:t xml:space="preserve"> And some chatbots—most notably ChatGPT—explicitly inform users that they “choose products independently,” potentially reinforcing misplaced confidence in the system’s neutrality.</w:t>
      </w:r>
      <w:r w:rsidR="00BA7483" w:rsidRPr="00D455D0">
        <w:rPr>
          <w:rStyle w:val="FootnoteReference"/>
          <w:rFonts w:ascii="Garamond" w:hAnsi="Garamond" w:cstheme="majorBidi"/>
        </w:rPr>
        <w:footnoteReference w:id="20"/>
      </w:r>
    </w:p>
    <w:p w14:paraId="693BEEF5" w14:textId="1D06B0A5" w:rsidR="00B5109C" w:rsidRDefault="00B5109C" w:rsidP="00B5109C">
      <w:pPr>
        <w:ind w:firstLine="360"/>
        <w:jc w:val="both"/>
        <w:rPr>
          <w:rFonts w:ascii="Garamond" w:hAnsi="Garamond" w:cstheme="majorBidi"/>
        </w:rPr>
      </w:pPr>
      <w:r w:rsidRPr="00B5109C">
        <w:rPr>
          <w:rFonts w:ascii="Garamond" w:hAnsi="Garamond" w:cstheme="majorBidi"/>
        </w:rPr>
        <w:t xml:space="preserve">This Article terms this emerging phenomenon </w:t>
      </w:r>
      <w:r w:rsidRPr="00B5109C">
        <w:rPr>
          <w:rFonts w:ascii="Garamond" w:hAnsi="Garamond" w:cstheme="majorBidi"/>
          <w:i/>
          <w:iCs/>
        </w:rPr>
        <w:t>genernative advertising</w:t>
      </w:r>
      <w:r w:rsidRPr="00B5109C">
        <w:rPr>
          <w:rFonts w:ascii="Garamond" w:hAnsi="Garamond" w:cstheme="majorBidi"/>
        </w:rPr>
        <w:t>: AI-generated text that incorporates commercially sponsored material while presenting itself as indistinguishable from organic editorial content.</w:t>
      </w:r>
      <w:r>
        <w:rPr>
          <w:rStyle w:val="FootnoteReference"/>
          <w:rFonts w:ascii="Garamond" w:hAnsi="Garamond" w:cstheme="majorBidi"/>
        </w:rPr>
        <w:footnoteReference w:id="21"/>
      </w:r>
      <w:r w:rsidRPr="00B5109C">
        <w:rPr>
          <w:rFonts w:ascii="Garamond" w:hAnsi="Garamond" w:cstheme="majorBidi"/>
        </w:rPr>
        <w:t xml:space="preserve"> Despite its growing salience, this is the first legal article to identify and analyze the problem.</w:t>
      </w:r>
      <w:r>
        <w:rPr>
          <w:rStyle w:val="FootnoteReference"/>
          <w:rFonts w:ascii="Garamond" w:hAnsi="Garamond" w:cstheme="majorBidi"/>
        </w:rPr>
        <w:footnoteReference w:id="22"/>
      </w:r>
      <w:r w:rsidRPr="00B5109C">
        <w:rPr>
          <w:rFonts w:ascii="Garamond" w:hAnsi="Garamond" w:cstheme="majorBidi"/>
        </w:rPr>
        <w:t xml:space="preserve"> Drawing on a novel set of mixed-method experimental studies—implemented within a custom-built, functionally reliable fictitious GenAI chatbot environment—this Article demonstrates that genernative advertising not only replicates the harms of traditional native advertisin</w:t>
      </w:r>
      <w:r w:rsidRPr="00DD3E2E">
        <w:rPr>
          <w:rFonts w:ascii="Garamond" w:hAnsi="Garamond" w:cstheme="majorBidi"/>
        </w:rPr>
        <w:t>g but may exacerbate them.</w:t>
      </w:r>
      <w:r w:rsidR="005D0EED" w:rsidRPr="00DD3E2E">
        <w:rPr>
          <w:rStyle w:val="FootnoteReference"/>
          <w:rFonts w:ascii="Garamond" w:hAnsi="Garamond" w:cstheme="majorBidi"/>
        </w:rPr>
        <w:footnoteReference w:id="23"/>
      </w:r>
      <w:r w:rsidRPr="00DD3E2E">
        <w:rPr>
          <w:rFonts w:ascii="Garamond" w:hAnsi="Garamond" w:cstheme="majorBidi"/>
        </w:rPr>
        <w:t xml:space="preserve"> The studies show that most users (80–90%) systematically fail to recognize advertising embedded in GenAI responses, even when the responses contain clear </w:t>
      </w:r>
      <w:r w:rsidR="00435231" w:rsidRPr="00DD3E2E">
        <w:rPr>
          <w:rFonts w:ascii="Garamond" w:hAnsi="Garamond" w:cstheme="majorBidi"/>
        </w:rPr>
        <w:t>commercial intent</w:t>
      </w:r>
      <w:r w:rsidRPr="00DD3E2E">
        <w:rPr>
          <w:rFonts w:ascii="Garamond" w:hAnsi="Garamond" w:cstheme="majorBidi"/>
        </w:rPr>
        <w:t>.</w:t>
      </w:r>
      <w:r w:rsidR="00435231" w:rsidRPr="00DD3E2E">
        <w:rPr>
          <w:rStyle w:val="FootnoteReference"/>
          <w:rFonts w:ascii="Garamond" w:hAnsi="Garamond" w:cstheme="majorBidi"/>
        </w:rPr>
        <w:footnoteReference w:id="24"/>
      </w:r>
      <w:r w:rsidRPr="00DD3E2E">
        <w:rPr>
          <w:rFonts w:ascii="Garamond" w:hAnsi="Garamond" w:cstheme="majorBidi"/>
        </w:rPr>
        <w:t xml:space="preserve"> And when users do not recognize sponsorship, their suspicion of commercial influence deteriorates substantially (≈20%), heightening the risk of deception.</w:t>
      </w:r>
      <w:r w:rsidR="00435231" w:rsidRPr="00DD3E2E">
        <w:rPr>
          <w:rStyle w:val="FootnoteReference"/>
          <w:rFonts w:ascii="Garamond" w:hAnsi="Garamond" w:cstheme="majorBidi"/>
        </w:rPr>
        <w:footnoteReference w:id="25"/>
      </w:r>
    </w:p>
    <w:p w14:paraId="084BA165" w14:textId="184807EE" w:rsidR="007B0931" w:rsidRPr="00046869" w:rsidRDefault="007B0931" w:rsidP="00B935A2">
      <w:pPr>
        <w:ind w:firstLine="360"/>
        <w:jc w:val="both"/>
        <w:rPr>
          <w:rFonts w:ascii="Garamond" w:hAnsi="Garamond" w:cstheme="majorBidi"/>
        </w:rPr>
      </w:pPr>
      <w:r w:rsidRPr="007B0931">
        <w:rPr>
          <w:rFonts w:ascii="Garamond" w:hAnsi="Garamond" w:cstheme="majorBidi"/>
        </w:rPr>
        <w:t>Yet the same technologies that intensify native-advertising harms also create unprecedented opportunities to mitigate them.</w:t>
      </w:r>
      <w:bookmarkStart w:id="14" w:name="_Ref214387769"/>
      <w:r>
        <w:rPr>
          <w:rStyle w:val="FootnoteReference"/>
          <w:rFonts w:ascii="Garamond" w:hAnsi="Garamond" w:cstheme="majorBidi"/>
        </w:rPr>
        <w:footnoteReference w:id="26"/>
      </w:r>
      <w:bookmarkEnd w:id="14"/>
      <w:r w:rsidRPr="007B0931">
        <w:rPr>
          <w:rFonts w:ascii="Garamond" w:hAnsi="Garamond" w:cstheme="majorBidi"/>
        </w:rPr>
        <w:t xml:space="preserve"> Because LLMs can reliably distinguish between sponsored and editorial sources, they can be required to mark that distinction transparently.</w:t>
      </w:r>
      <w:bookmarkStart w:id="15" w:name="_Ref214458918"/>
      <w:r w:rsidRPr="00B51EE4">
        <w:rPr>
          <w:rStyle w:val="FootnoteReference"/>
          <w:rFonts w:ascii="Garamond" w:hAnsi="Garamond" w:cstheme="majorBidi"/>
        </w:rPr>
        <w:footnoteReference w:id="27"/>
      </w:r>
      <w:bookmarkEnd w:id="15"/>
      <w:r w:rsidRPr="007B0931">
        <w:rPr>
          <w:rFonts w:ascii="Garamond" w:hAnsi="Garamond" w:cstheme="majorBidi"/>
        </w:rPr>
        <w:t xml:space="preserve"> And because chatbots communicate through interactive, user-specific exchanges rather than static media displays, they enable new forms of consumer education—approaches that go far beyond the passive, easily ignored disclosures characteristic of traditional media.</w:t>
      </w:r>
      <w:bookmarkStart w:id="16" w:name="_Ref214382616"/>
      <w:r w:rsidR="00F40115" w:rsidRPr="00B51EE4">
        <w:rPr>
          <w:rStyle w:val="FootnoteReference"/>
          <w:rFonts w:ascii="Garamond" w:hAnsi="Garamond" w:cstheme="majorBidi"/>
          <w:lang w:bidi="he-IL"/>
        </w:rPr>
        <w:footnoteReference w:id="28"/>
      </w:r>
      <w:bookmarkEnd w:id="16"/>
      <w:r w:rsidRPr="007B0931">
        <w:rPr>
          <w:rFonts w:ascii="Garamond" w:hAnsi="Garamond" w:cstheme="majorBidi"/>
        </w:rPr>
        <w:t xml:space="preserve"> </w:t>
      </w:r>
      <w:r w:rsidR="00B935A2" w:rsidRPr="00A218F8">
        <w:rPr>
          <w:rFonts w:ascii="Garamond" w:hAnsi="Garamond" w:cstheme="majorBidi"/>
        </w:rPr>
        <w:t>The behavioral-economic literature has long emphasized that integrating behavioral and cognitive insights into regulatory design can dramatically improve compliance and con</w:t>
      </w:r>
      <w:r w:rsidR="00B935A2" w:rsidRPr="00046869">
        <w:rPr>
          <w:rFonts w:ascii="Garamond" w:hAnsi="Garamond" w:cstheme="majorBidi"/>
        </w:rPr>
        <w:t>sumer welfare.</w:t>
      </w:r>
      <w:r w:rsidR="00B935A2" w:rsidRPr="00046869">
        <w:rPr>
          <w:rStyle w:val="FootnoteReference"/>
          <w:rFonts w:ascii="Garamond" w:hAnsi="Garamond" w:cstheme="majorBidi"/>
        </w:rPr>
        <w:footnoteReference w:id="29"/>
      </w:r>
      <w:r w:rsidR="00B935A2" w:rsidRPr="00046869">
        <w:rPr>
          <w:rFonts w:ascii="Garamond" w:hAnsi="Garamond" w:cstheme="majorBidi"/>
        </w:rPr>
        <w:t xml:space="preserve"> </w:t>
      </w:r>
      <w:r w:rsidRPr="00046869">
        <w:rPr>
          <w:rFonts w:ascii="Garamond" w:hAnsi="Garamond" w:cstheme="majorBidi"/>
        </w:rPr>
        <w:t xml:space="preserve">As the studies in this Article show, </w:t>
      </w:r>
      <w:r w:rsidRPr="00046869">
        <w:rPr>
          <w:rFonts w:ascii="Garamond" w:hAnsi="Garamond" w:cstheme="majorBidi"/>
          <w:i/>
          <w:iCs/>
        </w:rPr>
        <w:t>affirmative</w:t>
      </w:r>
      <w:r w:rsidRPr="00046869">
        <w:rPr>
          <w:rFonts w:ascii="Garamond" w:hAnsi="Garamond" w:cstheme="majorBidi"/>
        </w:rPr>
        <w:t xml:space="preserve"> disclosures—such as brief user-approval mechanisms requiring individuals to acknowledge that they ar</w:t>
      </w:r>
      <w:r w:rsidRPr="007B0931">
        <w:rPr>
          <w:rFonts w:ascii="Garamond" w:hAnsi="Garamond" w:cstheme="majorBidi"/>
        </w:rPr>
        <w:t>e viewing sponsored content</w:t>
      </w:r>
      <w:r w:rsidRPr="00046869">
        <w:rPr>
          <w:rFonts w:ascii="Garamond" w:hAnsi="Garamond" w:cstheme="majorBidi"/>
        </w:rPr>
        <w:t>—can increase advertising-recognition rates dramatically (by roughly a factor of five).</w:t>
      </w:r>
      <w:r w:rsidR="00B935A2" w:rsidRPr="00046869">
        <w:rPr>
          <w:rStyle w:val="FootnoteReference"/>
          <w:rFonts w:ascii="Garamond" w:hAnsi="Garamond" w:cstheme="majorBidi"/>
        </w:rPr>
        <w:footnoteReference w:id="30"/>
      </w:r>
    </w:p>
    <w:p w14:paraId="7BF85495" w14:textId="660AEBA0" w:rsidR="008C2ADC" w:rsidRDefault="008C2ADC" w:rsidP="008C2ADC">
      <w:pPr>
        <w:ind w:firstLine="360"/>
        <w:jc w:val="both"/>
        <w:rPr>
          <w:rFonts w:ascii="Garamond" w:hAnsi="Garamond" w:cstheme="majorBidi"/>
        </w:rPr>
      </w:pPr>
      <w:r w:rsidRPr="00046869">
        <w:rPr>
          <w:rFonts w:ascii="Garamond" w:hAnsi="Garamond" w:cstheme="majorBidi"/>
        </w:rPr>
        <w:t>This Article proceeds in three Parts. Part I sit</w:t>
      </w:r>
      <w:r w:rsidRPr="008C2ADC">
        <w:rPr>
          <w:rFonts w:ascii="Garamond" w:hAnsi="Garamond" w:cstheme="majorBidi"/>
        </w:rPr>
        <w:t>uates genernative advertising within the lon</w:t>
      </w:r>
      <w:r w:rsidRPr="00A05D5E">
        <w:rPr>
          <w:rFonts w:ascii="Garamond" w:hAnsi="Garamond" w:cstheme="majorBidi"/>
        </w:rPr>
        <w:t>ger evolution of native advertising, reviews its well-documented sociopsychological effects, and articulates the hypotheses motivating the empirical studies.</w:t>
      </w:r>
      <w:r w:rsidR="00A218F8" w:rsidRPr="00A05D5E">
        <w:rPr>
          <w:rStyle w:val="FootnoteReference"/>
          <w:rFonts w:ascii="Garamond" w:hAnsi="Garamond" w:cstheme="majorBidi"/>
        </w:rPr>
        <w:footnoteReference w:id="31"/>
      </w:r>
      <w:r w:rsidRPr="00A05D5E">
        <w:rPr>
          <w:rFonts w:ascii="Garamond" w:hAnsi="Garamond" w:cstheme="majorBidi"/>
        </w:rPr>
        <w:t xml:space="preserve"> Part II details the design and results of those studies, demonstrating both consumers’ overwhelming susceptibility to AI-mediated sponsorship and the striking effectiveness of chatbot-based disclosures and behavioral nudges.</w:t>
      </w:r>
      <w:r w:rsidR="00A218F8" w:rsidRPr="00A05D5E">
        <w:rPr>
          <w:rStyle w:val="FootnoteReference"/>
          <w:rFonts w:ascii="Garamond" w:hAnsi="Garamond" w:cstheme="majorBidi"/>
        </w:rPr>
        <w:footnoteReference w:id="32"/>
      </w:r>
      <w:r w:rsidRPr="00A05D5E">
        <w:rPr>
          <w:rFonts w:ascii="Garamond" w:hAnsi="Garamond" w:cstheme="majorBidi"/>
        </w:rPr>
        <w:t xml:space="preserve"> Part III translates these findings into concrete regulatory proposals.</w:t>
      </w:r>
      <w:r w:rsidR="00A218F8" w:rsidRPr="00A05D5E">
        <w:rPr>
          <w:rStyle w:val="FootnoteReference"/>
          <w:rFonts w:ascii="Garamond" w:hAnsi="Garamond" w:cstheme="majorBidi"/>
        </w:rPr>
        <w:footnoteReference w:id="33"/>
      </w:r>
      <w:r w:rsidRPr="00A05D5E">
        <w:rPr>
          <w:rFonts w:ascii="Garamond" w:hAnsi="Garamond" w:cstheme="majorBidi"/>
        </w:rPr>
        <w:t xml:space="preserve"> It argues that, at minimum, generative-AI companies should be required to identify and disclose when their outputs incorporate native advertising, and it explores more ambitious reforms that harness the</w:t>
      </w:r>
      <w:r w:rsidRPr="008C2ADC">
        <w:rPr>
          <w:rFonts w:ascii="Garamond" w:hAnsi="Garamond" w:cstheme="majorBidi"/>
        </w:rPr>
        <w:t xml:space="preserve"> conversational interface to transform disclosure from a perfunctory label into a meaningful tool of consumer empowerment.</w:t>
      </w:r>
    </w:p>
    <w:p w14:paraId="14C15F61" w14:textId="77777777" w:rsidR="008C2ADC" w:rsidRDefault="008C2ADC" w:rsidP="008C2ADC">
      <w:pPr>
        <w:ind w:firstLine="360"/>
        <w:jc w:val="both"/>
        <w:rPr>
          <w:rFonts w:ascii="Garamond" w:hAnsi="Garamond" w:cstheme="majorBidi"/>
        </w:rPr>
      </w:pPr>
    </w:p>
    <w:p w14:paraId="3ACF1307" w14:textId="5BCE4FC2" w:rsidR="003A02FE" w:rsidRDefault="001558FC" w:rsidP="00C910E5">
      <w:pPr>
        <w:pStyle w:val="Heading1"/>
      </w:pPr>
      <w:bookmarkStart w:id="17" w:name="_Toc212649922"/>
      <w:r w:rsidRPr="009B05D5">
        <w:t>The History, Psychology, and Regulation of Native Advertising</w:t>
      </w:r>
      <w:bookmarkEnd w:id="17"/>
    </w:p>
    <w:p w14:paraId="13C31312" w14:textId="77777777" w:rsidR="00966700" w:rsidRDefault="00966700" w:rsidP="00966700">
      <w:pPr>
        <w:ind w:firstLine="360"/>
        <w:jc w:val="both"/>
        <w:rPr>
          <w:rFonts w:ascii="Garamond" w:hAnsi="Garamond" w:cstheme="majorBidi"/>
        </w:rPr>
      </w:pPr>
      <w:r w:rsidRPr="00966700">
        <w:rPr>
          <w:rFonts w:ascii="Garamond" w:hAnsi="Garamond" w:cstheme="majorBidi"/>
        </w:rPr>
        <w:t xml:space="preserve">This Part surveys the lineage and logic of native advertising to ground the Article’s claims about its generative-AI successor. It traces how advertising that blends with editorial content has evolved across media, identifies the psychological mechanisms that make such formats unusually persuasive, and synthesizes the consumer-protection frameworks that have sought—often imperfectly—to contain associated risks. </w:t>
      </w:r>
    </w:p>
    <w:p w14:paraId="47F5F898" w14:textId="2D32EF2D" w:rsidR="00E77729" w:rsidRDefault="006D7CAC" w:rsidP="00C910E5">
      <w:pPr>
        <w:pStyle w:val="Heading21"/>
      </w:pPr>
      <w:r w:rsidRPr="00DC26F8">
        <w:t xml:space="preserve"> </w:t>
      </w:r>
      <w:bookmarkStart w:id="18" w:name="_Toc212649923"/>
      <w:r w:rsidR="009B05D5" w:rsidRPr="009B05D5">
        <w:t>Native Advertising in Traditional and Digital Media</w:t>
      </w:r>
      <w:bookmarkEnd w:id="18"/>
      <w:r w:rsidRPr="00DC26F8">
        <w:t xml:space="preserve"> </w:t>
      </w:r>
    </w:p>
    <w:p w14:paraId="3D001C35" w14:textId="2BB70C77" w:rsidR="00980C26" w:rsidRDefault="00980C26" w:rsidP="00980C26">
      <w:pPr>
        <w:ind w:firstLine="360"/>
        <w:jc w:val="both"/>
        <w:rPr>
          <w:rFonts w:ascii="Garamond" w:hAnsi="Garamond" w:cstheme="majorBidi"/>
        </w:rPr>
      </w:pPr>
      <w:r w:rsidRPr="00980C26">
        <w:rPr>
          <w:rFonts w:ascii="Garamond" w:hAnsi="Garamond" w:cstheme="majorBidi"/>
        </w:rPr>
        <w:t>Native advertising is best understood not as a conventional promotional device, but as a strategic partnership with the consumer.</w:t>
      </w:r>
      <w:r w:rsidR="00084153" w:rsidRPr="00DA6AA7">
        <w:rPr>
          <w:rStyle w:val="FootnoteReference"/>
          <w:rFonts w:ascii="Garamond" w:hAnsi="Garamond" w:cstheme="majorBidi"/>
        </w:rPr>
        <w:footnoteReference w:id="34"/>
      </w:r>
      <w:r w:rsidRPr="00980C26">
        <w:rPr>
          <w:rFonts w:ascii="Garamond" w:hAnsi="Garamond" w:cstheme="majorBidi"/>
        </w:rPr>
        <w:t xml:space="preserve"> Unlike traditional advertising—which seeks to capture attention by standing apart from its surroundings—native advertising embeds the brand or service within the editorial environment, aligning with page content, visual presentation, and platform conventions.</w:t>
      </w:r>
      <w:r w:rsidR="00084153" w:rsidRPr="00DA6AA7">
        <w:rPr>
          <w:rStyle w:val="FootnoteReference"/>
          <w:rFonts w:ascii="Garamond" w:hAnsi="Garamond" w:cstheme="majorBidi"/>
        </w:rPr>
        <w:footnoteReference w:id="35"/>
      </w:r>
    </w:p>
    <w:p w14:paraId="5E047857" w14:textId="08A4E6B8" w:rsidR="00C77008" w:rsidRDefault="00993266" w:rsidP="00090AB4">
      <w:pPr>
        <w:ind w:firstLine="360"/>
        <w:jc w:val="both"/>
        <w:rPr>
          <w:rFonts w:ascii="Garamond" w:hAnsi="Garamond" w:cstheme="majorBidi"/>
        </w:rPr>
      </w:pPr>
      <w:r w:rsidRPr="00993266">
        <w:rPr>
          <w:rFonts w:ascii="Garamond" w:hAnsi="Garamond" w:cstheme="majorBidi"/>
        </w:rPr>
        <w:t>Although the practice has become especially prominent in recent years, its origins are longstanding. Early forms included newspaper “reading notices,” short promotional excerpts designed to resemble genuine editorial content.</w:t>
      </w:r>
      <w:bookmarkStart w:id="19" w:name="_Ref214373114"/>
      <w:r>
        <w:rPr>
          <w:rStyle w:val="FootnoteReference"/>
          <w:rFonts w:ascii="Garamond" w:hAnsi="Garamond"/>
        </w:rPr>
        <w:footnoteReference w:id="36"/>
      </w:r>
      <w:bookmarkEnd w:id="19"/>
      <w:r w:rsidRPr="00993266">
        <w:rPr>
          <w:rFonts w:ascii="Garamond" w:hAnsi="Garamond" w:cstheme="majorBidi"/>
        </w:rPr>
        <w:t xml:space="preserve"> </w:t>
      </w:r>
      <w:r w:rsidRPr="00993266">
        <w:rPr>
          <w:rFonts w:ascii="Garamond" w:hAnsi="Garamond" w:cstheme="majorBidi"/>
          <w:i/>
          <w:iCs/>
        </w:rPr>
        <w:t>Printer’s Ink</w:t>
      </w:r>
      <w:r w:rsidRPr="00993266">
        <w:rPr>
          <w:rFonts w:ascii="Garamond" w:hAnsi="Garamond" w:cstheme="majorBidi"/>
        </w:rPr>
        <w:t>, the leading late-nineteenth-century advertising journal, traced the first such notice to Dr. Warner, a patent-medicine seller who commissioned a newspaper article promoting his “Safe Cure.”</w:t>
      </w:r>
      <w:r w:rsidR="00090AB4">
        <w:rPr>
          <w:rStyle w:val="FootnoteReference"/>
          <w:rFonts w:ascii="Garamond" w:hAnsi="Garamond"/>
        </w:rPr>
        <w:footnoteReference w:id="37"/>
      </w:r>
      <w:r w:rsidRPr="00993266">
        <w:rPr>
          <w:rFonts w:ascii="Garamond" w:hAnsi="Garamond" w:cstheme="majorBidi"/>
        </w:rPr>
        <w:t xml:space="preserve"> By the early 1900s, reading notices were ubiquitous. Fowler’s </w:t>
      </w:r>
      <w:r w:rsidRPr="00993266">
        <w:rPr>
          <w:rFonts w:ascii="Garamond" w:hAnsi="Garamond" w:cstheme="majorBidi"/>
          <w:i/>
          <w:iCs/>
        </w:rPr>
        <w:t>Publicity</w:t>
      </w:r>
      <w:r w:rsidRPr="00993266">
        <w:rPr>
          <w:rFonts w:ascii="Garamond" w:hAnsi="Garamond" w:cstheme="majorBidi"/>
        </w:rPr>
        <w:t>, the era’s authoritative advertising encyclopedia, explained their appeal: “The direct puff, which everyone knows is a puff, has value but not so much as the puff so mixed with news and information as to appear to be genuine reading matter.”</w:t>
      </w:r>
      <w:r w:rsidR="00090AB4">
        <w:rPr>
          <w:rStyle w:val="FootnoteReference"/>
          <w:rFonts w:ascii="Garamond" w:hAnsi="Garamond"/>
        </w:rPr>
        <w:footnoteReference w:id="38"/>
      </w:r>
      <w:r w:rsidRPr="00993266">
        <w:rPr>
          <w:rFonts w:ascii="Garamond" w:hAnsi="Garamond" w:cstheme="majorBidi"/>
        </w:rPr>
        <w:t xml:space="preserve"> Major agencies—including N.W. Ayer &amp; Son and Geo. P. Rowell &amp; Co.—promoted them as more effective than conventional advertising, and publishers routinely charged a premium, deriving significant revenue from them.</w:t>
      </w:r>
      <w:r w:rsidR="001B5B00">
        <w:rPr>
          <w:rStyle w:val="FootnoteReference"/>
          <w:rFonts w:ascii="Garamond" w:hAnsi="Garamond"/>
        </w:rPr>
        <w:footnoteReference w:id="39"/>
      </w:r>
    </w:p>
    <w:p w14:paraId="7447BDCB" w14:textId="66F66875" w:rsidR="00F14CE9" w:rsidRDefault="006135F5" w:rsidP="006135F5">
      <w:pPr>
        <w:ind w:firstLine="360"/>
        <w:jc w:val="both"/>
        <w:rPr>
          <w:rFonts w:ascii="Garamond" w:hAnsi="Garamond" w:cstheme="majorBidi"/>
        </w:rPr>
      </w:pPr>
      <w:r w:rsidRPr="006135F5">
        <w:rPr>
          <w:rFonts w:ascii="Garamond" w:hAnsi="Garamond" w:cstheme="majorBidi"/>
        </w:rPr>
        <w:t>Advertorials emerged as the modern successor to reading notices. An advertorial is “an advertisement written in the form of an editorial, which purportedly provides objective information about a commercial or industrial subject.”</w:t>
      </w:r>
      <w:r>
        <w:rPr>
          <w:rStyle w:val="FootnoteReference"/>
          <w:rFonts w:ascii="Garamond" w:hAnsi="Garamond" w:cstheme="majorBidi"/>
        </w:rPr>
        <w:footnoteReference w:id="40"/>
      </w:r>
      <w:r w:rsidRPr="006135F5">
        <w:rPr>
          <w:rFonts w:ascii="Garamond" w:hAnsi="Garamond" w:cstheme="majorBidi"/>
        </w:rPr>
        <w:t xml:space="preserve"> As </w:t>
      </w:r>
      <w:r w:rsidRPr="006135F5">
        <w:rPr>
          <w:rFonts w:ascii="Garamond" w:hAnsi="Garamond" w:cstheme="majorBidi"/>
          <w:i/>
          <w:iCs/>
        </w:rPr>
        <w:t>Atlantic Monthly</w:t>
      </w:r>
      <w:r w:rsidRPr="006135F5">
        <w:rPr>
          <w:rFonts w:ascii="Garamond" w:hAnsi="Garamond" w:cstheme="majorBidi"/>
        </w:rPr>
        <w:t xml:space="preserve"> publisher Donald B. Snyder observed in 1951, advertorials “involve the thoughtful participation of the reader; they are intended to give him pause—and in the pause, compelling facts about the way American business works.”</w:t>
      </w:r>
      <w:r w:rsidR="00F14CE9">
        <w:rPr>
          <w:rStyle w:val="FootnoteReference"/>
          <w:rFonts w:ascii="Garamond" w:hAnsi="Garamond" w:cstheme="majorBidi"/>
        </w:rPr>
        <w:footnoteReference w:id="41"/>
      </w:r>
    </w:p>
    <w:p w14:paraId="565FD48B" w14:textId="5645DEAD" w:rsidR="000C765A" w:rsidRDefault="00D72B0E" w:rsidP="00D72B0E">
      <w:pPr>
        <w:ind w:firstLine="360"/>
        <w:jc w:val="both"/>
        <w:rPr>
          <w:rFonts w:ascii="Garamond" w:hAnsi="Garamond" w:cstheme="majorBidi"/>
          <w:lang w:bidi="he-IL"/>
        </w:rPr>
      </w:pPr>
      <w:r w:rsidRPr="00D72B0E">
        <w:rPr>
          <w:rFonts w:ascii="Garamond" w:hAnsi="Garamond" w:cstheme="majorBidi"/>
        </w:rPr>
        <w:t>Broadcast media extended the practice.</w:t>
      </w:r>
      <w:r>
        <w:rPr>
          <w:rStyle w:val="FootnoteReference"/>
          <w:rFonts w:ascii="Garamond" w:eastAsia="Times New Roman" w:hAnsi="Garamond" w:cs="Times New Roman"/>
          <w:kern w:val="0"/>
          <w:lang w:bidi="he-IL"/>
          <w14:ligatures w14:val="none"/>
        </w:rPr>
        <w:footnoteReference w:id="42"/>
      </w:r>
      <w:r w:rsidRPr="00D72B0E">
        <w:rPr>
          <w:rFonts w:ascii="Garamond" w:hAnsi="Garamond" w:cstheme="majorBidi"/>
        </w:rPr>
        <w:t xml:space="preserve"> In 1923, </w:t>
      </w:r>
      <w:r w:rsidRPr="00D72B0E">
        <w:rPr>
          <w:rFonts w:ascii="Garamond" w:hAnsi="Garamond" w:cstheme="majorBidi"/>
          <w:i/>
          <w:iCs/>
        </w:rPr>
        <w:t>The Eveready Hour</w:t>
      </w:r>
      <w:r w:rsidRPr="00D72B0E">
        <w:rPr>
          <w:rFonts w:ascii="Garamond" w:hAnsi="Garamond" w:cstheme="majorBidi"/>
        </w:rPr>
        <w:t xml:space="preserve"> became the first sponsored radio program, financed by the National Carbon Company. By the 1930s, Procter &amp; Gamble pioneered sponsorship of daytime radio dramas to promote its soap products—the origin of the “soap opera.”</w:t>
      </w:r>
      <w:r>
        <w:rPr>
          <w:rStyle w:val="FootnoteReference"/>
          <w:rFonts w:ascii="Garamond" w:eastAsia="Times New Roman" w:hAnsi="Garamond" w:cs="Times New Roman"/>
          <w:kern w:val="0"/>
          <w:lang w:bidi="he-IL"/>
          <w14:ligatures w14:val="none"/>
        </w:rPr>
        <w:footnoteReference w:id="43"/>
      </w:r>
      <w:r w:rsidRPr="00D72B0E">
        <w:rPr>
          <w:rFonts w:ascii="Garamond" w:hAnsi="Garamond" w:cstheme="majorBidi"/>
        </w:rPr>
        <w:t xml:space="preserve"> Film soon followed: Hershey’s Chocolate appeared in the 1927 silent film </w:t>
      </w:r>
      <w:r w:rsidRPr="00D72B0E">
        <w:rPr>
          <w:rFonts w:ascii="Garamond" w:hAnsi="Garamond" w:cstheme="majorBidi"/>
          <w:i/>
          <w:iCs/>
        </w:rPr>
        <w:t>Wings</w:t>
      </w:r>
      <w:r w:rsidRPr="00D72B0E">
        <w:rPr>
          <w:rFonts w:ascii="Garamond" w:hAnsi="Garamond" w:cstheme="majorBidi"/>
        </w:rPr>
        <w:t>,</w:t>
      </w:r>
      <w:r>
        <w:rPr>
          <w:rStyle w:val="FootnoteReference"/>
          <w:rFonts w:ascii="Garamond" w:eastAsia="Times New Roman" w:hAnsi="Garamond" w:cs="Times New Roman"/>
          <w:kern w:val="0"/>
          <w:lang w:bidi="he-IL"/>
          <w14:ligatures w14:val="none"/>
        </w:rPr>
        <w:footnoteReference w:id="44"/>
      </w:r>
      <w:r w:rsidRPr="00D72B0E">
        <w:rPr>
          <w:rFonts w:ascii="Garamond" w:hAnsi="Garamond" w:cstheme="majorBidi"/>
        </w:rPr>
        <w:t xml:space="preserve"> and later placements became cultural landmarks. Ray-Ban sunglasses revived a failing brand after their appearance in </w:t>
      </w:r>
      <w:r w:rsidRPr="00D72B0E">
        <w:rPr>
          <w:rFonts w:ascii="Garamond" w:hAnsi="Garamond" w:cstheme="majorBidi"/>
          <w:i/>
          <w:iCs/>
        </w:rPr>
        <w:t>Risky Business</w:t>
      </w:r>
      <w:r w:rsidRPr="00D72B0E">
        <w:rPr>
          <w:rFonts w:ascii="Garamond" w:hAnsi="Garamond" w:cstheme="majorBidi"/>
        </w:rPr>
        <w:t xml:space="preserve"> (1983), Reese’s Pieces sales rose 65 percent following </w:t>
      </w:r>
      <w:r w:rsidRPr="00D72B0E">
        <w:rPr>
          <w:rFonts w:ascii="Garamond" w:hAnsi="Garamond" w:cstheme="majorBidi"/>
          <w:i/>
          <w:iCs/>
        </w:rPr>
        <w:t>E.T.</w:t>
      </w:r>
      <w:r w:rsidRPr="00D72B0E">
        <w:rPr>
          <w:rFonts w:ascii="Garamond" w:hAnsi="Garamond" w:cstheme="majorBidi"/>
        </w:rPr>
        <w:t xml:space="preserve"> (1982), and Pizza Hut gained visibility through its cameo in </w:t>
      </w:r>
      <w:r w:rsidRPr="00D72B0E">
        <w:rPr>
          <w:rFonts w:ascii="Garamond" w:hAnsi="Garamond" w:cstheme="majorBidi"/>
          <w:i/>
          <w:iCs/>
        </w:rPr>
        <w:t>Wayne’s World</w:t>
      </w:r>
      <w:r w:rsidRPr="00D72B0E">
        <w:rPr>
          <w:rFonts w:ascii="Garamond" w:hAnsi="Garamond" w:cstheme="majorBidi"/>
        </w:rPr>
        <w:t xml:space="preserve"> (1992)</w:t>
      </w:r>
      <w:r w:rsidR="00F244AB" w:rsidRPr="00F244AB">
        <w:rPr>
          <w:rFonts w:ascii="Garamond" w:hAnsi="Garamond" w:cstheme="majorBidi"/>
          <w:lang w:bidi="he-IL"/>
        </w:rPr>
        <w:t>.</w:t>
      </w:r>
      <w:r w:rsidR="000C765A">
        <w:rPr>
          <w:rStyle w:val="FootnoteReference"/>
          <w:rFonts w:ascii="Garamond" w:eastAsia="Times New Roman" w:hAnsi="Garamond" w:cs="Times New Roman"/>
          <w:kern w:val="0"/>
          <w:lang w:bidi="he-IL"/>
          <w14:ligatures w14:val="none"/>
        </w:rPr>
        <w:footnoteReference w:id="45"/>
      </w:r>
    </w:p>
    <w:p w14:paraId="5E8F907F" w14:textId="24B6120E" w:rsidR="00A66E4D" w:rsidRDefault="00BB08B2" w:rsidP="00E85229">
      <w:pPr>
        <w:ind w:firstLine="360"/>
        <w:jc w:val="both"/>
        <w:rPr>
          <w:rFonts w:ascii="Garamond" w:hAnsi="Garamond" w:cstheme="majorBidi"/>
        </w:rPr>
      </w:pPr>
      <w:r w:rsidRPr="00BB08B2">
        <w:rPr>
          <w:rFonts w:ascii="Garamond" w:hAnsi="Garamond" w:cstheme="majorBidi"/>
        </w:rPr>
        <w:t>The digital era introduced still newer forms of native advertising: influencer endorsements, subsidized blogs and vlogs, website advertorials, affiliated content, and sponsored search results.</w:t>
      </w:r>
      <w:bookmarkStart w:id="20" w:name="_Ref190348660"/>
      <w:r w:rsidRPr="00222FCF">
        <w:rPr>
          <w:rStyle w:val="FootnoteReference"/>
          <w:rFonts w:ascii="Garamond" w:eastAsiaTheme="minorHAnsi" w:hAnsi="Garamond" w:cstheme="majorBidi"/>
        </w:rPr>
        <w:footnoteReference w:id="46"/>
      </w:r>
      <w:bookmarkEnd w:id="20"/>
      <w:r w:rsidRPr="00BB08B2">
        <w:rPr>
          <w:rFonts w:ascii="Garamond" w:hAnsi="Garamond" w:cstheme="majorBidi"/>
        </w:rPr>
        <w:t xml:space="preserve"> Google’s 2017 rollout of AdSense Native Ads—“In-Feed,” “In-Article,” and “Matched Content”—integrated ads directly into reading flows.</w:t>
      </w:r>
      <w:r>
        <w:rPr>
          <w:rStyle w:val="FootnoteReference"/>
          <w:rFonts w:ascii="Garamond" w:hAnsi="Garamond" w:cstheme="majorBidi"/>
        </w:rPr>
        <w:footnoteReference w:id="47"/>
      </w:r>
      <w:r w:rsidRPr="00BB08B2">
        <w:rPr>
          <w:rFonts w:ascii="Garamond" w:hAnsi="Garamond" w:cstheme="majorBidi"/>
        </w:rPr>
        <w:t xml:space="preserve"> Influencer advertising simultaneously exploded across YouTube, Instagram, and later TikTok. Unlike celebrity endorsements, influencers were perceived as “ordinary” users whose recommendations appeared more authentic.</w:t>
      </w:r>
      <w:bookmarkStart w:id="21" w:name="_Ref214382481"/>
      <w:r w:rsidR="00E85229">
        <w:rPr>
          <w:rStyle w:val="FootnoteReference"/>
          <w:rFonts w:ascii="Garamond" w:hAnsi="Garamond" w:cstheme="majorBidi"/>
        </w:rPr>
        <w:footnoteReference w:id="48"/>
      </w:r>
      <w:bookmarkEnd w:id="21"/>
      <w:r w:rsidRPr="00BB08B2">
        <w:rPr>
          <w:rFonts w:ascii="Garamond" w:hAnsi="Garamond" w:cstheme="majorBidi"/>
        </w:rPr>
        <w:t xml:space="preserve"> Facebook’s “Sponsored Stories” (2011) blurred the line even further, transforming users’ likes, check-ins, and shares into advertisements displayed in their friends’ feeds—often featuring the user’s name and profile picture as an implicit endorsement without explicit consent.</w:t>
      </w:r>
      <w:r w:rsidR="00B9137B" w:rsidRPr="00FF62D9">
        <w:rPr>
          <w:rStyle w:val="FootnoteReference"/>
          <w:rFonts w:ascii="Garamond" w:hAnsi="Garamond" w:cstheme="majorBidi"/>
        </w:rPr>
        <w:footnoteReference w:id="49"/>
      </w:r>
    </w:p>
    <w:p w14:paraId="27ADF935" w14:textId="4673921C" w:rsidR="00330A74" w:rsidRDefault="00CF0771" w:rsidP="00CF0771">
      <w:pPr>
        <w:ind w:firstLine="360"/>
        <w:jc w:val="both"/>
        <w:rPr>
          <w:rFonts w:ascii="Garamond" w:hAnsi="Garamond" w:cstheme="majorBidi"/>
        </w:rPr>
      </w:pPr>
      <w:r w:rsidRPr="00CF0771">
        <w:rPr>
          <w:rFonts w:ascii="Garamond" w:hAnsi="Garamond" w:cstheme="majorBidi"/>
        </w:rPr>
        <w:t>This Article focuses on advertorials, subsidized blogs, and other written forms of native advertising that feed generative AI chatbots. These formats have proliferated because users increasingly prefer free, ad-supported content and employ ad-blocking technologies that diminish the effectiveness of traditional advertising.</w:t>
      </w:r>
      <w:r w:rsidR="0021330D" w:rsidRPr="00FF62D9">
        <w:rPr>
          <w:rStyle w:val="FootnoteReference"/>
          <w:rFonts w:ascii="Garamond" w:hAnsi="Garamond" w:cstheme="majorBidi"/>
        </w:rPr>
        <w:footnoteReference w:id="50"/>
      </w:r>
    </w:p>
    <w:p w14:paraId="34CA7CB3" w14:textId="2F745200" w:rsidR="00341B63" w:rsidRDefault="004B5444" w:rsidP="004B5444">
      <w:pPr>
        <w:ind w:firstLine="360"/>
        <w:jc w:val="both"/>
        <w:rPr>
          <w:rFonts w:ascii="Garamond" w:hAnsi="Garamond" w:cstheme="majorBidi"/>
        </w:rPr>
      </w:pPr>
      <w:r w:rsidRPr="004B5444">
        <w:rPr>
          <w:rFonts w:ascii="Garamond" w:hAnsi="Garamond" w:cstheme="majorBidi"/>
        </w:rPr>
        <w:t>Despite their popularity, native advertisements have long posed challenges for consumer-protection law.</w:t>
      </w:r>
      <w:bookmarkStart w:id="22" w:name="_Ref214385915"/>
      <w:r w:rsidRPr="00FF62D9">
        <w:rPr>
          <w:rStyle w:val="FootnoteReference"/>
          <w:rFonts w:ascii="Garamond" w:hAnsi="Garamond" w:cstheme="majorBidi"/>
        </w:rPr>
        <w:footnoteReference w:id="51"/>
      </w:r>
      <w:bookmarkEnd w:id="22"/>
      <w:r w:rsidRPr="004B5444">
        <w:rPr>
          <w:rFonts w:ascii="Garamond" w:hAnsi="Garamond" w:cstheme="majorBidi"/>
        </w:rPr>
        <w:t xml:space="preserve"> Consumer protection seeks to ensure individuals have sufficient information to make informed choices, while the effectiveness of native advertising depends on consumers’ uncertainty about whether the content they consume is commercial.</w:t>
      </w:r>
      <w:bookmarkStart w:id="23" w:name="_Ref214374373"/>
      <w:r w:rsidRPr="002862A1">
        <w:rPr>
          <w:rStyle w:val="FootnoteReference"/>
          <w:rFonts w:ascii="Garamond" w:hAnsi="Garamond" w:cstheme="majorBidi"/>
        </w:rPr>
        <w:footnoteReference w:id="52"/>
      </w:r>
      <w:bookmarkEnd w:id="23"/>
      <w:r w:rsidRPr="004B5444">
        <w:rPr>
          <w:rFonts w:ascii="Garamond" w:hAnsi="Garamond" w:cstheme="majorBidi"/>
        </w:rPr>
        <w:t xml:space="preserve"> As Chris Hoofnagle and Eduard Meleshinsky explain, “Advertorials risk upending consumer self-help mechanisms if advertorials lead the consumer—even for a short time—into believing that material is editorial.</w:t>
      </w:r>
      <w:r w:rsidR="002862A1" w:rsidRPr="002862A1">
        <w:rPr>
          <w:rFonts w:ascii="Garamond" w:hAnsi="Garamond" w:cstheme="majorBidi"/>
          <w:lang w:bidi="he-IL"/>
        </w:rPr>
        <w:t>”</w:t>
      </w:r>
      <w:r w:rsidR="00341B63" w:rsidRPr="00DD1B15">
        <w:rPr>
          <w:rStyle w:val="FootnoteReference"/>
          <w:rFonts w:ascii="Garamond" w:hAnsi="Garamond" w:cstheme="majorBidi"/>
        </w:rPr>
        <w:footnoteReference w:id="53"/>
      </w:r>
      <w:r w:rsidR="00341B63" w:rsidRPr="002862A1">
        <w:rPr>
          <w:rFonts w:ascii="Garamond" w:hAnsi="Garamond" w:cstheme="majorBidi"/>
        </w:rPr>
        <w:t xml:space="preserve"> </w:t>
      </w:r>
    </w:p>
    <w:p w14:paraId="312C7500" w14:textId="4D07B1DD" w:rsidR="00F51F9A" w:rsidRDefault="00C91C3A" w:rsidP="00887C73">
      <w:pPr>
        <w:ind w:firstLine="360"/>
        <w:jc w:val="both"/>
        <w:rPr>
          <w:rFonts w:ascii="Garamond" w:hAnsi="Garamond" w:cstheme="majorBidi"/>
          <w:lang w:bidi="he-IL"/>
        </w:rPr>
      </w:pPr>
      <w:r w:rsidRPr="00C91C3A">
        <w:rPr>
          <w:rFonts w:ascii="Garamond" w:hAnsi="Garamond" w:cstheme="majorBidi"/>
          <w:lang w:bidi="he-IL"/>
        </w:rPr>
        <w:t>The blending of editorial and commercial content enhances persuasive power by cloaking ads in the credibility of editorial work. According to Friestad and Wright’s Persuasion Knowledge Model (PKM), when consumers are unaware of advertising intent, they are less likely to activate cognitive defenses such as skepticism or counterarguing.</w:t>
      </w:r>
      <w:bookmarkStart w:id="24" w:name="_Ref214374427"/>
      <w:r w:rsidR="00887C73" w:rsidRPr="00DD1B15">
        <w:rPr>
          <w:rStyle w:val="FootnoteReference"/>
          <w:rFonts w:ascii="Garamond" w:hAnsi="Garamond" w:cstheme="majorBidi"/>
        </w:rPr>
        <w:footnoteReference w:id="54"/>
      </w:r>
      <w:bookmarkEnd w:id="24"/>
      <w:r w:rsidRPr="00C91C3A">
        <w:rPr>
          <w:rFonts w:ascii="Garamond" w:hAnsi="Garamond" w:cstheme="majorBidi"/>
          <w:lang w:bidi="he-IL"/>
        </w:rPr>
        <w:t xml:space="preserve"> A substantial body of consumer-psychology research confirms that native advertising disarms consumers’ natural resistance to persuasion, making it more effective than conventional advertising</w:t>
      </w:r>
      <w:r w:rsidR="00061EE9" w:rsidRPr="00061EE9">
        <w:rPr>
          <w:rFonts w:ascii="Garamond" w:hAnsi="Garamond" w:cstheme="majorBidi"/>
          <w:lang w:bidi="he-IL"/>
        </w:rPr>
        <w:t>.</w:t>
      </w:r>
      <w:bookmarkStart w:id="25" w:name="_Ref190348906"/>
      <w:r w:rsidR="00770E9E" w:rsidRPr="00FF62D9">
        <w:rPr>
          <w:rStyle w:val="FootnoteReference"/>
          <w:rFonts w:ascii="Garamond" w:hAnsi="Garamond" w:cstheme="majorBidi"/>
        </w:rPr>
        <w:footnoteReference w:id="55"/>
      </w:r>
      <w:bookmarkEnd w:id="25"/>
    </w:p>
    <w:p w14:paraId="6A049C32" w14:textId="4346DBF3" w:rsidR="004B02F7" w:rsidRDefault="00013A1D" w:rsidP="00E92197">
      <w:pPr>
        <w:ind w:firstLine="360"/>
        <w:jc w:val="both"/>
        <w:rPr>
          <w:rFonts w:ascii="Garamond" w:hAnsi="Garamond" w:cstheme="majorBidi"/>
        </w:rPr>
      </w:pPr>
      <w:r w:rsidRPr="00013A1D">
        <w:rPr>
          <w:rFonts w:ascii="Garamond" w:hAnsi="Garamond" w:cstheme="majorBidi"/>
        </w:rPr>
        <w:t>Recent controversies underscore the risks. The Fyre Festival, JUUL, and FTX scandals all involved allegations of undisclosed native advertising, misleading consumers into wasting their time,</w:t>
      </w:r>
      <w:r>
        <w:rPr>
          <w:rStyle w:val="FootnoteReference"/>
          <w:rFonts w:ascii="Garamond" w:hAnsi="Garamond" w:cstheme="majorBidi"/>
        </w:rPr>
        <w:footnoteReference w:id="56"/>
      </w:r>
      <w:r w:rsidRPr="00013A1D">
        <w:rPr>
          <w:rFonts w:ascii="Garamond" w:hAnsi="Garamond" w:cstheme="majorBidi"/>
        </w:rPr>
        <w:t xml:space="preserve"> risking their health,</w:t>
      </w:r>
      <w:r>
        <w:rPr>
          <w:rStyle w:val="FootnoteReference"/>
          <w:rFonts w:ascii="Garamond" w:hAnsi="Garamond" w:cstheme="majorBidi"/>
        </w:rPr>
        <w:footnoteReference w:id="57"/>
      </w:r>
      <w:r w:rsidRPr="00013A1D">
        <w:rPr>
          <w:rFonts w:ascii="Garamond" w:hAnsi="Garamond" w:cstheme="majorBidi"/>
        </w:rPr>
        <w:t xml:space="preserve"> or even losing their life savings.</w:t>
      </w:r>
      <w:r w:rsidR="00E92197">
        <w:rPr>
          <w:rStyle w:val="FootnoteReference"/>
          <w:rFonts w:ascii="Garamond" w:hAnsi="Garamond" w:cstheme="majorBidi"/>
        </w:rPr>
        <w:footnoteReference w:id="58"/>
      </w:r>
      <w:r w:rsidRPr="00013A1D">
        <w:rPr>
          <w:rFonts w:ascii="Garamond" w:hAnsi="Garamond" w:cstheme="majorBidi"/>
        </w:rPr>
        <w:t xml:space="preserve"> The risks are particularly acute when advertorials appear in reputable news outlets.</w:t>
      </w:r>
      <w:r w:rsidR="00E92197">
        <w:rPr>
          <w:rStyle w:val="FootnoteReference"/>
          <w:rFonts w:ascii="Garamond" w:hAnsi="Garamond" w:cstheme="majorBidi"/>
          <w:lang w:bidi="he-IL"/>
        </w:rPr>
        <w:footnoteReference w:id="59"/>
      </w:r>
      <w:r w:rsidRPr="00013A1D">
        <w:rPr>
          <w:rFonts w:ascii="Garamond" w:hAnsi="Garamond" w:cstheme="majorBidi"/>
        </w:rPr>
        <w:t xml:space="preserve"> By mimicking the fonts, colors, logos, and layouts of surrounding editorial content, advertorials borrow the authority of the host publication and are granted the same deference as genuine journalism.</w:t>
      </w:r>
      <w:r w:rsidR="00E92197">
        <w:rPr>
          <w:rStyle w:val="FootnoteReference"/>
          <w:rFonts w:ascii="Garamond" w:hAnsi="Garamond" w:cstheme="majorBidi"/>
          <w:lang w:bidi="he-IL"/>
        </w:rPr>
        <w:footnoteReference w:id="60"/>
      </w:r>
      <w:r w:rsidRPr="00013A1D">
        <w:rPr>
          <w:rFonts w:ascii="Garamond" w:hAnsi="Garamond" w:cstheme="majorBidi"/>
        </w:rPr>
        <w:t xml:space="preserve"> This reflects </w:t>
      </w:r>
      <w:r w:rsidRPr="00013A1D">
        <w:rPr>
          <w:rFonts w:ascii="Garamond" w:hAnsi="Garamond" w:cstheme="majorBidi"/>
          <w:i/>
          <w:iCs/>
        </w:rPr>
        <w:t>source-based misleadingness</w:t>
      </w:r>
      <w:r w:rsidRPr="00013A1D">
        <w:rPr>
          <w:rFonts w:ascii="Garamond" w:hAnsi="Garamond" w:cstheme="majorBidi"/>
        </w:rPr>
        <w:t>: consumers frequently judge claims by the credibility of the source rather than the content.</w:t>
      </w:r>
      <w:bookmarkStart w:id="26" w:name="_Ref214457636"/>
      <w:r w:rsidR="00E92197">
        <w:rPr>
          <w:rStyle w:val="FootnoteReference"/>
          <w:rFonts w:ascii="Garamond" w:hAnsi="Garamond" w:cstheme="majorBidi"/>
          <w:lang w:bidi="he-IL"/>
        </w:rPr>
        <w:footnoteReference w:id="61"/>
      </w:r>
      <w:bookmarkEnd w:id="26"/>
      <w:r w:rsidRPr="00013A1D">
        <w:rPr>
          <w:rFonts w:ascii="Garamond" w:hAnsi="Garamond" w:cstheme="majorBidi"/>
        </w:rPr>
        <w:t xml:space="preserve"> Just as a doctor’s endorsement of a sugarless gum carries weight regardless of expertise,</w:t>
      </w:r>
      <w:r w:rsidR="00E92197">
        <w:rPr>
          <w:rStyle w:val="FootnoteReference"/>
          <w:rFonts w:ascii="Garamond" w:hAnsi="Garamond" w:cstheme="majorBidi"/>
          <w:lang w:bidi="he-IL"/>
        </w:rPr>
        <w:footnoteReference w:id="62"/>
      </w:r>
      <w:r w:rsidRPr="00013A1D">
        <w:rPr>
          <w:rFonts w:ascii="Garamond" w:hAnsi="Garamond" w:cstheme="majorBidi"/>
        </w:rPr>
        <w:t xml:space="preserve"> editorial-style design imbues advertisements with an aura of authority.</w:t>
      </w:r>
      <w:bookmarkStart w:id="27" w:name="_Ref214550487"/>
      <w:r w:rsidR="009C1270">
        <w:rPr>
          <w:rStyle w:val="FootnoteReference"/>
          <w:rFonts w:ascii="Garamond" w:hAnsi="Garamond" w:cstheme="majorBidi"/>
          <w:lang w:bidi="he-IL"/>
        </w:rPr>
        <w:footnoteReference w:id="63"/>
      </w:r>
      <w:bookmarkEnd w:id="27"/>
    </w:p>
    <w:p w14:paraId="6CE91478" w14:textId="4BF63E81" w:rsidR="00FE5BCB" w:rsidRDefault="00DD14DA" w:rsidP="00B6720A">
      <w:pPr>
        <w:ind w:firstLine="360"/>
        <w:jc w:val="both"/>
        <w:rPr>
          <w:rFonts w:ascii="Garamond" w:hAnsi="Garamond" w:cstheme="majorBidi"/>
        </w:rPr>
      </w:pPr>
      <w:r w:rsidRPr="00DD14DA">
        <w:rPr>
          <w:rFonts w:ascii="Garamond" w:hAnsi="Garamond" w:cstheme="majorBidi"/>
        </w:rPr>
        <w:t>Recognizing these risks, regulators worldwide have sought to police native advertising. In the United States, misleading practices may be unlawful even when the underlying claims are true.</w:t>
      </w:r>
      <w:r>
        <w:rPr>
          <w:rStyle w:val="FootnoteReference"/>
          <w:rFonts w:ascii="Garamond" w:hAnsi="Garamond" w:cstheme="majorBidi"/>
        </w:rPr>
        <w:footnoteReference w:id="64"/>
      </w:r>
      <w:r w:rsidRPr="00DD14DA">
        <w:rPr>
          <w:rFonts w:ascii="Garamond" w:hAnsi="Garamond" w:cstheme="majorBidi"/>
        </w:rPr>
        <w:t xml:space="preserve"> “Deceptive door openers” that mislead consumers into paying attention can violate consumer-protection law despite subsequent correction. Similarly, truthful information framed in misleading ways may give rise to FTC enforcement or private litigation.</w:t>
      </w:r>
      <w:r w:rsidR="00567F81">
        <w:rPr>
          <w:rStyle w:val="FootnoteReference"/>
          <w:rFonts w:ascii="Garamond" w:hAnsi="Garamond" w:cstheme="majorBidi"/>
        </w:rPr>
        <w:footnoteReference w:id="65"/>
      </w:r>
    </w:p>
    <w:p w14:paraId="53DDE428" w14:textId="722DC634" w:rsidR="00F87A12" w:rsidRDefault="00B6720A" w:rsidP="00B6720A">
      <w:pPr>
        <w:ind w:firstLine="360"/>
        <w:jc w:val="both"/>
        <w:rPr>
          <w:rFonts w:ascii="Garamond" w:hAnsi="Garamond" w:cstheme="majorBidi"/>
        </w:rPr>
      </w:pPr>
      <w:r w:rsidRPr="00B6720A">
        <w:rPr>
          <w:rFonts w:ascii="Garamond" w:hAnsi="Garamond" w:cstheme="majorBidi"/>
        </w:rPr>
        <w:t>At a minimum, regulators require clear and conspicuous disclosure.</w:t>
      </w:r>
      <w:r>
        <w:rPr>
          <w:rStyle w:val="FootnoteReference"/>
          <w:rFonts w:ascii="Garamond" w:hAnsi="Garamond" w:cstheme="majorBidi"/>
          <w:lang w:bidi="he-IL"/>
        </w:rPr>
        <w:footnoteReference w:id="66"/>
      </w:r>
      <w:r w:rsidRPr="00B6720A">
        <w:rPr>
          <w:rFonts w:ascii="Garamond" w:hAnsi="Garamond" w:cstheme="majorBidi"/>
        </w:rPr>
        <w:t xml:space="preserve"> In 2015, the FTC issued specific native-advertising guidelines, explaining that enforcement turns on the “net impression” conveyed to consumers.</w:t>
      </w:r>
      <w:r>
        <w:rPr>
          <w:rStyle w:val="FootnoteReference"/>
          <w:rFonts w:ascii="Garamond" w:hAnsi="Garamond" w:cstheme="majorBidi"/>
          <w:lang w:bidi="he-IL"/>
        </w:rPr>
        <w:footnoteReference w:id="67"/>
      </w:r>
      <w:r w:rsidRPr="00B6720A">
        <w:rPr>
          <w:rFonts w:ascii="Garamond" w:hAnsi="Garamond" w:cstheme="majorBidi"/>
        </w:rPr>
        <w:t xml:space="preserve"> The Commission emphasized that in native advertising “the watchword is transparency,” which must be evaluated across both content and form. Similar rules govern endorsements: advertisers, influencers, and brands must disclose commercial ties that are not otherwise apparent.</w:t>
      </w:r>
      <w:bookmarkStart w:id="28" w:name="_Ref214383475"/>
      <w:r>
        <w:rPr>
          <w:rStyle w:val="FootnoteReference"/>
          <w:rFonts w:ascii="Garamond" w:hAnsi="Garamond" w:cstheme="majorBidi"/>
          <w:lang w:bidi="he-IL"/>
        </w:rPr>
        <w:footnoteReference w:id="68"/>
      </w:r>
      <w:bookmarkEnd w:id="28"/>
      <w:r w:rsidRPr="00B6720A">
        <w:rPr>
          <w:rFonts w:ascii="Garamond" w:hAnsi="Garamond" w:cstheme="majorBidi"/>
        </w:rPr>
        <w:t xml:space="preserve"> International bodies have followed suit. In 2011, the International Chamber of Commerce amended its Code to require that marketing communications be “clearly distinguishable as such” regardless of form or medium.</w:t>
      </w:r>
      <w:r>
        <w:rPr>
          <w:rStyle w:val="FootnoteReference"/>
          <w:rFonts w:ascii="Garamond" w:hAnsi="Garamond" w:cstheme="majorBidi"/>
        </w:rPr>
        <w:footnoteReference w:id="69"/>
      </w:r>
      <w:r w:rsidRPr="00B6720A">
        <w:rPr>
          <w:rFonts w:ascii="Garamond" w:hAnsi="Garamond" w:cstheme="majorBidi"/>
        </w:rPr>
        <w:t xml:space="preserve"> More recently, mandatory disclosure regimes have proliferated—from social-media influencer rules to chatbot-specific legislation.</w:t>
      </w:r>
      <w:r>
        <w:rPr>
          <w:rStyle w:val="FootnoteReference"/>
          <w:rFonts w:ascii="Garamond" w:hAnsi="Garamond" w:cstheme="majorBidi"/>
          <w:lang w:bidi="he-IL"/>
        </w:rPr>
        <w:footnoteReference w:id="70"/>
      </w:r>
      <w:r w:rsidRPr="00B6720A">
        <w:rPr>
          <w:rFonts w:ascii="Garamond" w:hAnsi="Garamond" w:cstheme="majorBidi"/>
        </w:rPr>
        <w:t xml:space="preserve"> In France, failure to comply may even result in criminal sanctions.</w:t>
      </w:r>
      <w:r w:rsidR="00DA4B56">
        <w:rPr>
          <w:rStyle w:val="FootnoteReference"/>
          <w:rFonts w:ascii="Garamond" w:hAnsi="Garamond" w:cstheme="majorBidi"/>
          <w:lang w:bidi="he-IL"/>
        </w:rPr>
        <w:footnoteReference w:id="71"/>
      </w:r>
    </w:p>
    <w:p w14:paraId="4DC13C18" w14:textId="16E809C7" w:rsidR="00652992" w:rsidRPr="00C8777A" w:rsidRDefault="006D7CAC" w:rsidP="00C8777A">
      <w:pPr>
        <w:pStyle w:val="Heading21"/>
      </w:pPr>
      <w:r w:rsidRPr="00D23164">
        <w:t xml:space="preserve"> </w:t>
      </w:r>
      <w:bookmarkStart w:id="29" w:name="_Toc212649924"/>
      <w:r w:rsidRPr="00D23164">
        <w:t>Enter Gener</w:t>
      </w:r>
      <w:r w:rsidR="009C4BF0">
        <w:t>n</w:t>
      </w:r>
      <w:r w:rsidRPr="00D23164">
        <w:t>ative Advertising</w:t>
      </w:r>
      <w:bookmarkEnd w:id="29"/>
    </w:p>
    <w:p w14:paraId="076CB9DD" w14:textId="1EDE9CF8" w:rsidR="00C8777A" w:rsidRDefault="00C8777A" w:rsidP="00AA7297">
      <w:pPr>
        <w:ind w:firstLine="360"/>
        <w:jc w:val="both"/>
        <w:rPr>
          <w:rFonts w:ascii="Garamond" w:hAnsi="Garamond" w:cstheme="majorBidi"/>
          <w:lang w:bidi="he-IL"/>
        </w:rPr>
      </w:pPr>
      <w:r w:rsidRPr="00C8777A">
        <w:rPr>
          <w:rFonts w:ascii="Garamond" w:hAnsi="Garamond" w:cstheme="majorBidi"/>
          <w:lang w:bidi="he-IL"/>
        </w:rPr>
        <w:t xml:space="preserve"> </w:t>
      </w:r>
      <w:r w:rsidR="00AA7297" w:rsidRPr="00AA7297">
        <w:rPr>
          <w:rFonts w:ascii="Garamond" w:hAnsi="Garamond" w:cstheme="majorBidi"/>
          <w:lang w:bidi="he-IL"/>
        </w:rPr>
        <w:t>The rise of generative AI has radically transformed the way consumers access information about products and services.</w:t>
      </w:r>
      <w:bookmarkStart w:id="30" w:name="_Ref214385512"/>
      <w:r w:rsidR="00AA7297">
        <w:rPr>
          <w:rStyle w:val="FootnoteReference"/>
          <w:rFonts w:ascii="Garamond" w:hAnsi="Garamond" w:cstheme="majorBidi"/>
        </w:rPr>
        <w:footnoteReference w:id="72"/>
      </w:r>
      <w:bookmarkEnd w:id="30"/>
      <w:r w:rsidR="00AA7297" w:rsidRPr="00AA7297">
        <w:rPr>
          <w:rFonts w:ascii="Garamond" w:hAnsi="Garamond" w:cstheme="majorBidi"/>
          <w:lang w:bidi="he-IL"/>
        </w:rPr>
        <w:t xml:space="preserve"> Instead of browsing websites—encountering their design, layout, and sponsorship labels—consumers now receive clean, uniform blocks of generated text in which editorial content and sponsored material may be seamlessly interwoven.</w:t>
      </w:r>
      <w:r>
        <w:rPr>
          <w:rStyle w:val="FootnoteReference"/>
          <w:rFonts w:ascii="Garamond" w:hAnsi="Garamond" w:cstheme="majorBidi"/>
        </w:rPr>
        <w:footnoteReference w:id="73"/>
      </w:r>
      <w:r w:rsidR="00AE4530">
        <w:rPr>
          <w:rFonts w:ascii="Garamond" w:hAnsi="Garamond" w:cstheme="majorBidi"/>
          <w:lang w:bidi="he-IL"/>
        </w:rPr>
        <w:t xml:space="preserve"> </w:t>
      </w:r>
      <w:r w:rsidR="007502A5">
        <w:rPr>
          <w:rFonts w:ascii="Garamond" w:hAnsi="Garamond" w:cstheme="majorBidi"/>
          <w:lang w:bidi="he-IL"/>
        </w:rPr>
        <w:t xml:space="preserve"> </w:t>
      </w:r>
    </w:p>
    <w:p w14:paraId="74B26E24" w14:textId="747BD15E" w:rsidR="003C4728" w:rsidRPr="00144D45" w:rsidRDefault="003C4728" w:rsidP="00144D45">
      <w:pPr>
        <w:ind w:firstLine="360"/>
        <w:jc w:val="both"/>
        <w:rPr>
          <w:rFonts w:ascii="Garamond" w:hAnsi="Garamond" w:cstheme="majorBidi"/>
          <w:lang w:bidi="he-IL"/>
        </w:rPr>
      </w:pPr>
      <w:r w:rsidRPr="003C4728">
        <w:rPr>
          <w:rFonts w:ascii="Garamond" w:hAnsi="Garamond" w:cstheme="majorBidi"/>
          <w:lang w:bidi="he-IL"/>
        </w:rPr>
        <w:t xml:space="preserve">This new form of native advertising—what this Article terms </w:t>
      </w:r>
      <w:r w:rsidRPr="003C4728">
        <w:rPr>
          <w:rFonts w:ascii="Garamond" w:hAnsi="Garamond" w:cstheme="majorBidi"/>
          <w:i/>
          <w:iCs/>
          <w:lang w:bidi="he-IL"/>
        </w:rPr>
        <w:t>genernative advertising</w:t>
      </w:r>
      <w:r w:rsidRPr="003C4728">
        <w:rPr>
          <w:rFonts w:ascii="Garamond" w:hAnsi="Garamond" w:cstheme="majorBidi"/>
          <w:lang w:bidi="he-IL"/>
        </w:rPr>
        <w:t>—is unprecedented, yet it builds upon and intensifies the pathologies that first emerged in traditional digital media, particularly search-engine advertising.</w:t>
      </w:r>
      <w:bookmarkStart w:id="31" w:name="_Ref214458687"/>
      <w:r>
        <w:rPr>
          <w:rStyle w:val="FootnoteReference"/>
          <w:rFonts w:ascii="Garamond" w:hAnsi="Garamond" w:cstheme="majorBidi"/>
          <w:lang w:bidi="he-IL"/>
        </w:rPr>
        <w:footnoteReference w:id="74"/>
      </w:r>
      <w:bookmarkEnd w:id="31"/>
      <w:r w:rsidRPr="003C4728">
        <w:rPr>
          <w:rFonts w:ascii="Garamond" w:hAnsi="Garamond" w:cstheme="majorBidi"/>
          <w:lang w:bidi="he-IL"/>
        </w:rPr>
        <w:t xml:space="preserve"> Historically, search engines exposed users to two forms of native advertising.</w:t>
      </w:r>
      <w:r>
        <w:rPr>
          <w:rStyle w:val="FootnoteReference"/>
          <w:rFonts w:ascii="Garamond" w:hAnsi="Garamond" w:cstheme="majorBidi"/>
        </w:rPr>
        <w:footnoteReference w:id="75"/>
      </w:r>
      <w:r w:rsidRPr="003C4728">
        <w:rPr>
          <w:rFonts w:ascii="Garamond" w:hAnsi="Garamond" w:cstheme="majorBidi"/>
          <w:lang w:bidi="he-IL"/>
        </w:rPr>
        <w:t xml:space="preserve"> First, users encountered sponsored links and product carousels at the top of results page</w:t>
      </w:r>
      <w:r w:rsidR="00FE2168">
        <w:rPr>
          <w:rFonts w:ascii="Garamond" w:hAnsi="Garamond" w:cstheme="majorBidi"/>
          <w:lang w:bidi="he-IL"/>
        </w:rPr>
        <w:t>s</w:t>
      </w:r>
      <w:r w:rsidR="00FE2168">
        <w:rPr>
          <w:rStyle w:val="FootnoteReference"/>
          <w:rFonts w:ascii="Garamond" w:hAnsi="Garamond" w:cstheme="majorBidi"/>
        </w:rPr>
        <w:footnoteReference w:id="76"/>
      </w:r>
      <w:r w:rsidRPr="003C4728">
        <w:rPr>
          <w:rFonts w:ascii="Garamond" w:hAnsi="Garamond" w:cstheme="majorBidi"/>
          <w:lang w:bidi="he-IL"/>
        </w:rPr>
        <w:t>—placements often mistaken for “organic” results.</w:t>
      </w:r>
      <w:bookmarkStart w:id="32" w:name="_Ref214387461"/>
      <w:r w:rsidR="00FE2168">
        <w:rPr>
          <w:rStyle w:val="FootnoteReference"/>
          <w:rFonts w:ascii="Garamond" w:hAnsi="Garamond" w:cstheme="majorBidi"/>
        </w:rPr>
        <w:footnoteReference w:id="77"/>
      </w:r>
      <w:bookmarkEnd w:id="32"/>
      <w:r w:rsidRPr="003C4728">
        <w:rPr>
          <w:rFonts w:ascii="Garamond" w:hAnsi="Garamond" w:cstheme="majorBidi"/>
          <w:lang w:bidi="he-IL"/>
        </w:rPr>
        <w:t xml:space="preserve"> Second, users encountered “organic” results that themselves linked to pages containing advertorials, affiliate marketing, or other sponsored content.</w:t>
      </w:r>
      <w:r w:rsidR="00FE2168">
        <w:rPr>
          <w:rStyle w:val="FootnoteReference"/>
          <w:rFonts w:ascii="Garamond" w:hAnsi="Garamond" w:cstheme="majorBidi"/>
        </w:rPr>
        <w:footnoteReference w:id="78"/>
      </w:r>
      <w:r w:rsidRPr="003C4728">
        <w:rPr>
          <w:rFonts w:ascii="Garamond" w:hAnsi="Garamond" w:cstheme="majorBidi"/>
          <w:lang w:bidi="he-IL"/>
        </w:rPr>
        <w:t xml:space="preserve"> While search engines were not required to label such references as advertising, consumers could detect commercial influence after clicking through and observing page-level cues: disclosure labels, formatting differences, banner ads, or other signals.</w:t>
      </w:r>
      <w:r w:rsidR="00FE2168">
        <w:rPr>
          <w:rStyle w:val="FootnoteReference"/>
          <w:rFonts w:ascii="Garamond" w:hAnsi="Garamond" w:cstheme="majorBidi"/>
        </w:rPr>
        <w:footnoteReference w:id="79"/>
      </w:r>
      <w:r w:rsidR="00FE2168">
        <w:rPr>
          <w:rFonts w:ascii="Garamond" w:hAnsi="Garamond" w:cstheme="majorBidi"/>
          <w:lang w:bidi="he-IL"/>
        </w:rPr>
        <w:t xml:space="preserve"> </w:t>
      </w:r>
      <w:r w:rsidRPr="003C4728">
        <w:rPr>
          <w:rFonts w:ascii="Garamond" w:hAnsi="Garamond" w:cstheme="majorBidi"/>
          <w:lang w:bidi="he-IL"/>
        </w:rPr>
        <w:t>Genernative advertising heightens the risks associated with both paradigms.</w:t>
      </w:r>
    </w:p>
    <w:p w14:paraId="06F65BEC" w14:textId="77777777" w:rsidR="00144D45" w:rsidRDefault="00144D45" w:rsidP="00144D45">
      <w:pPr>
        <w:pStyle w:val="Heading3"/>
        <w:rPr>
          <w:lang w:bidi="he-IL"/>
        </w:rPr>
      </w:pPr>
      <w:r w:rsidRPr="00144D45">
        <w:rPr>
          <w:lang w:bidi="he-IL"/>
        </w:rPr>
        <w:t>Sponsored Links Within Chatbot Outputs</w:t>
      </w:r>
    </w:p>
    <w:p w14:paraId="3C3AFAF7" w14:textId="77777777" w:rsidR="00EE718B" w:rsidRDefault="00C64C13" w:rsidP="00EE718B">
      <w:pPr>
        <w:ind w:firstLine="360"/>
        <w:jc w:val="both"/>
        <w:rPr>
          <w:rFonts w:ascii="Garamond" w:hAnsi="Garamond" w:cstheme="majorBidi"/>
          <w:lang w:bidi="he-IL"/>
        </w:rPr>
      </w:pPr>
      <w:r w:rsidRPr="00C64C13">
        <w:rPr>
          <w:rFonts w:ascii="Garamond" w:hAnsi="Garamond" w:cstheme="majorBidi"/>
          <w:lang w:bidi="he-IL"/>
        </w:rPr>
        <w:t>With respect to the first paradigm, incorporating paid links directly into chatbot outputs remains the exception rather than the rule.</w:t>
      </w:r>
      <w:r w:rsidR="00EE718B">
        <w:rPr>
          <w:rStyle w:val="FootnoteReference"/>
          <w:rFonts w:ascii="Garamond" w:hAnsi="Garamond" w:cstheme="majorBidi"/>
        </w:rPr>
        <w:footnoteReference w:id="80"/>
      </w:r>
      <w:r w:rsidRPr="00C64C13">
        <w:rPr>
          <w:rFonts w:ascii="Garamond" w:hAnsi="Garamond" w:cstheme="majorBidi"/>
          <w:lang w:bidi="he-IL"/>
        </w:rPr>
        <w:t xml:space="preserve"> Many leading chatbots—such as ChatGPT—do not currently insert advertising links into their responses, though others (e.g., Microsoft’s Copilot and X’s Grok) do.</w:t>
      </w:r>
      <w:r w:rsidR="00EE718B">
        <w:rPr>
          <w:rStyle w:val="FootnoteReference"/>
          <w:rFonts w:ascii="Garamond" w:hAnsi="Garamond" w:cstheme="majorBidi"/>
        </w:rPr>
        <w:footnoteReference w:id="81"/>
      </w:r>
      <w:r w:rsidRPr="00C64C13">
        <w:rPr>
          <w:rFonts w:ascii="Garamond" w:hAnsi="Garamond" w:cstheme="majorBidi"/>
          <w:lang w:bidi="he-IL"/>
        </w:rPr>
        <w:t xml:space="preserve"> Given the exceptionally high cost of running large language models, however, many commentators predict broader adoption of paid-insertion models.</w:t>
      </w:r>
      <w:r w:rsidR="00EE718B">
        <w:rPr>
          <w:rStyle w:val="FootnoteReference"/>
          <w:rFonts w:ascii="Garamond" w:hAnsi="Garamond" w:cstheme="majorBidi"/>
          <w:lang w:bidi="he-IL"/>
        </w:rPr>
        <w:footnoteReference w:id="82"/>
      </w:r>
      <w:r w:rsidRPr="00C64C13">
        <w:rPr>
          <w:rFonts w:ascii="Garamond" w:hAnsi="Garamond" w:cstheme="majorBidi"/>
          <w:lang w:bidi="he-IL"/>
        </w:rPr>
        <w:t xml:space="preserve"> Although regulators have not yet addressed this development explicitly, recent FTC statements suggest that the disclosure obligations imposed on search engines and social media platforms would apply equally to generative AI providers.</w:t>
      </w:r>
      <w:r w:rsidR="00EE718B" w:rsidRPr="00E1340D">
        <w:rPr>
          <w:rStyle w:val="FootnoteReference"/>
          <w:rFonts w:ascii="Garamond" w:hAnsi="Garamond" w:cstheme="majorBidi"/>
        </w:rPr>
        <w:footnoteReference w:id="83"/>
      </w:r>
    </w:p>
    <w:p w14:paraId="37111FF9" w14:textId="0A786410" w:rsidR="006C5A7C" w:rsidRPr="006C5A7C" w:rsidRDefault="006C5A7C" w:rsidP="006C5A7C">
      <w:pPr>
        <w:ind w:firstLine="360"/>
        <w:jc w:val="both"/>
        <w:rPr>
          <w:rFonts w:ascii="Garamond" w:hAnsi="Garamond" w:cstheme="majorBidi"/>
          <w:lang w:bidi="he-IL"/>
        </w:rPr>
      </w:pPr>
      <w:r w:rsidRPr="006C5A7C">
        <w:rPr>
          <w:rFonts w:ascii="Garamond" w:hAnsi="Garamond" w:cstheme="majorBidi"/>
          <w:lang w:bidi="he-IL"/>
        </w:rPr>
        <w:t>Recent marketing research indicates that including paid links in chatbot responses may heighten risks of deception even when disclosures are present.</w:t>
      </w:r>
      <w:bookmarkStart w:id="33" w:name="_Ref214554537"/>
      <w:r w:rsidRPr="00E1340D">
        <w:rPr>
          <w:rStyle w:val="FootnoteReference"/>
          <w:rFonts w:ascii="Garamond" w:hAnsi="Garamond" w:cstheme="majorBidi"/>
        </w:rPr>
        <w:footnoteReference w:id="84"/>
      </w:r>
      <w:bookmarkEnd w:id="33"/>
      <w:r w:rsidRPr="006C5A7C">
        <w:rPr>
          <w:rFonts w:ascii="Garamond" w:hAnsi="Garamond" w:cstheme="majorBidi"/>
          <w:lang w:bidi="he-IL"/>
        </w:rPr>
        <w:t xml:space="preserve"> Three mechanisms help explain why.</w:t>
      </w:r>
    </w:p>
    <w:p w14:paraId="27045A44" w14:textId="36A1EF88" w:rsidR="006C5A7C" w:rsidRDefault="006C5A7C" w:rsidP="006C5A7C">
      <w:pPr>
        <w:ind w:firstLine="360"/>
        <w:jc w:val="both"/>
        <w:rPr>
          <w:rFonts w:ascii="Garamond" w:hAnsi="Garamond" w:cstheme="majorBidi"/>
          <w:lang w:bidi="he-IL"/>
        </w:rPr>
      </w:pPr>
      <w:r w:rsidRPr="006C5A7C">
        <w:rPr>
          <w:rFonts w:ascii="Garamond" w:hAnsi="Garamond" w:cstheme="majorBidi"/>
          <w:lang w:bidi="he-IL"/>
        </w:rPr>
        <w:t>First, deception is shaped by user expectations.</w:t>
      </w:r>
      <w:bookmarkStart w:id="34" w:name="_Ref214874603"/>
      <w:r w:rsidRPr="00E1340D">
        <w:rPr>
          <w:rStyle w:val="FootnoteReference"/>
          <w:rFonts w:ascii="Garamond" w:hAnsi="Garamond" w:cstheme="majorBidi"/>
        </w:rPr>
        <w:footnoteReference w:id="85"/>
      </w:r>
      <w:bookmarkEnd w:id="34"/>
      <w:r w:rsidRPr="006C5A7C">
        <w:rPr>
          <w:rFonts w:ascii="Garamond" w:hAnsi="Garamond" w:cstheme="majorBidi"/>
          <w:lang w:bidi="he-IL"/>
        </w:rPr>
        <w:t xml:space="preserve"> Consumers have become habituated to search engines’ paid links, but they may not yet expect sponsored references in chatbot responses.</w:t>
      </w:r>
      <w:r w:rsidR="003B0E49" w:rsidRPr="00E1340D">
        <w:rPr>
          <w:rStyle w:val="FootnoteReference"/>
          <w:rFonts w:ascii="Garamond" w:hAnsi="Garamond" w:cstheme="majorBidi"/>
        </w:rPr>
        <w:footnoteReference w:id="86"/>
      </w:r>
      <w:r w:rsidRPr="006C5A7C">
        <w:rPr>
          <w:rFonts w:ascii="Garamond" w:hAnsi="Garamond" w:cstheme="majorBidi"/>
          <w:lang w:bidi="he-IL"/>
        </w:rPr>
        <w:t xml:space="preserve"> Accordingly, disclosure alone may be insufficient to attract attention—mirroring longstanding findings that users routinely miss even clearly labeled paid links on search-engine results pages.</w:t>
      </w:r>
      <w:r w:rsidR="003B0E49" w:rsidRPr="00E1340D">
        <w:rPr>
          <w:rStyle w:val="FootnoteReference"/>
          <w:rFonts w:ascii="Garamond" w:hAnsi="Garamond" w:cstheme="majorBidi"/>
        </w:rPr>
        <w:footnoteReference w:id="87"/>
      </w:r>
      <w:r w:rsidRPr="006C5A7C">
        <w:rPr>
          <w:rFonts w:ascii="Garamond" w:hAnsi="Garamond" w:cstheme="majorBidi"/>
          <w:lang w:bidi="he-IL"/>
        </w:rPr>
        <w:t xml:space="preserve"> The problem is compounded by the fact that most chatbots currently do not incorporate paid references and that some—such as ChatGPT—explicitly assert their independence by assuring users that they “choose products independently.”</w:t>
      </w:r>
      <w:r w:rsidR="004B058F" w:rsidRPr="00E1340D">
        <w:rPr>
          <w:rStyle w:val="FootnoteReference"/>
          <w:rFonts w:ascii="Garamond" w:hAnsi="Garamond" w:cstheme="majorBidi"/>
        </w:rPr>
        <w:footnoteReference w:id="88"/>
      </w:r>
      <w:r w:rsidRPr="006C5A7C">
        <w:rPr>
          <w:rFonts w:ascii="Garamond" w:hAnsi="Garamond" w:cstheme="majorBidi"/>
          <w:lang w:bidi="he-IL"/>
        </w:rPr>
        <w:t xml:space="preserve"> Such representations may reinforce the perception that chatbot outputs are advertisement-free.</w:t>
      </w:r>
    </w:p>
    <w:p w14:paraId="74EB3DEA" w14:textId="13414089" w:rsidR="00345D61" w:rsidRPr="00E1340D" w:rsidRDefault="004B058F" w:rsidP="004B058F">
      <w:pPr>
        <w:ind w:firstLine="360"/>
        <w:jc w:val="both"/>
        <w:rPr>
          <w:rFonts w:ascii="Garamond" w:hAnsi="Garamond" w:cstheme="majorBidi"/>
          <w:lang w:bidi="he-IL"/>
        </w:rPr>
      </w:pPr>
      <w:r w:rsidRPr="004B058F">
        <w:rPr>
          <w:rFonts w:ascii="Garamond" w:hAnsi="Garamond" w:cstheme="majorBidi"/>
          <w:b/>
          <w:bCs/>
          <w:lang w:bidi="he-IL"/>
        </w:rPr>
        <w:t>Second</w:t>
      </w:r>
      <w:r w:rsidRPr="004B058F">
        <w:rPr>
          <w:rFonts w:ascii="Garamond" w:hAnsi="Garamond" w:cstheme="majorBidi"/>
          <w:lang w:bidi="he-IL"/>
        </w:rPr>
        <w:t>, the structural format of chatbot responses differs fundamentally from search results. Search engines present ranked lists that at least signal the existence of multiple alternatives. Although research shows that users rarely scroll beyond the first few links,</w:t>
      </w:r>
      <w:r w:rsidRPr="00E1340D">
        <w:rPr>
          <w:rStyle w:val="FootnoteReference"/>
          <w:rFonts w:ascii="Garamond" w:hAnsi="Garamond" w:cstheme="majorBidi"/>
        </w:rPr>
        <w:footnoteReference w:id="89"/>
      </w:r>
      <w:r w:rsidRPr="004B058F">
        <w:rPr>
          <w:rFonts w:ascii="Garamond" w:hAnsi="Garamond" w:cstheme="majorBidi"/>
          <w:lang w:bidi="he-IL"/>
        </w:rPr>
        <w:t xml:space="preserve"> they nevertheless understand that options exist.</w:t>
      </w:r>
      <w:r w:rsidRPr="00E1340D">
        <w:rPr>
          <w:rStyle w:val="FootnoteReference"/>
          <w:rFonts w:ascii="Garamond" w:hAnsi="Garamond" w:cstheme="majorBidi"/>
        </w:rPr>
        <w:footnoteReference w:id="90"/>
      </w:r>
      <w:r w:rsidRPr="004B058F">
        <w:rPr>
          <w:rFonts w:ascii="Garamond" w:hAnsi="Garamond" w:cstheme="majorBidi"/>
          <w:lang w:bidi="he-IL"/>
        </w:rPr>
        <w:t xml:space="preserve"> Chatbots, by contrast, provide definitive-seeming answers that may lead users to accept recommendations uncritically and remain unaware of competing products.</w:t>
      </w:r>
      <w:r w:rsidRPr="00E1340D">
        <w:rPr>
          <w:rStyle w:val="FootnoteReference"/>
          <w:rFonts w:ascii="Garamond" w:hAnsi="Garamond" w:cstheme="majorBidi"/>
        </w:rPr>
        <w:footnoteReference w:id="91"/>
      </w:r>
      <w:r w:rsidRPr="004B058F">
        <w:rPr>
          <w:rFonts w:ascii="Garamond" w:hAnsi="Garamond" w:cstheme="majorBidi"/>
          <w:lang w:bidi="he-IL"/>
        </w:rPr>
        <w:t xml:space="preserve"> As one study observes, “Unlike an advertising medium such as a search engine, a chatbot’s advertisement may significantly impact how users plan, what users believe, and how users internalize the recommended product.”</w:t>
      </w:r>
      <w:r w:rsidR="00B44EA6" w:rsidRPr="00E1340D">
        <w:rPr>
          <w:rStyle w:val="FootnoteReference"/>
          <w:rFonts w:ascii="Garamond" w:hAnsi="Garamond" w:cstheme="majorBidi"/>
        </w:rPr>
        <w:footnoteReference w:id="92"/>
      </w:r>
    </w:p>
    <w:p w14:paraId="5B4CD100" w14:textId="28A02ED2" w:rsidR="00374F73" w:rsidRDefault="00CE0488" w:rsidP="00CE0488">
      <w:pPr>
        <w:ind w:firstLine="360"/>
        <w:jc w:val="both"/>
        <w:rPr>
          <w:rFonts w:ascii="Garamond" w:hAnsi="Garamond" w:cstheme="majorBidi"/>
        </w:rPr>
      </w:pPr>
      <w:r w:rsidRPr="00CE0488">
        <w:rPr>
          <w:rFonts w:ascii="Garamond" w:hAnsi="Garamond" w:cstheme="majorBidi"/>
          <w:b/>
          <w:bCs/>
          <w:lang w:bidi="he-IL"/>
        </w:rPr>
        <w:t>Third</w:t>
      </w:r>
      <w:r w:rsidRPr="00CE0488">
        <w:rPr>
          <w:rFonts w:ascii="Garamond" w:hAnsi="Garamond" w:cstheme="majorBidi"/>
          <w:lang w:bidi="he-IL"/>
        </w:rPr>
        <w:t>, the conversational interface of chatbots naturally enhances persuasive influence. Users tend to ascribe greater trust to human-like dialogue than to top-down communication systems such as search engines.</w:t>
      </w:r>
      <w:bookmarkStart w:id="35" w:name="_Ref214388286"/>
      <w:r w:rsidRPr="00E1340D">
        <w:rPr>
          <w:rStyle w:val="FootnoteReference"/>
          <w:rFonts w:ascii="Garamond" w:hAnsi="Garamond" w:cstheme="majorBidi"/>
        </w:rPr>
        <w:footnoteReference w:id="93"/>
      </w:r>
      <w:bookmarkEnd w:id="35"/>
      <w:r w:rsidRPr="00CE0488">
        <w:rPr>
          <w:rFonts w:ascii="Garamond" w:hAnsi="Garamond" w:cstheme="majorBidi"/>
          <w:lang w:bidi="he-IL"/>
        </w:rPr>
        <w:t xml:space="preserve"> This occurs through both direct and indirect pathways. Directly, the interactive format fosters perceived credibility, making consumers more willing to accept sponsored recommendations even when recognized as advertising.</w:t>
      </w:r>
      <w:r w:rsidRPr="00E1340D">
        <w:rPr>
          <w:rStyle w:val="FootnoteReference"/>
          <w:rFonts w:ascii="Garamond" w:hAnsi="Garamond" w:cstheme="majorBidi"/>
        </w:rPr>
        <w:footnoteReference w:id="94"/>
      </w:r>
      <w:r w:rsidRPr="00CE0488">
        <w:rPr>
          <w:rFonts w:ascii="Garamond" w:hAnsi="Garamond" w:cstheme="majorBidi"/>
          <w:lang w:bidi="he-IL"/>
        </w:rPr>
        <w:t xml:space="preserve"> Indirectly, chatbots elicit more detailed personal disclosures than search engines typically receive,</w:t>
      </w:r>
      <w:r w:rsidRPr="00E1340D">
        <w:rPr>
          <w:rStyle w:val="FootnoteReference"/>
          <w:rFonts w:ascii="Garamond" w:hAnsi="Garamond" w:cstheme="majorBidi"/>
        </w:rPr>
        <w:footnoteReference w:id="95"/>
      </w:r>
      <w:r w:rsidRPr="00CE0488">
        <w:rPr>
          <w:rFonts w:ascii="Garamond" w:hAnsi="Garamond" w:cstheme="majorBidi"/>
          <w:lang w:bidi="he-IL"/>
        </w:rPr>
        <w:t xml:space="preserve"> enabling them to deliver more personalized and therefore more persuasive advertising.</w:t>
      </w:r>
      <w:r w:rsidR="002951C2" w:rsidRPr="00E1340D">
        <w:rPr>
          <w:rStyle w:val="FootnoteReference"/>
          <w:rFonts w:ascii="Garamond" w:hAnsi="Garamond" w:cstheme="majorBidi"/>
        </w:rPr>
        <w:footnoteReference w:id="96"/>
      </w:r>
    </w:p>
    <w:p w14:paraId="044EB6FD" w14:textId="00A502E9" w:rsidR="004C7011" w:rsidRDefault="004C7011" w:rsidP="004C7011">
      <w:pPr>
        <w:pStyle w:val="Heading3"/>
      </w:pPr>
      <w:r w:rsidRPr="004C7011">
        <w:t>Sponsored Content Embedded in Underlying Sources</w:t>
      </w:r>
    </w:p>
    <w:p w14:paraId="68FD5833" w14:textId="204D97E4" w:rsidR="004C7011" w:rsidRDefault="004C7011" w:rsidP="004C7011">
      <w:pPr>
        <w:ind w:firstLine="360"/>
        <w:jc w:val="both"/>
        <w:rPr>
          <w:rFonts w:ascii="Garamond" w:hAnsi="Garamond" w:cstheme="majorBidi"/>
          <w:lang w:bidi="he-IL"/>
        </w:rPr>
      </w:pPr>
      <w:r w:rsidRPr="004C7011">
        <w:rPr>
          <w:rFonts w:ascii="Garamond" w:hAnsi="Garamond" w:cstheme="majorBidi"/>
          <w:lang w:bidi="he-IL"/>
        </w:rPr>
        <w:t>The second search-engine paradigm—“organic” results that link to sponsored content—is even more troubling in the generative context. All major chatbots draw on search engines without necessarily filtering out or flagging advertorials, affiliate marketing, or other forms of paid content.</w:t>
      </w:r>
      <w:r w:rsidR="00BF0224" w:rsidRPr="00E353A5">
        <w:rPr>
          <w:rStyle w:val="FootnoteReference"/>
          <w:rFonts w:ascii="Garamond" w:hAnsi="Garamond" w:cstheme="majorBidi"/>
        </w:rPr>
        <w:footnoteReference w:id="97"/>
      </w:r>
      <w:r w:rsidRPr="004C7011">
        <w:rPr>
          <w:rFonts w:ascii="Garamond" w:hAnsi="Garamond" w:cstheme="majorBidi"/>
          <w:lang w:bidi="he-IL"/>
        </w:rPr>
        <w:t xml:space="preserve"> In traditional search environments, consumers encounter cues upon clicking </w:t>
      </w:r>
      <w:proofErr w:type="gramStart"/>
      <w:r w:rsidRPr="004C7011">
        <w:rPr>
          <w:rFonts w:ascii="Garamond" w:hAnsi="Garamond" w:cstheme="majorBidi"/>
          <w:lang w:bidi="he-IL"/>
        </w:rPr>
        <w:t>through:</w:t>
      </w:r>
      <w:proofErr w:type="gramEnd"/>
      <w:r w:rsidRPr="004C7011">
        <w:rPr>
          <w:rFonts w:ascii="Garamond" w:hAnsi="Garamond" w:cstheme="majorBidi"/>
          <w:lang w:bidi="he-IL"/>
        </w:rPr>
        <w:t xml:space="preserve"> legally required disclosures or “bottom-up” indicators such as page design, layout, or banner ads.</w:t>
      </w:r>
      <w:r w:rsidR="00BF0224">
        <w:rPr>
          <w:rStyle w:val="FootnoteReference"/>
          <w:rFonts w:ascii="Garamond" w:hAnsi="Garamond" w:cstheme="majorBidi"/>
        </w:rPr>
        <w:footnoteReference w:id="98"/>
      </w:r>
      <w:r w:rsidRPr="004C7011">
        <w:rPr>
          <w:rFonts w:ascii="Garamond" w:hAnsi="Garamond" w:cstheme="majorBidi"/>
          <w:lang w:bidi="he-IL"/>
        </w:rPr>
        <w:t xml:space="preserve"> Imperfect though they are, these cues nevertheless provide opportunities for advertising recognition.</w:t>
      </w:r>
      <w:r w:rsidR="00BF0224">
        <w:rPr>
          <w:rStyle w:val="FootnoteReference"/>
          <w:rFonts w:ascii="Garamond" w:hAnsi="Garamond" w:cstheme="majorBidi"/>
          <w:lang w:bidi="he-IL"/>
        </w:rPr>
        <w:footnoteReference w:id="99"/>
      </w:r>
    </w:p>
    <w:p w14:paraId="7D2532A5" w14:textId="18CBF56D" w:rsidR="00E60318" w:rsidRDefault="00E60318" w:rsidP="00E60318">
      <w:pPr>
        <w:ind w:firstLine="360"/>
        <w:jc w:val="both"/>
        <w:rPr>
          <w:rFonts w:ascii="Garamond" w:hAnsi="Garamond" w:cstheme="majorBidi"/>
          <w:lang w:bidi="he-IL"/>
        </w:rPr>
      </w:pPr>
      <w:r w:rsidRPr="00E60318">
        <w:rPr>
          <w:rFonts w:ascii="Garamond" w:hAnsi="Garamond" w:cstheme="majorBidi"/>
          <w:lang w:bidi="he-IL"/>
        </w:rPr>
        <w:t>Generative AI eliminates these signals.</w:t>
      </w:r>
      <w:r>
        <w:rPr>
          <w:rStyle w:val="FootnoteReference"/>
          <w:rFonts w:ascii="Garamond" w:hAnsi="Garamond" w:cstheme="majorBidi"/>
        </w:rPr>
        <w:footnoteReference w:id="100"/>
      </w:r>
      <w:r w:rsidRPr="00E60318">
        <w:rPr>
          <w:rFonts w:ascii="Garamond" w:hAnsi="Garamond" w:cstheme="majorBidi"/>
          <w:lang w:bidi="he-IL"/>
        </w:rPr>
        <w:t xml:space="preserve"> Chatbot responses often lack citations altogether or rely on incomplete or partial references.</w:t>
      </w:r>
      <w:r>
        <w:rPr>
          <w:rStyle w:val="FootnoteReference"/>
          <w:rFonts w:ascii="Garamond" w:hAnsi="Garamond" w:cstheme="majorBidi"/>
        </w:rPr>
        <w:footnoteReference w:id="101"/>
      </w:r>
      <w:r w:rsidRPr="00E60318">
        <w:rPr>
          <w:rFonts w:ascii="Garamond" w:hAnsi="Garamond" w:cstheme="majorBidi"/>
          <w:lang w:bidi="he-IL"/>
        </w:rPr>
        <w:t xml:space="preserve"> Even when links are provided, research consistently shows that users rarely click through to investigate them.</w:t>
      </w:r>
      <w:r>
        <w:rPr>
          <w:rStyle w:val="FootnoteReference"/>
          <w:rFonts w:ascii="Garamond" w:hAnsi="Garamond" w:cstheme="majorBidi"/>
        </w:rPr>
        <w:footnoteReference w:id="102"/>
      </w:r>
      <w:r w:rsidRPr="00E60318">
        <w:rPr>
          <w:rFonts w:ascii="Garamond" w:hAnsi="Garamond" w:cstheme="majorBidi"/>
          <w:lang w:bidi="he-IL"/>
        </w:rPr>
        <w:t xml:space="preserve"> Instead, consumers rely on reputational shortcuts—treating references to outlets like the </w:t>
      </w:r>
      <w:r w:rsidRPr="00E60318">
        <w:rPr>
          <w:rFonts w:ascii="Garamond" w:hAnsi="Garamond" w:cstheme="majorBidi"/>
          <w:i/>
          <w:iCs/>
          <w:lang w:bidi="he-IL"/>
        </w:rPr>
        <w:t>New York Times</w:t>
      </w:r>
      <w:r w:rsidRPr="00E60318">
        <w:rPr>
          <w:rFonts w:ascii="Garamond" w:hAnsi="Garamond" w:cstheme="majorBidi"/>
          <w:lang w:bidi="he-IL"/>
        </w:rPr>
        <w:t xml:space="preserve"> as proxies for credibility without verifying the underlying material.</w:t>
      </w:r>
      <w:bookmarkStart w:id="36" w:name="_Ref214551616"/>
      <w:r w:rsidR="00DA14FA" w:rsidRPr="006C2954">
        <w:rPr>
          <w:rStyle w:val="FootnoteReference"/>
          <w:rFonts w:ascii="Garamond" w:hAnsi="Garamond" w:cstheme="majorBidi"/>
        </w:rPr>
        <w:footnoteReference w:id="103"/>
      </w:r>
      <w:bookmarkEnd w:id="36"/>
      <w:r w:rsidRPr="00E60318">
        <w:rPr>
          <w:rFonts w:ascii="Garamond" w:hAnsi="Garamond" w:cstheme="majorBidi"/>
          <w:lang w:bidi="he-IL"/>
        </w:rPr>
        <w:t xml:space="preserve"> Because LLMs do not distinguish between sponsored and editorial sources, users cannot tell when commercial influence has shaped the content they receive.</w:t>
      </w:r>
    </w:p>
    <w:p w14:paraId="722F98A8" w14:textId="3B967930" w:rsidR="00987B08" w:rsidRDefault="00987B08" w:rsidP="00987B08">
      <w:pPr>
        <w:pStyle w:val="Heading3"/>
        <w:rPr>
          <w:lang w:bidi="he-IL"/>
        </w:rPr>
      </w:pPr>
      <w:r w:rsidRPr="00987B08">
        <w:rPr>
          <w:lang w:bidi="he-IL"/>
        </w:rPr>
        <w:t>Heightened Consumer Vulnerability—and the Opportunity for Reform</w:t>
      </w:r>
    </w:p>
    <w:p w14:paraId="17D28137" w14:textId="77777777" w:rsidR="00987B08" w:rsidRDefault="00987B08" w:rsidP="00987B08">
      <w:pPr>
        <w:ind w:firstLine="360"/>
        <w:jc w:val="both"/>
        <w:rPr>
          <w:rFonts w:ascii="Garamond" w:hAnsi="Garamond" w:cstheme="majorBidi"/>
          <w:lang w:bidi="he-IL"/>
        </w:rPr>
      </w:pPr>
      <w:r w:rsidRPr="00987B08">
        <w:rPr>
          <w:rFonts w:ascii="Garamond" w:hAnsi="Garamond" w:cstheme="majorBidi"/>
          <w:lang w:bidi="he-IL"/>
        </w:rPr>
        <w:t>For these reasons, genernative advertising exacerbates consumer vulnerabilities far beyond those associated with traditional search engines.</w:t>
      </w:r>
      <w:r>
        <w:rPr>
          <w:rStyle w:val="FootnoteReference"/>
          <w:rFonts w:ascii="Garamond" w:hAnsi="Garamond" w:cstheme="majorBidi"/>
          <w:lang w:bidi="he-IL"/>
        </w:rPr>
        <w:footnoteReference w:id="104"/>
      </w:r>
      <w:r w:rsidRPr="00987B08">
        <w:rPr>
          <w:rFonts w:ascii="Garamond" w:hAnsi="Garamond" w:cstheme="majorBidi"/>
          <w:lang w:bidi="he-IL"/>
        </w:rPr>
        <w:t xml:space="preserve"> Yet the very features that magnify these risks also create an opportunity for reform. Generative chatbots are uniquely capable of detecting sponsorship indicators through natural-language processing, and uniquely well positioned to convey disclosures through interactive conversational prompts.</w:t>
      </w:r>
      <w:r w:rsidRPr="00AE6B73">
        <w:rPr>
          <w:rStyle w:val="FootnoteReference"/>
          <w:rFonts w:ascii="Garamond" w:hAnsi="Garamond" w:cstheme="majorBidi"/>
        </w:rPr>
        <w:footnoteReference w:id="105"/>
      </w:r>
      <w:r w:rsidRPr="00987B08">
        <w:rPr>
          <w:rFonts w:ascii="Garamond" w:hAnsi="Garamond" w:cstheme="majorBidi"/>
          <w:lang w:bidi="he-IL"/>
        </w:rPr>
        <w:t xml:space="preserve"> Properly designed, chatbots could not only replicate but exceed the transparency obligations of traditional media, educating and nudging users in ways that static disclosure regimes have never achieved.</w:t>
      </w:r>
      <w:r w:rsidR="0094608D" w:rsidRPr="00AE6B73">
        <w:rPr>
          <w:rStyle w:val="FootnoteReference"/>
          <w:rFonts w:ascii="Garamond" w:hAnsi="Garamond" w:cstheme="majorBidi"/>
        </w:rPr>
        <w:footnoteReference w:id="106"/>
      </w:r>
      <w:r w:rsidR="00051C77" w:rsidRPr="00051C77">
        <w:rPr>
          <w:rFonts w:ascii="Garamond" w:hAnsi="Garamond" w:cstheme="majorBidi"/>
          <w:lang w:bidi="he-IL"/>
        </w:rPr>
        <w:t xml:space="preserve"> </w:t>
      </w:r>
    </w:p>
    <w:p w14:paraId="0626D086" w14:textId="42BF5BD5" w:rsidR="00944C03" w:rsidRDefault="00944C03" w:rsidP="00944C03">
      <w:pPr>
        <w:ind w:firstLine="360"/>
        <w:jc w:val="both"/>
        <w:rPr>
          <w:rFonts w:ascii="Garamond" w:hAnsi="Garamond" w:cstheme="majorBidi"/>
          <w:lang w:bidi="he-IL"/>
        </w:rPr>
      </w:pPr>
      <w:r w:rsidRPr="00944C03">
        <w:rPr>
          <w:rFonts w:ascii="Garamond" w:hAnsi="Garamond" w:cstheme="majorBidi"/>
          <w:lang w:bidi="he-IL"/>
        </w:rPr>
        <w:t>Ensuring that they do so, however, will likely require regulatory intervention.</w:t>
      </w:r>
      <w:r>
        <w:rPr>
          <w:rStyle w:val="FootnoteReference"/>
          <w:rFonts w:ascii="Garamond" w:hAnsi="Garamond" w:cstheme="majorBidi"/>
          <w:lang w:bidi="he-IL"/>
        </w:rPr>
        <w:footnoteReference w:id="107"/>
      </w:r>
      <w:r w:rsidRPr="00944C03">
        <w:rPr>
          <w:rFonts w:ascii="Garamond" w:hAnsi="Garamond" w:cstheme="majorBidi"/>
          <w:lang w:bidi="he-IL"/>
        </w:rPr>
        <w:t xml:space="preserve"> The next Part examines how different interface structures facilitate different types of sponsorship disclosures and how these, in turn, shape consumers’ advertising recognition, attitudes, and behavior.</w:t>
      </w:r>
    </w:p>
    <w:p w14:paraId="234CBE45" w14:textId="4BB2F34A" w:rsidR="008064B6" w:rsidRDefault="008064B6" w:rsidP="00C61FD2">
      <w:pPr>
        <w:pStyle w:val="Heading1"/>
        <w:rPr>
          <w:lang w:bidi="he-IL"/>
        </w:rPr>
      </w:pPr>
      <w:bookmarkStart w:id="37" w:name="_Toc212649925"/>
      <w:r>
        <w:rPr>
          <w:lang w:bidi="he-IL"/>
        </w:rPr>
        <w:t>Sponsorship Disclosure</w:t>
      </w:r>
      <w:r w:rsidR="000D0E70">
        <w:rPr>
          <w:lang w:bidi="he-IL"/>
        </w:rPr>
        <w:t>s</w:t>
      </w:r>
      <w:r w:rsidR="00C25316">
        <w:rPr>
          <w:lang w:bidi="he-IL"/>
        </w:rPr>
        <w:t>’ Impact</w:t>
      </w:r>
      <w:r w:rsidR="006E225A">
        <w:rPr>
          <w:lang w:bidi="he-IL"/>
        </w:rPr>
        <w:t xml:space="preserve"> on Gener</w:t>
      </w:r>
      <w:r w:rsidR="009C4BF0">
        <w:rPr>
          <w:lang w:bidi="he-IL"/>
        </w:rPr>
        <w:t>n</w:t>
      </w:r>
      <w:r w:rsidR="006E225A">
        <w:rPr>
          <w:lang w:bidi="he-IL"/>
        </w:rPr>
        <w:t xml:space="preserve">ative </w:t>
      </w:r>
      <w:r w:rsidR="00B359E1">
        <w:rPr>
          <w:lang w:bidi="he-IL"/>
        </w:rPr>
        <w:t>Advertising</w:t>
      </w:r>
      <w:r w:rsidR="00C25316">
        <w:rPr>
          <w:lang w:bidi="he-IL"/>
        </w:rPr>
        <w:t>—</w:t>
      </w:r>
      <w:r w:rsidR="00B359E1">
        <w:rPr>
          <w:lang w:bidi="he-IL"/>
        </w:rPr>
        <w:t>Recognition, Attitudes, and Behavior</w:t>
      </w:r>
      <w:bookmarkEnd w:id="37"/>
    </w:p>
    <w:p w14:paraId="3A17AEC2" w14:textId="1388AF1C" w:rsidR="00AE0EF6" w:rsidRPr="001A045C" w:rsidRDefault="00AE0EF6" w:rsidP="00AE0EF6">
      <w:pPr>
        <w:ind w:firstLine="360"/>
        <w:jc w:val="both"/>
        <w:rPr>
          <w:rFonts w:ascii="Garamond" w:hAnsi="Garamond" w:cstheme="majorBidi"/>
        </w:rPr>
      </w:pPr>
      <w:r w:rsidRPr="00AE0EF6">
        <w:rPr>
          <w:rFonts w:ascii="Garamond" w:hAnsi="Garamond" w:cstheme="majorBidi"/>
        </w:rPr>
        <w:t>This Part presents two large-scale experimental studies examining how consumers recognize genernative advertising when it is mediated by sponsorship disclosures, and how such recognition shapes their attitudes and behavior toward both the chatbot and the advertised brand. Section A reviews the existing research on native advertising and articulates the hypotheses guiding the studies. Building on this foundation, Sections B and C detail the studies’ methodology and results. Taken together, the findings strongly support the claim that GenAI chatbots both amplify the concerns long associated with native advertising and simultaneously present an unprecedented opportunity for meaningful regulatory intervention.</w:t>
      </w:r>
    </w:p>
    <w:p w14:paraId="4D2EA894" w14:textId="09CC077D" w:rsidR="004570EC" w:rsidRPr="007D071D" w:rsidRDefault="002350D7" w:rsidP="008424B2">
      <w:pPr>
        <w:pStyle w:val="Heading21"/>
        <w:numPr>
          <w:ilvl w:val="0"/>
          <w:numId w:val="9"/>
        </w:numPr>
        <w:rPr>
          <w:rFonts w:ascii="Garamond" w:hAnsi="Garamond"/>
        </w:rPr>
      </w:pPr>
      <w:bookmarkStart w:id="38" w:name="_Toc202804166"/>
      <w:bookmarkStart w:id="39" w:name="_Toc212649926"/>
      <w:r>
        <w:rPr>
          <w:rFonts w:ascii="Garamond" w:eastAsia="MS Mincho" w:hAnsi="Garamond" w:hint="eastAsia"/>
          <w:lang w:eastAsia="ja-JP"/>
        </w:rPr>
        <w:t>E</w:t>
      </w:r>
      <w:r w:rsidR="00803737" w:rsidRPr="001A045C">
        <w:rPr>
          <w:rFonts w:ascii="Garamond" w:hAnsi="Garamond"/>
        </w:rPr>
        <w:t xml:space="preserve">xisting Research and Study </w:t>
      </w:r>
      <w:r w:rsidR="00177816" w:rsidRPr="001A045C">
        <w:rPr>
          <w:rFonts w:ascii="Garamond" w:hAnsi="Garamond"/>
        </w:rPr>
        <w:t>Hypotheses</w:t>
      </w:r>
      <w:bookmarkEnd w:id="38"/>
      <w:bookmarkEnd w:id="39"/>
    </w:p>
    <w:p w14:paraId="2F2C51E3" w14:textId="5DCAE4F5" w:rsidR="00801837" w:rsidRPr="004820D9" w:rsidRDefault="004471A5" w:rsidP="005C6923">
      <w:pPr>
        <w:pStyle w:val="Heading3"/>
        <w:numPr>
          <w:ilvl w:val="0"/>
          <w:numId w:val="35"/>
        </w:numPr>
      </w:pPr>
      <w:bookmarkStart w:id="40" w:name="_Toc202804167"/>
      <w:bookmarkStart w:id="41" w:name="_Toc212649927"/>
      <w:r w:rsidRPr="004820D9">
        <w:t>Persuasion</w:t>
      </w:r>
      <w:r w:rsidR="006030BF" w:rsidRPr="004820D9">
        <w:t>,</w:t>
      </w:r>
      <w:r w:rsidRPr="004820D9">
        <w:t xml:space="preserve"> Knowledge</w:t>
      </w:r>
      <w:r w:rsidR="006030BF" w:rsidRPr="004820D9">
        <w:t>,</w:t>
      </w:r>
      <w:r w:rsidRPr="004820D9">
        <w:t xml:space="preserve"> </w:t>
      </w:r>
      <w:r w:rsidR="00111FE7" w:rsidRPr="004820D9">
        <w:t xml:space="preserve">and the </w:t>
      </w:r>
      <w:r w:rsidR="002C6D8F" w:rsidRPr="004820D9">
        <w:t>Effect</w:t>
      </w:r>
      <w:r w:rsidR="00111FE7" w:rsidRPr="004820D9">
        <w:t xml:space="preserve"> of </w:t>
      </w:r>
      <w:r w:rsidR="001250AC" w:rsidRPr="004820D9">
        <w:t>Spo</w:t>
      </w:r>
      <w:r w:rsidR="002350D7" w:rsidRPr="004820D9">
        <w:rPr>
          <w:rFonts w:hint="eastAsia"/>
        </w:rPr>
        <w:t>n</w:t>
      </w:r>
      <w:r w:rsidR="001250AC" w:rsidRPr="004820D9">
        <w:t>sorship</w:t>
      </w:r>
      <w:r w:rsidR="00111FE7" w:rsidRPr="004820D9">
        <w:t xml:space="preserve"> Disclosures</w:t>
      </w:r>
      <w:r w:rsidR="002C6D8F" w:rsidRPr="004820D9">
        <w:t xml:space="preserve"> on Advertising Recognition</w:t>
      </w:r>
      <w:bookmarkEnd w:id="40"/>
      <w:bookmarkEnd w:id="41"/>
    </w:p>
    <w:p w14:paraId="310537E9" w14:textId="29528D13" w:rsidR="00CA1282" w:rsidRPr="00CA1282" w:rsidRDefault="00CA1282" w:rsidP="00CA1282">
      <w:pPr>
        <w:ind w:firstLine="360"/>
        <w:jc w:val="both"/>
        <w:rPr>
          <w:rFonts w:ascii="Garamond" w:hAnsi="Garamond" w:cstheme="majorBidi"/>
        </w:rPr>
      </w:pPr>
      <w:r w:rsidRPr="00CA1282">
        <w:rPr>
          <w:rFonts w:ascii="Garamond" w:hAnsi="Garamond" w:cstheme="majorBidi"/>
        </w:rPr>
        <w:t>Friestad and Wright’s Persuasion Knowledge Model (PKM) is the leading theoretical framework for understanding how consumers process sponsored content.</w:t>
      </w:r>
      <w:bookmarkStart w:id="42" w:name="_Ref201066762"/>
      <w:r w:rsidRPr="001A045C">
        <w:rPr>
          <w:rStyle w:val="FootnoteReference"/>
          <w:rFonts w:ascii="Garamond" w:hAnsi="Garamond" w:cstheme="majorBidi"/>
        </w:rPr>
        <w:footnoteReference w:id="108"/>
      </w:r>
      <w:bookmarkEnd w:id="42"/>
      <w:r w:rsidRPr="00CA1282">
        <w:rPr>
          <w:rFonts w:ascii="Garamond" w:hAnsi="Garamond" w:cstheme="majorBidi"/>
        </w:rPr>
        <w:t xml:space="preserve"> According to the PKM, consumers develop “persuasion knowledge”—the ability to identify, interpret, evaluate, and respond to persuasion attempts—through repeated exposure to advertising.</w:t>
      </w:r>
      <w:r w:rsidRPr="001A045C">
        <w:rPr>
          <w:rStyle w:val="FootnoteReference"/>
          <w:rFonts w:ascii="Garamond" w:hAnsi="Garamond" w:cstheme="majorBidi"/>
        </w:rPr>
        <w:footnoteReference w:id="109"/>
      </w:r>
      <w:r w:rsidRPr="001A045C">
        <w:rPr>
          <w:rFonts w:ascii="Garamond" w:hAnsi="Garamond" w:cstheme="majorBidi"/>
        </w:rPr>
        <w:t xml:space="preserve"> </w:t>
      </w:r>
    </w:p>
    <w:p w14:paraId="7C6E62B2" w14:textId="667A9E4F" w:rsidR="00D2345E" w:rsidRDefault="00CA1282" w:rsidP="00FF352B">
      <w:pPr>
        <w:ind w:firstLine="360"/>
        <w:jc w:val="both"/>
        <w:rPr>
          <w:rFonts w:ascii="Garamond" w:hAnsi="Garamond" w:cstheme="majorBidi"/>
        </w:rPr>
      </w:pPr>
      <w:r w:rsidRPr="00CA1282">
        <w:rPr>
          <w:rFonts w:ascii="Garamond" w:hAnsi="Garamond" w:cstheme="majorBidi"/>
        </w:rPr>
        <w:t xml:space="preserve">Scholars distinguish two dimensions of persuasion knowledge. </w:t>
      </w:r>
      <w:r w:rsidRPr="00CA1282">
        <w:rPr>
          <w:rFonts w:ascii="Garamond" w:hAnsi="Garamond" w:cstheme="majorBidi"/>
          <w:i/>
          <w:iCs/>
        </w:rPr>
        <w:t>Conceptual persuasion knowledge</w:t>
      </w:r>
      <w:r w:rsidRPr="00CA1282">
        <w:rPr>
          <w:rFonts w:ascii="Garamond" w:hAnsi="Garamond" w:cstheme="majorBidi"/>
        </w:rPr>
        <w:t xml:space="preserve"> refers to the ability to recognize persuasive intent upon encountering it.</w:t>
      </w:r>
      <w:r w:rsidR="00FF352B" w:rsidRPr="001A045C">
        <w:rPr>
          <w:rStyle w:val="FootnoteReference"/>
          <w:rFonts w:ascii="Garamond" w:hAnsi="Garamond" w:cstheme="majorBidi"/>
        </w:rPr>
        <w:footnoteReference w:id="110"/>
      </w:r>
      <w:r w:rsidRPr="00CA1282">
        <w:rPr>
          <w:rFonts w:ascii="Garamond" w:hAnsi="Garamond" w:cstheme="majorBidi"/>
        </w:rPr>
        <w:t xml:space="preserve"> Once triggered, it activates coping strategies such as skepticism, resistance, or counterarguing, which shape </w:t>
      </w:r>
      <w:r w:rsidRPr="00CA1282">
        <w:rPr>
          <w:rFonts w:ascii="Garamond" w:hAnsi="Garamond" w:cstheme="majorBidi"/>
          <w:b/>
          <w:bCs/>
        </w:rPr>
        <w:t>a</w:t>
      </w:r>
      <w:r w:rsidRPr="00CA1282">
        <w:rPr>
          <w:rFonts w:ascii="Garamond" w:hAnsi="Garamond" w:cstheme="majorBidi"/>
          <w:i/>
          <w:iCs/>
        </w:rPr>
        <w:t>ttitudinal persuasion knowledge</w:t>
      </w:r>
      <w:r w:rsidRPr="00CA1282">
        <w:rPr>
          <w:rFonts w:ascii="Garamond" w:hAnsi="Garamond" w:cstheme="majorBidi"/>
        </w:rPr>
        <w:t>—that is, consumers’ evaluations of the advertiser, the brand, or the message.</w:t>
      </w:r>
      <w:bookmarkStart w:id="43" w:name="_Ref214466941"/>
      <w:r w:rsidR="00D2345E" w:rsidRPr="001A045C">
        <w:rPr>
          <w:rStyle w:val="FootnoteReference"/>
          <w:rFonts w:ascii="Garamond" w:hAnsi="Garamond" w:cstheme="majorBidi"/>
        </w:rPr>
        <w:footnoteReference w:id="111"/>
      </w:r>
      <w:bookmarkEnd w:id="43"/>
    </w:p>
    <w:p w14:paraId="6E4DC9DA" w14:textId="32BF9AB4" w:rsidR="00771227" w:rsidRDefault="00771227" w:rsidP="00771227">
      <w:pPr>
        <w:ind w:firstLine="360"/>
        <w:jc w:val="both"/>
        <w:rPr>
          <w:rFonts w:ascii="Garamond" w:hAnsi="Garamond" w:cstheme="majorBidi"/>
        </w:rPr>
      </w:pPr>
      <w:r w:rsidRPr="00771227">
        <w:rPr>
          <w:rFonts w:ascii="Garamond" w:hAnsi="Garamond" w:cstheme="majorBidi"/>
        </w:rPr>
        <w:t>Adults generally possess persuasion knowledge,</w:t>
      </w:r>
      <w:r w:rsidRPr="001A045C">
        <w:rPr>
          <w:rStyle w:val="FootnoteReference"/>
          <w:rFonts w:ascii="Garamond" w:hAnsi="Garamond" w:cstheme="majorBidi"/>
        </w:rPr>
        <w:footnoteReference w:id="112"/>
      </w:r>
      <w:r w:rsidRPr="00771227">
        <w:rPr>
          <w:rFonts w:ascii="Garamond" w:hAnsi="Garamond" w:cstheme="majorBidi"/>
        </w:rPr>
        <w:t xml:space="preserve"> but the emergence of new advertising formats—especially those that blur the boundary between editorial content and commercial messaging—can delay or suppress its activation. For this reason, sponsorship disclosures have long been viewed as a corrective mechanism. Disclosures function as signals that alert consumers to persuasive intent, thereby enabling deployment of cognitive defenses.</w:t>
      </w:r>
      <w:bookmarkStart w:id="44" w:name="_Ref201067484"/>
      <w:r w:rsidRPr="001A045C">
        <w:rPr>
          <w:rStyle w:val="FootnoteReference"/>
          <w:rFonts w:ascii="Garamond" w:hAnsi="Garamond" w:cstheme="majorBidi"/>
        </w:rPr>
        <w:footnoteReference w:id="113"/>
      </w:r>
      <w:bookmarkEnd w:id="44"/>
      <w:r w:rsidRPr="00771227">
        <w:rPr>
          <w:rFonts w:ascii="Garamond" w:hAnsi="Garamond" w:cstheme="majorBidi"/>
        </w:rPr>
        <w:t xml:space="preserve"> A substantial body of marketing research confirms that disclosures increase recognition of advertising intent (i.e., conceptual persuasion knowledge), although the effect is often modest.</w:t>
      </w:r>
    </w:p>
    <w:p w14:paraId="44110638" w14:textId="1D60D8BB" w:rsidR="005B32D8" w:rsidRDefault="005B32D8" w:rsidP="005B32D8">
      <w:pPr>
        <w:ind w:firstLine="360"/>
        <w:jc w:val="both"/>
        <w:rPr>
          <w:rFonts w:ascii="Garamond" w:hAnsi="Garamond" w:cstheme="majorBidi"/>
        </w:rPr>
      </w:pPr>
      <w:r w:rsidRPr="005B32D8">
        <w:rPr>
          <w:rFonts w:ascii="Garamond" w:hAnsi="Garamond" w:cstheme="majorBidi"/>
        </w:rPr>
        <w:t>Empirical studies have examined this dynamic across a wide range of media, including advertorials,</w:t>
      </w:r>
      <w:bookmarkStart w:id="45" w:name="_Ref214551083"/>
      <w:r w:rsidRPr="001A045C">
        <w:rPr>
          <w:rStyle w:val="FootnoteReference"/>
          <w:rFonts w:ascii="Garamond" w:hAnsi="Garamond" w:cstheme="majorBidi"/>
        </w:rPr>
        <w:footnoteReference w:id="114"/>
      </w:r>
      <w:bookmarkEnd w:id="45"/>
      <w:r w:rsidRPr="005B32D8">
        <w:rPr>
          <w:rFonts w:ascii="Garamond" w:hAnsi="Garamond" w:cstheme="majorBidi"/>
        </w:rPr>
        <w:t xml:space="preserve"> social-media influencer endorsements,</w:t>
      </w:r>
      <w:r w:rsidRPr="001A045C">
        <w:rPr>
          <w:rStyle w:val="FootnoteReference"/>
          <w:rFonts w:ascii="Garamond" w:hAnsi="Garamond" w:cstheme="majorBidi"/>
        </w:rPr>
        <w:footnoteReference w:id="115"/>
      </w:r>
      <w:r w:rsidRPr="005B32D8">
        <w:rPr>
          <w:rFonts w:ascii="Garamond" w:hAnsi="Garamond" w:cstheme="majorBidi"/>
        </w:rPr>
        <w:t xml:space="preserve"> advergames,</w:t>
      </w:r>
      <w:bookmarkStart w:id="46" w:name="_Ref201068658"/>
      <w:r w:rsidRPr="001A045C">
        <w:rPr>
          <w:rStyle w:val="FootnoteReference"/>
          <w:rFonts w:ascii="Garamond" w:hAnsi="Garamond" w:cstheme="majorBidi"/>
        </w:rPr>
        <w:footnoteReference w:id="116"/>
      </w:r>
      <w:bookmarkEnd w:id="46"/>
      <w:r w:rsidRPr="005B32D8">
        <w:rPr>
          <w:rFonts w:ascii="Garamond" w:hAnsi="Garamond" w:cstheme="majorBidi"/>
        </w:rPr>
        <w:t xml:space="preserve"> product placements,</w:t>
      </w:r>
      <w:bookmarkStart w:id="47" w:name="_Ref201068278"/>
      <w:r w:rsidRPr="001A045C">
        <w:rPr>
          <w:rStyle w:val="FootnoteReference"/>
          <w:rFonts w:ascii="Garamond" w:hAnsi="Garamond" w:cstheme="majorBidi"/>
        </w:rPr>
        <w:footnoteReference w:id="117"/>
      </w:r>
      <w:bookmarkEnd w:id="47"/>
      <w:r w:rsidRPr="005B32D8">
        <w:rPr>
          <w:rFonts w:ascii="Garamond" w:hAnsi="Garamond" w:cstheme="majorBidi"/>
        </w:rPr>
        <w:t xml:space="preserve"> sponsored radio programs,</w:t>
      </w:r>
      <w:bookmarkStart w:id="48" w:name="_Ref201068748"/>
      <w:r w:rsidR="004F53A7" w:rsidRPr="001A045C">
        <w:rPr>
          <w:rStyle w:val="FootnoteReference"/>
          <w:rFonts w:ascii="Garamond" w:hAnsi="Garamond" w:cstheme="majorBidi"/>
        </w:rPr>
        <w:footnoteReference w:id="118"/>
      </w:r>
      <w:bookmarkEnd w:id="48"/>
      <w:r w:rsidRPr="005B32D8">
        <w:rPr>
          <w:rFonts w:ascii="Garamond" w:hAnsi="Garamond" w:cstheme="majorBidi"/>
        </w:rPr>
        <w:t xml:space="preserve"> blogs,</w:t>
      </w:r>
      <w:r w:rsidR="004F53A7" w:rsidRPr="001A045C">
        <w:rPr>
          <w:rStyle w:val="FootnoteReference"/>
          <w:rFonts w:ascii="Garamond" w:hAnsi="Garamond" w:cstheme="majorBidi"/>
        </w:rPr>
        <w:footnoteReference w:id="119"/>
      </w:r>
      <w:r w:rsidRPr="005B32D8">
        <w:rPr>
          <w:rFonts w:ascii="Garamond" w:hAnsi="Garamond" w:cstheme="majorBidi"/>
        </w:rPr>
        <w:t xml:space="preserve"> and—more recently—chatbot advertising.</w:t>
      </w:r>
      <w:r w:rsidR="004F53A7">
        <w:rPr>
          <w:rStyle w:val="FootnoteReference"/>
          <w:rFonts w:ascii="Garamond" w:hAnsi="Garamond" w:cstheme="majorBidi"/>
        </w:rPr>
        <w:footnoteReference w:id="120"/>
      </w:r>
      <w:r w:rsidRPr="005B32D8">
        <w:rPr>
          <w:rFonts w:ascii="Garamond" w:hAnsi="Garamond" w:cstheme="majorBidi"/>
        </w:rPr>
        <w:t xml:space="preserve"> Because </w:t>
      </w:r>
      <w:r w:rsidR="00B92C12">
        <w:rPr>
          <w:rFonts w:ascii="Garamond" w:hAnsi="Garamond" w:cstheme="majorBidi"/>
        </w:rPr>
        <w:t>simple textual</w:t>
      </w:r>
      <w:r w:rsidRPr="005B32D8">
        <w:rPr>
          <w:rFonts w:ascii="Garamond" w:hAnsi="Garamond" w:cstheme="majorBidi"/>
        </w:rPr>
        <w:t xml:space="preserve"> disclosures produce only limited improvements, researchers have turned to whether </w:t>
      </w:r>
      <w:r w:rsidRPr="005B32D8">
        <w:rPr>
          <w:rFonts w:ascii="Garamond" w:hAnsi="Garamond" w:cstheme="majorBidi"/>
          <w:i/>
          <w:iCs/>
        </w:rPr>
        <w:t>stronger</w:t>
      </w:r>
      <w:r w:rsidRPr="005B32D8">
        <w:rPr>
          <w:rFonts w:ascii="Garamond" w:hAnsi="Garamond" w:cstheme="majorBidi"/>
        </w:rPr>
        <w:t xml:space="preserve"> disclosures—those that are clearer, more prominent, and more explicit—yield greater recognition.</w:t>
      </w:r>
      <w:bookmarkStart w:id="49" w:name="_Ref214554981"/>
      <w:r w:rsidR="00B92C12" w:rsidRPr="001A045C">
        <w:rPr>
          <w:rStyle w:val="FootnoteReference"/>
          <w:rFonts w:ascii="Garamond" w:hAnsi="Garamond" w:cstheme="majorBidi"/>
          <w:lang w:bidi="he-IL"/>
        </w:rPr>
        <w:footnoteReference w:id="121"/>
      </w:r>
      <w:bookmarkEnd w:id="49"/>
      <w:r w:rsidRPr="005B32D8">
        <w:rPr>
          <w:rFonts w:ascii="Garamond" w:hAnsi="Garamond" w:cstheme="majorBidi"/>
        </w:rPr>
        <w:t xml:space="preserve"> For example, in advertorials, labels such as “Paid Ad” are significantly more effective than opaque abbreviations like “SP” (“Sponsored Partners”).</w:t>
      </w:r>
      <w:r w:rsidR="00B92C12" w:rsidRPr="001A045C">
        <w:rPr>
          <w:rStyle w:val="FootnoteReference"/>
          <w:rFonts w:ascii="Garamond" w:hAnsi="Garamond" w:cstheme="majorBidi"/>
          <w:lang w:bidi="he-IL"/>
        </w:rPr>
        <w:footnoteReference w:id="122"/>
      </w:r>
      <w:r w:rsidRPr="005B32D8">
        <w:rPr>
          <w:rFonts w:ascii="Garamond" w:hAnsi="Garamond" w:cstheme="majorBidi"/>
        </w:rPr>
        <w:t xml:space="preserve"> Similarly, on social media, Instagram’s standardized disclosure format (“Paid partnership with [brand]”)</w:t>
      </w:r>
      <w:r w:rsidR="00083D65" w:rsidRPr="001A045C">
        <w:rPr>
          <w:rStyle w:val="FootnoteReference"/>
          <w:rFonts w:ascii="Garamond" w:hAnsi="Garamond" w:cstheme="majorBidi"/>
          <w:lang w:bidi="he-IL"/>
        </w:rPr>
        <w:footnoteReference w:id="123"/>
      </w:r>
      <w:r w:rsidRPr="005B32D8">
        <w:rPr>
          <w:rFonts w:ascii="Garamond" w:hAnsi="Garamond" w:cstheme="majorBidi"/>
        </w:rPr>
        <w:t xml:space="preserve"> increases recognition,</w:t>
      </w:r>
      <w:bookmarkStart w:id="50" w:name="_Ref201069495"/>
      <w:r w:rsidR="00083D65" w:rsidRPr="001A045C">
        <w:rPr>
          <w:rStyle w:val="FootnoteReference"/>
          <w:rFonts w:ascii="Garamond" w:hAnsi="Garamond" w:cstheme="majorBidi"/>
          <w:lang w:bidi="he-IL"/>
        </w:rPr>
        <w:footnoteReference w:id="124"/>
      </w:r>
      <w:bookmarkEnd w:id="50"/>
      <w:r w:rsidRPr="005B32D8">
        <w:rPr>
          <w:rFonts w:ascii="Garamond" w:hAnsi="Garamond" w:cstheme="majorBidi"/>
        </w:rPr>
        <w:t xml:space="preserve"> particularly when paired with brand tags or </w:t>
      </w:r>
      <w:r w:rsidR="00D315B0">
        <w:rPr>
          <w:rFonts w:ascii="Garamond" w:hAnsi="Garamond" w:cstheme="majorBidi"/>
        </w:rPr>
        <w:t>logos</w:t>
      </w:r>
      <w:r w:rsidRPr="005B32D8">
        <w:rPr>
          <w:rFonts w:ascii="Garamond" w:hAnsi="Garamond" w:cstheme="majorBidi"/>
        </w:rPr>
        <w:t>.</w:t>
      </w:r>
      <w:bookmarkStart w:id="51" w:name="_Ref214554985"/>
      <w:r w:rsidR="00083D65" w:rsidRPr="00281712">
        <w:rPr>
          <w:rStyle w:val="FootnoteReference"/>
          <w:rFonts w:ascii="Garamond" w:hAnsi="Garamond" w:cstheme="majorBidi"/>
          <w:lang w:bidi="he-IL"/>
        </w:rPr>
        <w:footnoteReference w:id="125"/>
      </w:r>
      <w:bookmarkEnd w:id="51"/>
    </w:p>
    <w:p w14:paraId="4C41C6A4" w14:textId="09976F8D" w:rsidR="002F466A" w:rsidRDefault="002F466A" w:rsidP="002F466A">
      <w:pPr>
        <w:ind w:firstLine="360"/>
        <w:jc w:val="both"/>
        <w:rPr>
          <w:rFonts w:ascii="Garamond" w:hAnsi="Garamond" w:cstheme="majorBidi"/>
        </w:rPr>
      </w:pPr>
      <w:r w:rsidRPr="002F466A">
        <w:rPr>
          <w:rFonts w:ascii="Garamond" w:hAnsi="Garamond" w:cstheme="majorBidi"/>
        </w:rPr>
        <w:t>To date, however, no study has examined how the strength of sponsorship disclosure affects recognition in the context of genernative advertising. This gap motivates the Article’s first hypothesis:</w:t>
      </w:r>
    </w:p>
    <w:p w14:paraId="20D97C96" w14:textId="02EB7F9B" w:rsidR="00CC305D" w:rsidRDefault="00CF6B51" w:rsidP="00813435">
      <w:r w:rsidRPr="006F514C">
        <w:rPr>
          <w:rFonts w:ascii="Garamond" w:hAnsi="Garamond" w:cstheme="majorBidi"/>
          <w:b/>
          <w:bCs/>
          <w:lang w:bidi="he-IL"/>
        </w:rPr>
        <w:t>H1</w:t>
      </w:r>
      <w:r w:rsidRPr="006F514C">
        <w:rPr>
          <w:rFonts w:ascii="Garamond" w:hAnsi="Garamond" w:cstheme="majorBidi"/>
          <w:lang w:bidi="he-IL"/>
        </w:rPr>
        <w:t xml:space="preserve"> – </w:t>
      </w:r>
      <w:r w:rsidR="00813435" w:rsidRPr="00813435">
        <w:rPr>
          <w:rFonts w:ascii="Garamond" w:hAnsi="Garamond" w:cstheme="majorBidi"/>
          <w:i/>
          <w:iCs/>
          <w:lang w:bidi="he-IL"/>
        </w:rPr>
        <w:t>Participants’ recognition of advertising will increase, in direct proportion to the strength of the sponsorship disclosure.</w:t>
      </w:r>
    </w:p>
    <w:p w14:paraId="13D3500B" w14:textId="09513BDE" w:rsidR="00801837" w:rsidRPr="001A045C" w:rsidRDefault="00F321AB" w:rsidP="005D6450">
      <w:pPr>
        <w:ind w:firstLine="360"/>
        <w:jc w:val="both"/>
        <w:rPr>
          <w:rFonts w:ascii="Garamond" w:hAnsi="Garamond" w:cstheme="majorBidi"/>
          <w:lang w:bidi="he-IL"/>
        </w:rPr>
      </w:pPr>
      <w:r w:rsidRPr="00F321AB">
        <w:rPr>
          <w:rFonts w:ascii="Garamond" w:hAnsi="Garamond" w:cstheme="majorBidi"/>
          <w:lang w:bidi="he-IL"/>
        </w:rPr>
        <w:t>As detailed in Section II.B, the experiments tested up to six disclosure conditions, ranging from “passive” labels that merely inform users of sponsorship to “active” mechanisms that require users to affirmatively acknowledge that they are viewing sponsored content. These latter mechanisms build on recent literature on nudging and “visceral disclosures,” which incorporate behavioral and cognitive insights into disclosure design.</w:t>
      </w:r>
      <w:bookmarkStart w:id="52" w:name="_Ref214555477"/>
      <w:r>
        <w:rPr>
          <w:rStyle w:val="FootnoteReference"/>
          <w:rFonts w:ascii="Garamond" w:hAnsi="Garamond" w:cstheme="majorBidi"/>
          <w:lang w:bidi="he-IL"/>
        </w:rPr>
        <w:footnoteReference w:id="126"/>
      </w:r>
      <w:bookmarkEnd w:id="52"/>
      <w:r w:rsidRPr="00F321AB">
        <w:rPr>
          <w:rFonts w:ascii="Garamond" w:hAnsi="Garamond" w:cstheme="majorBidi"/>
          <w:lang w:bidi="he-IL"/>
        </w:rPr>
        <w:t xml:space="preserve"> Recent research in advertorial settings suggests that such </w:t>
      </w:r>
      <w:r w:rsidR="005D6450">
        <w:rPr>
          <w:rFonts w:ascii="Garamond" w:hAnsi="Garamond" w:cstheme="majorBidi"/>
          <w:lang w:bidi="he-IL"/>
        </w:rPr>
        <w:t xml:space="preserve">cognitively informed disclosures, </w:t>
      </w:r>
      <w:r w:rsidRPr="00F321AB">
        <w:rPr>
          <w:rFonts w:ascii="Garamond" w:hAnsi="Garamond" w:cstheme="majorBidi"/>
          <w:lang w:bidi="he-IL"/>
        </w:rPr>
        <w:t>are substantially more effective than</w:t>
      </w:r>
      <w:r w:rsidR="00F05DED">
        <w:rPr>
          <w:rFonts w:ascii="Garamond" w:hAnsi="Garamond" w:cstheme="majorBidi"/>
          <w:lang w:bidi="he-IL"/>
        </w:rPr>
        <w:t xml:space="preserve"> </w:t>
      </w:r>
      <w:r w:rsidR="00F87FE3">
        <w:rPr>
          <w:rFonts w:ascii="Garamond" w:hAnsi="Garamond" w:cstheme="majorBidi"/>
          <w:lang w:bidi="he-IL"/>
        </w:rPr>
        <w:t>traditional disclosure formats.</w:t>
      </w:r>
      <w:r w:rsidR="00F87FE3">
        <w:rPr>
          <w:rStyle w:val="FootnoteReference"/>
          <w:rFonts w:ascii="Garamond" w:hAnsi="Garamond" w:cstheme="majorBidi"/>
          <w:lang w:bidi="he-IL"/>
        </w:rPr>
        <w:footnoteReference w:id="127"/>
      </w:r>
    </w:p>
    <w:p w14:paraId="0AF63371" w14:textId="6583C3B1" w:rsidR="00F84159" w:rsidRPr="004820D9" w:rsidRDefault="009A7DDF" w:rsidP="004820D9">
      <w:pPr>
        <w:pStyle w:val="Heading3"/>
      </w:pPr>
      <w:bookmarkStart w:id="53" w:name="_Toc212649928"/>
      <w:bookmarkStart w:id="54" w:name="_Toc202804168"/>
      <w:r w:rsidRPr="004820D9">
        <w:t xml:space="preserve">Effects </w:t>
      </w:r>
      <w:r w:rsidRPr="004820D9">
        <w:rPr>
          <w:rFonts w:hint="eastAsia"/>
        </w:rPr>
        <w:t xml:space="preserve"> of </w:t>
      </w:r>
      <w:r w:rsidR="00F84159" w:rsidRPr="004820D9">
        <w:t>Advertising Recognition</w:t>
      </w:r>
      <w:r w:rsidR="00E27A64" w:rsidRPr="004820D9">
        <w:t xml:space="preserve"> </w:t>
      </w:r>
      <w:r w:rsidR="008B29EA" w:rsidRPr="004820D9">
        <w:t>on Consumers’</w:t>
      </w:r>
      <w:r w:rsidR="00F84159" w:rsidRPr="004820D9">
        <w:t xml:space="preserve"> Attitudes</w:t>
      </w:r>
      <w:bookmarkEnd w:id="53"/>
      <w:r w:rsidR="00F84159" w:rsidRPr="004820D9">
        <w:t xml:space="preserve"> </w:t>
      </w:r>
      <w:bookmarkEnd w:id="54"/>
    </w:p>
    <w:p w14:paraId="1E28681C" w14:textId="0E7B64A0" w:rsidR="00F775F6" w:rsidRDefault="001A6287" w:rsidP="004F04CB">
      <w:pPr>
        <w:ind w:firstLine="360"/>
        <w:jc w:val="both"/>
        <w:rPr>
          <w:rFonts w:ascii="Garamond" w:hAnsi="Garamond" w:cstheme="majorBidi"/>
        </w:rPr>
      </w:pPr>
      <w:r w:rsidRPr="001A6287">
        <w:rPr>
          <w:rFonts w:ascii="Garamond" w:hAnsi="Garamond" w:cstheme="majorBidi"/>
        </w:rPr>
        <w:t>Under the PKM, recognizing persuasive intent heightens consumers’ perceptions of influence, triggering skepticism, resistance, and counterarguing.</w:t>
      </w:r>
      <w:bookmarkStart w:id="55" w:name="_Ref214807812"/>
      <w:r w:rsidR="00FD2633" w:rsidRPr="001A045C">
        <w:rPr>
          <w:rStyle w:val="FootnoteReference"/>
          <w:rFonts w:ascii="Garamond" w:hAnsi="Garamond" w:cstheme="majorBidi"/>
        </w:rPr>
        <w:footnoteReference w:id="128"/>
      </w:r>
      <w:bookmarkEnd w:id="55"/>
      <w:r w:rsidRPr="001A6287">
        <w:rPr>
          <w:rFonts w:ascii="Garamond" w:hAnsi="Garamond" w:cstheme="majorBidi"/>
        </w:rPr>
        <w:t xml:space="preserve"> This dynamic parallels classic </w:t>
      </w:r>
      <w:r w:rsidRPr="00FD2633">
        <w:rPr>
          <w:rFonts w:ascii="Garamond" w:hAnsi="Garamond" w:cstheme="majorBidi"/>
          <w:i/>
          <w:iCs/>
        </w:rPr>
        <w:t>reactance theory</w:t>
      </w:r>
      <w:r w:rsidRPr="001A6287">
        <w:rPr>
          <w:rFonts w:ascii="Garamond" w:hAnsi="Garamond" w:cstheme="majorBidi"/>
        </w:rPr>
        <w:t>,</w:t>
      </w:r>
      <w:bookmarkStart w:id="56" w:name="_Ref201069863"/>
      <w:r w:rsidR="00FD2633" w:rsidRPr="001A045C">
        <w:rPr>
          <w:rStyle w:val="FootnoteReference"/>
          <w:rFonts w:ascii="Garamond" w:hAnsi="Garamond" w:cstheme="majorBidi"/>
        </w:rPr>
        <w:footnoteReference w:id="129"/>
      </w:r>
      <w:bookmarkEnd w:id="56"/>
      <w:r w:rsidRPr="001A6287">
        <w:rPr>
          <w:rFonts w:ascii="Garamond" w:hAnsi="Garamond" w:cstheme="majorBidi"/>
        </w:rPr>
        <w:t xml:space="preserve"> which posits that individuals value their autonomy and resist perceived threats to their freedom of choice.</w:t>
      </w:r>
      <w:r w:rsidR="00FD2633" w:rsidRPr="001A045C">
        <w:rPr>
          <w:rStyle w:val="FootnoteReference"/>
          <w:rFonts w:ascii="Garamond" w:hAnsi="Garamond" w:cstheme="majorBidi"/>
        </w:rPr>
        <w:footnoteReference w:id="130"/>
      </w:r>
      <w:r w:rsidRPr="001A6287">
        <w:rPr>
          <w:rFonts w:ascii="Garamond" w:hAnsi="Garamond" w:cstheme="majorBidi"/>
        </w:rPr>
        <w:t xml:space="preserve"> When advertising is detected, consumers often develop negative attitudes toward the advertising source—whether the brand, the influencer, or the publisher.</w:t>
      </w:r>
      <w:bookmarkStart w:id="57" w:name="_Ref214807815"/>
      <w:r w:rsidR="00751D99" w:rsidRPr="001A045C">
        <w:rPr>
          <w:rStyle w:val="FootnoteReference"/>
          <w:rFonts w:ascii="Garamond" w:hAnsi="Garamond" w:cstheme="majorBidi"/>
        </w:rPr>
        <w:footnoteReference w:id="131"/>
      </w:r>
      <w:bookmarkEnd w:id="57"/>
    </w:p>
    <w:p w14:paraId="7A758184" w14:textId="432819AE" w:rsidR="009047E8" w:rsidRDefault="004F04CB" w:rsidP="00EF6737">
      <w:pPr>
        <w:ind w:firstLine="360"/>
        <w:jc w:val="both"/>
        <w:rPr>
          <w:rFonts w:ascii="Garamond" w:hAnsi="Garamond" w:cstheme="majorBidi"/>
        </w:rPr>
      </w:pPr>
      <w:r w:rsidRPr="004F04CB">
        <w:rPr>
          <w:rFonts w:ascii="Garamond" w:hAnsi="Garamond" w:cstheme="majorBidi"/>
        </w:rPr>
        <w:t>A robust empirical literature supports this relationship. Sponsorship disclosures have been shown to generate adverse attitudinal effects across multiple native-advertising domains,</w:t>
      </w:r>
      <w:r w:rsidRPr="001A045C">
        <w:rPr>
          <w:rStyle w:val="FootnoteReference"/>
          <w:rFonts w:ascii="Garamond" w:hAnsi="Garamond" w:cstheme="majorBidi"/>
        </w:rPr>
        <w:footnoteReference w:id="132"/>
      </w:r>
      <w:r w:rsidRPr="004F04CB">
        <w:rPr>
          <w:rFonts w:ascii="Garamond" w:hAnsi="Garamond" w:cstheme="majorBidi"/>
        </w:rPr>
        <w:t xml:space="preserve"> including product placements,</w:t>
      </w:r>
      <w:bookmarkStart w:id="58" w:name="_Ref214553430"/>
      <w:r w:rsidRPr="001A045C">
        <w:rPr>
          <w:rStyle w:val="FootnoteReference"/>
          <w:rFonts w:ascii="Garamond" w:hAnsi="Garamond" w:cstheme="majorBidi"/>
        </w:rPr>
        <w:footnoteReference w:id="133"/>
      </w:r>
      <w:bookmarkEnd w:id="58"/>
      <w:r w:rsidRPr="004F04CB">
        <w:rPr>
          <w:rFonts w:ascii="Garamond" w:hAnsi="Garamond" w:cstheme="majorBidi"/>
        </w:rPr>
        <w:t xml:space="preserve"> advertorials,</w:t>
      </w:r>
      <w:bookmarkStart w:id="59" w:name="_Ref214554592"/>
      <w:r w:rsidRPr="001A045C">
        <w:rPr>
          <w:rStyle w:val="FootnoteReference"/>
          <w:rFonts w:ascii="Garamond" w:hAnsi="Garamond" w:cstheme="majorBidi"/>
        </w:rPr>
        <w:footnoteReference w:id="134"/>
      </w:r>
      <w:bookmarkEnd w:id="59"/>
      <w:r w:rsidRPr="004F04CB">
        <w:rPr>
          <w:rFonts w:ascii="Garamond" w:hAnsi="Garamond" w:cstheme="majorBidi"/>
        </w:rPr>
        <w:t xml:space="preserve"> influencer marketing,</w:t>
      </w:r>
      <w:bookmarkStart w:id="60" w:name="_Ref214553366"/>
      <w:r>
        <w:rPr>
          <w:rStyle w:val="FootnoteReference"/>
          <w:rFonts w:ascii="Garamond" w:hAnsi="Garamond" w:cstheme="majorBidi"/>
        </w:rPr>
        <w:footnoteReference w:id="135"/>
      </w:r>
      <w:bookmarkEnd w:id="60"/>
      <w:r w:rsidRPr="004F04CB">
        <w:rPr>
          <w:rFonts w:ascii="Garamond" w:hAnsi="Garamond" w:cstheme="majorBidi"/>
        </w:rPr>
        <w:t xml:space="preserve"> and blogs.</w:t>
      </w:r>
      <w:bookmarkStart w:id="61" w:name="_Ref201068905"/>
      <w:r w:rsidRPr="001A045C">
        <w:rPr>
          <w:rStyle w:val="FootnoteReference"/>
          <w:rFonts w:ascii="Garamond" w:hAnsi="Garamond" w:cstheme="majorBidi"/>
        </w:rPr>
        <w:footnoteReference w:id="136"/>
      </w:r>
      <w:bookmarkEnd w:id="61"/>
      <w:r w:rsidRPr="008E5ADB">
        <w:rPr>
          <w:rFonts w:ascii="Garamond" w:hAnsi="Garamond" w:cstheme="majorBidi"/>
        </w:rPr>
        <w:t xml:space="preserve"> </w:t>
      </w:r>
      <w:r w:rsidRPr="004F04CB">
        <w:rPr>
          <w:rFonts w:ascii="Garamond" w:hAnsi="Garamond" w:cstheme="majorBidi"/>
        </w:rPr>
        <w:t xml:space="preserve">Yet recent work suggests a more nuanced picture. In some contexts, disclosures can elicit </w:t>
      </w:r>
      <w:r w:rsidRPr="004F04CB">
        <w:rPr>
          <w:rFonts w:ascii="Garamond" w:hAnsi="Garamond" w:cstheme="majorBidi"/>
          <w:i/>
          <w:iCs/>
        </w:rPr>
        <w:t>positive</w:t>
      </w:r>
      <w:r w:rsidRPr="004F04CB">
        <w:rPr>
          <w:rFonts w:ascii="Garamond" w:hAnsi="Garamond" w:cstheme="majorBidi"/>
        </w:rPr>
        <w:t xml:space="preserve"> attitudinal responses that counteract these negative effects:</w:t>
      </w:r>
      <w:bookmarkStart w:id="62" w:name="_Ref214874441"/>
      <w:r w:rsidR="00EF6737" w:rsidRPr="001A045C">
        <w:rPr>
          <w:rStyle w:val="FootnoteReference"/>
          <w:rFonts w:ascii="Garamond" w:hAnsi="Garamond" w:cstheme="majorBidi"/>
        </w:rPr>
        <w:footnoteReference w:id="137"/>
      </w:r>
      <w:bookmarkEnd w:id="62"/>
      <w:r w:rsidR="00EF6737" w:rsidRPr="008E5ADB">
        <w:rPr>
          <w:rFonts w:ascii="Garamond" w:hAnsi="Garamond" w:cstheme="majorBidi"/>
        </w:rPr>
        <w:t xml:space="preserve"> </w:t>
      </w:r>
      <w:r w:rsidRPr="004F04CB">
        <w:rPr>
          <w:rFonts w:ascii="Garamond" w:hAnsi="Garamond" w:cstheme="majorBidi"/>
        </w:rPr>
        <w:t xml:space="preserve"> transparency can signal honesty, fostering appreciation for brands, publishers, or influencers who openly acknowledge their commercial ties.</w:t>
      </w:r>
      <w:bookmarkStart w:id="63" w:name="_Ref201060041"/>
      <w:r w:rsidR="002A2BDA" w:rsidRPr="001A045C">
        <w:rPr>
          <w:rStyle w:val="FootnoteReference"/>
          <w:rFonts w:ascii="Garamond" w:hAnsi="Garamond" w:cstheme="majorBidi"/>
        </w:rPr>
        <w:footnoteReference w:id="138"/>
      </w:r>
      <w:bookmarkEnd w:id="63"/>
      <w:r w:rsidR="002A2BDA" w:rsidRPr="001A045C">
        <w:rPr>
          <w:rFonts w:ascii="Garamond" w:hAnsi="Garamond" w:cstheme="majorBidi"/>
        </w:rPr>
        <w:t xml:space="preserve"> </w:t>
      </w:r>
    </w:p>
    <w:p w14:paraId="7BA4EE0D" w14:textId="6D3589BA" w:rsidR="00E47A4A" w:rsidRPr="00E47A4A" w:rsidRDefault="00E47A4A" w:rsidP="00E47A4A">
      <w:pPr>
        <w:ind w:firstLine="360"/>
        <w:jc w:val="both"/>
        <w:rPr>
          <w:rFonts w:ascii="Garamond" w:hAnsi="Garamond" w:cstheme="majorBidi"/>
        </w:rPr>
      </w:pPr>
      <w:r w:rsidRPr="00E47A4A">
        <w:rPr>
          <w:rFonts w:ascii="Garamond" w:hAnsi="Garamond" w:cstheme="majorBidi"/>
        </w:rPr>
        <w:t xml:space="preserve">Genernative advertising likely complicates these dynamics further. In addition to PKM predictions, consumers interacting with chatbots may be influenced by domain-specific tendencies such as algorithmic aversion (skepticism toward algorithmic </w:t>
      </w:r>
      <w:proofErr w:type="spellStart"/>
      <w:r w:rsidRPr="00E47A4A">
        <w:rPr>
          <w:rFonts w:ascii="Garamond" w:hAnsi="Garamond" w:cstheme="majorBidi"/>
        </w:rPr>
        <w:t>decisionmaking</w:t>
      </w:r>
      <w:proofErr w:type="spellEnd"/>
      <w:r w:rsidRPr="00E47A4A">
        <w:rPr>
          <w:rFonts w:ascii="Garamond" w:hAnsi="Garamond" w:cstheme="majorBidi"/>
        </w:rPr>
        <w:t>)</w:t>
      </w:r>
      <w:r w:rsidRPr="00DE4E91">
        <w:rPr>
          <w:rStyle w:val="FootnoteReference"/>
          <w:rFonts w:ascii="Garamond" w:hAnsi="Garamond" w:cstheme="majorBidi"/>
          <w:lang w:bidi="he-IL"/>
        </w:rPr>
        <w:footnoteReference w:id="139"/>
      </w:r>
      <w:r w:rsidRPr="00E47A4A">
        <w:rPr>
          <w:rFonts w:ascii="Garamond" w:hAnsi="Garamond" w:cstheme="majorBidi"/>
        </w:rPr>
        <w:t xml:space="preserve"> and, conversely, a propensity to trust automated systems as neutral or unbiased</w:t>
      </w:r>
      <w:r w:rsidRPr="00DE4E91">
        <w:rPr>
          <w:rStyle w:val="FootnoteReference"/>
          <w:rFonts w:ascii="Garamond" w:hAnsi="Garamond" w:cstheme="majorBidi"/>
          <w:lang w:bidi="he-IL"/>
        </w:rPr>
        <w:footnoteReference w:id="140"/>
      </w:r>
      <w:r w:rsidRPr="00E47A4A">
        <w:rPr>
          <w:rFonts w:ascii="Garamond" w:hAnsi="Garamond" w:cstheme="majorBidi"/>
        </w:rPr>
        <w:t>—particularly when those systems exhibit anthropomorphic traits.</w:t>
      </w:r>
      <w:r w:rsidRPr="00DE4E91">
        <w:rPr>
          <w:rStyle w:val="FootnoteReference"/>
          <w:rFonts w:ascii="Garamond" w:hAnsi="Garamond" w:cstheme="majorBidi"/>
          <w:lang w:bidi="he-IL"/>
        </w:rPr>
        <w:footnoteReference w:id="141"/>
      </w:r>
      <w:r w:rsidRPr="00E47A4A">
        <w:rPr>
          <w:rFonts w:ascii="Garamond" w:hAnsi="Garamond" w:cstheme="majorBidi"/>
        </w:rPr>
        <w:t xml:space="preserve"> Early research indicates that disclosures in chatbot contexts skew more negative than positive.</w:t>
      </w:r>
      <w:r w:rsidRPr="00DE4E91">
        <w:rPr>
          <w:rStyle w:val="FootnoteReference"/>
          <w:rFonts w:ascii="Garamond" w:hAnsi="Garamond" w:cstheme="majorBidi"/>
        </w:rPr>
        <w:footnoteReference w:id="142"/>
      </w:r>
      <w:r w:rsidRPr="00E47A4A">
        <w:rPr>
          <w:rFonts w:ascii="Garamond" w:hAnsi="Garamond" w:cstheme="majorBidi"/>
        </w:rPr>
        <w:t xml:space="preserve"> Tang et al. found that, once advertising was disclosed, participants rated chatbots as less trustworthy, more intrusive, and more manipulative.</w:t>
      </w:r>
      <w:r w:rsidRPr="00DE4E91">
        <w:rPr>
          <w:rStyle w:val="FootnoteReference"/>
          <w:rFonts w:ascii="Garamond" w:hAnsi="Garamond" w:cstheme="majorBidi"/>
          <w:lang w:bidi="he-IL"/>
        </w:rPr>
        <w:footnoteReference w:id="143"/>
      </w:r>
      <w:r w:rsidRPr="00E47A4A">
        <w:rPr>
          <w:rFonts w:ascii="Garamond" w:hAnsi="Garamond" w:cstheme="majorBidi"/>
        </w:rPr>
        <w:t xml:space="preserve"> Zelch et al. similarly observed heightened critical responses, though with variability in magnitude.</w:t>
      </w:r>
      <w:r w:rsidRPr="00DE4E91">
        <w:rPr>
          <w:rStyle w:val="FootnoteReference"/>
          <w:rFonts w:ascii="Garamond" w:hAnsi="Garamond" w:cstheme="majorBidi"/>
          <w:lang w:bidi="he-IL"/>
        </w:rPr>
        <w:footnoteReference w:id="144"/>
      </w:r>
      <w:r>
        <w:rPr>
          <w:rFonts w:ascii="Garamond" w:hAnsi="Garamond" w:cstheme="majorBidi"/>
        </w:rPr>
        <w:t xml:space="preserve"> </w:t>
      </w:r>
      <w:r w:rsidRPr="00E47A4A">
        <w:rPr>
          <w:rFonts w:ascii="Garamond" w:hAnsi="Garamond" w:cstheme="majorBidi"/>
        </w:rPr>
        <w:t>These findings motivate the following hypotheses:</w:t>
      </w:r>
    </w:p>
    <w:p w14:paraId="4A4167EE" w14:textId="77777777" w:rsidR="00E47A4A" w:rsidRDefault="00E47A4A" w:rsidP="00EF6737">
      <w:pPr>
        <w:ind w:firstLine="360"/>
        <w:jc w:val="both"/>
        <w:rPr>
          <w:rFonts w:ascii="Garamond" w:hAnsi="Garamond" w:cstheme="majorBidi"/>
        </w:rPr>
      </w:pPr>
    </w:p>
    <w:p w14:paraId="68BA754B" w14:textId="014495BA" w:rsidR="004B66D8" w:rsidRPr="00DE4E91" w:rsidRDefault="004B66D8" w:rsidP="00CA0831">
      <w:pPr>
        <w:jc w:val="both"/>
        <w:rPr>
          <w:rFonts w:ascii="Garamond" w:hAnsi="Garamond" w:cstheme="majorBidi"/>
        </w:rPr>
      </w:pPr>
      <w:r w:rsidRPr="00DE4E91">
        <w:rPr>
          <w:rFonts w:ascii="Garamond" w:hAnsi="Garamond" w:cstheme="majorBidi"/>
          <w:b/>
          <w:bCs/>
        </w:rPr>
        <w:t>H</w:t>
      </w:r>
      <w:r w:rsidR="0083012E" w:rsidRPr="00DE4E91">
        <w:rPr>
          <w:rFonts w:ascii="Garamond" w:hAnsi="Garamond" w:cstheme="majorBidi"/>
          <w:b/>
          <w:bCs/>
        </w:rPr>
        <w:t>2(a)</w:t>
      </w:r>
      <w:r w:rsidRPr="00DE4E91">
        <w:rPr>
          <w:rFonts w:ascii="Garamond" w:hAnsi="Garamond" w:cstheme="majorBidi"/>
        </w:rPr>
        <w:t xml:space="preserve"> – </w:t>
      </w:r>
      <w:r w:rsidR="00CA0831" w:rsidRPr="00DE4E91">
        <w:rPr>
          <w:rFonts w:ascii="Garamond" w:hAnsi="Garamond" w:cstheme="majorBidi"/>
          <w:i/>
          <w:iCs/>
        </w:rPr>
        <w:t>Participants’ suspicion of advertising influence will increase in direct proportion to the strength of the sponsorship disclosure.</w:t>
      </w:r>
    </w:p>
    <w:p w14:paraId="42D990E6" w14:textId="4F8DB0C0" w:rsidR="00646B84" w:rsidRDefault="00646B84" w:rsidP="00CA0831">
      <w:pPr>
        <w:jc w:val="both"/>
        <w:rPr>
          <w:rFonts w:ascii="Garamond" w:hAnsi="Garamond" w:cstheme="majorBidi"/>
          <w:i/>
          <w:iCs/>
        </w:rPr>
      </w:pPr>
      <w:r w:rsidRPr="00DE4E91">
        <w:rPr>
          <w:rFonts w:ascii="Garamond" w:hAnsi="Garamond" w:cstheme="majorBidi"/>
          <w:b/>
          <w:bCs/>
        </w:rPr>
        <w:t>H2(b)</w:t>
      </w:r>
      <w:r w:rsidRPr="00DE4E91">
        <w:rPr>
          <w:rFonts w:ascii="Garamond" w:hAnsi="Garamond" w:cstheme="majorBidi"/>
        </w:rPr>
        <w:t xml:space="preserve"> – </w:t>
      </w:r>
      <w:r w:rsidR="00CA0831" w:rsidRPr="00DE4E91">
        <w:rPr>
          <w:rFonts w:ascii="Garamond" w:hAnsi="Garamond" w:cstheme="majorBidi"/>
          <w:i/>
          <w:iCs/>
        </w:rPr>
        <w:t>Participants’ attitudes toward the chatbot will become more negative in direct proportion to the strength of the sponsorship disclo</w:t>
      </w:r>
      <w:r w:rsidR="00CA0831" w:rsidRPr="00CA0831">
        <w:rPr>
          <w:rFonts w:ascii="Garamond" w:hAnsi="Garamond" w:cstheme="majorBidi"/>
          <w:i/>
          <w:iCs/>
        </w:rPr>
        <w:t>sure.</w:t>
      </w:r>
    </w:p>
    <w:p w14:paraId="7CB87177" w14:textId="0A01C1C1" w:rsidR="002E7AC5" w:rsidRPr="001A045C" w:rsidRDefault="002E7AC5" w:rsidP="00F565D8">
      <w:pPr>
        <w:jc w:val="both"/>
        <w:rPr>
          <w:rFonts w:ascii="Garamond" w:hAnsi="Garamond" w:cstheme="majorBidi"/>
        </w:rPr>
      </w:pPr>
      <w:r w:rsidRPr="001A045C">
        <w:rPr>
          <w:rFonts w:ascii="Garamond" w:hAnsi="Garamond" w:cstheme="majorBidi"/>
          <w:b/>
          <w:bCs/>
        </w:rPr>
        <w:t>H</w:t>
      </w:r>
      <w:r>
        <w:rPr>
          <w:rFonts w:ascii="Garamond" w:hAnsi="Garamond" w:cstheme="majorBidi"/>
          <w:b/>
          <w:bCs/>
        </w:rPr>
        <w:t>2(c)</w:t>
      </w:r>
      <w:r w:rsidRPr="001A045C">
        <w:rPr>
          <w:rFonts w:ascii="Garamond" w:hAnsi="Garamond" w:cstheme="majorBidi"/>
        </w:rPr>
        <w:t xml:space="preserve"> – </w:t>
      </w:r>
      <w:r w:rsidR="00F565D8" w:rsidRPr="00F565D8">
        <w:rPr>
          <w:rFonts w:ascii="Garamond" w:hAnsi="Garamond" w:cstheme="majorBidi"/>
          <w:i/>
          <w:iCs/>
        </w:rPr>
        <w:t>Participants’ attitudes toward the advertised product will become more negative in direct proportion to the strength of the sponsorship disclosure.</w:t>
      </w:r>
    </w:p>
    <w:p w14:paraId="085FFF99" w14:textId="77777777" w:rsidR="00685A0D" w:rsidRPr="001A045C" w:rsidRDefault="00685A0D" w:rsidP="00685A0D">
      <w:pPr>
        <w:rPr>
          <w:rFonts w:ascii="Garamond" w:hAnsi="Garamond" w:cstheme="majorBidi"/>
          <w:rtl/>
          <w:lang w:bidi="he-IL"/>
        </w:rPr>
      </w:pPr>
    </w:p>
    <w:p w14:paraId="67CC32D4" w14:textId="48C928FE" w:rsidR="00572C17" w:rsidRPr="004820D9" w:rsidRDefault="00213421" w:rsidP="004820D9">
      <w:pPr>
        <w:pStyle w:val="Heading3"/>
      </w:pPr>
      <w:bookmarkStart w:id="64" w:name="_Toc202804169"/>
      <w:bookmarkStart w:id="65" w:name="_Toc212649929"/>
      <w:r w:rsidRPr="004820D9">
        <w:t xml:space="preserve">Effects of </w:t>
      </w:r>
      <w:r w:rsidR="0028561F" w:rsidRPr="004820D9">
        <w:t xml:space="preserve">Advertising Recognition </w:t>
      </w:r>
      <w:bookmarkEnd w:id="64"/>
      <w:r w:rsidR="00284467" w:rsidRPr="004820D9">
        <w:t>on Consumer</w:t>
      </w:r>
      <w:r w:rsidR="000A78D6" w:rsidRPr="004820D9">
        <w:t>s’ Behavior</w:t>
      </w:r>
      <w:bookmarkEnd w:id="65"/>
    </w:p>
    <w:p w14:paraId="65341E3E" w14:textId="4CF1F803" w:rsidR="00472F0B" w:rsidRDefault="00127626" w:rsidP="00F565D8">
      <w:pPr>
        <w:ind w:firstLine="360"/>
        <w:jc w:val="both"/>
        <w:rPr>
          <w:rFonts w:ascii="Garamond" w:hAnsi="Garamond" w:cstheme="majorBidi"/>
          <w:lang w:bidi="he-IL"/>
        </w:rPr>
      </w:pPr>
      <w:r w:rsidRPr="00127626">
        <w:rPr>
          <w:rFonts w:ascii="Garamond" w:hAnsi="Garamond" w:cstheme="majorBidi"/>
          <w:lang w:bidi="he-IL"/>
        </w:rPr>
        <w:t>Consumer behavior, like consumer attitudes, is shaped by recognition of advertising intent.</w:t>
      </w:r>
      <w:r w:rsidR="00783AF7">
        <w:rPr>
          <w:rFonts w:ascii="Garamond" w:hAnsi="Garamond" w:cstheme="majorBidi"/>
          <w:lang w:bidi="he-IL"/>
        </w:rPr>
        <w:t xml:space="preserve"> </w:t>
      </w:r>
      <w:r w:rsidR="00F565D8" w:rsidRPr="00F565D8">
        <w:rPr>
          <w:rFonts w:ascii="Garamond" w:hAnsi="Garamond" w:cstheme="majorBidi"/>
          <w:lang w:bidi="he-IL"/>
        </w:rPr>
        <w:t>Prior research consistently shows that disclosures dampen behaviors such as sharing content, seeking further information, or purchasing.</w:t>
      </w:r>
      <w:r w:rsidR="00F565D8">
        <w:rPr>
          <w:rStyle w:val="FootnoteReference"/>
          <w:rFonts w:ascii="Garamond" w:hAnsi="Garamond" w:cstheme="majorBidi"/>
          <w:lang w:bidi="he-IL"/>
        </w:rPr>
        <w:footnoteReference w:id="145"/>
      </w:r>
      <w:r w:rsidR="00F565D8" w:rsidRPr="00F565D8">
        <w:rPr>
          <w:rFonts w:ascii="Garamond" w:hAnsi="Garamond" w:cstheme="majorBidi"/>
          <w:lang w:bidi="he-IL"/>
        </w:rPr>
        <w:t xml:space="preserve"> For </w:t>
      </w:r>
      <w:r w:rsidR="00AD7E62">
        <w:rPr>
          <w:rFonts w:ascii="Garamond" w:hAnsi="Garamond" w:cstheme="majorBidi"/>
          <w:lang w:bidi="he-IL"/>
        </w:rPr>
        <w:t>instance</w:t>
      </w:r>
      <w:r w:rsidR="00F565D8" w:rsidRPr="00F565D8">
        <w:rPr>
          <w:rFonts w:ascii="Garamond" w:hAnsi="Garamond" w:cstheme="majorBidi"/>
          <w:lang w:bidi="he-IL"/>
        </w:rPr>
        <w:t xml:space="preserve">, </w:t>
      </w:r>
      <w:proofErr w:type="spellStart"/>
      <w:r w:rsidR="00F565D8" w:rsidRPr="00F565D8">
        <w:rPr>
          <w:rFonts w:ascii="Garamond" w:hAnsi="Garamond" w:cstheme="majorBidi"/>
          <w:lang w:bidi="he-IL"/>
        </w:rPr>
        <w:t>Wojdynski</w:t>
      </w:r>
      <w:proofErr w:type="spellEnd"/>
      <w:r w:rsidR="00F565D8" w:rsidRPr="00F565D8">
        <w:rPr>
          <w:rFonts w:ascii="Garamond" w:hAnsi="Garamond" w:cstheme="majorBidi"/>
          <w:lang w:bidi="he-IL"/>
        </w:rPr>
        <w:t xml:space="preserve"> and Evans found that advertorial disclosures reduced participants’ intention to share content.</w:t>
      </w:r>
      <w:r w:rsidR="00F565D8">
        <w:rPr>
          <w:rStyle w:val="FootnoteReference"/>
          <w:rFonts w:ascii="Garamond" w:hAnsi="Garamond" w:cstheme="majorBidi"/>
          <w:lang w:bidi="he-IL"/>
        </w:rPr>
        <w:footnoteReference w:id="146"/>
      </w:r>
      <w:r w:rsidR="00F565D8" w:rsidRPr="00F565D8">
        <w:rPr>
          <w:rFonts w:ascii="Garamond" w:hAnsi="Garamond" w:cstheme="majorBidi"/>
          <w:lang w:bidi="he-IL"/>
        </w:rPr>
        <w:t xml:space="preserve"> Edelman and Gilchrist showed that more prominent disclosures decreased engagement with advertising materials.</w:t>
      </w:r>
      <w:r w:rsidR="00F565D8">
        <w:rPr>
          <w:rStyle w:val="FootnoteReference"/>
          <w:rFonts w:ascii="Garamond" w:hAnsi="Garamond" w:cstheme="majorBidi"/>
          <w:lang w:bidi="he-IL"/>
        </w:rPr>
        <w:footnoteReference w:id="147"/>
      </w:r>
      <w:r w:rsidR="00F565D8" w:rsidRPr="00F565D8">
        <w:rPr>
          <w:rFonts w:ascii="Garamond" w:hAnsi="Garamond" w:cstheme="majorBidi"/>
          <w:lang w:bidi="he-IL"/>
        </w:rPr>
        <w:t xml:space="preserve"> In the influencer context, Evans and colleagues reported that disclosures lowered brand attitudes, purchase intentions, and willingness to share posts.</w:t>
      </w:r>
      <w:r w:rsidR="009A5B0B">
        <w:rPr>
          <w:rStyle w:val="FootnoteReference"/>
          <w:rFonts w:ascii="Garamond" w:hAnsi="Garamond" w:cstheme="majorBidi"/>
          <w:lang w:bidi="he-IL"/>
        </w:rPr>
        <w:footnoteReference w:id="148"/>
      </w:r>
    </w:p>
    <w:p w14:paraId="5620B447" w14:textId="30154D2D" w:rsidR="00C947B0" w:rsidRDefault="00D0668E" w:rsidP="00D0668E">
      <w:pPr>
        <w:ind w:firstLine="360"/>
        <w:jc w:val="both"/>
        <w:rPr>
          <w:rFonts w:ascii="Garamond" w:hAnsi="Garamond" w:cstheme="majorBidi"/>
          <w:lang w:bidi="he-IL"/>
        </w:rPr>
      </w:pPr>
      <w:r w:rsidRPr="00D0668E">
        <w:rPr>
          <w:rFonts w:ascii="Garamond" w:hAnsi="Garamond" w:cstheme="majorBidi"/>
          <w:lang w:bidi="he-IL"/>
        </w:rPr>
        <w:t>Behavioral research on genernative advertising remains scarce. Tang et al. are among the few to examine it systematically. By tracking survey responses, click logs, and chat interactions, they found that while disclosures did not induce users to click on links, they prompted new forms of engagement, such as asking chatbots to remove or stop generating ad content (“remove the portion about Nike, please”). Based on these findings, this study proposes the following:</w:t>
      </w:r>
    </w:p>
    <w:p w14:paraId="384D52FF" w14:textId="686C5B04" w:rsidR="00FE0FBA" w:rsidRDefault="00FE0FBA" w:rsidP="008C067D">
      <w:pPr>
        <w:jc w:val="both"/>
        <w:rPr>
          <w:rFonts w:ascii="Garamond" w:hAnsi="Garamond" w:cstheme="majorBidi"/>
          <w:i/>
          <w:iCs/>
        </w:rPr>
      </w:pPr>
      <w:r w:rsidRPr="001A045C">
        <w:rPr>
          <w:rFonts w:ascii="Garamond" w:hAnsi="Garamond" w:cstheme="majorBidi"/>
          <w:b/>
          <w:bCs/>
        </w:rPr>
        <w:t>H</w:t>
      </w:r>
      <w:r>
        <w:rPr>
          <w:rFonts w:ascii="Garamond" w:hAnsi="Garamond" w:cstheme="majorBidi"/>
          <w:b/>
          <w:bCs/>
        </w:rPr>
        <w:t>3(a)</w:t>
      </w:r>
      <w:r w:rsidRPr="001A045C">
        <w:rPr>
          <w:rFonts w:ascii="Garamond" w:hAnsi="Garamond" w:cstheme="majorBidi"/>
        </w:rPr>
        <w:t xml:space="preserve"> – </w:t>
      </w:r>
      <w:r w:rsidR="008C067D" w:rsidRPr="008C067D">
        <w:rPr>
          <w:rFonts w:ascii="Garamond" w:hAnsi="Garamond" w:cstheme="majorBidi"/>
          <w:i/>
          <w:iCs/>
        </w:rPr>
        <w:t>Participants’ advertising-related engagement with the chatbot will increase in direct proportion to the strength of the sponsorship disclosure.</w:t>
      </w:r>
    </w:p>
    <w:p w14:paraId="031B6C80" w14:textId="6A6C5E2E" w:rsidR="00FE0FBA" w:rsidRPr="001A045C" w:rsidRDefault="00FE0FBA" w:rsidP="008C067D">
      <w:pPr>
        <w:jc w:val="both"/>
        <w:rPr>
          <w:rFonts w:ascii="Garamond" w:hAnsi="Garamond" w:cstheme="majorBidi"/>
        </w:rPr>
      </w:pPr>
      <w:r w:rsidRPr="001A045C">
        <w:rPr>
          <w:rFonts w:ascii="Garamond" w:hAnsi="Garamond" w:cstheme="majorBidi"/>
          <w:b/>
          <w:bCs/>
        </w:rPr>
        <w:t>H</w:t>
      </w:r>
      <w:r>
        <w:rPr>
          <w:rFonts w:ascii="Garamond" w:hAnsi="Garamond" w:cstheme="majorBidi"/>
          <w:b/>
          <w:bCs/>
        </w:rPr>
        <w:t>3(b)</w:t>
      </w:r>
      <w:r w:rsidRPr="001A045C">
        <w:rPr>
          <w:rFonts w:ascii="Garamond" w:hAnsi="Garamond" w:cstheme="majorBidi"/>
        </w:rPr>
        <w:t xml:space="preserve"> – </w:t>
      </w:r>
      <w:r w:rsidR="008C067D" w:rsidRPr="008C067D">
        <w:rPr>
          <w:rFonts w:ascii="Garamond" w:hAnsi="Garamond" w:cstheme="majorBidi"/>
          <w:i/>
          <w:iCs/>
        </w:rPr>
        <w:t>Participants’ purchase intentions will decline in direct proportion to the strength of the sponsorship disclosure.</w:t>
      </w:r>
    </w:p>
    <w:p w14:paraId="0912BC8E" w14:textId="6DD6393D" w:rsidR="0061648B" w:rsidRPr="001A045C" w:rsidRDefault="00377CF1" w:rsidP="00ED2EF5">
      <w:pPr>
        <w:pStyle w:val="Heading21"/>
        <w:rPr>
          <w:rFonts w:ascii="Garamond" w:hAnsi="Garamond"/>
        </w:rPr>
      </w:pPr>
      <w:bookmarkStart w:id="66" w:name="_Toc202804170"/>
      <w:bookmarkStart w:id="67" w:name="_Toc212649930"/>
      <w:r w:rsidRPr="001A045C">
        <w:rPr>
          <w:rFonts w:ascii="Garamond" w:hAnsi="Garamond"/>
        </w:rPr>
        <w:t>Methods</w:t>
      </w:r>
      <w:bookmarkEnd w:id="66"/>
      <w:bookmarkEnd w:id="67"/>
    </w:p>
    <w:p w14:paraId="23F28028" w14:textId="6C9F3D37" w:rsidR="00797180" w:rsidRPr="004820D9" w:rsidRDefault="00F74040" w:rsidP="008424B2">
      <w:pPr>
        <w:pStyle w:val="Heading3"/>
        <w:numPr>
          <w:ilvl w:val="0"/>
          <w:numId w:val="11"/>
        </w:numPr>
      </w:pPr>
      <w:bookmarkStart w:id="68" w:name="_Toc212649931"/>
      <w:bookmarkStart w:id="69" w:name="_Toc202804171"/>
      <w:r w:rsidRPr="004820D9">
        <w:t>Participants</w:t>
      </w:r>
      <w:bookmarkEnd w:id="68"/>
    </w:p>
    <w:p w14:paraId="75035829" w14:textId="393B5702" w:rsidR="00422A0B" w:rsidRDefault="00422A0B" w:rsidP="00422A0B">
      <w:pPr>
        <w:ind w:firstLine="360"/>
        <w:jc w:val="both"/>
        <w:rPr>
          <w:rFonts w:ascii="Garamond" w:hAnsi="Garamond" w:cstheme="majorBidi"/>
          <w:rtl/>
          <w:lang w:bidi="he-IL"/>
        </w:rPr>
      </w:pPr>
      <w:r w:rsidRPr="00422A0B">
        <w:rPr>
          <w:rFonts w:ascii="Garamond" w:hAnsi="Garamond" w:cstheme="majorBidi"/>
          <w:lang w:bidi="he-IL"/>
        </w:rPr>
        <w:t>Participants were recruited through Prolific. Study I included 297 adults (18+), of whom 53% identified as male, 46% as female, and 1% as nonbinary. A majority were ages 25–44 (57%), and most identified as Caucasian (74%). Thirty-eight percent held a bachelor’s degree and 25% a graduate or professional degree, with household income broadly distributed. Chi-square tests revealed no significant demographic differences across experimental conditions, confirming group comparability.</w:t>
      </w:r>
    </w:p>
    <w:p w14:paraId="3C83805E" w14:textId="0708E73C" w:rsidR="00C60478" w:rsidRDefault="00C60478" w:rsidP="00C60478">
      <w:pPr>
        <w:ind w:firstLine="360"/>
        <w:jc w:val="both"/>
        <w:rPr>
          <w:rFonts w:ascii="Garamond" w:hAnsi="Garamond" w:cstheme="majorBidi"/>
          <w:rtl/>
          <w:lang w:bidi="he-IL"/>
        </w:rPr>
      </w:pPr>
      <w:r w:rsidRPr="00C60478">
        <w:rPr>
          <w:rFonts w:ascii="Garamond" w:hAnsi="Garamond" w:cstheme="majorBidi"/>
          <w:lang w:bidi="he-IL"/>
        </w:rPr>
        <w:t>Study II followed the same recruitment protocol and included 221 adults (55% female; 70% Caucasian). Most participants were between 25–44 (51%); 64% held an academic degree, and household income was broadly distributed. Chi-square tests again indicated no significant demographic differences across conditions. Both studies received approval from Tel Aviv University’s Institutional Review Board and complied with all ethical standards for human-subjects research, including informed consent, anonymity protections, voluntary participation, and debriefing.</w:t>
      </w:r>
    </w:p>
    <w:p w14:paraId="7D30D1D5" w14:textId="118DD899" w:rsidR="002A02A7" w:rsidRPr="002A02A7" w:rsidRDefault="002A02A7" w:rsidP="00D75A59">
      <w:pPr>
        <w:ind w:firstLine="360"/>
        <w:jc w:val="both"/>
        <w:rPr>
          <w:rFonts w:ascii="Garamond" w:hAnsi="Garamond" w:cstheme="majorBidi"/>
          <w:lang w:bidi="he-IL"/>
        </w:rPr>
      </w:pPr>
    </w:p>
    <w:p w14:paraId="63977DFB" w14:textId="328E9923" w:rsidR="00E9672B" w:rsidRPr="009A0F06" w:rsidRDefault="00E9672B" w:rsidP="009A0F06">
      <w:pPr>
        <w:pStyle w:val="Heading3"/>
      </w:pPr>
      <w:bookmarkStart w:id="70" w:name="_Toc212649932"/>
      <w:r w:rsidRPr="009A0F06">
        <w:t>Study Design</w:t>
      </w:r>
      <w:bookmarkEnd w:id="69"/>
      <w:bookmarkEnd w:id="70"/>
    </w:p>
    <w:p w14:paraId="116D048E" w14:textId="243D5324" w:rsidR="00C60478" w:rsidRDefault="00C60478" w:rsidP="00C60478">
      <w:pPr>
        <w:ind w:firstLine="360"/>
        <w:jc w:val="both"/>
        <w:rPr>
          <w:rFonts w:ascii="Garamond" w:hAnsi="Garamond" w:cstheme="majorBidi"/>
          <w:rtl/>
          <w:lang w:bidi="he-IL"/>
        </w:rPr>
      </w:pPr>
      <w:r w:rsidRPr="00C60478">
        <w:rPr>
          <w:rFonts w:ascii="Garamond" w:hAnsi="Garamond" w:cstheme="majorBidi"/>
          <w:lang w:bidi="he-IL"/>
        </w:rPr>
        <w:t xml:space="preserve">Both studies used a custom-built GenAI-chatbot platform designed to mimic the functionality and user experience of leading conversational systems such as ChatGPT, Claude, and Gemini. The system combined a Python backend with a React frontend, was deployed on Microsoft Azure App Service, and used a managed SQL server for data storage. The chatbot was accessible at </w:t>
      </w:r>
      <w:hyperlink r:id="rId8" w:tgtFrame="_new" w:history="1">
        <w:r w:rsidRPr="00C60478">
          <w:rPr>
            <w:rStyle w:val="Hyperlink"/>
            <w:rFonts w:ascii="Garamond" w:hAnsi="Garamond" w:cstheme="majorBidi"/>
            <w:b/>
            <w:bCs/>
            <w:lang w:bidi="he-IL"/>
          </w:rPr>
          <w:t>www.aichatbotstudy.com</w:t>
        </w:r>
      </w:hyperlink>
      <w:r w:rsidRPr="00C60478">
        <w:rPr>
          <w:rFonts w:ascii="Garamond" w:hAnsi="Garamond" w:cstheme="majorBidi"/>
          <w:lang w:bidi="he-IL"/>
        </w:rPr>
        <w:t>, and its full source code is publicly available on GitHub (</w:t>
      </w:r>
      <w:hyperlink r:id="rId9" w:tgtFrame="_new" w:history="1">
        <w:r w:rsidRPr="00C60478">
          <w:rPr>
            <w:rStyle w:val="Hyperlink"/>
            <w:rFonts w:ascii="Garamond" w:hAnsi="Garamond" w:cstheme="majorBidi"/>
            <w:lang w:bidi="he-IL"/>
          </w:rPr>
          <w:t>https://github.com/guybecker/chatbot-project/</w:t>
        </w:r>
      </w:hyperlink>
      <w:r w:rsidRPr="00C60478">
        <w:rPr>
          <w:rFonts w:ascii="Garamond" w:hAnsi="Garamond" w:cstheme="majorBidi"/>
          <w:lang w:bidi="he-IL"/>
        </w:rPr>
        <w:t>).</w:t>
      </w:r>
    </w:p>
    <w:p w14:paraId="756D980D" w14:textId="75E86288" w:rsidR="005E70E3" w:rsidRPr="005E70E3" w:rsidRDefault="005E70E3" w:rsidP="005E70E3">
      <w:pPr>
        <w:ind w:firstLine="360"/>
        <w:jc w:val="both"/>
        <w:rPr>
          <w:rFonts w:ascii="Garamond" w:hAnsi="Garamond" w:cstheme="majorBidi"/>
          <w:lang w:bidi="he-IL"/>
        </w:rPr>
      </w:pPr>
      <w:r w:rsidRPr="005E70E3">
        <w:rPr>
          <w:rFonts w:ascii="Garamond" w:hAnsi="Garamond" w:cstheme="majorBidi"/>
          <w:lang w:bidi="he-IL"/>
        </w:rPr>
        <w:t xml:space="preserve">The chatbot ran on OpenAI’s GPT-4o model. To simulate realistic use cases, conversations were seeded with system- and user-generated messages adapted from journalistic sources. Study I used real sponsored articles on “enhanced water” from </w:t>
      </w:r>
      <w:r w:rsidRPr="005E70E3">
        <w:rPr>
          <w:rFonts w:ascii="Garamond" w:hAnsi="Garamond" w:cstheme="majorBidi"/>
          <w:i/>
          <w:iCs/>
          <w:lang w:bidi="he-IL"/>
        </w:rPr>
        <w:t>Forbes</w:t>
      </w:r>
      <w:r w:rsidR="00F55327" w:rsidRPr="00F55327">
        <w:rPr>
          <w:rStyle w:val="FootnoteReference"/>
          <w:rFonts w:ascii="Garamond" w:hAnsi="Garamond" w:cstheme="majorBidi"/>
        </w:rPr>
        <w:footnoteReference w:id="149"/>
      </w:r>
      <w:r w:rsidRPr="005E70E3">
        <w:rPr>
          <w:rFonts w:ascii="Garamond" w:hAnsi="Garamond" w:cstheme="majorBidi"/>
          <w:lang w:bidi="he-IL"/>
        </w:rPr>
        <w:t xml:space="preserve"> and </w:t>
      </w:r>
      <w:r w:rsidRPr="005E70E3">
        <w:rPr>
          <w:rFonts w:ascii="Garamond" w:hAnsi="Garamond" w:cstheme="majorBidi"/>
          <w:i/>
          <w:iCs/>
          <w:lang w:bidi="he-IL"/>
        </w:rPr>
        <w:t>USA Today</w:t>
      </w:r>
      <w:r w:rsidRPr="005E70E3">
        <w:rPr>
          <w:rFonts w:ascii="Garamond" w:hAnsi="Garamond" w:cstheme="majorBidi"/>
          <w:lang w:bidi="he-IL"/>
        </w:rPr>
        <w:t>.</w:t>
      </w:r>
      <w:r w:rsidR="00F55327" w:rsidRPr="00F55327">
        <w:rPr>
          <w:rStyle w:val="FootnoteReference"/>
          <w:rFonts w:ascii="Garamond" w:hAnsi="Garamond" w:cstheme="majorBidi"/>
        </w:rPr>
        <w:footnoteReference w:id="150"/>
      </w:r>
      <w:r w:rsidRPr="005E70E3">
        <w:rPr>
          <w:rFonts w:ascii="Garamond" w:hAnsi="Garamond" w:cstheme="majorBidi"/>
          <w:lang w:bidi="he-IL"/>
        </w:rPr>
        <w:t xml:space="preserve"> Study II used fictitious but realistic advertorials for Magic Bullet and </w:t>
      </w:r>
      <w:proofErr w:type="spellStart"/>
      <w:r w:rsidRPr="005E70E3">
        <w:rPr>
          <w:rFonts w:ascii="Garamond" w:hAnsi="Garamond" w:cstheme="majorBidi"/>
          <w:lang w:bidi="he-IL"/>
        </w:rPr>
        <w:t>Nutribullet</w:t>
      </w:r>
      <w:proofErr w:type="spellEnd"/>
      <w:r w:rsidRPr="005E70E3">
        <w:rPr>
          <w:rFonts w:ascii="Garamond" w:hAnsi="Garamond" w:cstheme="majorBidi"/>
          <w:lang w:bidi="he-IL"/>
        </w:rPr>
        <w:t xml:space="preserve"> portable blenders, modeled on </w:t>
      </w:r>
      <w:r w:rsidRPr="005E70E3">
        <w:rPr>
          <w:rFonts w:ascii="Garamond" w:hAnsi="Garamond" w:cstheme="majorBidi"/>
          <w:i/>
          <w:iCs/>
          <w:lang w:bidi="he-IL"/>
        </w:rPr>
        <w:t>Forbes</w:t>
      </w:r>
      <w:r w:rsidRPr="005E70E3">
        <w:rPr>
          <w:rFonts w:ascii="Garamond" w:hAnsi="Garamond" w:cstheme="majorBidi"/>
          <w:lang w:bidi="he-IL"/>
        </w:rPr>
        <w:t xml:space="preserve"> </w:t>
      </w:r>
      <w:proofErr w:type="spellStart"/>
      <w:r w:rsidRPr="005E70E3">
        <w:rPr>
          <w:rFonts w:ascii="Garamond" w:hAnsi="Garamond" w:cstheme="majorBidi"/>
          <w:lang w:bidi="he-IL"/>
        </w:rPr>
        <w:t>BrandVoice</w:t>
      </w:r>
      <w:proofErr w:type="spellEnd"/>
      <w:r w:rsidRPr="005E70E3">
        <w:rPr>
          <w:rFonts w:ascii="Garamond" w:hAnsi="Garamond" w:cstheme="majorBidi"/>
          <w:lang w:bidi="he-IL"/>
        </w:rPr>
        <w:t>,</w:t>
      </w:r>
      <w:r w:rsidR="00F55327" w:rsidRPr="00F55327">
        <w:rPr>
          <w:rStyle w:val="FootnoteReference"/>
          <w:rFonts w:ascii="Garamond" w:hAnsi="Garamond" w:cstheme="majorBidi"/>
        </w:rPr>
        <w:footnoteReference w:id="151"/>
      </w:r>
      <w:r w:rsidRPr="005E70E3">
        <w:rPr>
          <w:rFonts w:ascii="Garamond" w:hAnsi="Garamond" w:cstheme="majorBidi"/>
          <w:lang w:bidi="he-IL"/>
        </w:rPr>
        <w:t xml:space="preserve"> paired with links to the actual Amazon product pages. The two blenders were comparable in price, quality, and reputation.</w:t>
      </w:r>
      <w:r w:rsidR="00F55327">
        <w:rPr>
          <w:rStyle w:val="FootnoteReference"/>
          <w:rFonts w:ascii="Garamond" w:hAnsi="Garamond" w:cstheme="majorBidi"/>
        </w:rPr>
        <w:footnoteReference w:id="152"/>
      </w:r>
      <w:r w:rsidRPr="005E70E3">
        <w:rPr>
          <w:rFonts w:ascii="Garamond" w:hAnsi="Garamond" w:cstheme="majorBidi"/>
          <w:lang w:bidi="he-IL"/>
        </w:rPr>
        <w:t xml:space="preserve"> To encourage engagement, Study II offered participants entry into a raffle for a $50 bonus credit—sufficient to purchase either blender.</w:t>
      </w:r>
      <w:r w:rsidR="00F55327">
        <w:rPr>
          <w:rStyle w:val="FootnoteReference"/>
          <w:rFonts w:ascii="Garamond" w:hAnsi="Garamond" w:cstheme="majorBidi"/>
        </w:rPr>
        <w:footnoteReference w:id="153"/>
      </w:r>
    </w:p>
    <w:p w14:paraId="086F0FBB" w14:textId="77777777" w:rsidR="005E70E3" w:rsidRPr="005E70E3" w:rsidRDefault="005E70E3" w:rsidP="005E70E3">
      <w:pPr>
        <w:ind w:firstLine="360"/>
        <w:jc w:val="both"/>
        <w:rPr>
          <w:rFonts w:ascii="Garamond" w:hAnsi="Garamond" w:cstheme="majorBidi"/>
          <w:lang w:bidi="he-IL"/>
        </w:rPr>
      </w:pPr>
      <w:r w:rsidRPr="005E70E3">
        <w:rPr>
          <w:rFonts w:ascii="Garamond" w:hAnsi="Garamond" w:cstheme="majorBidi"/>
          <w:lang w:bidi="he-IL"/>
        </w:rPr>
        <w:t>Participants first viewed a sample exchange between a simulated user and the chatbot, then proceeded to interact freely within the chat environment.</w:t>
      </w:r>
    </w:p>
    <w:p w14:paraId="1FDF00BD" w14:textId="77777777" w:rsidR="005E70E3" w:rsidRDefault="005E70E3" w:rsidP="00C60478">
      <w:pPr>
        <w:ind w:firstLine="360"/>
        <w:jc w:val="both"/>
        <w:rPr>
          <w:rFonts w:ascii="Garamond" w:hAnsi="Garamond" w:cstheme="majorBidi"/>
          <w:rtl/>
          <w:lang w:bidi="he-IL"/>
        </w:rPr>
      </w:pPr>
    </w:p>
    <w:p w14:paraId="66ACBB62" w14:textId="77777777" w:rsidR="00A45BF8" w:rsidRPr="009A0F06" w:rsidRDefault="00E9672B" w:rsidP="009A0F06">
      <w:pPr>
        <w:pStyle w:val="Heading3"/>
      </w:pPr>
      <w:bookmarkStart w:id="71" w:name="_Toc202804172"/>
      <w:bookmarkStart w:id="72" w:name="_Toc212649933"/>
      <w:r w:rsidRPr="009A0F06">
        <w:t>Stimulus Materials</w:t>
      </w:r>
      <w:bookmarkEnd w:id="71"/>
      <w:bookmarkEnd w:id="72"/>
    </w:p>
    <w:p w14:paraId="4A62DB25" w14:textId="60091C39" w:rsidR="00EB7927" w:rsidRPr="00EB7927" w:rsidRDefault="00F80F87" w:rsidP="00AF693A">
      <w:pPr>
        <w:ind w:firstLine="360"/>
        <w:jc w:val="both"/>
        <w:rPr>
          <w:rFonts w:ascii="Garamond" w:hAnsi="Garamond" w:cstheme="majorBidi"/>
        </w:rPr>
      </w:pPr>
      <w:r>
        <w:rPr>
          <w:rFonts w:ascii="Garamond" w:hAnsi="Garamond" w:cstheme="majorBidi"/>
        </w:rPr>
        <w:br w:type="column"/>
      </w:r>
      <w:r w:rsidR="00AF693A" w:rsidRPr="00AF693A">
        <w:rPr>
          <w:rFonts w:ascii="Garamond" w:hAnsi="Garamond" w:cstheme="majorBidi"/>
        </w:rPr>
        <w:t>Six disclosure conditions were implemented:</w:t>
      </w:r>
      <w:r w:rsidR="001E5249" w:rsidRPr="003C519A">
        <w:rPr>
          <w:rStyle w:val="FootnoteReference"/>
          <w:rFonts w:ascii="Garamond" w:hAnsi="Garamond" w:cstheme="majorBidi"/>
        </w:rPr>
        <w:footnoteReference w:id="154"/>
      </w:r>
    </w:p>
    <w:p w14:paraId="2DFCC2A0" w14:textId="449648E3" w:rsidR="00E5693A" w:rsidRPr="00E5693A" w:rsidRDefault="00E5693A" w:rsidP="00D942AD">
      <w:pPr>
        <w:numPr>
          <w:ilvl w:val="0"/>
          <w:numId w:val="10"/>
        </w:numPr>
        <w:jc w:val="both"/>
        <w:rPr>
          <w:rFonts w:ascii="Garamond" w:hAnsi="Garamond" w:cstheme="majorBidi"/>
        </w:rPr>
      </w:pPr>
      <w:r w:rsidRPr="00E5693A">
        <w:rPr>
          <w:rFonts w:ascii="Garamond" w:hAnsi="Garamond" w:cstheme="majorBidi"/>
          <w:b/>
          <w:bCs/>
        </w:rPr>
        <w:t>No-disclosure (ND)</w:t>
      </w:r>
      <w:r w:rsidRPr="00E5693A">
        <w:rPr>
          <w:rFonts w:ascii="Garamond" w:hAnsi="Garamond" w:cstheme="majorBidi"/>
        </w:rPr>
        <w:t xml:space="preserve">: </w:t>
      </w:r>
      <w:r w:rsidR="00D942AD" w:rsidRPr="00D942AD">
        <w:rPr>
          <w:rFonts w:ascii="Garamond" w:hAnsi="Garamond" w:cstheme="majorBidi"/>
        </w:rPr>
        <w:t>Chatbot responses contained no references or source links.</w:t>
      </w:r>
      <w:r w:rsidRPr="00E5693A">
        <w:rPr>
          <w:rFonts w:ascii="Garamond" w:hAnsi="Garamond" w:cstheme="majorBidi"/>
        </w:rPr>
        <w:t>.</w:t>
      </w:r>
    </w:p>
    <w:p w14:paraId="4FE9A74B" w14:textId="4387B7F9" w:rsidR="004A28D4" w:rsidRPr="00EB7927" w:rsidRDefault="004A28D4" w:rsidP="00022F15">
      <w:pPr>
        <w:numPr>
          <w:ilvl w:val="0"/>
          <w:numId w:val="10"/>
        </w:numPr>
        <w:jc w:val="both"/>
        <w:rPr>
          <w:rFonts w:ascii="Garamond" w:hAnsi="Garamond" w:cstheme="majorBidi"/>
        </w:rPr>
      </w:pPr>
      <w:r w:rsidRPr="004A28D4">
        <w:rPr>
          <w:rFonts w:ascii="Garamond" w:hAnsi="Garamond" w:cstheme="majorBidi"/>
          <w:b/>
          <w:bCs/>
        </w:rPr>
        <w:t xml:space="preserve">No-disclosure with sources (ND + </w:t>
      </w:r>
      <w:proofErr w:type="spellStart"/>
      <w:r w:rsidRPr="004A28D4">
        <w:rPr>
          <w:rFonts w:ascii="Garamond" w:hAnsi="Garamond" w:cstheme="majorBidi"/>
          <w:b/>
          <w:bCs/>
        </w:rPr>
        <w:t>Srcs</w:t>
      </w:r>
      <w:proofErr w:type="spellEnd"/>
      <w:r w:rsidRPr="004A28D4">
        <w:rPr>
          <w:rFonts w:ascii="Garamond" w:hAnsi="Garamond" w:cstheme="majorBidi"/>
          <w:b/>
          <w:bCs/>
        </w:rPr>
        <w:t>)</w:t>
      </w:r>
      <w:r w:rsidRPr="004A28D4">
        <w:rPr>
          <w:rFonts w:ascii="Garamond" w:hAnsi="Garamond" w:cstheme="majorBidi"/>
        </w:rPr>
        <w:t xml:space="preserve">: </w:t>
      </w:r>
      <w:r w:rsidR="00022F15" w:rsidRPr="00022F15">
        <w:rPr>
          <w:rFonts w:ascii="Garamond" w:hAnsi="Garamond" w:cstheme="majorBidi"/>
        </w:rPr>
        <w:t>Responses included hyperlinks to external sources.</w:t>
      </w:r>
    </w:p>
    <w:p w14:paraId="0BBE8A10" w14:textId="5CDDC70F" w:rsidR="00260271" w:rsidRPr="0037187B" w:rsidRDefault="00260271" w:rsidP="00022F15">
      <w:pPr>
        <w:numPr>
          <w:ilvl w:val="0"/>
          <w:numId w:val="10"/>
        </w:numPr>
        <w:jc w:val="both"/>
        <w:rPr>
          <w:rFonts w:ascii="Garamond" w:hAnsi="Garamond" w:cstheme="majorBidi"/>
        </w:rPr>
      </w:pPr>
      <w:r w:rsidRPr="00260271">
        <w:rPr>
          <w:rFonts w:ascii="Garamond" w:hAnsi="Garamond" w:cstheme="majorBidi"/>
          <w:b/>
          <w:bCs/>
        </w:rPr>
        <w:t>Source disclosure (</w:t>
      </w:r>
      <w:proofErr w:type="spellStart"/>
      <w:r w:rsidRPr="00260271">
        <w:rPr>
          <w:rFonts w:ascii="Garamond" w:hAnsi="Garamond" w:cstheme="majorBidi"/>
          <w:b/>
          <w:bCs/>
        </w:rPr>
        <w:t>Discl</w:t>
      </w:r>
      <w:proofErr w:type="spellEnd"/>
      <w:r w:rsidRPr="00260271">
        <w:rPr>
          <w:rFonts w:ascii="Garamond" w:hAnsi="Garamond" w:cstheme="majorBidi"/>
          <w:b/>
          <w:bCs/>
        </w:rPr>
        <w:t xml:space="preserve">: </w:t>
      </w:r>
      <w:proofErr w:type="spellStart"/>
      <w:r w:rsidRPr="00260271">
        <w:rPr>
          <w:rFonts w:ascii="Garamond" w:hAnsi="Garamond" w:cstheme="majorBidi"/>
          <w:b/>
          <w:bCs/>
        </w:rPr>
        <w:t>Srcs</w:t>
      </w:r>
      <w:proofErr w:type="spellEnd"/>
      <w:r w:rsidRPr="00260271">
        <w:rPr>
          <w:rFonts w:ascii="Garamond" w:hAnsi="Garamond" w:cstheme="majorBidi"/>
          <w:b/>
          <w:bCs/>
        </w:rPr>
        <w:t>)</w:t>
      </w:r>
      <w:r w:rsidRPr="00260271">
        <w:rPr>
          <w:rFonts w:ascii="Garamond" w:hAnsi="Garamond" w:cstheme="majorBidi"/>
        </w:rPr>
        <w:t xml:space="preserve">: </w:t>
      </w:r>
      <w:r w:rsidR="00022F15" w:rsidRPr="00022F15">
        <w:rPr>
          <w:rFonts w:ascii="Garamond" w:hAnsi="Garamond" w:cstheme="majorBidi"/>
        </w:rPr>
        <w:t>Responses included hyperlinks, and the linked sources were clearly labeled as sponsored.</w:t>
      </w:r>
    </w:p>
    <w:p w14:paraId="370A1458" w14:textId="632764A2" w:rsidR="00260271" w:rsidRPr="0037187B" w:rsidRDefault="00D5239A" w:rsidP="00FA2322">
      <w:pPr>
        <w:numPr>
          <w:ilvl w:val="0"/>
          <w:numId w:val="10"/>
        </w:numPr>
        <w:jc w:val="both"/>
        <w:rPr>
          <w:rFonts w:ascii="Garamond" w:hAnsi="Garamond" w:cstheme="majorBidi"/>
        </w:rPr>
      </w:pPr>
      <w:r w:rsidRPr="0037187B">
        <w:rPr>
          <w:rFonts w:ascii="Garamond" w:hAnsi="Garamond" w:cstheme="majorBidi"/>
          <w:b/>
          <w:bCs/>
        </w:rPr>
        <w:t>Source + in-chat link disclosure (</w:t>
      </w:r>
      <w:proofErr w:type="spellStart"/>
      <w:r w:rsidRPr="0037187B">
        <w:rPr>
          <w:rFonts w:ascii="Garamond" w:hAnsi="Garamond" w:cstheme="majorBidi"/>
          <w:b/>
          <w:bCs/>
        </w:rPr>
        <w:t>Discl</w:t>
      </w:r>
      <w:proofErr w:type="spellEnd"/>
      <w:r w:rsidRPr="0037187B">
        <w:rPr>
          <w:rFonts w:ascii="Garamond" w:hAnsi="Garamond" w:cstheme="majorBidi"/>
          <w:b/>
          <w:bCs/>
        </w:rPr>
        <w:t xml:space="preserve">: </w:t>
      </w:r>
      <w:proofErr w:type="spellStart"/>
      <w:r w:rsidRPr="0037187B">
        <w:rPr>
          <w:rFonts w:ascii="Garamond" w:hAnsi="Garamond" w:cstheme="majorBidi"/>
          <w:b/>
          <w:bCs/>
        </w:rPr>
        <w:t>Srcs</w:t>
      </w:r>
      <w:proofErr w:type="spellEnd"/>
      <w:r w:rsidRPr="0037187B">
        <w:rPr>
          <w:rFonts w:ascii="Garamond" w:hAnsi="Garamond" w:cstheme="majorBidi"/>
          <w:b/>
          <w:bCs/>
        </w:rPr>
        <w:t xml:space="preserve"> &amp; Chat (link))</w:t>
      </w:r>
      <w:r w:rsidRPr="0037187B">
        <w:rPr>
          <w:rFonts w:ascii="Garamond" w:hAnsi="Garamond" w:cstheme="majorBidi"/>
        </w:rPr>
        <w:t xml:space="preserve">: </w:t>
      </w:r>
      <w:r w:rsidR="00FA2322" w:rsidRPr="00FA2322">
        <w:rPr>
          <w:rFonts w:ascii="Garamond" w:hAnsi="Garamond" w:cstheme="majorBidi"/>
        </w:rPr>
        <w:t>Sponsored labels appeared both beside the hyperlinks and within the linked sources.</w:t>
      </w:r>
    </w:p>
    <w:p w14:paraId="26A005D5" w14:textId="2D311534" w:rsidR="00D5239A" w:rsidRPr="0037187B" w:rsidRDefault="00D5239A" w:rsidP="00F15018">
      <w:pPr>
        <w:numPr>
          <w:ilvl w:val="0"/>
          <w:numId w:val="10"/>
        </w:numPr>
        <w:jc w:val="both"/>
        <w:rPr>
          <w:rFonts w:ascii="Garamond" w:hAnsi="Garamond" w:cstheme="majorBidi"/>
        </w:rPr>
      </w:pPr>
      <w:r w:rsidRPr="0037187B">
        <w:rPr>
          <w:rFonts w:ascii="Garamond" w:hAnsi="Garamond" w:cstheme="majorBidi"/>
          <w:b/>
          <w:bCs/>
        </w:rPr>
        <w:t>Source + in-chat front disclosure (</w:t>
      </w:r>
      <w:proofErr w:type="spellStart"/>
      <w:r w:rsidRPr="0037187B">
        <w:rPr>
          <w:rFonts w:ascii="Garamond" w:hAnsi="Garamond" w:cstheme="majorBidi"/>
          <w:b/>
          <w:bCs/>
        </w:rPr>
        <w:t>Discl</w:t>
      </w:r>
      <w:proofErr w:type="spellEnd"/>
      <w:r w:rsidRPr="0037187B">
        <w:rPr>
          <w:rFonts w:ascii="Garamond" w:hAnsi="Garamond" w:cstheme="majorBidi"/>
          <w:b/>
          <w:bCs/>
        </w:rPr>
        <w:t xml:space="preserve">: </w:t>
      </w:r>
      <w:proofErr w:type="spellStart"/>
      <w:r w:rsidRPr="0037187B">
        <w:rPr>
          <w:rFonts w:ascii="Garamond" w:hAnsi="Garamond" w:cstheme="majorBidi"/>
          <w:b/>
          <w:bCs/>
        </w:rPr>
        <w:t>Srcs</w:t>
      </w:r>
      <w:proofErr w:type="spellEnd"/>
      <w:r w:rsidRPr="0037187B">
        <w:rPr>
          <w:rFonts w:ascii="Garamond" w:hAnsi="Garamond" w:cstheme="majorBidi"/>
          <w:b/>
          <w:bCs/>
        </w:rPr>
        <w:t xml:space="preserve"> &amp; Chat (front))</w:t>
      </w:r>
      <w:r w:rsidRPr="0037187B">
        <w:rPr>
          <w:rFonts w:ascii="Garamond" w:hAnsi="Garamond" w:cstheme="majorBidi"/>
        </w:rPr>
        <w:t xml:space="preserve">: </w:t>
      </w:r>
      <w:r w:rsidR="00F15018" w:rsidRPr="00F15018">
        <w:rPr>
          <w:rFonts w:ascii="Garamond" w:hAnsi="Garamond" w:cstheme="majorBidi"/>
        </w:rPr>
        <w:t>Responses were explicitly labeled upfront as including sponsored material, with links to clearly marked sources.</w:t>
      </w:r>
    </w:p>
    <w:p w14:paraId="37BC6D6E" w14:textId="354C174D" w:rsidR="00EB7927" w:rsidRPr="0037187B" w:rsidRDefault="000C7925" w:rsidP="008F14ED">
      <w:pPr>
        <w:numPr>
          <w:ilvl w:val="0"/>
          <w:numId w:val="10"/>
        </w:numPr>
        <w:jc w:val="both"/>
        <w:rPr>
          <w:rFonts w:ascii="Garamond" w:hAnsi="Garamond" w:cstheme="majorBidi"/>
        </w:rPr>
      </w:pPr>
      <w:r w:rsidRPr="0037187B">
        <w:rPr>
          <w:rFonts w:ascii="Garamond" w:hAnsi="Garamond" w:cstheme="majorBidi"/>
          <w:b/>
          <w:bCs/>
        </w:rPr>
        <w:t>Pre-approval (User-approval)</w:t>
      </w:r>
      <w:r w:rsidRPr="0037187B">
        <w:rPr>
          <w:rFonts w:ascii="Garamond" w:hAnsi="Garamond" w:cstheme="majorBidi"/>
        </w:rPr>
        <w:t xml:space="preserve">: </w:t>
      </w:r>
      <w:r w:rsidR="008F14ED" w:rsidRPr="008F14ED">
        <w:rPr>
          <w:rFonts w:ascii="Garamond" w:hAnsi="Garamond" w:cstheme="majorBidi"/>
        </w:rPr>
        <w:t>Before viewing chatbot responses, participants were required to affirmatively acknowledge that the conversation would include sponsored content.</w:t>
      </w:r>
      <w:r w:rsidR="00EB7927" w:rsidRPr="0037187B">
        <w:rPr>
          <w:rFonts w:ascii="Garamond" w:hAnsi="Garamond" w:cstheme="majorBidi"/>
        </w:rPr>
        <w:br/>
      </w:r>
    </w:p>
    <w:p w14:paraId="391A6204" w14:textId="522DABBD" w:rsidR="008F14ED" w:rsidRDefault="008F14ED" w:rsidP="008F14ED">
      <w:pPr>
        <w:ind w:firstLine="360"/>
        <w:jc w:val="both"/>
        <w:rPr>
          <w:rFonts w:ascii="Garamond" w:hAnsi="Garamond" w:cstheme="majorBidi"/>
        </w:rPr>
      </w:pPr>
      <w:r w:rsidRPr="008F14ED">
        <w:rPr>
          <w:rFonts w:ascii="Garamond" w:hAnsi="Garamond" w:cstheme="majorBidi"/>
        </w:rPr>
        <w:t xml:space="preserve">Disclosures were implemented at both the system-prompt level and within the articles themselves. This design generated two methodological innovations. First, it constitutes the </w:t>
      </w:r>
      <w:r w:rsidRPr="008F14ED">
        <w:rPr>
          <w:rFonts w:ascii="Garamond" w:hAnsi="Garamond" w:cstheme="majorBidi"/>
          <w:b/>
          <w:bCs/>
        </w:rPr>
        <w:t>first experimental study of chatbot advertising</w:t>
      </w:r>
      <w:r w:rsidRPr="008F14ED">
        <w:rPr>
          <w:rFonts w:ascii="Garamond" w:hAnsi="Garamond" w:cstheme="majorBidi"/>
        </w:rPr>
        <w:t xml:space="preserve"> to systematically vary the strength and prominence of sponsorship disclosures; prior work typically used a single disclosure condition.</w:t>
      </w:r>
      <w:r>
        <w:rPr>
          <w:rStyle w:val="FootnoteReference"/>
          <w:rFonts w:ascii="Garamond" w:hAnsi="Garamond" w:cstheme="majorBidi"/>
        </w:rPr>
        <w:footnoteReference w:id="155"/>
      </w:r>
      <w:r w:rsidRPr="005E1A40">
        <w:rPr>
          <w:rFonts w:ascii="Garamond" w:hAnsi="Garamond" w:cstheme="majorBidi"/>
        </w:rPr>
        <w:t xml:space="preserve"> </w:t>
      </w:r>
      <w:r w:rsidRPr="008F14ED">
        <w:rPr>
          <w:rFonts w:ascii="Garamond" w:hAnsi="Garamond" w:cstheme="majorBidi"/>
        </w:rPr>
        <w:t xml:space="preserve"> Second, it is the </w:t>
      </w:r>
      <w:r w:rsidRPr="008F14ED">
        <w:rPr>
          <w:rFonts w:ascii="Garamond" w:hAnsi="Garamond" w:cstheme="majorBidi"/>
          <w:b/>
          <w:bCs/>
        </w:rPr>
        <w:t>first study across any native-advertising domain</w:t>
      </w:r>
      <w:r w:rsidRPr="008F14ED">
        <w:rPr>
          <w:rFonts w:ascii="Garamond" w:hAnsi="Garamond" w:cstheme="majorBidi"/>
        </w:rPr>
        <w:t xml:space="preserve"> to test affirmative pre-approval disclosures requiring users to acknowledge persuasive intent before exposure—a format that recent behavioral-economics literature suggests may operate quite differently than passive disclosure labels.</w:t>
      </w:r>
      <w:r w:rsidR="00495BA5" w:rsidRPr="002F2DCF">
        <w:rPr>
          <w:rStyle w:val="FootnoteReference"/>
          <w:rFonts w:ascii="Garamond" w:hAnsi="Garamond" w:cstheme="majorBidi"/>
        </w:rPr>
        <w:footnoteReference w:id="156"/>
      </w:r>
      <w:r w:rsidR="00495BA5" w:rsidRPr="002F2DCF">
        <w:rPr>
          <w:rFonts w:ascii="Garamond" w:hAnsi="Garamond" w:cstheme="majorBidi"/>
        </w:rPr>
        <w:t xml:space="preserve"> </w:t>
      </w:r>
    </w:p>
    <w:p w14:paraId="00D97934" w14:textId="175E64F9" w:rsidR="009F6E03" w:rsidRPr="004820D9" w:rsidRDefault="00531711" w:rsidP="004820D9">
      <w:pPr>
        <w:pStyle w:val="Heading3"/>
      </w:pPr>
      <w:bookmarkStart w:id="73" w:name="_Toc212649934"/>
      <w:bookmarkStart w:id="74" w:name="_Toc202804173"/>
      <w:r w:rsidRPr="004820D9">
        <w:t>Data Collection</w:t>
      </w:r>
      <w:r w:rsidR="0051539F" w:rsidRPr="004820D9">
        <w:t xml:space="preserve">, </w:t>
      </w:r>
      <w:r w:rsidRPr="004820D9">
        <w:t>Behavioral Tracking</w:t>
      </w:r>
      <w:r w:rsidR="0051539F" w:rsidRPr="004820D9">
        <w:t>, and Survey</w:t>
      </w:r>
      <w:bookmarkEnd w:id="73"/>
      <w:r w:rsidR="0051539F" w:rsidRPr="004820D9">
        <w:t xml:space="preserve"> </w:t>
      </w:r>
    </w:p>
    <w:p w14:paraId="5B4530D3" w14:textId="77777777" w:rsidR="0036247B" w:rsidRDefault="0036247B" w:rsidP="0036247B">
      <w:pPr>
        <w:ind w:firstLine="360"/>
        <w:jc w:val="both"/>
        <w:rPr>
          <w:rFonts w:ascii="Garamond" w:hAnsi="Garamond" w:cstheme="majorBidi"/>
        </w:rPr>
      </w:pPr>
      <w:r w:rsidRPr="0036247B">
        <w:rPr>
          <w:rFonts w:ascii="Garamond" w:hAnsi="Garamond" w:cstheme="majorBidi"/>
        </w:rPr>
        <w:t>Multiple layers of data collection captured user interaction and engagement. All conversational exchanges were stored on the SQL server. Behavioral data—including link clicks, pop-up views, and article engagement—were automatically logged. Hotjar analytics were integrated to collect granular behavioral cues such as mouse hovers, scrolling depth, and engagement hotspots.</w:t>
      </w:r>
    </w:p>
    <w:p w14:paraId="7151A916" w14:textId="01FBE05C" w:rsidR="00627E43" w:rsidRDefault="00627E43" w:rsidP="00627E43">
      <w:pPr>
        <w:ind w:firstLine="360"/>
        <w:jc w:val="both"/>
        <w:rPr>
          <w:rFonts w:ascii="Garamond" w:hAnsi="Garamond" w:cstheme="majorBidi"/>
        </w:rPr>
      </w:pPr>
      <w:r w:rsidRPr="00627E43">
        <w:rPr>
          <w:rFonts w:ascii="Garamond" w:hAnsi="Garamond" w:cstheme="majorBidi"/>
        </w:rPr>
        <w:t>After interacting with the chatbot, participants completed a Qualtrics post-exposure survey assessing trust, persuasion, satisfaction, and advertising recognition. Behavioral and survey data were matched at the individual level using Prolific identifiers, allowing integration of observed behavior with self-reported outcomes. The full survey instrument appears in Appendix II.</w:t>
      </w:r>
    </w:p>
    <w:p w14:paraId="3F333FCC" w14:textId="38795263" w:rsidR="00780F9E" w:rsidRPr="001A045C" w:rsidRDefault="00E9672B" w:rsidP="002F2DCF">
      <w:pPr>
        <w:pStyle w:val="Heading3"/>
      </w:pPr>
      <w:bookmarkStart w:id="75" w:name="_Toc212649935"/>
      <w:r w:rsidRPr="001A045C">
        <w:t>Procedure</w:t>
      </w:r>
      <w:bookmarkEnd w:id="74"/>
      <w:bookmarkEnd w:id="75"/>
    </w:p>
    <w:p w14:paraId="53F54583" w14:textId="5366E4CF" w:rsidR="00F36CB2" w:rsidRDefault="00F96FCD" w:rsidP="00F96FCD">
      <w:pPr>
        <w:ind w:firstLine="360"/>
        <w:jc w:val="both"/>
        <w:rPr>
          <w:rFonts w:ascii="Garamond" w:hAnsi="Garamond" w:cstheme="majorBidi"/>
        </w:rPr>
      </w:pPr>
      <w:r w:rsidRPr="00F96FCD">
        <w:rPr>
          <w:rFonts w:ascii="Garamond" w:hAnsi="Garamond" w:cstheme="majorBidi"/>
        </w:rPr>
        <w:t xml:space="preserve">Participants first viewed an instruction page, provided informed consent, and were told they would interact with an AI assistant </w:t>
      </w:r>
      <w:proofErr w:type="gramStart"/>
      <w:r w:rsidRPr="00F96FCD">
        <w:rPr>
          <w:rFonts w:ascii="Garamond" w:hAnsi="Garamond" w:cstheme="majorBidi"/>
        </w:rPr>
        <w:t>similar to</w:t>
      </w:r>
      <w:proofErr w:type="gramEnd"/>
      <w:r w:rsidRPr="00F96FCD">
        <w:rPr>
          <w:rFonts w:ascii="Garamond" w:hAnsi="Garamond" w:cstheme="majorBidi"/>
        </w:rPr>
        <w:t xml:space="preserve"> ChatGPT, Claude, or AI21 Chat. They were instructed to read the conversation carefully, interact as they would in a real application, and then proceed to the post-exposure survey via the “Take me to survey” button. After completing the survey, participants received a debriefing statement describing the study’s goals, procedures, and privacy protections, along with researcher contact information</w:t>
      </w:r>
      <w:r w:rsidR="00F36CB2" w:rsidRPr="00F36CB2">
        <w:rPr>
          <w:rFonts w:ascii="Garamond" w:hAnsi="Garamond" w:cstheme="majorBidi"/>
        </w:rPr>
        <w:t>.</w:t>
      </w:r>
      <w:r w:rsidR="00F36CB2">
        <w:rPr>
          <w:rStyle w:val="FootnoteReference"/>
          <w:rFonts w:ascii="Garamond" w:hAnsi="Garamond" w:cstheme="majorBidi"/>
        </w:rPr>
        <w:footnoteReference w:id="157"/>
      </w:r>
    </w:p>
    <w:p w14:paraId="44C77C74" w14:textId="7525A155" w:rsidR="00711D18" w:rsidRDefault="00711D18" w:rsidP="00711D18">
      <w:pPr>
        <w:ind w:firstLine="360"/>
        <w:jc w:val="both"/>
        <w:rPr>
          <w:rFonts w:ascii="Garamond" w:hAnsi="Garamond" w:cstheme="majorBidi"/>
        </w:rPr>
      </w:pPr>
      <w:r w:rsidRPr="00711D18">
        <w:rPr>
          <w:rFonts w:ascii="Garamond" w:hAnsi="Garamond" w:cstheme="majorBidi"/>
        </w:rPr>
        <w:t>The two studies differed in context. Study I focused on recognition and engagement with sponsored content in a general conversational setting. Participants viewed a conversation about “enhanced water,” in which the chatbot (in relevant conditions) drew from real sponsored articles.</w:t>
      </w:r>
      <w:r>
        <w:rPr>
          <w:rStyle w:val="FootnoteReference"/>
          <w:rFonts w:ascii="Garamond" w:hAnsi="Garamond" w:cstheme="majorBidi"/>
        </w:rPr>
        <w:footnoteReference w:id="158"/>
      </w:r>
      <w:r w:rsidRPr="00711D18">
        <w:rPr>
          <w:rFonts w:ascii="Garamond" w:hAnsi="Garamond" w:cstheme="majorBidi"/>
        </w:rPr>
        <w:t xml:space="preserve"> Outcomes included advertising recognition, behavioral engagement, and perceptions of the chatbot.</w:t>
      </w:r>
    </w:p>
    <w:p w14:paraId="3D167A1D" w14:textId="77777777" w:rsidR="00711D18" w:rsidRDefault="00711D18" w:rsidP="00711D18">
      <w:pPr>
        <w:ind w:firstLine="360"/>
        <w:jc w:val="both"/>
        <w:rPr>
          <w:rFonts w:ascii="Garamond" w:hAnsi="Garamond" w:cstheme="majorBidi"/>
        </w:rPr>
      </w:pPr>
    </w:p>
    <w:p w14:paraId="23E3D36D" w14:textId="57E280A7" w:rsidR="008E5DF6" w:rsidRDefault="008E5DF6" w:rsidP="008E5DF6">
      <w:pPr>
        <w:ind w:firstLine="360"/>
        <w:jc w:val="both"/>
        <w:rPr>
          <w:rFonts w:ascii="Garamond" w:hAnsi="Garamond" w:cstheme="majorBidi"/>
        </w:rPr>
      </w:pPr>
      <w:r w:rsidRPr="008E5DF6">
        <w:rPr>
          <w:rFonts w:ascii="Garamond" w:hAnsi="Garamond" w:cstheme="majorBidi"/>
        </w:rPr>
        <w:t>Study II explored sponsored content in a commercial recommendation setting modeled on features such as “Shopping GPT.”</w:t>
      </w:r>
      <w:r w:rsidR="00301165">
        <w:rPr>
          <w:rStyle w:val="FootnoteReference"/>
          <w:rFonts w:ascii="Garamond" w:hAnsi="Garamond" w:cstheme="majorBidi"/>
        </w:rPr>
        <w:footnoteReference w:id="159"/>
      </w:r>
      <w:r w:rsidRPr="008E5DF6">
        <w:rPr>
          <w:rFonts w:ascii="Garamond" w:hAnsi="Garamond" w:cstheme="majorBidi"/>
        </w:rPr>
        <w:t xml:space="preserve"> Participants encountered chatbot recommendations for two portable blenders (Magic Bullet and </w:t>
      </w:r>
      <w:proofErr w:type="spellStart"/>
      <w:r w:rsidRPr="008E5DF6">
        <w:rPr>
          <w:rFonts w:ascii="Garamond" w:hAnsi="Garamond" w:cstheme="majorBidi"/>
        </w:rPr>
        <w:t>Nutribullet</w:t>
      </w:r>
      <w:proofErr w:type="spellEnd"/>
      <w:r w:rsidRPr="008E5DF6">
        <w:rPr>
          <w:rFonts w:ascii="Garamond" w:hAnsi="Garamond" w:cstheme="majorBidi"/>
        </w:rPr>
        <w:t>), each accompanied by descriptive information, a fictitious advertorial, and a link to its Amazon page. Participants were instructed to explore the conversation, review the information, select a blender, and then complete the post-exposure survey. Full procedure materials appear in Appendix III.</w:t>
      </w:r>
    </w:p>
    <w:p w14:paraId="280E3913" w14:textId="50CC8926" w:rsidR="00683421" w:rsidRDefault="00683421" w:rsidP="00301165">
      <w:pPr>
        <w:jc w:val="both"/>
        <w:rPr>
          <w:rFonts w:ascii="Garamond" w:hAnsi="Garamond" w:cstheme="majorBidi"/>
        </w:rPr>
      </w:pPr>
    </w:p>
    <w:p w14:paraId="3962E369" w14:textId="21449C97" w:rsidR="00240206" w:rsidRPr="001A045C" w:rsidRDefault="00240206" w:rsidP="00240206">
      <w:pPr>
        <w:pStyle w:val="Heading3"/>
      </w:pPr>
      <w:bookmarkStart w:id="76" w:name="_Toc212649936"/>
      <w:r>
        <w:t>Limitations</w:t>
      </w:r>
      <w:bookmarkEnd w:id="76"/>
    </w:p>
    <w:p w14:paraId="3A3E54D0" w14:textId="7084A4DA" w:rsidR="009D367B" w:rsidRDefault="00C6086A" w:rsidP="009D367B">
      <w:pPr>
        <w:ind w:firstLine="360"/>
        <w:jc w:val="both"/>
        <w:rPr>
          <w:rFonts w:ascii="Garamond" w:hAnsi="Garamond" w:cstheme="majorBidi"/>
        </w:rPr>
      </w:pPr>
      <w:r>
        <w:rPr>
          <w:rFonts w:ascii="Garamond" w:hAnsi="Garamond" w:cstheme="majorBidi"/>
        </w:rPr>
        <w:br w:type="column"/>
      </w:r>
      <w:r w:rsidR="009D367B" w:rsidRPr="009D367B">
        <w:rPr>
          <w:rFonts w:ascii="Garamond" w:hAnsi="Garamond" w:cstheme="majorBidi"/>
        </w:rPr>
        <w:t>Both studies face limitations that affect the generalizability of their findings. As with all experimental advertising research, the design reflects trade-offs along the continuum between internal and external validity.</w:t>
      </w:r>
      <w:r w:rsidR="00E2299D">
        <w:rPr>
          <w:rStyle w:val="FootnoteReference"/>
          <w:rFonts w:ascii="Garamond" w:hAnsi="Garamond" w:cstheme="majorBidi"/>
        </w:rPr>
        <w:footnoteReference w:id="160"/>
      </w:r>
      <w:r w:rsidR="009D367B" w:rsidRPr="009D367B">
        <w:rPr>
          <w:rFonts w:ascii="Garamond" w:hAnsi="Garamond" w:cstheme="majorBidi"/>
        </w:rPr>
        <w:t xml:space="preserve"> Experiments may rely on purely fictitious materials to maximize control or fully authentic content to maximize ecological validity. To balance these demands, the present studies adopted a mixed-method approach: Study I used real sponsored articles with authentic disclosure templates, while Study II used fictitious advertorials embedded within realistic website layouts, recognizable publisher formats, and real-world pricing. This approach aimed to capture the perceptual realism of genuine advertising encounters while preserving sufficient control to isolate the causal impact of disclosure strength.</w:t>
      </w:r>
    </w:p>
    <w:p w14:paraId="6218B7B6" w14:textId="77777777" w:rsidR="00270636" w:rsidRPr="00270636" w:rsidRDefault="00270636" w:rsidP="00270636">
      <w:pPr>
        <w:ind w:firstLine="360"/>
        <w:jc w:val="both"/>
        <w:rPr>
          <w:rFonts w:ascii="Garamond" w:hAnsi="Garamond" w:cstheme="majorBidi"/>
        </w:rPr>
      </w:pPr>
      <w:r w:rsidRPr="00270636">
        <w:rPr>
          <w:rFonts w:ascii="Garamond" w:hAnsi="Garamond" w:cstheme="majorBidi"/>
        </w:rPr>
        <w:t>The hybrid use of real and fictitious materials necessarily entails trade-offs. Fictitious articles enhance control but may reduce external validity; real-world products and pricing improve realism but introduce potential confounds such as prior brand attitudes. The studies also focused on two specific domains—“enhanced water” in Study I and portable blenders in Study II—and different product categories or higher-stakes contexts may yield different results.</w:t>
      </w:r>
    </w:p>
    <w:p w14:paraId="7E34B78F" w14:textId="531072E7" w:rsidR="00E9672B" w:rsidRPr="001A045C" w:rsidRDefault="00270636" w:rsidP="00270636">
      <w:pPr>
        <w:ind w:firstLine="360"/>
        <w:jc w:val="both"/>
        <w:rPr>
          <w:rFonts w:ascii="Garamond" w:hAnsi="Garamond" w:cstheme="majorBidi"/>
        </w:rPr>
      </w:pPr>
      <w:r w:rsidRPr="00270636">
        <w:rPr>
          <w:rFonts w:ascii="Garamond" w:hAnsi="Garamond" w:cstheme="majorBidi"/>
        </w:rPr>
        <w:t>The custom-built GenAI-chatbot platform further shapes generalizability. Although it closely replicates the functionality and user experience of commercial conversational agents, it remains an experimental environment, and user expectations may differ in real-world settings. Nonetheless, its ability to combine ecological realism with precise manipulation of experimental variables strengthens confidence in the causal inferences drawn from the results.</w:t>
      </w:r>
    </w:p>
    <w:p w14:paraId="7EA64CEF" w14:textId="66301C8D" w:rsidR="001B55B5" w:rsidRPr="001B55B5" w:rsidRDefault="007C43EE" w:rsidP="001B55B5">
      <w:pPr>
        <w:pStyle w:val="Heading21"/>
        <w:rPr>
          <w:rFonts w:ascii="Garamond" w:hAnsi="Garamond"/>
        </w:rPr>
      </w:pPr>
      <w:bookmarkStart w:id="77" w:name="_Toc202804174"/>
      <w:bookmarkStart w:id="78" w:name="_Toc212649937"/>
      <w:r w:rsidRPr="001A045C">
        <w:rPr>
          <w:rFonts w:ascii="Garamond" w:hAnsi="Garamond"/>
        </w:rPr>
        <w:t>Results</w:t>
      </w:r>
      <w:bookmarkEnd w:id="77"/>
      <w:bookmarkEnd w:id="78"/>
    </w:p>
    <w:p w14:paraId="20FE7F2A" w14:textId="2B2BB4B5" w:rsidR="002239A2" w:rsidRDefault="00180ED1" w:rsidP="002239A2">
      <w:pPr>
        <w:pStyle w:val="Heading3"/>
        <w:numPr>
          <w:ilvl w:val="0"/>
          <w:numId w:val="20"/>
        </w:numPr>
      </w:pPr>
      <w:bookmarkStart w:id="79" w:name="_Toc212649938"/>
      <w:r>
        <w:t>Study I</w:t>
      </w:r>
      <w:bookmarkEnd w:id="79"/>
      <w:r>
        <w:t xml:space="preserve"> </w:t>
      </w:r>
    </w:p>
    <w:p w14:paraId="47B64FE2" w14:textId="77777777" w:rsidR="002239A2" w:rsidRDefault="002239A2" w:rsidP="002239A2">
      <w:pPr>
        <w:ind w:firstLine="360"/>
        <w:jc w:val="both"/>
        <w:rPr>
          <w:rFonts w:ascii="Garamond" w:hAnsi="Garamond" w:cstheme="majorBidi"/>
        </w:rPr>
      </w:pPr>
      <w:r w:rsidRPr="00180ED1">
        <w:rPr>
          <w:rFonts w:ascii="Garamond" w:hAnsi="Garamond" w:cstheme="majorBidi"/>
        </w:rPr>
        <w:t>Effects of disclosure condition on continuous outcomes—ad recognition, perceived sponsor influence, attitudes toward the chat (helpfulness, trust, future reliance), and behavioral measures (number of prompts, task duration)—were tested using one-way analyses of variance (ANOVA), with Dunnett-adjusted planned comparisons versus the non-disclosure control condition. Categorical outcomes were analyzed with chi-square tests of independence and supplemented by logistic model-based contrasts (Dunnett versus control; Bonferroni for all pairs) on estimated probabilities. Analyses were performed in RStudio with R v4.4.2.</w:t>
      </w:r>
      <w:r>
        <w:rPr>
          <w:rStyle w:val="FootnoteReference"/>
          <w:rFonts w:ascii="Garamond" w:hAnsi="Garamond" w:cstheme="majorBidi"/>
        </w:rPr>
        <w:footnoteReference w:id="161"/>
      </w:r>
      <w:r w:rsidRPr="00180ED1">
        <w:rPr>
          <w:rFonts w:ascii="Garamond" w:hAnsi="Garamond" w:cstheme="majorBidi"/>
        </w:rPr>
        <w:t xml:space="preserve"> Data structuring and visualization were conducted using the </w:t>
      </w:r>
      <w:proofErr w:type="spellStart"/>
      <w:r w:rsidRPr="00180ED1">
        <w:rPr>
          <w:rFonts w:ascii="Garamond" w:hAnsi="Garamond" w:cstheme="majorBidi"/>
          <w:i/>
          <w:iCs/>
        </w:rPr>
        <w:t>tidyverse</w:t>
      </w:r>
      <w:proofErr w:type="spellEnd"/>
      <w:r w:rsidRPr="00180ED1">
        <w:rPr>
          <w:rFonts w:ascii="Garamond" w:hAnsi="Garamond" w:cstheme="majorBidi"/>
        </w:rPr>
        <w:t xml:space="preserve"> package</w:t>
      </w:r>
      <w:r>
        <w:rPr>
          <w:rStyle w:val="FootnoteReference"/>
          <w:rFonts w:ascii="Garamond" w:hAnsi="Garamond" w:cstheme="majorBidi"/>
        </w:rPr>
        <w:footnoteReference w:id="162"/>
      </w:r>
      <w:r w:rsidRPr="00180ED1">
        <w:rPr>
          <w:rFonts w:ascii="Garamond" w:hAnsi="Garamond" w:cstheme="majorBidi"/>
        </w:rPr>
        <w:t xml:space="preserve"> and post hoc analyses via </w:t>
      </w:r>
      <w:proofErr w:type="spellStart"/>
      <w:r w:rsidRPr="00180ED1">
        <w:rPr>
          <w:rFonts w:ascii="Garamond" w:hAnsi="Garamond" w:cstheme="majorBidi"/>
          <w:i/>
          <w:iCs/>
        </w:rPr>
        <w:t>emmeans</w:t>
      </w:r>
      <w:proofErr w:type="spellEnd"/>
      <w:r w:rsidRPr="00180ED1">
        <w:rPr>
          <w:rFonts w:ascii="Garamond" w:hAnsi="Garamond" w:cstheme="majorBidi"/>
        </w:rPr>
        <w:t>.</w:t>
      </w:r>
      <w:r>
        <w:rPr>
          <w:rStyle w:val="FootnoteReference"/>
          <w:rFonts w:ascii="Garamond" w:hAnsi="Garamond" w:cstheme="majorBidi"/>
        </w:rPr>
        <w:footnoteReference w:id="163"/>
      </w:r>
      <w:r w:rsidRPr="00180ED1">
        <w:rPr>
          <w:rFonts w:ascii="Garamond" w:hAnsi="Garamond" w:cstheme="majorBidi"/>
        </w:rPr>
        <w:t xml:space="preserve"> All tests were two-tailed with significance assumed at </w:t>
      </w:r>
      <w:r w:rsidRPr="00180ED1">
        <w:rPr>
          <w:rFonts w:ascii="Garamond" w:hAnsi="Garamond" w:cstheme="majorBidi"/>
          <w:i/>
          <w:iCs/>
        </w:rPr>
        <w:t xml:space="preserve">p </w:t>
      </w:r>
      <w:r w:rsidRPr="00180ED1">
        <w:rPr>
          <w:rFonts w:ascii="Garamond" w:hAnsi="Garamond" w:cstheme="majorBidi"/>
        </w:rPr>
        <w:t>&lt; .05.</w:t>
      </w:r>
    </w:p>
    <w:p w14:paraId="47C2C90B" w14:textId="7D97D4FD" w:rsidR="00CC79D5" w:rsidRDefault="003A0290" w:rsidP="00CC79D5">
      <w:pPr>
        <w:pStyle w:val="Style2"/>
      </w:pPr>
      <w:r w:rsidRPr="003A0290">
        <w:t>Advertising</w:t>
      </w:r>
      <w:r w:rsidR="000A6DDB" w:rsidRPr="003A0290">
        <w:t xml:space="preserve"> Recognition</w:t>
      </w:r>
    </w:p>
    <w:p w14:paraId="6E847519" w14:textId="622F16F6" w:rsidR="000A6DDB" w:rsidRDefault="003A0290" w:rsidP="003A0290">
      <w:pPr>
        <w:ind w:firstLine="360"/>
        <w:jc w:val="both"/>
        <w:rPr>
          <w:rFonts w:ascii="Garamond" w:hAnsi="Garamond" w:cstheme="majorBidi"/>
        </w:rPr>
      </w:pPr>
      <w:r>
        <w:rPr>
          <w:rFonts w:ascii="Garamond" w:hAnsi="Garamond" w:cstheme="majorBidi"/>
        </w:rPr>
        <w:t>To measure H1, a</w:t>
      </w:r>
      <w:r w:rsidR="000A6DDB" w:rsidRPr="00180ED1">
        <w:rPr>
          <w:rFonts w:ascii="Garamond" w:hAnsi="Garamond" w:cstheme="majorBidi"/>
        </w:rPr>
        <w:t xml:space="preserve"> one-way ANOVA revealed a significant effect of disclosure condition on ad recognition (</w:t>
      </w:r>
      <w:r w:rsidR="000A6DDB" w:rsidRPr="00180ED1">
        <w:rPr>
          <w:rFonts w:ascii="Garamond" w:hAnsi="Garamond" w:cstheme="majorBidi"/>
          <w:i/>
          <w:iCs/>
        </w:rPr>
        <w:t>F</w:t>
      </w:r>
      <w:r w:rsidR="000A6DDB" w:rsidRPr="00180ED1">
        <w:rPr>
          <w:rFonts w:ascii="Garamond" w:hAnsi="Garamond" w:cstheme="majorBidi"/>
          <w:vertAlign w:val="subscript"/>
        </w:rPr>
        <w:t>(5,291)</w:t>
      </w:r>
      <w:r w:rsidR="000A6DDB" w:rsidRPr="00180ED1">
        <w:rPr>
          <w:rFonts w:ascii="Garamond" w:hAnsi="Garamond" w:cstheme="majorBidi"/>
        </w:rPr>
        <w:t xml:space="preserve"> = 13.81, </w:t>
      </w:r>
      <w:r w:rsidR="000A6DDB" w:rsidRPr="00180ED1">
        <w:rPr>
          <w:rFonts w:ascii="Garamond" w:hAnsi="Garamond" w:cstheme="majorBidi"/>
          <w:i/>
          <w:iCs/>
        </w:rPr>
        <w:t>p</w:t>
      </w:r>
      <w:r w:rsidR="000A6DDB" w:rsidRPr="00180ED1">
        <w:rPr>
          <w:rFonts w:ascii="Garamond" w:hAnsi="Garamond" w:cstheme="majorBidi"/>
        </w:rPr>
        <w:t xml:space="preserve"> &lt; .001; see </w:t>
      </w:r>
      <w:r w:rsidR="000A6DDB" w:rsidRPr="00180ED1">
        <w:rPr>
          <w:rFonts w:ascii="Garamond" w:hAnsi="Garamond" w:cstheme="majorBidi"/>
          <w:b/>
          <w:bCs/>
        </w:rPr>
        <w:t>Figure 1</w:t>
      </w:r>
      <w:r w:rsidR="000A6DDB" w:rsidRPr="00180ED1">
        <w:rPr>
          <w:rFonts w:ascii="Garamond" w:hAnsi="Garamond" w:cstheme="majorBidi"/>
        </w:rPr>
        <w:t xml:space="preserve">, left panel). Dunnett-adjusted comparisons to the non-disclosure control indicated that recognition was significantly higher when disclosures appeared in both variations of sources and chat (link-disclosure: </w:t>
      </w:r>
      <w:r w:rsidR="000A6DDB" w:rsidRPr="00180ED1">
        <w:rPr>
          <w:rFonts w:ascii="Garamond" w:hAnsi="Garamond" w:cstheme="majorBidi"/>
          <w:i/>
          <w:iCs/>
        </w:rPr>
        <w:t>p</w:t>
      </w:r>
      <w:r w:rsidR="000A6DDB" w:rsidRPr="00180ED1">
        <w:rPr>
          <w:rFonts w:ascii="Garamond" w:hAnsi="Garamond" w:cstheme="majorBidi"/>
        </w:rPr>
        <w:t xml:space="preserve"> &lt; .001; front-disclosure: </w:t>
      </w:r>
      <w:r w:rsidR="000A6DDB" w:rsidRPr="00180ED1">
        <w:rPr>
          <w:rFonts w:ascii="Garamond" w:hAnsi="Garamond" w:cstheme="majorBidi"/>
          <w:i/>
          <w:iCs/>
        </w:rPr>
        <w:t>p</w:t>
      </w:r>
      <w:r w:rsidR="000A6DDB" w:rsidRPr="00180ED1">
        <w:rPr>
          <w:rFonts w:ascii="Garamond" w:hAnsi="Garamond" w:cstheme="majorBidi"/>
        </w:rPr>
        <w:t xml:space="preserve"> &lt; .001) and when user approval was required (</w:t>
      </w:r>
      <w:r w:rsidR="000A6DDB" w:rsidRPr="00180ED1">
        <w:rPr>
          <w:rFonts w:ascii="Garamond" w:hAnsi="Garamond" w:cstheme="majorBidi"/>
          <w:i/>
          <w:iCs/>
        </w:rPr>
        <w:t>p</w:t>
      </w:r>
      <w:r w:rsidR="000A6DDB" w:rsidRPr="00180ED1">
        <w:rPr>
          <w:rFonts w:ascii="Garamond" w:hAnsi="Garamond" w:cstheme="majorBidi"/>
        </w:rPr>
        <w:t xml:space="preserve"> &lt; .001), whereas the disclosure in sources only condition did not differ from baseline (</w:t>
      </w:r>
      <w:r w:rsidR="000A6DDB" w:rsidRPr="00180ED1">
        <w:rPr>
          <w:rFonts w:ascii="Garamond" w:hAnsi="Garamond" w:cstheme="majorBidi"/>
          <w:i/>
          <w:iCs/>
        </w:rPr>
        <w:t xml:space="preserve">p </w:t>
      </w:r>
      <w:r w:rsidR="000A6DDB" w:rsidRPr="00180ED1">
        <w:rPr>
          <w:rFonts w:ascii="Garamond" w:hAnsi="Garamond" w:cstheme="majorBidi"/>
        </w:rPr>
        <w:t>= .502).</w:t>
      </w:r>
      <w:r w:rsidR="000A6DDB" w:rsidRPr="00180ED1">
        <w:rPr>
          <w:rFonts w:ascii="Garamond" w:hAnsi="Garamond" w:cstheme="majorBidi"/>
          <w:b/>
          <w:bCs/>
        </w:rPr>
        <w:t xml:space="preserve"> </w:t>
      </w:r>
      <w:r w:rsidR="000A6DDB" w:rsidRPr="00180ED1">
        <w:rPr>
          <w:rFonts w:ascii="Garamond" w:hAnsi="Garamond" w:cstheme="majorBidi"/>
        </w:rPr>
        <w:t>A chi-square test predicting sponsor involvement (“probably/definitely sponsored”) also showed a robust manipulation effect (</w:t>
      </w:r>
      <w:r w:rsidR="000A6DDB" w:rsidRPr="00180ED1">
        <w:rPr>
          <w:rFonts w:ascii="Garamond" w:hAnsi="Garamond" w:cs="Calibri Light"/>
        </w:rPr>
        <w:t>χ</w:t>
      </w:r>
      <w:r w:rsidR="000A6DDB" w:rsidRPr="00180ED1">
        <w:rPr>
          <w:rFonts w:ascii="Garamond" w:hAnsi="Garamond"/>
        </w:rPr>
        <w:t>²</w:t>
      </w:r>
      <w:r w:rsidR="000A6DDB" w:rsidRPr="00180ED1">
        <w:rPr>
          <w:rFonts w:ascii="Garamond" w:hAnsi="Garamond" w:cstheme="majorBidi"/>
          <w:vertAlign w:val="subscript"/>
        </w:rPr>
        <w:t>(5)</w:t>
      </w:r>
      <w:r w:rsidR="000A6DDB" w:rsidRPr="00180ED1">
        <w:rPr>
          <w:rFonts w:ascii="Garamond" w:hAnsi="Garamond" w:cstheme="majorBidi"/>
        </w:rPr>
        <w:t xml:space="preserve"> = 50.2, </w:t>
      </w:r>
      <w:r w:rsidR="000A6DDB" w:rsidRPr="00180ED1">
        <w:rPr>
          <w:rFonts w:ascii="Garamond" w:hAnsi="Garamond" w:cstheme="majorBidi"/>
          <w:i/>
          <w:iCs/>
        </w:rPr>
        <w:t xml:space="preserve">p </w:t>
      </w:r>
      <w:r w:rsidR="000A6DDB" w:rsidRPr="00180ED1">
        <w:rPr>
          <w:rFonts w:ascii="Garamond" w:hAnsi="Garamond" w:cstheme="majorBidi"/>
        </w:rPr>
        <w:t xml:space="preserve">&lt; .001; see </w:t>
      </w:r>
      <w:r w:rsidR="000A6DDB" w:rsidRPr="00180ED1">
        <w:rPr>
          <w:rFonts w:ascii="Garamond" w:hAnsi="Garamond" w:cstheme="majorBidi"/>
          <w:b/>
          <w:bCs/>
        </w:rPr>
        <w:t>Figure 1</w:t>
      </w:r>
      <w:r w:rsidR="000A6DDB" w:rsidRPr="00180ED1">
        <w:rPr>
          <w:rFonts w:ascii="Garamond" w:hAnsi="Garamond" w:cstheme="majorBidi"/>
        </w:rPr>
        <w:t>, right panel). Dunnett-adjusted comparisons against the no-disclosure control showed that sponsor identification was significantly higher in the chat + link (</w:t>
      </w:r>
      <w:r w:rsidR="000A6DDB" w:rsidRPr="00180ED1">
        <w:rPr>
          <w:rFonts w:ascii="Garamond" w:hAnsi="Garamond" w:cstheme="majorBidi"/>
          <w:i/>
          <w:iCs/>
        </w:rPr>
        <w:t>p</w:t>
      </w:r>
      <w:r w:rsidR="000A6DDB" w:rsidRPr="00180ED1">
        <w:rPr>
          <w:rFonts w:ascii="Garamond" w:hAnsi="Garamond" w:cstheme="majorBidi"/>
        </w:rPr>
        <w:t xml:space="preserve"> = .013) and user approval (</w:t>
      </w:r>
      <w:r w:rsidR="000A6DDB" w:rsidRPr="00180ED1">
        <w:rPr>
          <w:rFonts w:ascii="Garamond" w:hAnsi="Garamond" w:cstheme="majorBidi"/>
          <w:i/>
          <w:iCs/>
        </w:rPr>
        <w:t>p</w:t>
      </w:r>
      <w:r w:rsidR="000A6DDB" w:rsidRPr="00180ED1">
        <w:rPr>
          <w:rFonts w:ascii="Garamond" w:hAnsi="Garamond" w:cstheme="majorBidi"/>
        </w:rPr>
        <w:t xml:space="preserve"> &lt; .001) conditions, whereas the sources-only and front-disclosure variants did not differ from the control condition (</w:t>
      </w:r>
      <w:proofErr w:type="spellStart"/>
      <w:r w:rsidR="000A6DDB" w:rsidRPr="00180ED1">
        <w:rPr>
          <w:rFonts w:ascii="Garamond" w:hAnsi="Garamond" w:cstheme="majorBidi"/>
          <w:i/>
          <w:iCs/>
        </w:rPr>
        <w:t>ps</w:t>
      </w:r>
      <w:proofErr w:type="spellEnd"/>
      <w:r w:rsidR="000A6DDB" w:rsidRPr="00180ED1">
        <w:rPr>
          <w:rFonts w:ascii="Garamond" w:hAnsi="Garamond" w:cstheme="majorBidi"/>
        </w:rPr>
        <w:t xml:space="preserve"> &gt; .18). Bonferroni-adjusted pairwise tests further confirmed that the user approval condition  elicited higher proportions than all other conditions. Among the 60 participants who indicated sponsor involvement, 45% reported that their judgment was based on explicitly noticing the disclosure; notably, </w:t>
      </w:r>
      <w:proofErr w:type="gramStart"/>
      <w:r w:rsidR="000A6DDB" w:rsidRPr="00180ED1">
        <w:rPr>
          <w:rFonts w:ascii="Garamond" w:hAnsi="Garamond" w:cstheme="majorBidi"/>
        </w:rPr>
        <w:t>all of</w:t>
      </w:r>
      <w:proofErr w:type="gramEnd"/>
      <w:r w:rsidR="000A6DDB" w:rsidRPr="00180ED1">
        <w:rPr>
          <w:rFonts w:ascii="Garamond" w:hAnsi="Garamond" w:cstheme="majorBidi"/>
        </w:rPr>
        <w:t xml:space="preserve"> these cases occurred in the chat disclosure (link or front) and user approval conditions.</w:t>
      </w:r>
    </w:p>
    <w:p w14:paraId="59426556" w14:textId="77777777" w:rsidR="00D25321" w:rsidRDefault="00E31C23" w:rsidP="00D25321">
      <w:pPr>
        <w:ind w:firstLine="360"/>
        <w:jc w:val="both"/>
        <w:rPr>
          <w:rFonts w:ascii="Garamond" w:hAnsi="Garamond" w:cstheme="majorBidi"/>
          <w:b/>
          <w:bCs/>
        </w:rPr>
      </w:pPr>
      <w:r w:rsidRPr="00180ED1">
        <w:rPr>
          <w:rFonts w:ascii="Garamond" w:hAnsi="Garamond" w:cstheme="majorBidi"/>
          <w:noProof/>
        </w:rPr>
        <w:drawing>
          <wp:anchor distT="107950" distB="107950" distL="114300" distR="114300" simplePos="0" relativeHeight="251658243" behindDoc="0" locked="0" layoutInCell="1" allowOverlap="1" wp14:anchorId="03C388C8" wp14:editId="58098C8E">
            <wp:simplePos x="0" y="0"/>
            <wp:positionH relativeFrom="margin">
              <wp:align>right</wp:align>
            </wp:positionH>
            <wp:positionV relativeFrom="page">
              <wp:posOffset>1929130</wp:posOffset>
            </wp:positionV>
            <wp:extent cx="3994785" cy="2339340"/>
            <wp:effectExtent l="0" t="0" r="5715" b="3810"/>
            <wp:wrapTopAndBottom/>
            <wp:docPr id="2137857256"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5725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94785" cy="2339340"/>
                    </a:xfrm>
                    <a:prstGeom prst="rect">
                      <a:avLst/>
                    </a:prstGeom>
                  </pic:spPr>
                </pic:pic>
              </a:graphicData>
            </a:graphic>
            <wp14:sizeRelH relativeFrom="page">
              <wp14:pctWidth>0</wp14:pctWidth>
            </wp14:sizeRelH>
            <wp14:sizeRelV relativeFrom="page">
              <wp14:pctHeight>0</wp14:pctHeight>
            </wp14:sizeRelV>
          </wp:anchor>
        </w:drawing>
      </w:r>
    </w:p>
    <w:p w14:paraId="6A8D24C9" w14:textId="5497A92F" w:rsidR="000A6DDB" w:rsidRPr="00180ED1" w:rsidRDefault="000A6DDB" w:rsidP="00D25321">
      <w:pPr>
        <w:ind w:firstLine="360"/>
        <w:jc w:val="both"/>
        <w:rPr>
          <w:rFonts w:ascii="Garamond" w:hAnsi="Garamond" w:cstheme="majorBidi"/>
        </w:rPr>
      </w:pPr>
      <w:r w:rsidRPr="00180ED1">
        <w:rPr>
          <w:rFonts w:ascii="Garamond" w:hAnsi="Garamond" w:cstheme="majorBidi"/>
          <w:b/>
          <w:bCs/>
        </w:rPr>
        <w:t xml:space="preserve">Figure 1. Effects of </w:t>
      </w:r>
      <w:r w:rsidR="00DE4E91">
        <w:rPr>
          <w:rFonts w:ascii="Garamond" w:hAnsi="Garamond" w:cstheme="majorBidi"/>
          <w:b/>
          <w:bCs/>
        </w:rPr>
        <w:t>D</w:t>
      </w:r>
      <w:r w:rsidRPr="00180ED1">
        <w:rPr>
          <w:rFonts w:ascii="Garamond" w:hAnsi="Garamond" w:cstheme="majorBidi"/>
          <w:b/>
          <w:bCs/>
        </w:rPr>
        <w:t xml:space="preserve">isclosure </w:t>
      </w:r>
      <w:r w:rsidR="00DE4E91">
        <w:rPr>
          <w:rFonts w:ascii="Garamond" w:hAnsi="Garamond" w:cstheme="majorBidi"/>
          <w:b/>
          <w:bCs/>
        </w:rPr>
        <w:t>C</w:t>
      </w:r>
      <w:r w:rsidRPr="00180ED1">
        <w:rPr>
          <w:rFonts w:ascii="Garamond" w:hAnsi="Garamond" w:cstheme="majorBidi"/>
          <w:b/>
          <w:bCs/>
        </w:rPr>
        <w:t xml:space="preserve">ondition on </w:t>
      </w:r>
      <w:r w:rsidR="00DE4E91">
        <w:rPr>
          <w:rFonts w:ascii="Garamond" w:hAnsi="Garamond" w:cstheme="majorBidi"/>
          <w:b/>
          <w:bCs/>
        </w:rPr>
        <w:t>A</w:t>
      </w:r>
      <w:r w:rsidRPr="00180ED1">
        <w:rPr>
          <w:rFonts w:ascii="Garamond" w:hAnsi="Garamond" w:cstheme="majorBidi"/>
          <w:b/>
          <w:bCs/>
        </w:rPr>
        <w:t xml:space="preserve">d </w:t>
      </w:r>
      <w:r w:rsidR="00DE4E91">
        <w:rPr>
          <w:rFonts w:ascii="Garamond" w:hAnsi="Garamond" w:cstheme="majorBidi"/>
          <w:b/>
          <w:bCs/>
        </w:rPr>
        <w:t>R</w:t>
      </w:r>
      <w:r w:rsidRPr="00180ED1">
        <w:rPr>
          <w:rFonts w:ascii="Garamond" w:hAnsi="Garamond" w:cstheme="majorBidi"/>
          <w:b/>
          <w:bCs/>
        </w:rPr>
        <w:t>ecognition</w:t>
      </w:r>
    </w:p>
    <w:p w14:paraId="43C911A7" w14:textId="77777777" w:rsidR="000A6DDB" w:rsidRPr="00180ED1" w:rsidRDefault="000A6DDB" w:rsidP="00DE4E91">
      <w:pPr>
        <w:spacing w:after="240" w:line="276" w:lineRule="auto"/>
        <w:jc w:val="both"/>
        <w:rPr>
          <w:rFonts w:ascii="Garamond" w:hAnsi="Garamond" w:cstheme="majorBidi"/>
          <w:sz w:val="18"/>
          <w:szCs w:val="18"/>
        </w:rPr>
      </w:pPr>
      <w:proofErr w:type="spellStart"/>
      <w:r w:rsidRPr="00180ED1">
        <w:rPr>
          <w:rFonts w:ascii="Garamond" w:hAnsi="Garamond" w:cstheme="majorBidi"/>
          <w:sz w:val="18"/>
          <w:szCs w:val="18"/>
        </w:rPr>
        <w:t>Discl</w:t>
      </w:r>
      <w:proofErr w:type="spellEnd"/>
      <w:r w:rsidRPr="00180ED1">
        <w:rPr>
          <w:rFonts w:ascii="Garamond" w:hAnsi="Garamond" w:cstheme="majorBidi"/>
          <w:sz w:val="18"/>
          <w:szCs w:val="18"/>
        </w:rPr>
        <w:t xml:space="preserve"> = Disclosure; ND = No disclosure; </w:t>
      </w:r>
      <w:proofErr w:type="spellStart"/>
      <w:r w:rsidRPr="00180ED1">
        <w:rPr>
          <w:rFonts w:ascii="Garamond" w:hAnsi="Garamond" w:cstheme="majorBidi"/>
          <w:sz w:val="18"/>
          <w:szCs w:val="18"/>
        </w:rPr>
        <w:t>Srcs</w:t>
      </w:r>
      <w:proofErr w:type="spellEnd"/>
      <w:r w:rsidRPr="00180ED1">
        <w:rPr>
          <w:rFonts w:ascii="Garamond" w:hAnsi="Garamond" w:cstheme="majorBidi"/>
          <w:sz w:val="18"/>
          <w:szCs w:val="18"/>
        </w:rPr>
        <w:t xml:space="preserve"> = Sources. Bars show estimated means (± SE) for ad recognition via the Likert scale (left panel) and proportions of participants responding “probably/definitely sponsored” (right panel). Asterisks indicate Dunnett tests versus the ND group. Different letters denote Bonferroni-adjusted pairwise differences (</w:t>
      </w:r>
      <w:r w:rsidRPr="00180ED1">
        <w:rPr>
          <w:rFonts w:ascii="Garamond" w:hAnsi="Garamond" w:cstheme="majorBidi"/>
          <w:i/>
          <w:iCs/>
          <w:sz w:val="18"/>
          <w:szCs w:val="18"/>
        </w:rPr>
        <w:t>p</w:t>
      </w:r>
      <w:r w:rsidRPr="00180ED1">
        <w:rPr>
          <w:rFonts w:ascii="Garamond" w:hAnsi="Garamond" w:cstheme="majorBidi"/>
          <w:sz w:val="18"/>
          <w:szCs w:val="18"/>
        </w:rPr>
        <w:t xml:space="preserve"> &lt; .05). </w:t>
      </w:r>
      <w:r w:rsidRPr="00180ED1">
        <w:rPr>
          <w:rFonts w:ascii="Garamond" w:hAnsi="Garamond" w:cstheme="majorBidi"/>
          <w:i/>
          <w:iCs/>
          <w:sz w:val="18"/>
          <w:szCs w:val="18"/>
        </w:rPr>
        <w:t>N</w:t>
      </w:r>
      <w:r w:rsidRPr="00180ED1">
        <w:rPr>
          <w:rFonts w:ascii="Garamond" w:hAnsi="Garamond" w:cstheme="majorBidi"/>
          <w:sz w:val="18"/>
          <w:szCs w:val="18"/>
        </w:rPr>
        <w:t xml:space="preserve"> = 297; ***</w:t>
      </w:r>
      <w:r w:rsidRPr="00180ED1">
        <w:rPr>
          <w:rFonts w:ascii="Garamond" w:hAnsi="Garamond" w:cstheme="majorBidi"/>
          <w:i/>
          <w:iCs/>
          <w:sz w:val="18"/>
          <w:szCs w:val="18"/>
        </w:rPr>
        <w:t xml:space="preserve"> p</w:t>
      </w:r>
      <w:r w:rsidRPr="00180ED1">
        <w:rPr>
          <w:rFonts w:ascii="Garamond" w:hAnsi="Garamond" w:cstheme="majorBidi"/>
          <w:sz w:val="18"/>
          <w:szCs w:val="18"/>
        </w:rPr>
        <w:t xml:space="preserve"> &lt; .001 * </w:t>
      </w:r>
      <w:r w:rsidRPr="00180ED1">
        <w:rPr>
          <w:rFonts w:ascii="Garamond" w:hAnsi="Garamond" w:cstheme="majorBidi"/>
          <w:i/>
          <w:iCs/>
          <w:sz w:val="18"/>
          <w:szCs w:val="18"/>
        </w:rPr>
        <w:t>p</w:t>
      </w:r>
      <w:r w:rsidRPr="00180ED1">
        <w:rPr>
          <w:rFonts w:ascii="Garamond" w:hAnsi="Garamond" w:cstheme="majorBidi"/>
          <w:sz w:val="18"/>
          <w:szCs w:val="18"/>
        </w:rPr>
        <w:t xml:space="preserve"> &lt; .05</w:t>
      </w:r>
    </w:p>
    <w:p w14:paraId="13B71D52" w14:textId="6E0A35B3" w:rsidR="000A6DDB" w:rsidRPr="00CC79D5" w:rsidRDefault="000A6DDB" w:rsidP="00CC79D5">
      <w:pPr>
        <w:pStyle w:val="Style2"/>
      </w:pPr>
      <w:r w:rsidRPr="00CC79D5">
        <w:t>User Perception and Attitudes</w:t>
      </w:r>
    </w:p>
    <w:p w14:paraId="72EC8A9C" w14:textId="2A6B2A56" w:rsidR="000A6DDB" w:rsidRDefault="00DE4E91" w:rsidP="008A03D5">
      <w:pPr>
        <w:ind w:firstLine="360"/>
        <w:jc w:val="both"/>
        <w:rPr>
          <w:rFonts w:ascii="Garamond" w:hAnsi="Garamond" w:cstheme="majorBidi"/>
        </w:rPr>
      </w:pPr>
      <w:r>
        <w:rPr>
          <w:rFonts w:ascii="Garamond" w:hAnsi="Garamond" w:cstheme="majorBidi"/>
        </w:rPr>
        <w:t>To measure H2</w:t>
      </w:r>
      <w:r w:rsidR="00560620">
        <w:rPr>
          <w:rFonts w:ascii="Garamond" w:hAnsi="Garamond" w:cstheme="majorBidi"/>
        </w:rPr>
        <w:t xml:space="preserve"> (A-B)</w:t>
      </w:r>
      <w:r>
        <w:rPr>
          <w:rFonts w:ascii="Garamond" w:hAnsi="Garamond" w:cstheme="majorBidi"/>
        </w:rPr>
        <w:t>, a</w:t>
      </w:r>
      <w:r w:rsidR="000A6DDB" w:rsidRPr="00180ED1">
        <w:rPr>
          <w:rFonts w:ascii="Garamond" w:hAnsi="Garamond" w:cstheme="majorBidi"/>
        </w:rPr>
        <w:t xml:space="preserve"> one-way ANOVA revealed a significant effect of disclosure condition on perceived sponsor influence (</w:t>
      </w:r>
      <w:r w:rsidR="000A6DDB" w:rsidRPr="00180ED1">
        <w:rPr>
          <w:rFonts w:ascii="Garamond" w:hAnsi="Garamond" w:cstheme="majorBidi"/>
          <w:i/>
          <w:iCs/>
        </w:rPr>
        <w:t>F</w:t>
      </w:r>
      <w:r w:rsidR="000A6DDB" w:rsidRPr="00180ED1">
        <w:rPr>
          <w:rFonts w:ascii="Garamond" w:hAnsi="Garamond" w:cstheme="majorBidi"/>
          <w:vertAlign w:val="subscript"/>
        </w:rPr>
        <w:t>(5,291)</w:t>
      </w:r>
      <w:r w:rsidR="000A6DDB" w:rsidRPr="00180ED1">
        <w:rPr>
          <w:rFonts w:ascii="Garamond" w:hAnsi="Garamond" w:cstheme="majorBidi"/>
        </w:rPr>
        <w:t xml:space="preserve"> = 3.07, </w:t>
      </w:r>
      <w:r w:rsidR="000A6DDB" w:rsidRPr="00180ED1">
        <w:rPr>
          <w:rFonts w:ascii="Garamond" w:hAnsi="Garamond" w:cstheme="majorBidi"/>
          <w:i/>
          <w:iCs/>
        </w:rPr>
        <w:t>p</w:t>
      </w:r>
      <w:r w:rsidR="000A6DDB" w:rsidRPr="00180ED1">
        <w:rPr>
          <w:rFonts w:ascii="Garamond" w:hAnsi="Garamond" w:cstheme="majorBidi"/>
        </w:rPr>
        <w:t xml:space="preserve"> = .010; see</w:t>
      </w:r>
      <w:r w:rsidR="000A6DDB" w:rsidRPr="00180ED1">
        <w:rPr>
          <w:rFonts w:ascii="Garamond" w:hAnsi="Garamond" w:cstheme="majorBidi"/>
          <w:b/>
          <w:bCs/>
        </w:rPr>
        <w:t xml:space="preserve"> Figure 2</w:t>
      </w:r>
      <w:r w:rsidR="000A6DDB" w:rsidRPr="00180ED1">
        <w:rPr>
          <w:rFonts w:ascii="Garamond" w:hAnsi="Garamond" w:cstheme="majorBidi"/>
        </w:rPr>
        <w:t>, left panel). Dunnett-adjusted comparisons to the control group indicated that only the user approval condition led to higher ratings of perceived sponsor influence (</w:t>
      </w:r>
      <w:r w:rsidR="000A6DDB" w:rsidRPr="00180ED1">
        <w:rPr>
          <w:rFonts w:ascii="Garamond" w:hAnsi="Garamond" w:cstheme="majorBidi"/>
          <w:i/>
          <w:iCs/>
        </w:rPr>
        <w:t>p</w:t>
      </w:r>
      <w:r w:rsidR="000A6DDB" w:rsidRPr="00180ED1">
        <w:rPr>
          <w:rFonts w:ascii="Garamond" w:hAnsi="Garamond" w:cstheme="majorBidi"/>
        </w:rPr>
        <w:t xml:space="preserve"> = .012); the sources-only, link-disclosure, and front-disclosure variants did not differ from baseline (</w:t>
      </w:r>
      <w:proofErr w:type="spellStart"/>
      <w:r w:rsidR="000A6DDB" w:rsidRPr="00180ED1">
        <w:rPr>
          <w:rFonts w:ascii="Garamond" w:hAnsi="Garamond" w:cstheme="majorBidi"/>
          <w:i/>
          <w:iCs/>
        </w:rPr>
        <w:t>ps</w:t>
      </w:r>
      <w:proofErr w:type="spellEnd"/>
      <w:r w:rsidR="000A6DDB" w:rsidRPr="00180ED1">
        <w:rPr>
          <w:rFonts w:ascii="Garamond" w:hAnsi="Garamond" w:cstheme="majorBidi"/>
        </w:rPr>
        <w:t xml:space="preserve"> &gt; .17). In contrast, the manipulation did not affect participants’ attitudes toward the chat, including perceived helpfulness, trust, and future reliance (</w:t>
      </w:r>
      <w:proofErr w:type="spellStart"/>
      <w:r w:rsidR="000A6DDB" w:rsidRPr="00180ED1">
        <w:rPr>
          <w:rFonts w:ascii="Garamond" w:hAnsi="Garamond"/>
          <w:i/>
          <w:iCs/>
        </w:rPr>
        <w:t>ps</w:t>
      </w:r>
      <w:proofErr w:type="spellEnd"/>
      <w:r w:rsidR="000A6DDB" w:rsidRPr="00180ED1">
        <w:rPr>
          <w:rFonts w:ascii="Garamond" w:hAnsi="Garamond"/>
        </w:rPr>
        <w:t xml:space="preserve"> &gt; .62; see </w:t>
      </w:r>
      <w:r w:rsidR="000A6DDB" w:rsidRPr="00180ED1">
        <w:rPr>
          <w:rFonts w:ascii="Garamond" w:hAnsi="Garamond"/>
          <w:b/>
          <w:bCs/>
        </w:rPr>
        <w:t>Figure</w:t>
      </w:r>
      <w:r w:rsidR="000A6DDB" w:rsidRPr="00180ED1">
        <w:rPr>
          <w:rFonts w:ascii="Garamond" w:hAnsi="Garamond" w:cstheme="majorBidi"/>
          <w:b/>
          <w:bCs/>
        </w:rPr>
        <w:t xml:space="preserve"> 2</w:t>
      </w:r>
      <w:r w:rsidR="000A6DDB" w:rsidRPr="00180ED1">
        <w:rPr>
          <w:rFonts w:ascii="Garamond" w:hAnsi="Garamond" w:cstheme="majorBidi"/>
        </w:rPr>
        <w:t xml:space="preserve">). Overall, the sponsorship salience manipulation increased perceived sponsor influence only under the strongest cue (user approval) and did not negatively </w:t>
      </w:r>
      <w:r w:rsidR="00D25321" w:rsidRPr="00180ED1">
        <w:rPr>
          <w:rFonts w:ascii="Garamond" w:hAnsi="Garamond" w:cstheme="majorBidi"/>
          <w:noProof/>
        </w:rPr>
        <w:drawing>
          <wp:anchor distT="107950" distB="107950" distL="114300" distR="114300" simplePos="0" relativeHeight="251658242" behindDoc="0" locked="0" layoutInCell="1" allowOverlap="1" wp14:anchorId="14F745D3" wp14:editId="7A5BC10C">
            <wp:simplePos x="0" y="0"/>
            <wp:positionH relativeFrom="margin">
              <wp:align>right</wp:align>
            </wp:positionH>
            <wp:positionV relativeFrom="paragraph">
              <wp:posOffset>736795</wp:posOffset>
            </wp:positionV>
            <wp:extent cx="4266565" cy="2139950"/>
            <wp:effectExtent l="0" t="0" r="635" b="0"/>
            <wp:wrapTopAndBottom/>
            <wp:docPr id="655282870"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8287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266565" cy="2139950"/>
                    </a:xfrm>
                    <a:prstGeom prst="rect">
                      <a:avLst/>
                    </a:prstGeom>
                  </pic:spPr>
                </pic:pic>
              </a:graphicData>
            </a:graphic>
            <wp14:sizeRelH relativeFrom="page">
              <wp14:pctWidth>0</wp14:pctWidth>
            </wp14:sizeRelH>
            <wp14:sizeRelV relativeFrom="page">
              <wp14:pctHeight>0</wp14:pctHeight>
            </wp14:sizeRelV>
          </wp:anchor>
        </w:drawing>
      </w:r>
      <w:r w:rsidR="000A6DDB" w:rsidRPr="00180ED1">
        <w:rPr>
          <w:rFonts w:ascii="Garamond" w:hAnsi="Garamond" w:cstheme="majorBidi"/>
        </w:rPr>
        <w:t>affect attitudes toward the chat.</w:t>
      </w:r>
    </w:p>
    <w:p w14:paraId="2CA7A74D" w14:textId="1E8D365C" w:rsidR="00C93935" w:rsidRPr="00180ED1" w:rsidRDefault="00C93935" w:rsidP="008A03D5">
      <w:pPr>
        <w:ind w:firstLine="360"/>
        <w:jc w:val="both"/>
        <w:rPr>
          <w:rFonts w:ascii="Garamond" w:hAnsi="Garamond" w:cstheme="majorBidi"/>
        </w:rPr>
      </w:pPr>
    </w:p>
    <w:p w14:paraId="778E68DF" w14:textId="60A2E4EE" w:rsidR="000A6DDB" w:rsidRPr="00180ED1" w:rsidRDefault="000A6DDB" w:rsidP="00C93935">
      <w:pPr>
        <w:spacing w:after="120"/>
        <w:jc w:val="center"/>
        <w:rPr>
          <w:rFonts w:ascii="Garamond" w:hAnsi="Garamond" w:cstheme="majorBidi"/>
        </w:rPr>
      </w:pPr>
      <w:r w:rsidRPr="00180ED1">
        <w:rPr>
          <w:rFonts w:ascii="Garamond" w:hAnsi="Garamond" w:cstheme="majorBidi"/>
          <w:b/>
          <w:bCs/>
        </w:rPr>
        <w:t xml:space="preserve">Figure 2. Effects of </w:t>
      </w:r>
      <w:r w:rsidR="00C93935">
        <w:rPr>
          <w:rFonts w:ascii="Garamond" w:hAnsi="Garamond" w:cstheme="majorBidi"/>
          <w:b/>
          <w:bCs/>
        </w:rPr>
        <w:t>D</w:t>
      </w:r>
      <w:r w:rsidRPr="00180ED1">
        <w:rPr>
          <w:rFonts w:ascii="Garamond" w:hAnsi="Garamond" w:cstheme="majorBidi"/>
          <w:b/>
          <w:bCs/>
        </w:rPr>
        <w:t xml:space="preserve">isclosure </w:t>
      </w:r>
      <w:r w:rsidR="00C93935">
        <w:rPr>
          <w:rFonts w:ascii="Garamond" w:hAnsi="Garamond" w:cstheme="majorBidi"/>
          <w:b/>
          <w:bCs/>
        </w:rPr>
        <w:t>C</w:t>
      </w:r>
      <w:r w:rsidRPr="00180ED1">
        <w:rPr>
          <w:rFonts w:ascii="Garamond" w:hAnsi="Garamond" w:cstheme="majorBidi"/>
          <w:b/>
          <w:bCs/>
        </w:rPr>
        <w:t xml:space="preserve">ondition on </w:t>
      </w:r>
      <w:r w:rsidR="00C93935">
        <w:rPr>
          <w:rFonts w:ascii="Garamond" w:hAnsi="Garamond" w:cstheme="majorBidi"/>
          <w:b/>
          <w:bCs/>
        </w:rPr>
        <w:t>Users’ P</w:t>
      </w:r>
      <w:r w:rsidRPr="00180ED1">
        <w:rPr>
          <w:rFonts w:ascii="Garamond" w:hAnsi="Garamond" w:cstheme="majorBidi"/>
          <w:b/>
          <w:bCs/>
        </w:rPr>
        <w:t xml:space="preserve">erception and </w:t>
      </w:r>
      <w:r w:rsidR="00C93935">
        <w:rPr>
          <w:rFonts w:ascii="Garamond" w:hAnsi="Garamond" w:cstheme="majorBidi"/>
          <w:b/>
          <w:bCs/>
        </w:rPr>
        <w:t>A</w:t>
      </w:r>
      <w:r w:rsidRPr="00180ED1">
        <w:rPr>
          <w:rFonts w:ascii="Garamond" w:hAnsi="Garamond" w:cstheme="majorBidi"/>
          <w:b/>
          <w:bCs/>
        </w:rPr>
        <w:t>ttitudes</w:t>
      </w:r>
    </w:p>
    <w:p w14:paraId="2D5A29ED" w14:textId="2A01FECE" w:rsidR="000A6DDB" w:rsidRPr="00180ED1" w:rsidRDefault="000A6DDB" w:rsidP="000A6DDB">
      <w:pPr>
        <w:spacing w:after="240" w:line="276" w:lineRule="auto"/>
        <w:rPr>
          <w:rFonts w:ascii="Garamond" w:hAnsi="Garamond" w:cstheme="majorBidi"/>
          <w:sz w:val="18"/>
          <w:szCs w:val="18"/>
        </w:rPr>
      </w:pPr>
      <w:proofErr w:type="spellStart"/>
      <w:r w:rsidRPr="00180ED1">
        <w:rPr>
          <w:rFonts w:ascii="Garamond" w:hAnsi="Garamond" w:cstheme="majorBidi"/>
          <w:sz w:val="18"/>
          <w:szCs w:val="18"/>
        </w:rPr>
        <w:t>Discl</w:t>
      </w:r>
      <w:proofErr w:type="spellEnd"/>
      <w:r w:rsidRPr="00180ED1">
        <w:rPr>
          <w:rFonts w:ascii="Garamond" w:hAnsi="Garamond" w:cstheme="majorBidi"/>
          <w:sz w:val="18"/>
          <w:szCs w:val="18"/>
        </w:rPr>
        <w:t xml:space="preserve"> = Disclosure; ND = No disclosure; </w:t>
      </w:r>
      <w:proofErr w:type="spellStart"/>
      <w:r w:rsidRPr="00180ED1">
        <w:rPr>
          <w:rFonts w:ascii="Garamond" w:hAnsi="Garamond" w:cstheme="majorBidi"/>
          <w:sz w:val="18"/>
          <w:szCs w:val="18"/>
        </w:rPr>
        <w:t>Srcs</w:t>
      </w:r>
      <w:proofErr w:type="spellEnd"/>
      <w:r w:rsidRPr="00180ED1">
        <w:rPr>
          <w:rFonts w:ascii="Garamond" w:hAnsi="Garamond" w:cstheme="majorBidi"/>
          <w:sz w:val="18"/>
          <w:szCs w:val="18"/>
        </w:rPr>
        <w:t xml:space="preserve"> = Sources. Bars show estimated means (± SE). Asterisks indicate Dunnett tests versus the ND group. </w:t>
      </w:r>
      <w:r w:rsidRPr="00180ED1">
        <w:rPr>
          <w:rFonts w:ascii="Garamond" w:hAnsi="Garamond" w:cstheme="majorBidi"/>
          <w:i/>
          <w:iCs/>
          <w:sz w:val="18"/>
          <w:szCs w:val="18"/>
        </w:rPr>
        <w:t>N</w:t>
      </w:r>
      <w:r w:rsidRPr="00180ED1">
        <w:rPr>
          <w:rFonts w:ascii="Garamond" w:hAnsi="Garamond" w:cstheme="majorBidi"/>
          <w:sz w:val="18"/>
          <w:szCs w:val="18"/>
        </w:rPr>
        <w:t xml:space="preserve"> = 297; *</w:t>
      </w:r>
      <w:r w:rsidRPr="00180ED1">
        <w:rPr>
          <w:rFonts w:ascii="Garamond" w:hAnsi="Garamond" w:cstheme="majorBidi"/>
          <w:i/>
          <w:iCs/>
          <w:sz w:val="18"/>
          <w:szCs w:val="18"/>
        </w:rPr>
        <w:t xml:space="preserve"> p</w:t>
      </w:r>
      <w:r w:rsidRPr="00180ED1">
        <w:rPr>
          <w:rFonts w:ascii="Garamond" w:hAnsi="Garamond" w:cstheme="majorBidi"/>
          <w:sz w:val="18"/>
          <w:szCs w:val="18"/>
        </w:rPr>
        <w:t xml:space="preserve"> &lt; .05</w:t>
      </w:r>
    </w:p>
    <w:p w14:paraId="70575475" w14:textId="77777777" w:rsidR="00C93935" w:rsidRDefault="00C93935" w:rsidP="000A6DDB">
      <w:pPr>
        <w:spacing w:after="120"/>
        <w:rPr>
          <w:rFonts w:ascii="Garamond" w:hAnsi="Garamond" w:cstheme="majorBidi"/>
        </w:rPr>
      </w:pPr>
    </w:p>
    <w:p w14:paraId="770726C3" w14:textId="0AE70BDE" w:rsidR="000A6DDB" w:rsidRDefault="000A6DDB" w:rsidP="00C93935">
      <w:pPr>
        <w:ind w:firstLine="360"/>
        <w:jc w:val="both"/>
        <w:rPr>
          <w:rFonts w:ascii="Garamond" w:hAnsi="Garamond" w:cstheme="majorBidi"/>
        </w:rPr>
      </w:pPr>
      <w:r w:rsidRPr="00180ED1">
        <w:rPr>
          <w:rFonts w:ascii="Garamond" w:hAnsi="Garamond" w:cstheme="majorBidi"/>
        </w:rPr>
        <w:t>Additional analyses revealed that, irrespective of condition, participants who identified the chat as “probably/definitely sponsored” reported substantially higher perceived sponsor involvement than those who did not (</w:t>
      </w:r>
      <w:r w:rsidRPr="00180ED1">
        <w:rPr>
          <w:rFonts w:ascii="Garamond" w:hAnsi="Garamond" w:cstheme="majorBidi"/>
          <w:i/>
          <w:iCs/>
        </w:rPr>
        <w:t>t</w:t>
      </w:r>
      <w:r w:rsidRPr="00180ED1">
        <w:rPr>
          <w:rFonts w:ascii="Garamond" w:hAnsi="Garamond" w:cstheme="majorBidi"/>
          <w:vertAlign w:val="subscript"/>
        </w:rPr>
        <w:t>295</w:t>
      </w:r>
      <w:r w:rsidRPr="00180ED1">
        <w:rPr>
          <w:rFonts w:ascii="Garamond" w:hAnsi="Garamond" w:cstheme="majorBidi"/>
        </w:rPr>
        <w:t xml:space="preserve"> = -7.71, </w:t>
      </w:r>
      <w:r w:rsidRPr="00180ED1">
        <w:rPr>
          <w:rFonts w:ascii="Garamond" w:hAnsi="Garamond" w:cstheme="majorBidi"/>
          <w:i/>
          <w:iCs/>
        </w:rPr>
        <w:t>p</w:t>
      </w:r>
      <w:r w:rsidRPr="00180ED1">
        <w:rPr>
          <w:rFonts w:ascii="Garamond" w:hAnsi="Garamond" w:cstheme="majorBidi"/>
        </w:rPr>
        <w:t xml:space="preserve"> &lt; .001; see </w:t>
      </w:r>
      <w:r w:rsidRPr="00180ED1">
        <w:rPr>
          <w:rFonts w:ascii="Garamond" w:hAnsi="Garamond" w:cstheme="majorBidi"/>
          <w:b/>
          <w:bCs/>
        </w:rPr>
        <w:t xml:space="preserve">Figure S1 </w:t>
      </w:r>
      <w:r w:rsidRPr="00180ED1">
        <w:rPr>
          <w:rFonts w:ascii="Garamond" w:hAnsi="Garamond" w:cstheme="majorBidi"/>
        </w:rPr>
        <w:t>in the Online Supplement). Conversely, no significant differences emerged between these groups for helpfulness, trust, or future reliance (</w:t>
      </w:r>
      <w:proofErr w:type="spellStart"/>
      <w:r w:rsidRPr="00180ED1">
        <w:rPr>
          <w:rFonts w:ascii="Garamond" w:hAnsi="Garamond" w:cstheme="majorBidi"/>
          <w:i/>
          <w:iCs/>
        </w:rPr>
        <w:t>ps</w:t>
      </w:r>
      <w:proofErr w:type="spellEnd"/>
      <w:r w:rsidRPr="00180ED1">
        <w:rPr>
          <w:rFonts w:ascii="Garamond" w:hAnsi="Garamond" w:cstheme="majorBidi"/>
          <w:i/>
          <w:iCs/>
        </w:rPr>
        <w:t xml:space="preserve"> </w:t>
      </w:r>
      <w:r w:rsidRPr="00180ED1">
        <w:rPr>
          <w:rFonts w:ascii="Garamond" w:hAnsi="Garamond" w:cstheme="majorBidi"/>
        </w:rPr>
        <w:t>&gt; .07).</w:t>
      </w:r>
    </w:p>
    <w:p w14:paraId="095A8B5C" w14:textId="77777777" w:rsidR="00C93935" w:rsidRPr="00C93935" w:rsidRDefault="00C93935" w:rsidP="00C93935">
      <w:pPr>
        <w:ind w:firstLine="360"/>
        <w:jc w:val="both"/>
        <w:rPr>
          <w:rFonts w:ascii="Garamond" w:hAnsi="Garamond" w:cstheme="majorBidi"/>
        </w:rPr>
      </w:pPr>
    </w:p>
    <w:p w14:paraId="6866F37C" w14:textId="65135B42" w:rsidR="000A6DDB" w:rsidRPr="00B26E2E" w:rsidRDefault="000A6DDB" w:rsidP="00B26E2E">
      <w:pPr>
        <w:pStyle w:val="Style2"/>
      </w:pPr>
      <w:r w:rsidRPr="00B26E2E">
        <w:t>Behavioral Pattern</w:t>
      </w:r>
      <w:r w:rsidR="009E514A">
        <w:t>s’ Effects</w:t>
      </w:r>
    </w:p>
    <w:p w14:paraId="181B5105" w14:textId="77777777" w:rsidR="009E514A" w:rsidRDefault="009E514A" w:rsidP="000A6DDB">
      <w:pPr>
        <w:spacing w:after="120"/>
        <w:rPr>
          <w:rFonts w:ascii="Garamond" w:hAnsi="Garamond" w:cstheme="majorBidi"/>
        </w:rPr>
      </w:pPr>
    </w:p>
    <w:p w14:paraId="5097C492" w14:textId="2E33763A" w:rsidR="000A6DDB" w:rsidRPr="00180ED1" w:rsidRDefault="00FD5409" w:rsidP="009E514A">
      <w:pPr>
        <w:ind w:firstLine="360"/>
        <w:jc w:val="both"/>
        <w:rPr>
          <w:rFonts w:ascii="Garamond" w:hAnsi="Garamond" w:cstheme="majorBidi"/>
        </w:rPr>
      </w:pPr>
      <w:r w:rsidRPr="00180ED1">
        <w:rPr>
          <w:rFonts w:ascii="Garamond" w:hAnsi="Garamond" w:cstheme="majorBidi"/>
          <w:noProof/>
        </w:rPr>
        <w:drawing>
          <wp:anchor distT="107950" distB="107950" distL="114300" distR="114300" simplePos="0" relativeHeight="251658244" behindDoc="0" locked="0" layoutInCell="1" allowOverlap="1" wp14:anchorId="0C094AB3" wp14:editId="5AC2B295">
            <wp:simplePos x="0" y="0"/>
            <wp:positionH relativeFrom="margin">
              <wp:align>left</wp:align>
            </wp:positionH>
            <wp:positionV relativeFrom="paragraph">
              <wp:posOffset>3546475</wp:posOffset>
            </wp:positionV>
            <wp:extent cx="4058920" cy="2218690"/>
            <wp:effectExtent l="0" t="0" r="0" b="0"/>
            <wp:wrapTopAndBottom/>
            <wp:docPr id="1819830756"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3075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061660" cy="2220546"/>
                    </a:xfrm>
                    <a:prstGeom prst="rect">
                      <a:avLst/>
                    </a:prstGeom>
                  </pic:spPr>
                </pic:pic>
              </a:graphicData>
            </a:graphic>
            <wp14:sizeRelH relativeFrom="page">
              <wp14:pctWidth>0</wp14:pctWidth>
            </wp14:sizeRelH>
            <wp14:sizeRelV relativeFrom="page">
              <wp14:pctHeight>0</wp14:pctHeight>
            </wp14:sizeRelV>
          </wp:anchor>
        </w:drawing>
      </w:r>
      <w:r w:rsidR="009E514A">
        <w:rPr>
          <w:rFonts w:ascii="Garamond" w:hAnsi="Garamond" w:cstheme="majorBidi"/>
        </w:rPr>
        <w:t xml:space="preserve">To investigate H3(A), </w:t>
      </w:r>
      <w:r w:rsidR="000A6DDB" w:rsidRPr="00180ED1">
        <w:rPr>
          <w:rFonts w:ascii="Garamond" w:hAnsi="Garamond" w:cstheme="majorBidi"/>
        </w:rPr>
        <w:t>A one-way ANOVA revealed a significant effect of disclosure condition on the number of prompts (</w:t>
      </w:r>
      <w:r w:rsidR="000A6DDB" w:rsidRPr="00180ED1">
        <w:rPr>
          <w:rFonts w:ascii="Garamond" w:hAnsi="Garamond" w:cstheme="majorBidi"/>
          <w:i/>
          <w:iCs/>
        </w:rPr>
        <w:t>F</w:t>
      </w:r>
      <w:r w:rsidR="000A6DDB" w:rsidRPr="00180ED1">
        <w:rPr>
          <w:rFonts w:ascii="Garamond" w:hAnsi="Garamond" w:cstheme="majorBidi"/>
          <w:vertAlign w:val="subscript"/>
        </w:rPr>
        <w:t>(5,291)</w:t>
      </w:r>
      <w:r w:rsidR="000A6DDB" w:rsidRPr="00180ED1">
        <w:rPr>
          <w:rFonts w:ascii="Garamond" w:hAnsi="Garamond" w:cstheme="majorBidi"/>
        </w:rPr>
        <w:t xml:space="preserve"> = 3.84, </w:t>
      </w:r>
      <w:r w:rsidR="000A6DDB" w:rsidRPr="00180ED1">
        <w:rPr>
          <w:rFonts w:ascii="Garamond" w:hAnsi="Garamond" w:cstheme="majorBidi"/>
          <w:i/>
          <w:iCs/>
        </w:rPr>
        <w:t>p</w:t>
      </w:r>
      <w:r w:rsidR="000A6DDB" w:rsidRPr="00180ED1">
        <w:rPr>
          <w:rFonts w:ascii="Garamond" w:hAnsi="Garamond" w:cstheme="majorBidi"/>
        </w:rPr>
        <w:t xml:space="preserve"> = .002; see </w:t>
      </w:r>
      <w:r w:rsidR="000A6DDB" w:rsidRPr="00180ED1">
        <w:rPr>
          <w:rFonts w:ascii="Garamond" w:hAnsi="Garamond" w:cstheme="majorBidi"/>
          <w:b/>
          <w:bCs/>
        </w:rPr>
        <w:t>Figure 3</w:t>
      </w:r>
      <w:r w:rsidR="000A6DDB" w:rsidRPr="00180ED1">
        <w:rPr>
          <w:rFonts w:ascii="Garamond" w:hAnsi="Garamond" w:cstheme="majorBidi"/>
        </w:rPr>
        <w:t>, left panel). Dunnett-adjusted comparisons against the non-disclosure control indicated that only the user approval condition elicited significantly more prompts (</w:t>
      </w:r>
      <w:r w:rsidR="000A6DDB" w:rsidRPr="00180ED1">
        <w:rPr>
          <w:rFonts w:ascii="Garamond" w:hAnsi="Garamond" w:cstheme="majorBidi"/>
          <w:i/>
          <w:iCs/>
        </w:rPr>
        <w:t>p</w:t>
      </w:r>
      <w:r w:rsidR="000A6DDB" w:rsidRPr="00180ED1">
        <w:rPr>
          <w:rFonts w:ascii="Garamond" w:hAnsi="Garamond" w:cstheme="majorBidi"/>
        </w:rPr>
        <w:t xml:space="preserve"> &lt; .001), whereas all other disclosure variants did not differ from the control condition (</w:t>
      </w:r>
      <w:proofErr w:type="spellStart"/>
      <w:r w:rsidR="000A6DDB" w:rsidRPr="00180ED1">
        <w:rPr>
          <w:rFonts w:ascii="Garamond" w:hAnsi="Garamond" w:cstheme="majorBidi"/>
          <w:i/>
          <w:iCs/>
        </w:rPr>
        <w:t>ps</w:t>
      </w:r>
      <w:proofErr w:type="spellEnd"/>
      <w:r w:rsidR="000A6DDB" w:rsidRPr="00180ED1">
        <w:rPr>
          <w:rFonts w:ascii="Garamond" w:hAnsi="Garamond" w:cstheme="majorBidi"/>
        </w:rPr>
        <w:t xml:space="preserve"> &gt; .38). Furthermore, a chi-square test predicting whether participants submitted at least one prompt revealed a significant effect of disclosure condition (</w:t>
      </w:r>
      <w:r w:rsidR="000A6DDB" w:rsidRPr="00180ED1">
        <w:rPr>
          <w:rFonts w:ascii="Garamond" w:hAnsi="Garamond" w:cs="Calibri Light"/>
        </w:rPr>
        <w:t>χ</w:t>
      </w:r>
      <w:r w:rsidR="000A6DDB" w:rsidRPr="00180ED1">
        <w:rPr>
          <w:rFonts w:ascii="Garamond" w:hAnsi="Garamond"/>
        </w:rPr>
        <w:t>²</w:t>
      </w:r>
      <w:r w:rsidR="000A6DDB" w:rsidRPr="00180ED1">
        <w:rPr>
          <w:rFonts w:ascii="Garamond" w:hAnsi="Garamond" w:cstheme="majorBidi"/>
          <w:vertAlign w:val="subscript"/>
        </w:rPr>
        <w:t>(5)</w:t>
      </w:r>
      <w:r w:rsidR="000A6DDB" w:rsidRPr="00180ED1">
        <w:rPr>
          <w:rFonts w:ascii="Garamond" w:hAnsi="Garamond" w:cstheme="majorBidi"/>
        </w:rPr>
        <w:t xml:space="preserve"> = 13.2, </w:t>
      </w:r>
      <w:r w:rsidR="000A6DDB" w:rsidRPr="00180ED1">
        <w:rPr>
          <w:rFonts w:ascii="Garamond" w:hAnsi="Garamond" w:cstheme="majorBidi"/>
          <w:i/>
          <w:iCs/>
        </w:rPr>
        <w:t>p</w:t>
      </w:r>
      <w:r w:rsidR="000A6DDB" w:rsidRPr="00180ED1">
        <w:rPr>
          <w:rFonts w:ascii="Garamond" w:hAnsi="Garamond" w:cstheme="majorBidi"/>
        </w:rPr>
        <w:t xml:space="preserve"> = .022; see </w:t>
      </w:r>
      <w:r w:rsidR="000A6DDB" w:rsidRPr="00180ED1">
        <w:rPr>
          <w:rFonts w:ascii="Garamond" w:hAnsi="Garamond" w:cstheme="majorBidi"/>
          <w:b/>
          <w:bCs/>
        </w:rPr>
        <w:t>Figure 3</w:t>
      </w:r>
      <w:r w:rsidR="000A6DDB" w:rsidRPr="00180ED1">
        <w:rPr>
          <w:rFonts w:ascii="Garamond" w:hAnsi="Garamond" w:cstheme="majorBidi"/>
        </w:rPr>
        <w:t>, middle panel). Dunnett-adjusted comparisons against the control indicated that both the sources-only (</w:t>
      </w:r>
      <w:r w:rsidR="000A6DDB" w:rsidRPr="00180ED1">
        <w:rPr>
          <w:rFonts w:ascii="Garamond" w:hAnsi="Garamond" w:cstheme="majorBidi"/>
          <w:i/>
          <w:iCs/>
        </w:rPr>
        <w:t>p</w:t>
      </w:r>
      <w:r w:rsidR="000A6DDB" w:rsidRPr="00180ED1">
        <w:rPr>
          <w:rFonts w:ascii="Garamond" w:hAnsi="Garamond" w:cstheme="majorBidi"/>
        </w:rPr>
        <w:t xml:space="preserve"> = .032) and user approval (</w:t>
      </w:r>
      <w:r w:rsidR="000A6DDB" w:rsidRPr="00180ED1">
        <w:rPr>
          <w:rFonts w:ascii="Garamond" w:hAnsi="Garamond" w:cstheme="majorBidi"/>
          <w:i/>
          <w:iCs/>
        </w:rPr>
        <w:t>p</w:t>
      </w:r>
      <w:r w:rsidR="000A6DDB" w:rsidRPr="00180ED1">
        <w:rPr>
          <w:rFonts w:ascii="Garamond" w:hAnsi="Garamond" w:cstheme="majorBidi"/>
        </w:rPr>
        <w:t xml:space="preserve"> = .042) conditions significantly increased the odds of prompting, whereas the other disclosure variants did not differ (</w:t>
      </w:r>
      <w:proofErr w:type="spellStart"/>
      <w:r w:rsidR="000A6DDB" w:rsidRPr="00180ED1">
        <w:rPr>
          <w:rFonts w:ascii="Garamond" w:hAnsi="Garamond" w:cstheme="majorBidi"/>
          <w:i/>
          <w:iCs/>
        </w:rPr>
        <w:t>ps</w:t>
      </w:r>
      <w:proofErr w:type="spellEnd"/>
      <w:r w:rsidR="000A6DDB" w:rsidRPr="00180ED1">
        <w:rPr>
          <w:rFonts w:ascii="Garamond" w:hAnsi="Garamond" w:cstheme="majorBidi"/>
        </w:rPr>
        <w:t xml:space="preserve"> &gt; .34). Bonferroni-adjusted pairwise tests did not reveal further differences between conditions. By contrast, disclosure condition did not affect time spent on task (</w:t>
      </w:r>
      <w:r w:rsidR="000A6DDB" w:rsidRPr="00180ED1">
        <w:rPr>
          <w:rFonts w:ascii="Garamond" w:hAnsi="Garamond"/>
          <w:i/>
          <w:iCs/>
        </w:rPr>
        <w:t>F</w:t>
      </w:r>
      <w:r w:rsidR="000A6DDB" w:rsidRPr="00180ED1">
        <w:rPr>
          <w:rFonts w:ascii="Garamond" w:hAnsi="Garamond"/>
          <w:vertAlign w:val="subscript"/>
        </w:rPr>
        <w:t>(5,291)</w:t>
      </w:r>
      <w:r w:rsidR="000A6DDB" w:rsidRPr="00180ED1">
        <w:rPr>
          <w:rFonts w:ascii="Garamond" w:hAnsi="Garamond"/>
        </w:rPr>
        <w:t xml:space="preserve"> = 1.28, </w:t>
      </w:r>
      <w:r w:rsidR="000A6DDB" w:rsidRPr="00180ED1">
        <w:rPr>
          <w:rFonts w:ascii="Garamond" w:hAnsi="Garamond" w:cstheme="majorBidi"/>
          <w:i/>
          <w:iCs/>
        </w:rPr>
        <w:t>p</w:t>
      </w:r>
      <w:r w:rsidR="000A6DDB" w:rsidRPr="00180ED1">
        <w:rPr>
          <w:rFonts w:ascii="Garamond" w:hAnsi="Garamond" w:cstheme="majorBidi"/>
        </w:rPr>
        <w:t xml:space="preserve"> = .273; see </w:t>
      </w:r>
      <w:r w:rsidR="000A6DDB" w:rsidRPr="00180ED1">
        <w:rPr>
          <w:rFonts w:ascii="Garamond" w:hAnsi="Garamond" w:cstheme="majorBidi"/>
          <w:b/>
          <w:bCs/>
        </w:rPr>
        <w:t>Figure 3</w:t>
      </w:r>
      <w:r w:rsidR="000A6DDB" w:rsidRPr="00180ED1">
        <w:rPr>
          <w:rFonts w:ascii="Garamond" w:hAnsi="Garamond" w:cstheme="majorBidi"/>
        </w:rPr>
        <w:t>, right panel).</w:t>
      </w:r>
    </w:p>
    <w:p w14:paraId="695CFDC9" w14:textId="7CB48C76" w:rsidR="000A6DDB" w:rsidRPr="00180ED1" w:rsidRDefault="000A6DDB" w:rsidP="00645D4F">
      <w:pPr>
        <w:spacing w:after="120"/>
        <w:jc w:val="center"/>
        <w:rPr>
          <w:rFonts w:ascii="Garamond" w:hAnsi="Garamond" w:cstheme="majorBidi"/>
        </w:rPr>
      </w:pPr>
      <w:r w:rsidRPr="00180ED1">
        <w:rPr>
          <w:rFonts w:ascii="Garamond" w:hAnsi="Garamond" w:cstheme="majorBidi"/>
          <w:b/>
          <w:bCs/>
        </w:rPr>
        <w:t xml:space="preserve">Figure 3. Effects of </w:t>
      </w:r>
      <w:r w:rsidR="00B739E4">
        <w:rPr>
          <w:rFonts w:ascii="Garamond" w:hAnsi="Garamond" w:cstheme="majorBidi"/>
          <w:b/>
          <w:bCs/>
        </w:rPr>
        <w:t>D</w:t>
      </w:r>
      <w:r w:rsidRPr="00180ED1">
        <w:rPr>
          <w:rFonts w:ascii="Garamond" w:hAnsi="Garamond" w:cstheme="majorBidi"/>
          <w:b/>
          <w:bCs/>
        </w:rPr>
        <w:t xml:space="preserve">isclosure </w:t>
      </w:r>
      <w:r w:rsidR="00B739E4">
        <w:rPr>
          <w:rFonts w:ascii="Garamond" w:hAnsi="Garamond" w:cstheme="majorBidi"/>
          <w:b/>
          <w:bCs/>
        </w:rPr>
        <w:t>C</w:t>
      </w:r>
      <w:r w:rsidRPr="00180ED1">
        <w:rPr>
          <w:rFonts w:ascii="Garamond" w:hAnsi="Garamond" w:cstheme="majorBidi"/>
          <w:b/>
          <w:bCs/>
        </w:rPr>
        <w:t xml:space="preserve">ondition on </w:t>
      </w:r>
      <w:r w:rsidR="00B739E4">
        <w:rPr>
          <w:rFonts w:ascii="Garamond" w:hAnsi="Garamond" w:cstheme="majorBidi"/>
          <w:b/>
          <w:bCs/>
        </w:rPr>
        <w:t>Users’ B</w:t>
      </w:r>
      <w:r w:rsidRPr="00180ED1">
        <w:rPr>
          <w:rFonts w:ascii="Garamond" w:hAnsi="Garamond" w:cstheme="majorBidi"/>
          <w:b/>
          <w:bCs/>
        </w:rPr>
        <w:t>ehavior</w:t>
      </w:r>
    </w:p>
    <w:p w14:paraId="2F8105AD" w14:textId="77777777" w:rsidR="000A6DDB" w:rsidRPr="00180ED1" w:rsidRDefault="000A6DDB" w:rsidP="000A6DDB">
      <w:pPr>
        <w:spacing w:after="240" w:line="276" w:lineRule="auto"/>
        <w:rPr>
          <w:rFonts w:ascii="Garamond" w:hAnsi="Garamond" w:cstheme="majorBidi"/>
          <w:sz w:val="18"/>
          <w:szCs w:val="18"/>
        </w:rPr>
      </w:pPr>
      <w:proofErr w:type="spellStart"/>
      <w:r w:rsidRPr="00180ED1">
        <w:rPr>
          <w:rFonts w:ascii="Garamond" w:hAnsi="Garamond" w:cstheme="majorBidi"/>
          <w:sz w:val="18"/>
          <w:szCs w:val="18"/>
        </w:rPr>
        <w:t>Discl</w:t>
      </w:r>
      <w:proofErr w:type="spellEnd"/>
      <w:r w:rsidRPr="00180ED1">
        <w:rPr>
          <w:rFonts w:ascii="Garamond" w:hAnsi="Garamond" w:cstheme="majorBidi"/>
          <w:sz w:val="18"/>
          <w:szCs w:val="18"/>
        </w:rPr>
        <w:t xml:space="preserve"> = Disclosure; ND = No disclosure; </w:t>
      </w:r>
      <w:proofErr w:type="spellStart"/>
      <w:r w:rsidRPr="00180ED1">
        <w:rPr>
          <w:rFonts w:ascii="Garamond" w:hAnsi="Garamond" w:cstheme="majorBidi"/>
          <w:sz w:val="18"/>
          <w:szCs w:val="18"/>
        </w:rPr>
        <w:t>Srcs</w:t>
      </w:r>
      <w:proofErr w:type="spellEnd"/>
      <w:r w:rsidRPr="00180ED1">
        <w:rPr>
          <w:rFonts w:ascii="Garamond" w:hAnsi="Garamond" w:cstheme="majorBidi"/>
          <w:sz w:val="18"/>
          <w:szCs w:val="18"/>
        </w:rPr>
        <w:t xml:space="preserve"> = Sources. Bars show estimated means (± SE) for number of prompts and time spent on task (left and right panels) and proportions of participants prompting at least once (middle panel). Asterisks indicate Dunnett tests versus the ND group. Letters indicate groups did not differ based on Bonferroni-adjusted pairwise tests. </w:t>
      </w:r>
      <w:r w:rsidRPr="00180ED1">
        <w:rPr>
          <w:rFonts w:ascii="Garamond" w:hAnsi="Garamond" w:cstheme="majorBidi"/>
          <w:i/>
          <w:iCs/>
          <w:sz w:val="18"/>
          <w:szCs w:val="18"/>
        </w:rPr>
        <w:t>N</w:t>
      </w:r>
      <w:r w:rsidRPr="00180ED1">
        <w:rPr>
          <w:rFonts w:ascii="Garamond" w:hAnsi="Garamond" w:cstheme="majorBidi"/>
          <w:sz w:val="18"/>
          <w:szCs w:val="18"/>
        </w:rPr>
        <w:t xml:space="preserve"> = 297; ***</w:t>
      </w:r>
      <w:r w:rsidRPr="00180ED1">
        <w:rPr>
          <w:rFonts w:ascii="Garamond" w:hAnsi="Garamond" w:cstheme="majorBidi"/>
          <w:i/>
          <w:iCs/>
          <w:sz w:val="18"/>
          <w:szCs w:val="18"/>
        </w:rPr>
        <w:t xml:space="preserve"> p</w:t>
      </w:r>
      <w:r w:rsidRPr="00180ED1">
        <w:rPr>
          <w:rFonts w:ascii="Garamond" w:hAnsi="Garamond" w:cstheme="majorBidi"/>
          <w:sz w:val="18"/>
          <w:szCs w:val="18"/>
        </w:rPr>
        <w:t xml:space="preserve"> &lt; .001 * </w:t>
      </w:r>
      <w:r w:rsidRPr="00180ED1">
        <w:rPr>
          <w:rFonts w:ascii="Garamond" w:hAnsi="Garamond" w:cstheme="majorBidi"/>
          <w:i/>
          <w:iCs/>
          <w:sz w:val="18"/>
          <w:szCs w:val="18"/>
        </w:rPr>
        <w:t>p</w:t>
      </w:r>
      <w:r w:rsidRPr="00180ED1">
        <w:rPr>
          <w:rFonts w:ascii="Garamond" w:hAnsi="Garamond" w:cstheme="majorBidi"/>
          <w:sz w:val="18"/>
          <w:szCs w:val="18"/>
        </w:rPr>
        <w:t xml:space="preserve"> &lt; .05</w:t>
      </w:r>
    </w:p>
    <w:p w14:paraId="34D83E8E" w14:textId="2D900B80" w:rsidR="002239A2" w:rsidRPr="00486A10" w:rsidRDefault="00B739E4" w:rsidP="006174B7">
      <w:pPr>
        <w:pStyle w:val="Heading3"/>
      </w:pPr>
      <w:bookmarkStart w:id="80" w:name="_Toc212649939"/>
      <w:r w:rsidRPr="00486A10">
        <w:t>Study II</w:t>
      </w:r>
      <w:bookmarkEnd w:id="80"/>
    </w:p>
    <w:p w14:paraId="0BBA87D7" w14:textId="0947103D" w:rsidR="006174B7" w:rsidRDefault="006174B7" w:rsidP="00486A10">
      <w:pPr>
        <w:spacing w:after="240"/>
        <w:ind w:firstLine="360"/>
        <w:jc w:val="both"/>
        <w:rPr>
          <w:rFonts w:ascii="Garamond" w:hAnsi="Garamond" w:cstheme="majorBidi"/>
        </w:rPr>
      </w:pPr>
      <w:r w:rsidRPr="006174B7">
        <w:rPr>
          <w:rFonts w:ascii="Garamond" w:hAnsi="Garamond" w:cstheme="majorBidi"/>
        </w:rPr>
        <w:t xml:space="preserve">Analyses followed the same general approach described in Study </w:t>
      </w:r>
      <w:r>
        <w:rPr>
          <w:rFonts w:ascii="Garamond" w:hAnsi="Garamond" w:cstheme="majorBidi"/>
        </w:rPr>
        <w:t>I</w:t>
      </w:r>
      <w:r w:rsidRPr="006174B7">
        <w:rPr>
          <w:rFonts w:ascii="Garamond" w:hAnsi="Garamond" w:cstheme="majorBidi"/>
        </w:rPr>
        <w:t>. In addition to chi-square tests of independence and logistic model–based contrasts (Dunnett versus control; Bonferroni for all pairs), binomial tests were conducted to assess whether product selection rates in each condition differed from chance level (50%).</w:t>
      </w:r>
    </w:p>
    <w:p w14:paraId="16D85A1E" w14:textId="77777777" w:rsidR="001E2A44" w:rsidRDefault="001E2A44" w:rsidP="00B94C93">
      <w:pPr>
        <w:pStyle w:val="Style2"/>
        <w:numPr>
          <w:ilvl w:val="0"/>
          <w:numId w:val="31"/>
        </w:numPr>
      </w:pPr>
      <w:r w:rsidRPr="003A0290">
        <w:t>Advertising Recognition</w:t>
      </w:r>
    </w:p>
    <w:p w14:paraId="7C0AD552" w14:textId="2DF4614F" w:rsidR="0055003C" w:rsidRPr="0055003C" w:rsidRDefault="0055003C" w:rsidP="00486A10">
      <w:pPr>
        <w:spacing w:after="240"/>
        <w:ind w:firstLine="360"/>
        <w:jc w:val="both"/>
        <w:rPr>
          <w:rFonts w:ascii="Garamond" w:hAnsi="Garamond" w:cstheme="majorBidi"/>
        </w:rPr>
      </w:pPr>
      <w:proofErr w:type="gramStart"/>
      <w:r w:rsidRPr="0055003C">
        <w:rPr>
          <w:rFonts w:ascii="Garamond" w:hAnsi="Garamond" w:cstheme="majorBidi"/>
        </w:rPr>
        <w:t>Similar to</w:t>
      </w:r>
      <w:proofErr w:type="gramEnd"/>
      <w:r w:rsidRPr="0055003C">
        <w:rPr>
          <w:rFonts w:ascii="Garamond" w:hAnsi="Garamond" w:cstheme="majorBidi"/>
        </w:rPr>
        <w:t xml:space="preserve"> Study </w:t>
      </w:r>
      <w:r>
        <w:rPr>
          <w:rFonts w:ascii="Garamond" w:hAnsi="Garamond" w:cstheme="majorBidi"/>
        </w:rPr>
        <w:t>I</w:t>
      </w:r>
      <w:r w:rsidRPr="0055003C">
        <w:rPr>
          <w:rFonts w:ascii="Garamond" w:hAnsi="Garamond" w:cstheme="majorBidi"/>
        </w:rPr>
        <w:t xml:space="preserve">, a significant condition effect was found for ad recognition (F(3, 217) = 21.7, p &lt; .001; see </w:t>
      </w:r>
      <w:r w:rsidRPr="00C45209">
        <w:rPr>
          <w:rFonts w:ascii="Garamond" w:hAnsi="Garamond" w:cstheme="majorBidi"/>
          <w:b/>
          <w:bCs/>
        </w:rPr>
        <w:t xml:space="preserve">Figure </w:t>
      </w:r>
      <w:r w:rsidR="00C45209" w:rsidRPr="00C45209">
        <w:rPr>
          <w:rFonts w:ascii="Garamond" w:hAnsi="Garamond" w:cstheme="majorBidi"/>
          <w:b/>
          <w:bCs/>
        </w:rPr>
        <w:t>4</w:t>
      </w:r>
      <w:r w:rsidRPr="0055003C">
        <w:rPr>
          <w:rFonts w:ascii="Garamond" w:hAnsi="Garamond" w:cstheme="majorBidi"/>
        </w:rPr>
        <w:t>, left panel). Dunnett-adjusted comparisons to the non-disclosure control indicated that recognition was significantly higher in all three disclosure conditions (</w:t>
      </w:r>
      <w:proofErr w:type="spellStart"/>
      <w:r w:rsidRPr="0055003C">
        <w:rPr>
          <w:rFonts w:ascii="Garamond" w:hAnsi="Garamond" w:cstheme="majorBidi"/>
        </w:rPr>
        <w:t>ps</w:t>
      </w:r>
      <w:proofErr w:type="spellEnd"/>
      <w:r w:rsidRPr="0055003C">
        <w:rPr>
          <w:rFonts w:ascii="Garamond" w:hAnsi="Garamond" w:cstheme="majorBidi"/>
        </w:rPr>
        <w:t xml:space="preserve"> &lt; .001). A chi-square test predicting sponsor identification (“probably/definitely sponsored”) also showed a robust effect (χ²(3) = 30.8, p &lt; .001; see </w:t>
      </w:r>
      <w:r w:rsidRPr="00C45209">
        <w:rPr>
          <w:rFonts w:ascii="Garamond" w:hAnsi="Garamond" w:cstheme="majorBidi"/>
          <w:b/>
          <w:bCs/>
        </w:rPr>
        <w:t xml:space="preserve">Figure </w:t>
      </w:r>
      <w:r w:rsidR="00C45209" w:rsidRPr="00C45209">
        <w:rPr>
          <w:rFonts w:ascii="Garamond" w:hAnsi="Garamond" w:cstheme="majorBidi"/>
          <w:b/>
          <w:bCs/>
        </w:rPr>
        <w:t>4</w:t>
      </w:r>
      <w:r w:rsidRPr="0055003C">
        <w:rPr>
          <w:rFonts w:ascii="Garamond" w:hAnsi="Garamond" w:cstheme="majorBidi"/>
        </w:rPr>
        <w:t>, right panel), with all three disclosure conditions showing higher identification than the control (</w:t>
      </w:r>
      <w:proofErr w:type="spellStart"/>
      <w:r w:rsidRPr="0055003C">
        <w:rPr>
          <w:rFonts w:ascii="Garamond" w:hAnsi="Garamond" w:cstheme="majorBidi"/>
        </w:rPr>
        <w:t>ps</w:t>
      </w:r>
      <w:proofErr w:type="spellEnd"/>
      <w:r w:rsidRPr="0055003C">
        <w:rPr>
          <w:rFonts w:ascii="Garamond" w:hAnsi="Garamond" w:cstheme="majorBidi"/>
        </w:rPr>
        <w:t xml:space="preserve"> &lt; .002).</w:t>
      </w:r>
    </w:p>
    <w:p w14:paraId="70BDC399" w14:textId="3AB80D58" w:rsidR="0055003C" w:rsidRDefault="0055003C" w:rsidP="0055003C">
      <w:pPr>
        <w:spacing w:after="240" w:line="276" w:lineRule="auto"/>
        <w:jc w:val="both"/>
        <w:rPr>
          <w:rFonts w:ascii="Garamond" w:hAnsi="Garamond" w:cstheme="majorBidi"/>
          <w:sz w:val="18"/>
          <w:szCs w:val="18"/>
        </w:rPr>
      </w:pPr>
      <w:r w:rsidRPr="0055003C">
        <w:rPr>
          <w:rFonts w:ascii="Garamond" w:hAnsi="Garamond" w:cstheme="majorBidi"/>
          <w:noProof/>
        </w:rPr>
        <w:drawing>
          <wp:anchor distT="107950" distB="107950" distL="114300" distR="114300" simplePos="0" relativeHeight="251662341" behindDoc="0" locked="0" layoutInCell="1" allowOverlap="1" wp14:anchorId="29183119" wp14:editId="33F8F51E">
            <wp:simplePos x="0" y="0"/>
            <wp:positionH relativeFrom="margin">
              <wp:posOffset>169984</wp:posOffset>
            </wp:positionH>
            <wp:positionV relativeFrom="paragraph">
              <wp:posOffset>228307</wp:posOffset>
            </wp:positionV>
            <wp:extent cx="3536950" cy="2232660"/>
            <wp:effectExtent l="0" t="0" r="6350" b="0"/>
            <wp:wrapTopAndBottom/>
            <wp:docPr id="1934385637"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85637"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536950" cy="2232660"/>
                    </a:xfrm>
                    <a:prstGeom prst="rect">
                      <a:avLst/>
                    </a:prstGeom>
                  </pic:spPr>
                </pic:pic>
              </a:graphicData>
            </a:graphic>
            <wp14:sizeRelH relativeFrom="page">
              <wp14:pctWidth>0</wp14:pctWidth>
            </wp14:sizeRelH>
            <wp14:sizeRelV relativeFrom="page">
              <wp14:pctHeight>0</wp14:pctHeight>
            </wp14:sizeRelV>
          </wp:anchor>
        </w:drawing>
      </w:r>
    </w:p>
    <w:p w14:paraId="62D4B8CF" w14:textId="79A8BBFA" w:rsidR="0055003C" w:rsidRDefault="0055003C" w:rsidP="0055003C">
      <w:pPr>
        <w:spacing w:after="240" w:line="276" w:lineRule="auto"/>
        <w:jc w:val="center"/>
        <w:rPr>
          <w:rFonts w:ascii="Garamond" w:hAnsi="Garamond" w:cstheme="majorBidi"/>
          <w:sz w:val="18"/>
          <w:szCs w:val="18"/>
        </w:rPr>
      </w:pPr>
      <w:r w:rsidRPr="0055003C">
        <w:rPr>
          <w:rFonts w:ascii="Garamond" w:hAnsi="Garamond" w:cstheme="majorBidi"/>
          <w:b/>
          <w:bCs/>
        </w:rPr>
        <w:t xml:space="preserve">Figure </w:t>
      </w:r>
      <w:r w:rsidR="00C45209">
        <w:rPr>
          <w:rFonts w:ascii="Garamond" w:hAnsi="Garamond" w:cstheme="majorBidi"/>
          <w:b/>
          <w:bCs/>
        </w:rPr>
        <w:t>4</w:t>
      </w:r>
      <w:r w:rsidRPr="0055003C">
        <w:rPr>
          <w:rFonts w:ascii="Garamond" w:hAnsi="Garamond" w:cstheme="majorBidi"/>
          <w:b/>
          <w:bCs/>
        </w:rPr>
        <w:t>. Effects of disclosure on ad recognition during product selection</w:t>
      </w:r>
    </w:p>
    <w:p w14:paraId="04B8300E" w14:textId="3B05A697" w:rsidR="0055003C" w:rsidRDefault="0055003C" w:rsidP="0055003C">
      <w:pPr>
        <w:spacing w:after="240" w:line="276" w:lineRule="auto"/>
        <w:jc w:val="both"/>
        <w:rPr>
          <w:rFonts w:ascii="Garamond" w:hAnsi="Garamond" w:cstheme="majorBidi"/>
          <w:sz w:val="18"/>
          <w:szCs w:val="18"/>
        </w:rPr>
      </w:pPr>
      <w:proofErr w:type="spellStart"/>
      <w:r w:rsidRPr="0055003C">
        <w:rPr>
          <w:rFonts w:ascii="Garamond" w:hAnsi="Garamond" w:cstheme="majorBidi"/>
          <w:sz w:val="18"/>
          <w:szCs w:val="18"/>
        </w:rPr>
        <w:t>Discl</w:t>
      </w:r>
      <w:proofErr w:type="spellEnd"/>
      <w:r w:rsidRPr="0055003C">
        <w:rPr>
          <w:rFonts w:ascii="Garamond" w:hAnsi="Garamond" w:cstheme="majorBidi"/>
          <w:sz w:val="18"/>
          <w:szCs w:val="18"/>
        </w:rPr>
        <w:t xml:space="preserve"> = Disclosure; ND = No disclosure; </w:t>
      </w:r>
      <w:proofErr w:type="spellStart"/>
      <w:r w:rsidRPr="0055003C">
        <w:rPr>
          <w:rFonts w:ascii="Garamond" w:hAnsi="Garamond" w:cstheme="majorBidi"/>
          <w:sz w:val="18"/>
          <w:szCs w:val="18"/>
        </w:rPr>
        <w:t>Srcs</w:t>
      </w:r>
      <w:proofErr w:type="spellEnd"/>
      <w:r w:rsidRPr="0055003C">
        <w:rPr>
          <w:rFonts w:ascii="Garamond" w:hAnsi="Garamond" w:cstheme="majorBidi"/>
          <w:sz w:val="18"/>
          <w:szCs w:val="18"/>
        </w:rPr>
        <w:t xml:space="preserve"> = Sources. Bars show estimated means (± SE) for ad recognition via the Likert scale (left panel) and proportions of participants responding “probably/definitely sponsored” (right panel). Asterisks indicate Dunnett tests versus the ND + </w:t>
      </w:r>
      <w:proofErr w:type="spellStart"/>
      <w:r w:rsidRPr="0055003C">
        <w:rPr>
          <w:rFonts w:ascii="Garamond" w:hAnsi="Garamond" w:cstheme="majorBidi"/>
          <w:sz w:val="18"/>
          <w:szCs w:val="18"/>
        </w:rPr>
        <w:t>Srcs</w:t>
      </w:r>
      <w:proofErr w:type="spellEnd"/>
      <w:r w:rsidRPr="0055003C">
        <w:rPr>
          <w:rFonts w:ascii="Garamond" w:hAnsi="Garamond" w:cstheme="majorBidi"/>
          <w:sz w:val="18"/>
          <w:szCs w:val="18"/>
        </w:rPr>
        <w:t xml:space="preserve"> group. Different letters denote Bonferroni-adjusted pairwise differences (</w:t>
      </w:r>
      <w:r w:rsidRPr="0055003C">
        <w:rPr>
          <w:rFonts w:ascii="Garamond" w:hAnsi="Garamond" w:cstheme="majorBidi"/>
          <w:i/>
          <w:iCs/>
          <w:sz w:val="18"/>
          <w:szCs w:val="18"/>
        </w:rPr>
        <w:t>p</w:t>
      </w:r>
      <w:r w:rsidRPr="0055003C">
        <w:rPr>
          <w:rFonts w:ascii="Garamond" w:hAnsi="Garamond" w:cstheme="majorBidi"/>
          <w:sz w:val="18"/>
          <w:szCs w:val="18"/>
        </w:rPr>
        <w:t xml:space="preserve"> &lt; .05). </w:t>
      </w:r>
      <w:r w:rsidRPr="0055003C">
        <w:rPr>
          <w:rFonts w:ascii="Garamond" w:hAnsi="Garamond" w:cstheme="majorBidi"/>
          <w:i/>
          <w:iCs/>
          <w:sz w:val="18"/>
          <w:szCs w:val="18"/>
        </w:rPr>
        <w:t>N</w:t>
      </w:r>
      <w:r w:rsidRPr="0055003C">
        <w:rPr>
          <w:rFonts w:ascii="Garamond" w:hAnsi="Garamond" w:cstheme="majorBidi"/>
          <w:sz w:val="18"/>
          <w:szCs w:val="18"/>
        </w:rPr>
        <w:t xml:space="preserve"> = 221; *** </w:t>
      </w:r>
      <w:r w:rsidRPr="0055003C">
        <w:rPr>
          <w:rFonts w:ascii="Garamond" w:hAnsi="Garamond" w:cstheme="majorBidi"/>
          <w:i/>
          <w:iCs/>
          <w:sz w:val="18"/>
          <w:szCs w:val="18"/>
        </w:rPr>
        <w:t>p</w:t>
      </w:r>
      <w:r w:rsidRPr="0055003C">
        <w:rPr>
          <w:rFonts w:ascii="Garamond" w:hAnsi="Garamond" w:cstheme="majorBidi"/>
          <w:sz w:val="18"/>
          <w:szCs w:val="18"/>
        </w:rPr>
        <w:t xml:space="preserve"> &lt; .001</w:t>
      </w:r>
    </w:p>
    <w:p w14:paraId="117D3FC4" w14:textId="77777777" w:rsidR="00AF1856" w:rsidRDefault="00AF1856" w:rsidP="00B94C93">
      <w:pPr>
        <w:pStyle w:val="Style2"/>
      </w:pPr>
      <w:r w:rsidRPr="00CC79D5">
        <w:t>User Perception and Attitudes</w:t>
      </w:r>
    </w:p>
    <w:p w14:paraId="05C3DF4E" w14:textId="633B48B6" w:rsidR="00635F48" w:rsidRPr="00AB533E" w:rsidRDefault="00376775" w:rsidP="00AB533E">
      <w:pPr>
        <w:spacing w:after="240"/>
        <w:ind w:firstLine="360"/>
        <w:jc w:val="both"/>
        <w:rPr>
          <w:rFonts w:ascii="Garamond" w:hAnsi="Garamond" w:cstheme="majorBidi"/>
        </w:rPr>
      </w:pPr>
      <w:r w:rsidRPr="00F15A5C">
        <w:rPr>
          <w:rFonts w:ascii="Roboto Condensed" w:hAnsi="Roboto Condensed" w:cstheme="majorBidi"/>
          <w:b/>
          <w:bCs/>
          <w:noProof/>
        </w:rPr>
        <w:drawing>
          <wp:anchor distT="107950" distB="107950" distL="114300" distR="114300" simplePos="0" relativeHeight="251664389" behindDoc="0" locked="0" layoutInCell="1" allowOverlap="1" wp14:anchorId="081A2551" wp14:editId="05D4F28E">
            <wp:simplePos x="0" y="0"/>
            <wp:positionH relativeFrom="margin">
              <wp:posOffset>146538</wp:posOffset>
            </wp:positionH>
            <wp:positionV relativeFrom="paragraph">
              <wp:posOffset>2695087</wp:posOffset>
            </wp:positionV>
            <wp:extent cx="3623945" cy="2279650"/>
            <wp:effectExtent l="0" t="0" r="0" b="6350"/>
            <wp:wrapTopAndBottom/>
            <wp:docPr id="1001593696"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369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623945" cy="2279650"/>
                    </a:xfrm>
                    <a:prstGeom prst="rect">
                      <a:avLst/>
                    </a:prstGeom>
                  </pic:spPr>
                </pic:pic>
              </a:graphicData>
            </a:graphic>
            <wp14:sizeRelH relativeFrom="page">
              <wp14:pctWidth>0</wp14:pctWidth>
            </wp14:sizeRelH>
            <wp14:sizeRelV relativeFrom="page">
              <wp14:pctHeight>0</wp14:pctHeight>
            </wp14:sizeRelV>
          </wp:anchor>
        </w:drawing>
      </w:r>
      <w:r w:rsidR="00AF1856">
        <w:rPr>
          <w:rFonts w:ascii="Garamond" w:hAnsi="Garamond" w:cstheme="majorBidi"/>
        </w:rPr>
        <w:t>To measure H2 (A-B), a</w:t>
      </w:r>
      <w:r w:rsidR="00AF1856" w:rsidRPr="00180ED1">
        <w:rPr>
          <w:rFonts w:ascii="Garamond" w:hAnsi="Garamond" w:cstheme="majorBidi"/>
        </w:rPr>
        <w:t xml:space="preserve"> </w:t>
      </w:r>
      <w:r w:rsidR="00635F48" w:rsidRPr="00AB533E">
        <w:rPr>
          <w:rFonts w:ascii="Garamond" w:hAnsi="Garamond" w:cstheme="majorBidi"/>
        </w:rPr>
        <w:t xml:space="preserve">one-way ANOVA revealed a significant effect of disclosure condition on perceived sponsor influence, (F(3, 217) = 21.7, p &lt; .001; see </w:t>
      </w:r>
      <w:r w:rsidR="00635F48" w:rsidRPr="00C45209">
        <w:rPr>
          <w:rFonts w:ascii="Garamond" w:hAnsi="Garamond" w:cstheme="majorBidi"/>
          <w:b/>
          <w:bCs/>
        </w:rPr>
        <w:t xml:space="preserve">Figure </w:t>
      </w:r>
      <w:r w:rsidR="00C45209" w:rsidRPr="00C45209">
        <w:rPr>
          <w:rFonts w:ascii="Garamond" w:hAnsi="Garamond" w:cstheme="majorBidi"/>
          <w:b/>
          <w:bCs/>
        </w:rPr>
        <w:t>5</w:t>
      </w:r>
      <w:r w:rsidR="00635F48" w:rsidRPr="00AB533E">
        <w:rPr>
          <w:rFonts w:ascii="Garamond" w:hAnsi="Garamond" w:cstheme="majorBidi"/>
        </w:rPr>
        <w:t>, left panel). Dunnett-adjusted comparisons to the control condition indicated that all three disclosure conditions—sources, sources + chat, and user confirmation—led to significantly higher ratings of perceived sponsor influence (</w:t>
      </w:r>
      <w:proofErr w:type="spellStart"/>
      <w:r w:rsidR="00635F48" w:rsidRPr="00AB533E">
        <w:rPr>
          <w:rFonts w:ascii="Garamond" w:hAnsi="Garamond" w:cstheme="majorBidi"/>
        </w:rPr>
        <w:t>ps</w:t>
      </w:r>
      <w:proofErr w:type="spellEnd"/>
      <w:r w:rsidR="00635F48" w:rsidRPr="00AB533E">
        <w:rPr>
          <w:rFonts w:ascii="Garamond" w:hAnsi="Garamond" w:cstheme="majorBidi"/>
        </w:rPr>
        <w:t xml:space="preserve"> &lt; .001). In contrast, disclosure </w:t>
      </w:r>
      <w:proofErr w:type="gramStart"/>
      <w:r w:rsidR="00635F48" w:rsidRPr="00AB533E">
        <w:rPr>
          <w:rFonts w:ascii="Garamond" w:hAnsi="Garamond" w:cstheme="majorBidi"/>
        </w:rPr>
        <w:t>condition</w:t>
      </w:r>
      <w:proofErr w:type="gramEnd"/>
      <w:r w:rsidR="00635F48" w:rsidRPr="00AB533E">
        <w:rPr>
          <w:rFonts w:ascii="Garamond" w:hAnsi="Garamond" w:cstheme="majorBidi"/>
        </w:rPr>
        <w:t xml:space="preserve"> did not affect participants’ attitudes toward the chat, including perceived helpfulness, trust, and future reliance (</w:t>
      </w:r>
      <w:proofErr w:type="spellStart"/>
      <w:r w:rsidR="00635F48" w:rsidRPr="00AB533E">
        <w:rPr>
          <w:rFonts w:ascii="Garamond" w:hAnsi="Garamond" w:cstheme="majorBidi"/>
        </w:rPr>
        <w:t>ps</w:t>
      </w:r>
      <w:proofErr w:type="spellEnd"/>
      <w:r w:rsidR="00635F48" w:rsidRPr="00AB533E">
        <w:rPr>
          <w:rFonts w:ascii="Garamond" w:hAnsi="Garamond" w:cstheme="majorBidi"/>
        </w:rPr>
        <w:t xml:space="preserve"> &gt; .16; see </w:t>
      </w:r>
      <w:r w:rsidR="00635F48" w:rsidRPr="00C45209">
        <w:rPr>
          <w:rFonts w:ascii="Garamond" w:hAnsi="Garamond" w:cstheme="majorBidi"/>
          <w:b/>
          <w:bCs/>
        </w:rPr>
        <w:t xml:space="preserve">Figure </w:t>
      </w:r>
      <w:r w:rsidR="00C45209" w:rsidRPr="00C45209">
        <w:rPr>
          <w:rFonts w:ascii="Garamond" w:hAnsi="Garamond" w:cstheme="majorBidi"/>
          <w:b/>
          <w:bCs/>
        </w:rPr>
        <w:t>5</w:t>
      </w:r>
      <w:r w:rsidR="00635F48" w:rsidRPr="00AB533E">
        <w:rPr>
          <w:rFonts w:ascii="Garamond" w:hAnsi="Garamond" w:cstheme="majorBidi"/>
        </w:rPr>
        <w:t>). Overall, the manipulation robustly increased perceived sponsor influence on the chat’s portrayal of the products across all disclosure cues but did not negatively affect participants’ attitudes toward the chat interface.</w:t>
      </w:r>
    </w:p>
    <w:p w14:paraId="465A6769" w14:textId="538B0E3E" w:rsidR="00635F48" w:rsidRPr="00376775" w:rsidRDefault="00376775" w:rsidP="00376775">
      <w:pPr>
        <w:spacing w:after="120"/>
        <w:jc w:val="center"/>
        <w:rPr>
          <w:rFonts w:ascii="Garamond" w:hAnsi="Garamond" w:cstheme="majorBidi"/>
          <w:i/>
          <w:iCs/>
        </w:rPr>
      </w:pPr>
      <w:r w:rsidRPr="00376775">
        <w:rPr>
          <w:rFonts w:ascii="Garamond" w:hAnsi="Garamond" w:cstheme="majorBidi"/>
          <w:b/>
          <w:bCs/>
        </w:rPr>
        <w:t xml:space="preserve">Figure </w:t>
      </w:r>
      <w:r w:rsidR="00C45209">
        <w:rPr>
          <w:rFonts w:ascii="Garamond" w:hAnsi="Garamond" w:cstheme="majorBidi"/>
          <w:b/>
          <w:bCs/>
        </w:rPr>
        <w:t>5</w:t>
      </w:r>
      <w:r w:rsidRPr="00376775">
        <w:rPr>
          <w:rFonts w:ascii="Garamond" w:hAnsi="Garamond" w:cstheme="majorBidi"/>
          <w:b/>
          <w:bCs/>
        </w:rPr>
        <w:t>. Effects of disclosure on perception and attitudes during product selection</w:t>
      </w:r>
    </w:p>
    <w:p w14:paraId="41C03527" w14:textId="153E0A34" w:rsidR="00635F48" w:rsidRDefault="00635F48" w:rsidP="00376775">
      <w:pPr>
        <w:spacing w:after="240" w:line="276" w:lineRule="auto"/>
        <w:jc w:val="both"/>
        <w:rPr>
          <w:rFonts w:ascii="Garamond" w:hAnsi="Garamond" w:cstheme="majorBidi"/>
          <w:sz w:val="18"/>
          <w:szCs w:val="18"/>
        </w:rPr>
      </w:pPr>
      <w:proofErr w:type="spellStart"/>
      <w:r w:rsidRPr="00376775">
        <w:rPr>
          <w:rFonts w:ascii="Garamond" w:hAnsi="Garamond" w:cstheme="majorBidi"/>
          <w:sz w:val="18"/>
          <w:szCs w:val="18"/>
        </w:rPr>
        <w:t>Discl</w:t>
      </w:r>
      <w:proofErr w:type="spellEnd"/>
      <w:r w:rsidRPr="00376775">
        <w:rPr>
          <w:rFonts w:ascii="Garamond" w:hAnsi="Garamond" w:cstheme="majorBidi"/>
          <w:sz w:val="18"/>
          <w:szCs w:val="18"/>
        </w:rPr>
        <w:t xml:space="preserve"> = Disclosure; ND = No disclosure; </w:t>
      </w:r>
      <w:proofErr w:type="spellStart"/>
      <w:r w:rsidRPr="00376775">
        <w:rPr>
          <w:rFonts w:ascii="Garamond" w:hAnsi="Garamond" w:cstheme="majorBidi"/>
          <w:sz w:val="18"/>
          <w:szCs w:val="18"/>
        </w:rPr>
        <w:t>Srcs</w:t>
      </w:r>
      <w:proofErr w:type="spellEnd"/>
      <w:r w:rsidRPr="00376775">
        <w:rPr>
          <w:rFonts w:ascii="Garamond" w:hAnsi="Garamond" w:cstheme="majorBidi"/>
          <w:sz w:val="18"/>
          <w:szCs w:val="18"/>
        </w:rPr>
        <w:t xml:space="preserve"> = Sources. Bars show estimated means (± SE). Asterisks indicate Dunnett tests versus the ND group. </w:t>
      </w:r>
      <w:r w:rsidRPr="00376775">
        <w:rPr>
          <w:rFonts w:ascii="Garamond" w:hAnsi="Garamond" w:cstheme="majorBidi"/>
          <w:i/>
          <w:iCs/>
          <w:sz w:val="18"/>
          <w:szCs w:val="18"/>
        </w:rPr>
        <w:t>N</w:t>
      </w:r>
      <w:r w:rsidRPr="00376775">
        <w:rPr>
          <w:rFonts w:ascii="Garamond" w:hAnsi="Garamond" w:cstheme="majorBidi"/>
          <w:sz w:val="18"/>
          <w:szCs w:val="18"/>
        </w:rPr>
        <w:t xml:space="preserve"> = 221; *** </w:t>
      </w:r>
      <w:r w:rsidRPr="00376775">
        <w:rPr>
          <w:rFonts w:ascii="Garamond" w:hAnsi="Garamond" w:cstheme="majorBidi"/>
          <w:i/>
          <w:iCs/>
          <w:sz w:val="18"/>
          <w:szCs w:val="18"/>
        </w:rPr>
        <w:t>p</w:t>
      </w:r>
      <w:r w:rsidRPr="00376775">
        <w:rPr>
          <w:rFonts w:ascii="Garamond" w:hAnsi="Garamond" w:cstheme="majorBidi"/>
          <w:sz w:val="18"/>
          <w:szCs w:val="18"/>
        </w:rPr>
        <w:t xml:space="preserve"> &lt; .001</w:t>
      </w:r>
    </w:p>
    <w:p w14:paraId="20C615C9" w14:textId="1A3CFDC9" w:rsidR="00A26E11" w:rsidRDefault="00117803" w:rsidP="00A26E11">
      <w:pPr>
        <w:spacing w:after="240"/>
        <w:ind w:firstLine="360"/>
        <w:jc w:val="both"/>
        <w:rPr>
          <w:rFonts w:ascii="Garamond" w:hAnsi="Garamond" w:cstheme="majorBidi"/>
        </w:rPr>
      </w:pPr>
      <w:r>
        <w:rPr>
          <w:rFonts w:ascii="Garamond" w:hAnsi="Garamond" w:cstheme="majorBidi"/>
        </w:rPr>
        <w:t xml:space="preserve">To measure H2 (C), </w:t>
      </w:r>
      <w:r w:rsidR="00A26E11">
        <w:rPr>
          <w:rFonts w:ascii="Garamond" w:hAnsi="Garamond" w:cstheme="majorBidi"/>
          <w:sz w:val="18"/>
          <w:szCs w:val="18"/>
        </w:rPr>
        <w:t>a</w:t>
      </w:r>
      <w:r w:rsidR="00357E0B" w:rsidRPr="00117803">
        <w:rPr>
          <w:rFonts w:ascii="Garamond" w:hAnsi="Garamond" w:cstheme="majorBidi"/>
        </w:rPr>
        <w:t xml:space="preserve"> one-way ANOVA revealed no significant effect of disclosure condition on attitudes toward the selected product for either liking (F(3, 217) = 1.66, p = .18) or recommendation (F(3, 217) = 0.12, p = .95; see </w:t>
      </w:r>
      <w:r w:rsidR="00357E0B" w:rsidRPr="00C45209">
        <w:rPr>
          <w:rFonts w:ascii="Garamond" w:hAnsi="Garamond" w:cstheme="majorBidi"/>
          <w:b/>
          <w:bCs/>
        </w:rPr>
        <w:t xml:space="preserve">Figure </w:t>
      </w:r>
      <w:r w:rsidR="00C45209" w:rsidRPr="00C45209">
        <w:rPr>
          <w:rFonts w:ascii="Garamond" w:hAnsi="Garamond" w:cstheme="majorBidi"/>
          <w:b/>
          <w:bCs/>
        </w:rPr>
        <w:t>6</w:t>
      </w:r>
      <w:r w:rsidR="00357E0B" w:rsidRPr="00117803">
        <w:rPr>
          <w:rFonts w:ascii="Garamond" w:hAnsi="Garamond" w:cstheme="majorBidi"/>
        </w:rPr>
        <w:t xml:space="preserve">, left panels). In contrast, for the other (non-selected) product, there was a significant condition effect on liking (F(3, 217) = 3.82, p = .011) and a marginal effect on recommendation (F(3, 217) = 2.55, p = .057; see </w:t>
      </w:r>
      <w:r w:rsidR="00357E0B" w:rsidRPr="00C45209">
        <w:rPr>
          <w:rFonts w:ascii="Garamond" w:hAnsi="Garamond" w:cstheme="majorBidi"/>
          <w:b/>
          <w:bCs/>
        </w:rPr>
        <w:t xml:space="preserve">Figure </w:t>
      </w:r>
      <w:r w:rsidR="00C45209" w:rsidRPr="00C45209">
        <w:rPr>
          <w:rFonts w:ascii="Garamond" w:hAnsi="Garamond" w:cstheme="majorBidi"/>
          <w:b/>
          <w:bCs/>
        </w:rPr>
        <w:t>6</w:t>
      </w:r>
      <w:r w:rsidR="00357E0B" w:rsidRPr="00117803">
        <w:rPr>
          <w:rFonts w:ascii="Garamond" w:hAnsi="Garamond" w:cstheme="majorBidi"/>
        </w:rPr>
        <w:t>, right panels). Dunnett-adjusted contrasts indicated that only the user confirmation condition led to significantly lower liking (p = .008) and lower willingness to recommend (p = .036) the non-selected product compared to the control condition. No other contrasts reached significance (</w:t>
      </w:r>
      <w:proofErr w:type="spellStart"/>
      <w:r w:rsidR="00357E0B" w:rsidRPr="00117803">
        <w:rPr>
          <w:rFonts w:ascii="Garamond" w:hAnsi="Garamond" w:cstheme="majorBidi"/>
        </w:rPr>
        <w:t>ps</w:t>
      </w:r>
      <w:proofErr w:type="spellEnd"/>
      <w:r w:rsidR="00357E0B" w:rsidRPr="00117803">
        <w:rPr>
          <w:rFonts w:ascii="Garamond" w:hAnsi="Garamond" w:cstheme="majorBidi"/>
        </w:rPr>
        <w:t xml:space="preserve"> &gt; .38).</w:t>
      </w:r>
    </w:p>
    <w:p w14:paraId="2A86998C" w14:textId="77777777" w:rsidR="00605F84" w:rsidRDefault="00357E0B" w:rsidP="00605F84">
      <w:pPr>
        <w:spacing w:after="240"/>
        <w:ind w:firstLine="360"/>
        <w:jc w:val="both"/>
        <w:rPr>
          <w:rFonts w:ascii="Garamond" w:hAnsi="Garamond" w:cstheme="majorBidi"/>
        </w:rPr>
      </w:pPr>
      <w:r w:rsidRPr="00117803">
        <w:rPr>
          <w:rFonts w:ascii="Garamond" w:hAnsi="Garamond" w:cstheme="majorBidi"/>
        </w:rPr>
        <w:t>To examine whether this pattern reflected disclosure effects or selective exposure, we compared participants who revealed the sponsored product to those who did not within the user confirmation condition. This analysis did not reveal significant differences in liking (t56 = -1.72, p = .092) or willingness to recommend (t56 = –1.36, p = .179) between revealers and non-revealers.</w:t>
      </w:r>
    </w:p>
    <w:p w14:paraId="18A07639" w14:textId="4DC9D1DC" w:rsidR="00357E0B" w:rsidRPr="00117803" w:rsidRDefault="00605F84" w:rsidP="00605F84">
      <w:pPr>
        <w:spacing w:after="240"/>
        <w:ind w:firstLine="360"/>
        <w:jc w:val="both"/>
        <w:rPr>
          <w:rFonts w:ascii="Garamond" w:hAnsi="Garamond" w:cstheme="majorBidi"/>
        </w:rPr>
      </w:pPr>
      <w:r>
        <w:rPr>
          <w:rFonts w:ascii="Roboto Condensed" w:hAnsi="Roboto Condensed" w:cstheme="majorBidi"/>
          <w:b/>
          <w:bCs/>
          <w:noProof/>
        </w:rPr>
        <w:drawing>
          <wp:anchor distT="107950" distB="107950" distL="114300" distR="114300" simplePos="0" relativeHeight="251666437" behindDoc="0" locked="0" layoutInCell="1" allowOverlap="1" wp14:anchorId="5E85C719" wp14:editId="3B494699">
            <wp:simplePos x="0" y="0"/>
            <wp:positionH relativeFrom="margin">
              <wp:posOffset>52753</wp:posOffset>
            </wp:positionH>
            <wp:positionV relativeFrom="page">
              <wp:posOffset>5774935</wp:posOffset>
            </wp:positionV>
            <wp:extent cx="3733800" cy="1784985"/>
            <wp:effectExtent l="0" t="0" r="0" b="5715"/>
            <wp:wrapTopAndBottom/>
            <wp:docPr id="139026987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80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E0B" w:rsidRPr="00117803">
        <w:rPr>
          <w:rFonts w:ascii="Garamond" w:hAnsi="Garamond" w:cstheme="majorBidi"/>
        </w:rPr>
        <w:t>Overall, disclosure did not alter attitudes toward the chosen product, but the high-saliency and activity-contingent sponsorship cue (i.e., user confirmation) decreased evaluations of the competing option, indicating a shift away from the other product rather than a general reduction in positive attitudes.</w:t>
      </w:r>
    </w:p>
    <w:p w14:paraId="5EE43342" w14:textId="32A20286" w:rsidR="00357E0B" w:rsidRDefault="00357E0B" w:rsidP="00357E0B">
      <w:pPr>
        <w:spacing w:after="120"/>
        <w:rPr>
          <w:rFonts w:cstheme="majorBidi"/>
          <w:i/>
          <w:iCs/>
        </w:rPr>
      </w:pPr>
    </w:p>
    <w:p w14:paraId="6DA08A58" w14:textId="3932410D" w:rsidR="00605F84" w:rsidRPr="00605F84" w:rsidRDefault="00605F84" w:rsidP="00605F84">
      <w:pPr>
        <w:spacing w:after="120"/>
        <w:jc w:val="center"/>
        <w:rPr>
          <w:rFonts w:ascii="Garamond" w:hAnsi="Garamond" w:cstheme="majorBidi"/>
          <w:i/>
          <w:iCs/>
        </w:rPr>
      </w:pPr>
      <w:r w:rsidRPr="00605F84">
        <w:rPr>
          <w:rFonts w:ascii="Garamond" w:hAnsi="Garamond" w:cstheme="majorBidi"/>
          <w:b/>
          <w:bCs/>
        </w:rPr>
        <w:t xml:space="preserve">Figure </w:t>
      </w:r>
      <w:r w:rsidR="00C45209">
        <w:rPr>
          <w:rFonts w:ascii="Garamond" w:hAnsi="Garamond" w:cstheme="majorBidi"/>
          <w:b/>
          <w:bCs/>
        </w:rPr>
        <w:t>6</w:t>
      </w:r>
      <w:r w:rsidRPr="00605F84">
        <w:rPr>
          <w:rFonts w:ascii="Garamond" w:hAnsi="Garamond" w:cstheme="majorBidi"/>
          <w:b/>
          <w:bCs/>
        </w:rPr>
        <w:t>. Effects of disclosure on attitudes toward the products</w:t>
      </w:r>
    </w:p>
    <w:p w14:paraId="4562E16B" w14:textId="1DFB53C8" w:rsidR="00B94C93" w:rsidRPr="00605F84" w:rsidRDefault="00357E0B" w:rsidP="00605F84">
      <w:pPr>
        <w:spacing w:after="240" w:line="276" w:lineRule="auto"/>
        <w:jc w:val="both"/>
        <w:rPr>
          <w:rFonts w:ascii="Garamond" w:hAnsi="Garamond" w:cstheme="majorBidi"/>
        </w:rPr>
      </w:pPr>
      <w:proofErr w:type="spellStart"/>
      <w:r w:rsidRPr="00605F84">
        <w:rPr>
          <w:rFonts w:ascii="Garamond" w:hAnsi="Garamond" w:cstheme="majorBidi"/>
          <w:sz w:val="18"/>
          <w:szCs w:val="18"/>
        </w:rPr>
        <w:t>Discl</w:t>
      </w:r>
      <w:proofErr w:type="spellEnd"/>
      <w:r w:rsidRPr="00605F84">
        <w:rPr>
          <w:rFonts w:ascii="Garamond" w:hAnsi="Garamond" w:cstheme="majorBidi"/>
          <w:sz w:val="18"/>
          <w:szCs w:val="18"/>
        </w:rPr>
        <w:t xml:space="preserve"> = Disclosure; ND = No disclosure; </w:t>
      </w:r>
      <w:proofErr w:type="spellStart"/>
      <w:r w:rsidRPr="00605F84">
        <w:rPr>
          <w:rFonts w:ascii="Garamond" w:hAnsi="Garamond" w:cstheme="majorBidi"/>
          <w:sz w:val="18"/>
          <w:szCs w:val="18"/>
        </w:rPr>
        <w:t>Srcs</w:t>
      </w:r>
      <w:proofErr w:type="spellEnd"/>
      <w:r w:rsidRPr="00605F84">
        <w:rPr>
          <w:rFonts w:ascii="Garamond" w:hAnsi="Garamond" w:cstheme="majorBidi"/>
          <w:sz w:val="18"/>
          <w:szCs w:val="18"/>
        </w:rPr>
        <w:t xml:space="preserve"> = Sources. Bars show estimated means (± SE) for liking and willingness to recommend the selected product (left panels) and the other/non-selected product (right panels). Asterisks indicate Dunnett tests versus the ND + </w:t>
      </w:r>
      <w:proofErr w:type="spellStart"/>
      <w:r w:rsidRPr="00605F84">
        <w:rPr>
          <w:rFonts w:ascii="Garamond" w:hAnsi="Garamond" w:cstheme="majorBidi"/>
          <w:sz w:val="18"/>
          <w:szCs w:val="18"/>
        </w:rPr>
        <w:t>Srcs</w:t>
      </w:r>
      <w:proofErr w:type="spellEnd"/>
      <w:r w:rsidRPr="00605F84">
        <w:rPr>
          <w:rFonts w:ascii="Garamond" w:hAnsi="Garamond" w:cstheme="majorBidi"/>
          <w:sz w:val="18"/>
          <w:szCs w:val="18"/>
        </w:rPr>
        <w:t xml:space="preserve"> group. </w:t>
      </w:r>
      <w:r w:rsidRPr="00605F84">
        <w:rPr>
          <w:rFonts w:ascii="Garamond" w:hAnsi="Garamond" w:cstheme="majorBidi"/>
          <w:i/>
          <w:iCs/>
          <w:sz w:val="18"/>
          <w:szCs w:val="18"/>
        </w:rPr>
        <w:t>N</w:t>
      </w:r>
      <w:r w:rsidRPr="00605F84">
        <w:rPr>
          <w:rFonts w:ascii="Garamond" w:hAnsi="Garamond" w:cstheme="majorBidi"/>
          <w:sz w:val="18"/>
          <w:szCs w:val="18"/>
        </w:rPr>
        <w:t xml:space="preserve"> = 221; ** </w:t>
      </w:r>
      <w:r w:rsidRPr="00605F84">
        <w:rPr>
          <w:rFonts w:ascii="Garamond" w:hAnsi="Garamond" w:cstheme="majorBidi"/>
          <w:i/>
          <w:iCs/>
          <w:sz w:val="18"/>
          <w:szCs w:val="18"/>
        </w:rPr>
        <w:t>p</w:t>
      </w:r>
      <w:r w:rsidRPr="00605F84">
        <w:rPr>
          <w:rFonts w:ascii="Garamond" w:hAnsi="Garamond" w:cstheme="majorBidi"/>
          <w:sz w:val="18"/>
          <w:szCs w:val="18"/>
        </w:rPr>
        <w:t xml:space="preserve"> &lt; .01, *</w:t>
      </w:r>
      <w:r w:rsidRPr="00605F84">
        <w:rPr>
          <w:rFonts w:ascii="Garamond" w:hAnsi="Garamond" w:cstheme="majorBidi"/>
          <w:i/>
          <w:iCs/>
          <w:sz w:val="18"/>
          <w:szCs w:val="18"/>
        </w:rPr>
        <w:t xml:space="preserve"> p</w:t>
      </w:r>
      <w:r w:rsidRPr="00605F84">
        <w:rPr>
          <w:rFonts w:ascii="Garamond" w:hAnsi="Garamond" w:cstheme="majorBidi"/>
          <w:sz w:val="18"/>
          <w:szCs w:val="18"/>
        </w:rPr>
        <w:t xml:space="preserve"> &lt; .05</w:t>
      </w:r>
    </w:p>
    <w:p w14:paraId="2E8484C1" w14:textId="3F4A2F00" w:rsidR="006174B7" w:rsidRDefault="00F82AC5" w:rsidP="00D91207">
      <w:pPr>
        <w:pStyle w:val="Style2"/>
      </w:pPr>
      <w:r>
        <w:t>Behavioral Pattern Effects</w:t>
      </w:r>
    </w:p>
    <w:p w14:paraId="605454C2" w14:textId="2FF78A75" w:rsidR="00B04DA7" w:rsidRDefault="00F82AC5" w:rsidP="00B04DA7">
      <w:pPr>
        <w:spacing w:after="240"/>
        <w:ind w:firstLine="360"/>
        <w:jc w:val="both"/>
        <w:rPr>
          <w:rFonts w:ascii="Garamond" w:hAnsi="Garamond" w:cstheme="majorBidi"/>
        </w:rPr>
      </w:pPr>
      <w:r>
        <w:rPr>
          <w:rFonts w:ascii="Garamond" w:hAnsi="Garamond" w:cstheme="majorBidi"/>
        </w:rPr>
        <w:t xml:space="preserve">The most important finding in Study II was the effect of disclosure on </w:t>
      </w:r>
      <w:r w:rsidR="00352A22">
        <w:rPr>
          <w:rFonts w:ascii="Garamond" w:hAnsi="Garamond" w:cstheme="majorBidi"/>
        </w:rPr>
        <w:t xml:space="preserve">consumers’ purchasing intentions (H3b), as can be learned from </w:t>
      </w:r>
      <w:r w:rsidR="005C7E0D">
        <w:rPr>
          <w:rFonts w:ascii="Garamond" w:hAnsi="Garamond" w:cstheme="majorBidi"/>
        </w:rPr>
        <w:t xml:space="preserve">product selection patterns. </w:t>
      </w:r>
      <w:r w:rsidR="00CD0F91">
        <w:rPr>
          <w:rFonts w:ascii="Garamond" w:hAnsi="Garamond" w:cstheme="majorBidi"/>
        </w:rPr>
        <w:t xml:space="preserve">To measure </w:t>
      </w:r>
      <w:r w:rsidR="00352A22">
        <w:rPr>
          <w:rFonts w:ascii="Garamond" w:hAnsi="Garamond" w:cstheme="majorBidi"/>
        </w:rPr>
        <w:t>that effect</w:t>
      </w:r>
      <w:r w:rsidR="00CD0F91">
        <w:rPr>
          <w:rFonts w:ascii="Garamond" w:hAnsi="Garamond" w:cstheme="majorBidi"/>
        </w:rPr>
        <w:t>, a</w:t>
      </w:r>
      <w:r w:rsidR="00CD0F91" w:rsidRPr="00CD0F91">
        <w:rPr>
          <w:rFonts w:ascii="Garamond" w:hAnsi="Garamond" w:cstheme="majorBidi"/>
        </w:rPr>
        <w:t xml:space="preserve"> chi-square test revealed a significant effect of disclosure condition on product selection (χ²(3) = 19.2, p &lt; .001; see </w:t>
      </w:r>
      <w:r w:rsidR="00CD0F91" w:rsidRPr="00C45209">
        <w:rPr>
          <w:rFonts w:ascii="Garamond" w:hAnsi="Garamond" w:cstheme="majorBidi"/>
          <w:b/>
          <w:bCs/>
        </w:rPr>
        <w:t xml:space="preserve">Figure </w:t>
      </w:r>
      <w:r w:rsidR="00C45209" w:rsidRPr="00C45209">
        <w:rPr>
          <w:rFonts w:ascii="Garamond" w:hAnsi="Garamond" w:cstheme="majorBidi"/>
          <w:b/>
          <w:bCs/>
        </w:rPr>
        <w:t>7</w:t>
      </w:r>
      <w:r w:rsidR="00CD0F91" w:rsidRPr="00CD0F91">
        <w:rPr>
          <w:rFonts w:ascii="Garamond" w:hAnsi="Garamond" w:cstheme="majorBidi"/>
        </w:rPr>
        <w:t>, left panel). Dunnett-adjusted comparisons to the no disclosure-control condition indicated that selection of the sponsored product was significantly lower when user confirmation was required prior to revealing the sponsored product (p &lt; .001), whereas the disclosure in sources or in both sources and chat differed from baseline (</w:t>
      </w:r>
      <w:proofErr w:type="spellStart"/>
      <w:r w:rsidR="00CD0F91" w:rsidRPr="00CD0F91">
        <w:rPr>
          <w:rFonts w:ascii="Garamond" w:hAnsi="Garamond" w:cstheme="majorBidi"/>
        </w:rPr>
        <w:t>ps</w:t>
      </w:r>
      <w:proofErr w:type="spellEnd"/>
      <w:r w:rsidR="00CD0F91" w:rsidRPr="00CD0F91">
        <w:rPr>
          <w:rFonts w:ascii="Garamond" w:hAnsi="Garamond" w:cstheme="majorBidi"/>
        </w:rPr>
        <w:t xml:space="preserve"> &gt; .23). Bonferroni-adjusted pairwise tests further confirmed that requiring user confirmation yielded lower selection rates than all other conditions. Relative to chance level (50%), binomial tests indicated selection did not deviate significantly in the control (sources-only), sources disclosure, or sources + chat disclosure conditions (</w:t>
      </w:r>
      <w:proofErr w:type="spellStart"/>
      <w:r w:rsidR="00CD0F91" w:rsidRPr="00CD0F91">
        <w:rPr>
          <w:rFonts w:ascii="Garamond" w:hAnsi="Garamond" w:cstheme="majorBidi"/>
        </w:rPr>
        <w:t>ps</w:t>
      </w:r>
      <w:proofErr w:type="spellEnd"/>
      <w:r w:rsidR="00CD0F91" w:rsidRPr="00CD0F91">
        <w:rPr>
          <w:rFonts w:ascii="Garamond" w:hAnsi="Garamond" w:cstheme="majorBidi"/>
        </w:rPr>
        <w:t xml:space="preserve"> &gt; .087), but was lower in the user confirmation condition (p &lt; .001).</w:t>
      </w:r>
    </w:p>
    <w:p w14:paraId="610B83C2" w14:textId="5FE410AB" w:rsidR="00CD0F91" w:rsidRPr="00CD0F91" w:rsidRDefault="00CD0F91" w:rsidP="00B04DA7">
      <w:pPr>
        <w:spacing w:after="240"/>
        <w:ind w:firstLine="360"/>
        <w:jc w:val="both"/>
        <w:rPr>
          <w:rFonts w:ascii="Garamond" w:hAnsi="Garamond" w:cstheme="majorBidi"/>
        </w:rPr>
      </w:pPr>
      <w:r w:rsidRPr="00CD0F91">
        <w:rPr>
          <w:rFonts w:ascii="Garamond" w:hAnsi="Garamond" w:cstheme="majorBidi"/>
        </w:rPr>
        <w:t xml:space="preserve">An additional analysis within the user confirmation condition demonstrated that participants who actively clicked to reveal the sponsored product selected it more often than those who did not (χ²(1) = 7.04, p = .008 (see </w:t>
      </w:r>
      <w:r w:rsidRPr="00C45209">
        <w:rPr>
          <w:rFonts w:ascii="Garamond" w:hAnsi="Garamond" w:cstheme="majorBidi"/>
          <w:b/>
          <w:bCs/>
        </w:rPr>
        <w:t xml:space="preserve">Figure </w:t>
      </w:r>
      <w:r w:rsidR="00C45209" w:rsidRPr="00C45209">
        <w:rPr>
          <w:rFonts w:ascii="Garamond" w:hAnsi="Garamond" w:cstheme="majorBidi"/>
          <w:b/>
          <w:bCs/>
        </w:rPr>
        <w:t>7</w:t>
      </w:r>
      <w:r w:rsidRPr="00CD0F91">
        <w:rPr>
          <w:rFonts w:ascii="Garamond" w:hAnsi="Garamond" w:cstheme="majorBidi"/>
        </w:rPr>
        <w:t>, right panel). However, binomial tests indicated that both those who revealed (p = .038) and those who did not (p &lt; .001), chose the sponsored product below chance level.</w:t>
      </w:r>
    </w:p>
    <w:p w14:paraId="11CA91A1" w14:textId="45A6009E" w:rsidR="00CD0F91" w:rsidRPr="00BD316B" w:rsidRDefault="00CD0F91" w:rsidP="00CD0F91">
      <w:pPr>
        <w:spacing w:after="120"/>
        <w:rPr>
          <w:rFonts w:ascii="Garamond" w:hAnsi="Garamond" w:cstheme="majorBidi"/>
        </w:rPr>
      </w:pPr>
      <w:r w:rsidRPr="00BD316B">
        <w:rPr>
          <w:rFonts w:ascii="Garamond" w:hAnsi="Garamond" w:cstheme="majorBidi"/>
          <w:noProof/>
        </w:rPr>
        <w:drawing>
          <wp:anchor distT="107950" distB="107950" distL="114300" distR="114300" simplePos="0" relativeHeight="251660293" behindDoc="0" locked="0" layoutInCell="1" allowOverlap="1" wp14:anchorId="25C07597" wp14:editId="7DA860C1">
            <wp:simplePos x="0" y="0"/>
            <wp:positionH relativeFrom="margin">
              <wp:align>center</wp:align>
            </wp:positionH>
            <wp:positionV relativeFrom="paragraph">
              <wp:posOffset>292539</wp:posOffset>
            </wp:positionV>
            <wp:extent cx="3134360" cy="2277110"/>
            <wp:effectExtent l="0" t="0" r="8890" b="8890"/>
            <wp:wrapTopAndBottom/>
            <wp:docPr id="187630424"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0424"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134360" cy="2277110"/>
                    </a:xfrm>
                    <a:prstGeom prst="rect">
                      <a:avLst/>
                    </a:prstGeom>
                  </pic:spPr>
                </pic:pic>
              </a:graphicData>
            </a:graphic>
            <wp14:sizeRelH relativeFrom="page">
              <wp14:pctWidth>0</wp14:pctWidth>
            </wp14:sizeRelH>
            <wp14:sizeRelV relativeFrom="page">
              <wp14:pctHeight>0</wp14:pctHeight>
            </wp14:sizeRelV>
          </wp:anchor>
        </w:drawing>
      </w:r>
    </w:p>
    <w:p w14:paraId="1E9E9926" w14:textId="4A77B7B7" w:rsidR="00BD316B" w:rsidRDefault="00BD316B" w:rsidP="00BD316B">
      <w:pPr>
        <w:spacing w:after="240" w:line="276" w:lineRule="auto"/>
        <w:jc w:val="center"/>
        <w:rPr>
          <w:rFonts w:ascii="Garamond" w:hAnsi="Garamond" w:cstheme="majorBidi"/>
          <w:sz w:val="18"/>
          <w:szCs w:val="18"/>
        </w:rPr>
      </w:pPr>
      <w:r w:rsidRPr="00BD316B">
        <w:rPr>
          <w:rFonts w:ascii="Garamond" w:hAnsi="Garamond" w:cstheme="majorBidi"/>
          <w:b/>
          <w:bCs/>
        </w:rPr>
        <w:t xml:space="preserve">Figure </w:t>
      </w:r>
      <w:r w:rsidR="00C45209">
        <w:rPr>
          <w:rFonts w:ascii="Garamond" w:hAnsi="Garamond" w:cstheme="majorBidi"/>
          <w:b/>
          <w:bCs/>
        </w:rPr>
        <w:t>7</w:t>
      </w:r>
      <w:r w:rsidRPr="00BD316B">
        <w:rPr>
          <w:rFonts w:ascii="Garamond" w:hAnsi="Garamond" w:cstheme="majorBidi"/>
          <w:b/>
          <w:bCs/>
        </w:rPr>
        <w:t xml:space="preserve">. Effects of disclosure on </w:t>
      </w:r>
      <w:r w:rsidR="00075027">
        <w:rPr>
          <w:rFonts w:ascii="Garamond" w:hAnsi="Garamond" w:cstheme="majorBidi"/>
          <w:b/>
          <w:bCs/>
        </w:rPr>
        <w:t xml:space="preserve">sponsored </w:t>
      </w:r>
      <w:r w:rsidRPr="00BD316B">
        <w:rPr>
          <w:rFonts w:ascii="Garamond" w:hAnsi="Garamond" w:cstheme="majorBidi"/>
          <w:b/>
          <w:bCs/>
        </w:rPr>
        <w:t>product selection</w:t>
      </w:r>
    </w:p>
    <w:p w14:paraId="23419366" w14:textId="0C727928" w:rsidR="00CD0F91" w:rsidRDefault="00CD0F91" w:rsidP="00BD316B">
      <w:pPr>
        <w:spacing w:after="240" w:line="276" w:lineRule="auto"/>
        <w:jc w:val="both"/>
        <w:rPr>
          <w:rFonts w:ascii="Garamond" w:hAnsi="Garamond" w:cstheme="majorBidi"/>
          <w:sz w:val="18"/>
          <w:szCs w:val="18"/>
        </w:rPr>
      </w:pPr>
      <w:r w:rsidRPr="00BD316B">
        <w:rPr>
          <w:rFonts w:ascii="Garamond" w:hAnsi="Garamond" w:cstheme="majorBidi"/>
          <w:sz w:val="18"/>
          <w:szCs w:val="18"/>
        </w:rPr>
        <w:t xml:space="preserve">Conf = Confirmation; </w:t>
      </w:r>
      <w:proofErr w:type="spellStart"/>
      <w:r w:rsidRPr="00BD316B">
        <w:rPr>
          <w:rFonts w:ascii="Garamond" w:hAnsi="Garamond" w:cstheme="majorBidi"/>
          <w:sz w:val="18"/>
          <w:szCs w:val="18"/>
        </w:rPr>
        <w:t>Discl</w:t>
      </w:r>
      <w:proofErr w:type="spellEnd"/>
      <w:r w:rsidRPr="00BD316B">
        <w:rPr>
          <w:rFonts w:ascii="Garamond" w:hAnsi="Garamond" w:cstheme="majorBidi"/>
          <w:sz w:val="18"/>
          <w:szCs w:val="18"/>
        </w:rPr>
        <w:t xml:space="preserve"> = Disclosure; ND = No disclosure; </w:t>
      </w:r>
      <w:proofErr w:type="spellStart"/>
      <w:r w:rsidRPr="00BD316B">
        <w:rPr>
          <w:rFonts w:ascii="Garamond" w:hAnsi="Garamond" w:cstheme="majorBidi"/>
          <w:sz w:val="18"/>
          <w:szCs w:val="18"/>
        </w:rPr>
        <w:t>Srcs</w:t>
      </w:r>
      <w:proofErr w:type="spellEnd"/>
      <w:r w:rsidRPr="00BD316B">
        <w:rPr>
          <w:rFonts w:ascii="Garamond" w:hAnsi="Garamond" w:cstheme="majorBidi"/>
          <w:sz w:val="18"/>
          <w:szCs w:val="18"/>
        </w:rPr>
        <w:t xml:space="preserve"> = Sources. Bars show proportions of participants selecting the sponsored product across disclosure conditions (left panel) and within the user confirmation condition (right panel). Asterisks indicate Dunnett tests versus the ND + </w:t>
      </w:r>
      <w:proofErr w:type="spellStart"/>
      <w:r w:rsidRPr="00BD316B">
        <w:rPr>
          <w:rFonts w:ascii="Garamond" w:hAnsi="Garamond" w:cstheme="majorBidi"/>
          <w:sz w:val="18"/>
          <w:szCs w:val="18"/>
        </w:rPr>
        <w:t>Srcs</w:t>
      </w:r>
      <w:proofErr w:type="spellEnd"/>
      <w:r w:rsidRPr="00BD316B">
        <w:rPr>
          <w:rFonts w:ascii="Garamond" w:hAnsi="Garamond" w:cstheme="majorBidi"/>
          <w:sz w:val="18"/>
          <w:szCs w:val="18"/>
        </w:rPr>
        <w:t xml:space="preserve"> group (left panel) and the non-revealers group (right panel). Different letters denote Bonferroni-adjusted pairwise differences (</w:t>
      </w:r>
      <w:r w:rsidRPr="00BD316B">
        <w:rPr>
          <w:rFonts w:ascii="Garamond" w:hAnsi="Garamond" w:cstheme="majorBidi"/>
          <w:i/>
          <w:iCs/>
          <w:sz w:val="18"/>
          <w:szCs w:val="18"/>
        </w:rPr>
        <w:t>p</w:t>
      </w:r>
      <w:r w:rsidRPr="00BD316B">
        <w:rPr>
          <w:rFonts w:ascii="Garamond" w:hAnsi="Garamond" w:cstheme="majorBidi"/>
          <w:sz w:val="18"/>
          <w:szCs w:val="18"/>
        </w:rPr>
        <w:t xml:space="preserve"> &lt; .05). Δ indicates significant binomial tests against chance level (50%). </w:t>
      </w:r>
      <w:r w:rsidRPr="00BD316B">
        <w:rPr>
          <w:rFonts w:ascii="Garamond" w:hAnsi="Garamond" w:cstheme="majorBidi"/>
          <w:i/>
          <w:iCs/>
          <w:sz w:val="18"/>
          <w:szCs w:val="18"/>
        </w:rPr>
        <w:t>N</w:t>
      </w:r>
      <w:r w:rsidRPr="00BD316B">
        <w:rPr>
          <w:rFonts w:ascii="Garamond" w:hAnsi="Garamond" w:cstheme="majorBidi"/>
          <w:sz w:val="18"/>
          <w:szCs w:val="18"/>
        </w:rPr>
        <w:t xml:space="preserve"> = 221; *** </w:t>
      </w:r>
      <w:r w:rsidRPr="00BD316B">
        <w:rPr>
          <w:rFonts w:ascii="Garamond" w:hAnsi="Garamond" w:cstheme="majorBidi"/>
          <w:i/>
          <w:iCs/>
          <w:sz w:val="18"/>
          <w:szCs w:val="18"/>
        </w:rPr>
        <w:t>p</w:t>
      </w:r>
      <w:r w:rsidRPr="00BD316B">
        <w:rPr>
          <w:rFonts w:ascii="Garamond" w:hAnsi="Garamond" w:cstheme="majorBidi"/>
          <w:sz w:val="18"/>
          <w:szCs w:val="18"/>
        </w:rPr>
        <w:t xml:space="preserve"> &lt; .001, ** </w:t>
      </w:r>
      <w:r w:rsidRPr="00BD316B">
        <w:rPr>
          <w:rFonts w:ascii="Garamond" w:hAnsi="Garamond" w:cstheme="majorBidi"/>
          <w:i/>
          <w:iCs/>
          <w:sz w:val="18"/>
          <w:szCs w:val="18"/>
        </w:rPr>
        <w:t>p</w:t>
      </w:r>
      <w:r w:rsidRPr="00BD316B">
        <w:rPr>
          <w:rFonts w:ascii="Garamond" w:hAnsi="Garamond" w:cstheme="majorBidi"/>
          <w:sz w:val="18"/>
          <w:szCs w:val="18"/>
        </w:rPr>
        <w:t xml:space="preserve"> &lt; .01, * </w:t>
      </w:r>
      <w:r w:rsidRPr="00BD316B">
        <w:rPr>
          <w:rFonts w:ascii="Garamond" w:hAnsi="Garamond" w:cstheme="majorBidi"/>
          <w:i/>
          <w:iCs/>
          <w:sz w:val="18"/>
          <w:szCs w:val="18"/>
        </w:rPr>
        <w:t>p</w:t>
      </w:r>
      <w:r w:rsidRPr="00BD316B">
        <w:rPr>
          <w:rFonts w:ascii="Garamond" w:hAnsi="Garamond" w:cstheme="majorBidi"/>
          <w:sz w:val="18"/>
          <w:szCs w:val="18"/>
        </w:rPr>
        <w:t xml:space="preserve"> &lt; .05</w:t>
      </w:r>
    </w:p>
    <w:p w14:paraId="445CC412" w14:textId="6E9BD3A6" w:rsidR="003D03A6" w:rsidRDefault="003D03A6" w:rsidP="003D03A6">
      <w:pPr>
        <w:pStyle w:val="Heading1"/>
        <w:rPr>
          <w:rFonts w:ascii="Garamond" w:hAnsi="Garamond"/>
        </w:rPr>
      </w:pPr>
      <w:bookmarkStart w:id="81" w:name="_Toc202804175"/>
      <w:bookmarkStart w:id="82" w:name="_Toc212649940"/>
      <w:r w:rsidRPr="001A045C">
        <w:rPr>
          <w:rFonts w:ascii="Garamond" w:hAnsi="Garamond"/>
        </w:rPr>
        <w:t>Policy Implications</w:t>
      </w:r>
      <w:bookmarkEnd w:id="81"/>
      <w:bookmarkEnd w:id="82"/>
    </w:p>
    <w:p w14:paraId="29C2A081" w14:textId="77777777" w:rsidR="00855474" w:rsidRDefault="00855474" w:rsidP="00855474">
      <w:pPr>
        <w:spacing w:after="240"/>
        <w:ind w:firstLine="360"/>
        <w:jc w:val="both"/>
        <w:rPr>
          <w:rFonts w:ascii="Garamond" w:hAnsi="Garamond" w:cstheme="majorBidi"/>
          <w:lang w:bidi="he-IL"/>
        </w:rPr>
      </w:pPr>
      <w:r w:rsidRPr="00855474">
        <w:rPr>
          <w:rFonts w:ascii="Garamond" w:hAnsi="Garamond" w:cstheme="majorBidi"/>
          <w:lang w:bidi="he-IL"/>
        </w:rPr>
        <w:t>The findings of these studies carry significant implications for consumer-protection law and the regulation of AI-mediated advertising. On the one hand, they show that genernative advertising reproduces—and in some cases intensifies—the concerns long associated with native advertising: consumers frequently fail to detect underlying commercial influence, leaving them vulnerable to manipulation. On the other hand, the same studies demonstrate that GenAI chatbots offer an unprecedented opportunity for remedial innovation. Their interactive, adaptive format allows for more effective informational disclosures and behavioral nudges than have been feasible in traditional media.</w:t>
      </w:r>
    </w:p>
    <w:p w14:paraId="36BC49AF" w14:textId="4832B8F1" w:rsidR="00B37F53" w:rsidRDefault="004F6AC0" w:rsidP="00F4749E">
      <w:pPr>
        <w:spacing w:after="240"/>
        <w:ind w:firstLine="360"/>
        <w:jc w:val="both"/>
        <w:rPr>
          <w:rFonts w:ascii="Garamond" w:hAnsi="Garamond" w:cstheme="majorBidi"/>
          <w:lang w:bidi="he-IL"/>
        </w:rPr>
      </w:pPr>
      <w:r w:rsidRPr="00B37F53">
        <w:rPr>
          <w:rFonts w:ascii="Garamond" w:hAnsi="Garamond" w:cstheme="majorBidi"/>
          <w:lang w:bidi="he-IL"/>
        </w:rPr>
        <w:t xml:space="preserve">Beginning with advertising recognition. </w:t>
      </w:r>
      <w:r w:rsidR="00E45CB4" w:rsidRPr="00E45CB4">
        <w:rPr>
          <w:rFonts w:ascii="Garamond" w:hAnsi="Garamond" w:cstheme="majorBidi"/>
          <w:lang w:bidi="he-IL"/>
        </w:rPr>
        <w:t>Across both studies, consumers systematically failed to identify chatbot-mediated sponsored content. Recognition rates in the non-disclosure conditions hovered around 10–20%, and passive disclosures increased awareness only modestly—to approximately 20–30% in Study I.</w:t>
      </w:r>
      <w:r w:rsidR="00304A2F">
        <w:rPr>
          <w:rStyle w:val="FootnoteReference"/>
          <w:rFonts w:ascii="Garamond" w:hAnsi="Garamond" w:cstheme="majorBidi"/>
        </w:rPr>
        <w:footnoteReference w:id="164"/>
      </w:r>
      <w:r w:rsidR="00E45CB4" w:rsidRPr="00E45CB4">
        <w:rPr>
          <w:rFonts w:ascii="Garamond" w:hAnsi="Garamond" w:cstheme="majorBidi"/>
          <w:lang w:bidi="he-IL"/>
        </w:rPr>
        <w:t xml:space="preserve"> These findings reinforce a central premise of consumer-protection law: native advertising is inherently misleading, and conventional disclosure mechanisms offer only limited corrective value.</w:t>
      </w:r>
      <w:r w:rsidR="00F4749E">
        <w:rPr>
          <w:rStyle w:val="FootnoteReference"/>
          <w:rFonts w:ascii="Garamond" w:hAnsi="Garamond" w:cstheme="majorBidi"/>
          <w:lang w:bidi="he-IL"/>
        </w:rPr>
        <w:footnoteReference w:id="165"/>
      </w:r>
      <w:r w:rsidR="00F4749E" w:rsidRPr="00242270">
        <w:rPr>
          <w:rFonts w:ascii="Garamond" w:hAnsi="Garamond" w:cstheme="majorBidi"/>
          <w:lang w:bidi="he-IL"/>
        </w:rPr>
        <w:t xml:space="preserve"> </w:t>
      </w:r>
      <w:r w:rsidR="00E45CB4" w:rsidRPr="00E45CB4">
        <w:rPr>
          <w:rFonts w:ascii="Garamond" w:hAnsi="Garamond" w:cstheme="majorBidi"/>
          <w:lang w:bidi="he-IL"/>
        </w:rPr>
        <w:t xml:space="preserve"> Prior research in advertorial settings has shown similarly constrained effects, with passive disclosures rarely elevating recognition much beyond 20%</w:t>
      </w:r>
      <w:r w:rsidR="00B101C6" w:rsidRPr="00B101C6">
        <w:rPr>
          <w:rFonts w:ascii="Garamond" w:hAnsi="Garamond" w:cstheme="majorBidi"/>
          <w:lang w:bidi="he-IL"/>
        </w:rPr>
        <w:t>.</w:t>
      </w:r>
      <w:r w:rsidR="002203DA" w:rsidRPr="000C38B9">
        <w:rPr>
          <w:rStyle w:val="FootnoteReference"/>
          <w:rFonts w:ascii="Garamond" w:hAnsi="Garamond" w:cstheme="majorBidi"/>
          <w:lang w:bidi="he-IL"/>
        </w:rPr>
        <w:footnoteReference w:id="166"/>
      </w:r>
      <w:r w:rsidR="00141544" w:rsidRPr="00B37F53">
        <w:rPr>
          <w:rFonts w:ascii="Garamond" w:hAnsi="Garamond" w:cstheme="majorBidi"/>
          <w:lang w:bidi="he-IL"/>
        </w:rPr>
        <w:t xml:space="preserve"> </w:t>
      </w:r>
    </w:p>
    <w:p w14:paraId="3C360C84" w14:textId="4CB60273" w:rsidR="00865E89" w:rsidRDefault="00865E89" w:rsidP="00865E89">
      <w:pPr>
        <w:spacing w:after="240"/>
        <w:ind w:firstLine="360"/>
        <w:jc w:val="both"/>
        <w:rPr>
          <w:rFonts w:ascii="Garamond" w:hAnsi="Garamond" w:cstheme="majorBidi"/>
          <w:lang w:bidi="he-IL"/>
        </w:rPr>
      </w:pPr>
      <w:r w:rsidRPr="00865E89">
        <w:rPr>
          <w:rFonts w:ascii="Garamond" w:hAnsi="Garamond" w:cstheme="majorBidi"/>
          <w:lang w:bidi="he-IL"/>
        </w:rPr>
        <w:t>Yet the present findings go beyond this established point. The experimenta</w:t>
      </w:r>
      <w:r w:rsidRPr="00F4749E">
        <w:rPr>
          <w:rFonts w:ascii="Garamond" w:hAnsi="Garamond" w:cstheme="majorBidi"/>
          <w:lang w:bidi="he-IL"/>
        </w:rPr>
        <w:t xml:space="preserve">l results show that </w:t>
      </w:r>
      <w:r w:rsidRPr="00F4749E">
        <w:rPr>
          <w:rFonts w:ascii="Garamond" w:hAnsi="Garamond" w:cstheme="majorBidi"/>
          <w:i/>
          <w:iCs/>
          <w:lang w:bidi="he-IL"/>
        </w:rPr>
        <w:t>affirmative</w:t>
      </w:r>
      <w:r w:rsidRPr="00F4749E">
        <w:rPr>
          <w:rFonts w:ascii="Garamond" w:hAnsi="Garamond" w:cstheme="majorBidi"/>
          <w:lang w:bidi="he-IL"/>
        </w:rPr>
        <w:t xml:space="preserve"> disclosures—such as user-approval mechanisms requiring participants to actively acknowledge that they are viewing sponsored </w:t>
      </w:r>
      <w:proofErr w:type="gramStart"/>
      <w:r w:rsidRPr="00F4749E">
        <w:rPr>
          <w:rFonts w:ascii="Garamond" w:hAnsi="Garamond" w:cstheme="majorBidi"/>
          <w:lang w:bidi="he-IL"/>
        </w:rPr>
        <w:t>content—</w:t>
      </w:r>
      <w:proofErr w:type="gramEnd"/>
      <w:r w:rsidRPr="00F4749E">
        <w:rPr>
          <w:rFonts w:ascii="Garamond" w:hAnsi="Garamond" w:cstheme="majorBidi"/>
          <w:lang w:bidi="he-IL"/>
        </w:rPr>
        <w:t>substantially increase recognition, raising rates to more than 50% in Study I (roughly a fivefold increase over the no-disclosure baseline). This magnitude of improvement h</w:t>
      </w:r>
      <w:r w:rsidRPr="00865E89">
        <w:rPr>
          <w:rFonts w:ascii="Garamond" w:hAnsi="Garamond" w:cstheme="majorBidi"/>
          <w:lang w:bidi="he-IL"/>
        </w:rPr>
        <w:t>as no analogue in prior native-advertising research.</w:t>
      </w:r>
    </w:p>
    <w:p w14:paraId="360EE465" w14:textId="7F33116D" w:rsidR="00F62967" w:rsidRDefault="00F62967" w:rsidP="00F62967">
      <w:pPr>
        <w:spacing w:after="240"/>
        <w:ind w:firstLine="360"/>
        <w:jc w:val="both"/>
        <w:rPr>
          <w:rFonts w:ascii="Garamond" w:hAnsi="Garamond" w:cstheme="majorBidi"/>
          <w:lang w:bidi="he-IL"/>
        </w:rPr>
      </w:pPr>
      <w:r>
        <w:rPr>
          <w:rFonts w:ascii="Garamond" w:hAnsi="Garamond" w:cstheme="majorBidi"/>
          <w:lang w:bidi="he-IL"/>
        </w:rPr>
        <w:t>Moving to behavioral effects, t</w:t>
      </w:r>
      <w:r w:rsidRPr="00F62967">
        <w:rPr>
          <w:rFonts w:ascii="Garamond" w:hAnsi="Garamond" w:cstheme="majorBidi"/>
          <w:lang w:bidi="he-IL"/>
        </w:rPr>
        <w:t xml:space="preserve">he studies </w:t>
      </w:r>
      <w:r>
        <w:rPr>
          <w:rFonts w:ascii="Garamond" w:hAnsi="Garamond" w:cstheme="majorBidi"/>
          <w:lang w:bidi="he-IL"/>
        </w:rPr>
        <w:t>clearly</w:t>
      </w:r>
      <w:r w:rsidRPr="00F62967">
        <w:rPr>
          <w:rFonts w:ascii="Garamond" w:hAnsi="Garamond" w:cstheme="majorBidi"/>
          <w:lang w:bidi="he-IL"/>
        </w:rPr>
        <w:t xml:space="preserve"> demonstrate that affirmative disclosures meaningfully alter consumer </w:t>
      </w:r>
      <w:r>
        <w:rPr>
          <w:rFonts w:ascii="Garamond" w:hAnsi="Garamond" w:cstheme="majorBidi"/>
          <w:lang w:bidi="he-IL"/>
        </w:rPr>
        <w:t>reactions</w:t>
      </w:r>
      <w:r w:rsidRPr="00F62967">
        <w:rPr>
          <w:rFonts w:ascii="Garamond" w:hAnsi="Garamond" w:cstheme="majorBidi"/>
          <w:lang w:bidi="he-IL"/>
        </w:rPr>
        <w:t>. Under the user-approval condition in Study I, participants increased their conversational engagement with the chatbot—submitting roughly five times as many prompts—and spent more time interacting with the system.</w:t>
      </w:r>
      <w:r>
        <w:rPr>
          <w:rStyle w:val="FootnoteReference"/>
          <w:rFonts w:ascii="Garamond" w:hAnsi="Garamond" w:cstheme="majorBidi"/>
        </w:rPr>
        <w:footnoteReference w:id="167"/>
      </w:r>
      <w:r w:rsidRPr="00F62967">
        <w:rPr>
          <w:rFonts w:ascii="Garamond" w:hAnsi="Garamond" w:cstheme="majorBidi"/>
          <w:lang w:bidi="he-IL"/>
        </w:rPr>
        <w:t xml:space="preserve"> In Study II, affirmative disclosures dramatically shifted consumer choices: participants selected the sponsored product at rates of only ~10%, compared to ~50% in the no-disclosure condition.</w:t>
      </w:r>
      <w:r w:rsidR="000A3B26">
        <w:rPr>
          <w:rStyle w:val="FootnoteReference"/>
          <w:rFonts w:ascii="Garamond" w:hAnsi="Garamond" w:cstheme="majorBidi"/>
        </w:rPr>
        <w:footnoteReference w:id="168"/>
      </w:r>
      <w:r w:rsidRPr="00F62967">
        <w:rPr>
          <w:rFonts w:ascii="Garamond" w:hAnsi="Garamond" w:cstheme="majorBidi"/>
          <w:lang w:bidi="he-IL"/>
        </w:rPr>
        <w:t xml:space="preserve"> These patterns suggest that affirmative disclosures prompt more cautious, critical engagement and more deliberative decision-making.</w:t>
      </w:r>
    </w:p>
    <w:p w14:paraId="5F2713D4" w14:textId="0A9DBC9C" w:rsidR="00F00ED8" w:rsidRDefault="00E46B9B" w:rsidP="00062D28">
      <w:pPr>
        <w:spacing w:after="240"/>
        <w:ind w:firstLine="360"/>
        <w:jc w:val="both"/>
        <w:rPr>
          <w:rFonts w:ascii="Garamond" w:hAnsi="Garamond" w:cstheme="majorBidi"/>
          <w:lang w:bidi="he-IL"/>
        </w:rPr>
      </w:pPr>
      <w:r w:rsidRPr="00E46B9B">
        <w:rPr>
          <w:rFonts w:ascii="Garamond" w:hAnsi="Garamond" w:cstheme="majorBidi"/>
          <w:lang w:bidi="he-IL"/>
        </w:rPr>
        <w:t xml:space="preserve">Taken together, these findings suggest that the longstanding critique of disclosure </w:t>
      </w:r>
      <w:proofErr w:type="gramStart"/>
      <w:r w:rsidRPr="00E46B9B">
        <w:rPr>
          <w:rFonts w:ascii="Garamond" w:hAnsi="Garamond" w:cstheme="majorBidi"/>
          <w:lang w:bidi="he-IL"/>
        </w:rPr>
        <w:t>regulation—that it</w:t>
      </w:r>
      <w:proofErr w:type="gramEnd"/>
      <w:r w:rsidRPr="00E46B9B">
        <w:rPr>
          <w:rFonts w:ascii="Garamond" w:hAnsi="Garamond" w:cstheme="majorBidi"/>
          <w:lang w:bidi="he-IL"/>
        </w:rPr>
        <w:t xml:space="preserve"> is ineffective and largely symbolic—may be substantially mitigated in the generative-AI environment. The conversational interface appears capable of supporting disclosure formats that are both cognitively salient and behaviorally impactful.</w:t>
      </w:r>
      <w:r w:rsidR="001F44C3">
        <w:rPr>
          <w:rStyle w:val="FootnoteReference"/>
          <w:rFonts w:ascii="Garamond" w:hAnsi="Garamond" w:cstheme="majorBidi"/>
          <w:lang w:bidi="he-IL"/>
        </w:rPr>
        <w:footnoteReference w:id="169"/>
      </w:r>
      <w:r w:rsidR="001578BD" w:rsidRPr="00BB50C7">
        <w:rPr>
          <w:rFonts w:ascii="Garamond" w:hAnsi="Garamond" w:cstheme="majorBidi"/>
          <w:lang w:bidi="he-IL"/>
        </w:rPr>
        <w:t xml:space="preserve"> </w:t>
      </w:r>
    </w:p>
    <w:p w14:paraId="4E05DAD5" w14:textId="61AA6AFC" w:rsidR="0084073A" w:rsidRDefault="0084073A" w:rsidP="0084073A">
      <w:pPr>
        <w:spacing w:after="240"/>
        <w:ind w:firstLine="360"/>
        <w:jc w:val="both"/>
        <w:rPr>
          <w:rFonts w:ascii="Garamond" w:hAnsi="Garamond" w:cstheme="majorBidi"/>
          <w:lang w:bidi="he-IL"/>
        </w:rPr>
      </w:pPr>
      <w:r w:rsidRPr="0084073A">
        <w:rPr>
          <w:rFonts w:ascii="Garamond" w:hAnsi="Garamond" w:cstheme="majorBidi"/>
          <w:lang w:bidi="he-IL"/>
        </w:rPr>
        <w:t xml:space="preserve">Equally important is what the studies did </w:t>
      </w:r>
      <w:r w:rsidRPr="0084073A">
        <w:rPr>
          <w:rFonts w:ascii="Garamond" w:hAnsi="Garamond" w:cstheme="majorBidi"/>
          <w:i/>
          <w:iCs/>
          <w:lang w:bidi="he-IL"/>
        </w:rPr>
        <w:t>not</w:t>
      </w:r>
      <w:r w:rsidRPr="0084073A">
        <w:rPr>
          <w:rFonts w:ascii="Garamond" w:hAnsi="Garamond" w:cstheme="majorBidi"/>
          <w:lang w:bidi="he-IL"/>
        </w:rPr>
        <w:t xml:space="preserve"> find, </w:t>
      </w:r>
      <w:r>
        <w:rPr>
          <w:rFonts w:ascii="Garamond" w:hAnsi="Garamond" w:cstheme="majorBidi"/>
          <w:lang w:bidi="he-IL"/>
        </w:rPr>
        <w:t>particularly concerning the attitudinal effects on consumers</w:t>
      </w:r>
      <w:r w:rsidRPr="0084073A">
        <w:rPr>
          <w:rFonts w:ascii="Garamond" w:hAnsi="Garamond" w:cstheme="majorBidi"/>
          <w:lang w:bidi="he-IL"/>
        </w:rPr>
        <w:t>.  Contrary to Hypothesis H2(b) and much of the native-advertising literature, participants’ attitudes toward the chatbot did not decline under any disclosure condition, including the most intrusive user-approval mechanism. This result diverges both from PKM predictions</w:t>
      </w:r>
      <w:r w:rsidR="00A13CC1">
        <w:rPr>
          <w:rStyle w:val="FootnoteReference"/>
          <w:rFonts w:ascii="Garamond" w:hAnsi="Garamond" w:cstheme="majorBidi"/>
          <w:lang w:bidi="he-IL"/>
        </w:rPr>
        <w:footnoteReference w:id="170"/>
      </w:r>
      <w:r w:rsidRPr="0084073A">
        <w:rPr>
          <w:rFonts w:ascii="Garamond" w:hAnsi="Garamond" w:cstheme="majorBidi"/>
          <w:lang w:bidi="he-IL"/>
        </w:rPr>
        <w:t xml:space="preserve"> and from the only prior study of genernative advertising, which found that disclosures degraded trust.</w:t>
      </w:r>
      <w:r w:rsidR="00A13CC1">
        <w:rPr>
          <w:rStyle w:val="FootnoteReference"/>
          <w:rFonts w:ascii="Garamond" w:hAnsi="Garamond" w:cstheme="majorBidi"/>
          <w:lang w:bidi="he-IL"/>
        </w:rPr>
        <w:footnoteReference w:id="171"/>
      </w:r>
      <w:r w:rsidRPr="0084073A">
        <w:rPr>
          <w:rFonts w:ascii="Garamond" w:hAnsi="Garamond" w:cstheme="majorBidi"/>
          <w:lang w:bidi="he-IL"/>
        </w:rPr>
        <w:t xml:space="preserve"> Here, disclosure increased awareness and shaped behavior </w:t>
      </w:r>
      <w:r w:rsidRPr="009B1D76">
        <w:rPr>
          <w:rFonts w:ascii="Garamond" w:hAnsi="Garamond" w:cstheme="majorBidi"/>
          <w:i/>
          <w:iCs/>
          <w:lang w:bidi="he-IL"/>
        </w:rPr>
        <w:t>without</w:t>
      </w:r>
      <w:r w:rsidRPr="0084073A">
        <w:rPr>
          <w:rFonts w:ascii="Garamond" w:hAnsi="Garamond" w:cstheme="majorBidi"/>
          <w:lang w:bidi="he-IL"/>
        </w:rPr>
        <w:t xml:space="preserve"> eroding trust in the platform. This suggests that GenAI providers may satisfy both commercial interests and public-regulatory objectives: educating users about persuasive influence need not undermine confidence in the system itself.</w:t>
      </w:r>
    </w:p>
    <w:p w14:paraId="5268622F" w14:textId="1983C5CD" w:rsidR="00C45566" w:rsidRPr="00C45566" w:rsidRDefault="00C45566" w:rsidP="00FE3B21">
      <w:pPr>
        <w:tabs>
          <w:tab w:val="num" w:pos="720"/>
        </w:tabs>
        <w:spacing w:after="240"/>
        <w:ind w:firstLine="360"/>
        <w:jc w:val="both"/>
        <w:rPr>
          <w:rFonts w:ascii="Garamond" w:hAnsi="Garamond" w:cstheme="majorBidi"/>
          <w:lang w:bidi="he-IL"/>
        </w:rPr>
      </w:pPr>
      <w:r w:rsidRPr="00C45566">
        <w:rPr>
          <w:rFonts w:ascii="Garamond" w:hAnsi="Garamond" w:cstheme="majorBidi"/>
          <w:lang w:bidi="he-IL"/>
        </w:rPr>
        <w:t>These results provide strong support for requiring GenAI companies to adopt robust advertising-disclosure protocols.</w:t>
      </w:r>
      <w:r w:rsidR="00EC13BC">
        <w:rPr>
          <w:rStyle w:val="FootnoteReference"/>
          <w:rFonts w:ascii="Garamond" w:hAnsi="Garamond" w:cstheme="majorBidi"/>
          <w:lang w:bidi="he-IL"/>
        </w:rPr>
        <w:footnoteReference w:id="172"/>
      </w:r>
      <w:r w:rsidRPr="00C45566">
        <w:rPr>
          <w:rFonts w:ascii="Garamond" w:hAnsi="Garamond" w:cstheme="majorBidi"/>
          <w:lang w:bidi="he-IL"/>
        </w:rPr>
        <w:t xml:space="preserve"> Traditional consumer-protection regimes—such as the Federal Trade Commission’s authority over deceptive and unfair practices—already mandate sponsorship disclosure in other advertising contexts. The evidence here indicates that, for GenAI systems, regulators should go further:</w:t>
      </w:r>
      <w:r w:rsidR="00ED7594">
        <w:rPr>
          <w:rFonts w:ascii="Garamond" w:hAnsi="Garamond" w:cstheme="majorBidi"/>
          <w:lang w:bidi="he-IL"/>
        </w:rPr>
        <w:t xml:space="preserve"> </w:t>
      </w:r>
      <w:r w:rsidRPr="00C45566">
        <w:rPr>
          <w:rFonts w:ascii="Garamond" w:hAnsi="Garamond" w:cstheme="majorBidi"/>
          <w:lang w:bidi="he-IL"/>
        </w:rPr>
        <w:t>Disclosure should be mandatory whenever chatbot outputs incorporate sponsored content</w:t>
      </w:r>
      <w:r w:rsidR="00F45DED" w:rsidRPr="00F45DED">
        <w:rPr>
          <w:rFonts w:ascii="Garamond" w:hAnsi="Garamond" w:cstheme="majorBidi"/>
          <w:lang w:bidi="he-IL"/>
        </w:rPr>
        <w:t xml:space="preserve">. </w:t>
      </w:r>
      <w:r w:rsidR="00F45DED">
        <w:rPr>
          <w:rFonts w:ascii="Garamond" w:hAnsi="Garamond" w:cstheme="majorBidi"/>
          <w:lang w:bidi="he-IL"/>
        </w:rPr>
        <w:t>Additionally, these disclosures should be affirmative, interactive, and verifiable, rather than passive or easily overlooked</w:t>
      </w:r>
      <w:r w:rsidRPr="00C45566">
        <w:rPr>
          <w:rFonts w:ascii="Garamond" w:hAnsi="Garamond" w:cstheme="majorBidi"/>
          <w:lang w:bidi="he-IL"/>
        </w:rPr>
        <w:t>.</w:t>
      </w:r>
      <w:r w:rsidR="00F45DED">
        <w:rPr>
          <w:rFonts w:ascii="Garamond" w:hAnsi="Garamond" w:cstheme="majorBidi"/>
          <w:lang w:bidi="he-IL"/>
        </w:rPr>
        <w:t xml:space="preserve"> </w:t>
      </w:r>
      <w:r w:rsidR="00B13AE0">
        <w:rPr>
          <w:rFonts w:ascii="Garamond" w:hAnsi="Garamond" w:cstheme="majorBidi"/>
          <w:lang w:bidi="he-IL"/>
        </w:rPr>
        <w:t>In some cases, reg</w:t>
      </w:r>
      <w:r w:rsidR="00B13AE0" w:rsidRPr="00FE3B21">
        <w:rPr>
          <w:rFonts w:ascii="Garamond" w:hAnsi="Garamond" w:cstheme="majorBidi"/>
          <w:lang w:bidi="he-IL"/>
        </w:rPr>
        <w:t xml:space="preserve">ulators should consider chatbots to </w:t>
      </w:r>
      <w:r w:rsidR="00FE3B21" w:rsidRPr="00FE3B21">
        <w:rPr>
          <w:rFonts w:ascii="Garamond" w:hAnsi="Garamond" w:cstheme="majorBidi"/>
          <w:lang w:bidi="he-IL"/>
        </w:rPr>
        <w:t>integrate</w:t>
      </w:r>
      <w:r w:rsidR="00B13AE0" w:rsidRPr="00FE3B21">
        <w:rPr>
          <w:rFonts w:ascii="Garamond" w:hAnsi="Garamond" w:cstheme="majorBidi"/>
          <w:lang w:bidi="he-IL"/>
        </w:rPr>
        <w:t xml:space="preserve"> stronger forms of </w:t>
      </w:r>
      <w:r w:rsidR="00FE3B21" w:rsidRPr="00FE3B21">
        <w:rPr>
          <w:rFonts w:ascii="Garamond" w:hAnsi="Garamond" w:cstheme="majorBidi"/>
          <w:lang w:bidi="he-IL"/>
        </w:rPr>
        <w:t>b</w:t>
      </w:r>
      <w:r w:rsidRPr="00C45566">
        <w:rPr>
          <w:rFonts w:ascii="Garamond" w:hAnsi="Garamond" w:cstheme="majorBidi"/>
          <w:lang w:bidi="he-IL"/>
        </w:rPr>
        <w:t xml:space="preserve">ehavioral nudges (e.g., pre-approval prompts) </w:t>
      </w:r>
      <w:r w:rsidR="00FE3B21" w:rsidRPr="00FE3B21">
        <w:rPr>
          <w:rFonts w:ascii="Garamond" w:hAnsi="Garamond" w:cstheme="majorBidi"/>
          <w:lang w:bidi="he-IL"/>
        </w:rPr>
        <w:t xml:space="preserve">into their users </w:t>
      </w:r>
      <w:r w:rsidRPr="00C45566">
        <w:rPr>
          <w:rFonts w:ascii="Garamond" w:hAnsi="Garamond" w:cstheme="majorBidi"/>
          <w:lang w:bidi="he-IL"/>
        </w:rPr>
        <w:t>interfaces to facilitate meaningful consumer awareness.</w:t>
      </w:r>
    </w:p>
    <w:p w14:paraId="098B904D" w14:textId="64932DDB" w:rsidR="00C45566" w:rsidRDefault="00C45566" w:rsidP="00C45566">
      <w:pPr>
        <w:spacing w:after="240"/>
        <w:ind w:firstLine="360"/>
        <w:jc w:val="both"/>
        <w:rPr>
          <w:rFonts w:ascii="Garamond" w:hAnsi="Garamond" w:cstheme="majorBidi"/>
          <w:lang w:bidi="he-IL"/>
        </w:rPr>
      </w:pPr>
      <w:r w:rsidRPr="00C45566">
        <w:rPr>
          <w:rFonts w:ascii="Garamond" w:hAnsi="Garamond" w:cstheme="majorBidi"/>
          <w:lang w:bidi="he-IL"/>
        </w:rPr>
        <w:t>Emerging state legislation provides a useful starting point.</w:t>
      </w:r>
      <w:bookmarkStart w:id="83" w:name="_Ref214876613"/>
      <w:r w:rsidR="00CA5036">
        <w:rPr>
          <w:rStyle w:val="FootnoteReference"/>
          <w:rFonts w:ascii="Garamond" w:hAnsi="Garamond" w:cstheme="majorBidi"/>
          <w:lang w:bidi="he-IL"/>
        </w:rPr>
        <w:footnoteReference w:id="173"/>
      </w:r>
      <w:bookmarkEnd w:id="83"/>
      <w:r w:rsidR="00CA5036" w:rsidRPr="004652F7">
        <w:rPr>
          <w:rFonts w:ascii="Garamond" w:hAnsi="Garamond" w:cstheme="majorBidi"/>
          <w:lang w:bidi="he-IL"/>
        </w:rPr>
        <w:t xml:space="preserve"> </w:t>
      </w:r>
      <w:r w:rsidRPr="00C45566">
        <w:rPr>
          <w:rFonts w:ascii="Garamond" w:hAnsi="Garamond" w:cstheme="majorBidi"/>
          <w:lang w:bidi="he-IL"/>
        </w:rPr>
        <w:t xml:space="preserve"> Although </w:t>
      </w:r>
      <w:r w:rsidR="00CA5036">
        <w:rPr>
          <w:rFonts w:ascii="Garamond" w:hAnsi="Garamond" w:cstheme="majorBidi"/>
          <w:lang w:bidi="he-IL"/>
        </w:rPr>
        <w:t xml:space="preserve">state legislation such as </w:t>
      </w:r>
      <w:r w:rsidRPr="00C45566">
        <w:rPr>
          <w:rFonts w:ascii="Garamond" w:hAnsi="Garamond" w:cstheme="majorBidi"/>
          <w:lang w:bidi="he-IL"/>
        </w:rPr>
        <w:t xml:space="preserve">Utah’s Artificial Intelligence Policy Act (AIPA) and Colorado’s Artificial Intelligence Act (SB 24-205) focus primarily on notifying consumers that they are interacting with AI systems, </w:t>
      </w:r>
      <w:r w:rsidR="00CA5036">
        <w:rPr>
          <w:rFonts w:ascii="Garamond" w:hAnsi="Garamond" w:cstheme="majorBidi"/>
          <w:lang w:bidi="he-IL"/>
        </w:rPr>
        <w:t>these laws</w:t>
      </w:r>
      <w:r w:rsidRPr="00C45566">
        <w:rPr>
          <w:rFonts w:ascii="Garamond" w:hAnsi="Garamond" w:cstheme="majorBidi"/>
          <w:lang w:bidi="he-IL"/>
        </w:rPr>
        <w:t xml:space="preserve"> demonstrate a workable regulatory model: mandatory transparency, enforceable disclosure obligations, and civil penalties for noncompliance.</w:t>
      </w:r>
      <w:r w:rsidR="00CA5036">
        <w:rPr>
          <w:rStyle w:val="FootnoteReference"/>
          <w:rFonts w:ascii="Garamond" w:hAnsi="Garamond" w:cstheme="majorBidi"/>
          <w:lang w:bidi="he-IL"/>
        </w:rPr>
        <w:footnoteReference w:id="174"/>
      </w:r>
      <w:r w:rsidRPr="00C45566">
        <w:rPr>
          <w:rFonts w:ascii="Garamond" w:hAnsi="Garamond" w:cstheme="majorBidi"/>
          <w:lang w:bidi="he-IL"/>
        </w:rPr>
        <w:t xml:space="preserve"> Colorado’s statute, for example, treats violations as unfair trade practices under the Colorado Consumer Protection Act, subject to significant penalties.</w:t>
      </w:r>
      <w:r w:rsidR="00CA5036">
        <w:rPr>
          <w:rStyle w:val="FootnoteReference"/>
          <w:rFonts w:ascii="Garamond" w:hAnsi="Garamond" w:cstheme="majorBidi"/>
          <w:lang w:bidi="he-IL"/>
        </w:rPr>
        <w:footnoteReference w:id="175"/>
      </w:r>
      <w:r w:rsidR="00CA5036" w:rsidRPr="003D75F1">
        <w:rPr>
          <w:rFonts w:ascii="Garamond" w:hAnsi="Garamond" w:cstheme="majorBidi"/>
          <w:lang w:bidi="he-IL"/>
        </w:rPr>
        <w:t xml:space="preserve"> </w:t>
      </w:r>
      <w:r w:rsidRPr="00C45566">
        <w:rPr>
          <w:rFonts w:ascii="Garamond" w:hAnsi="Garamond" w:cstheme="majorBidi"/>
          <w:lang w:bidi="he-IL"/>
        </w:rPr>
        <w:t xml:space="preserve"> Extending comparable principles to genernative advertising would align GenAI operations with longstanding doctrines of consumer protection.</w:t>
      </w:r>
    </w:p>
    <w:p w14:paraId="70D0607A" w14:textId="2B0FBB1B" w:rsidR="00F76556" w:rsidRPr="00C45566" w:rsidRDefault="00F76556" w:rsidP="00F76556">
      <w:pPr>
        <w:spacing w:after="240"/>
        <w:ind w:firstLine="360"/>
        <w:jc w:val="both"/>
        <w:rPr>
          <w:rFonts w:ascii="Garamond" w:hAnsi="Garamond" w:cstheme="majorBidi"/>
          <w:lang w:bidi="he-IL"/>
        </w:rPr>
      </w:pPr>
      <w:r w:rsidRPr="00F76556">
        <w:rPr>
          <w:rFonts w:ascii="Garamond" w:hAnsi="Garamond" w:cstheme="majorBidi"/>
          <w:lang w:bidi="he-IL"/>
        </w:rPr>
        <w:t>As with any advertising regime, effective enforcement is essential. Traditional legal avenues—tort, product-liability doctrines, deceptive trade practices statutes, and FTC enforcement—should apply with equal force to AI-mediated advertising.</w:t>
      </w:r>
      <w:r w:rsidR="006D0B8F">
        <w:rPr>
          <w:rStyle w:val="FootnoteReference"/>
          <w:rFonts w:ascii="Garamond" w:hAnsi="Garamond" w:cstheme="majorBidi"/>
          <w:lang w:bidi="he-IL"/>
        </w:rPr>
        <w:footnoteReference w:id="176"/>
      </w:r>
      <w:r w:rsidRPr="00F76556">
        <w:rPr>
          <w:rFonts w:ascii="Garamond" w:hAnsi="Garamond" w:cstheme="majorBidi"/>
          <w:lang w:bidi="he-IL"/>
        </w:rPr>
        <w:t xml:space="preserve"> Courts and regulators should be willing to hold GenAI providers liable when they fail to implement adequate disclosure protocols, particularly given these systems’ capacity to shape consumer decision-making at scale.</w:t>
      </w:r>
    </w:p>
    <w:p w14:paraId="08FFAD48" w14:textId="00DA62FD" w:rsidR="00FF13B4" w:rsidRPr="00850A7D" w:rsidRDefault="004652F7" w:rsidP="00850A7D">
      <w:pPr>
        <w:pStyle w:val="Heading1"/>
        <w:rPr>
          <w:rFonts w:ascii="Garamond" w:hAnsi="Garamond"/>
        </w:rPr>
      </w:pPr>
      <w:bookmarkStart w:id="84" w:name="_Toc212649941"/>
      <w:r>
        <w:rPr>
          <w:rFonts w:ascii="Garamond" w:hAnsi="Garamond"/>
        </w:rPr>
        <w:t>Conclusion</w:t>
      </w:r>
      <w:bookmarkEnd w:id="84"/>
    </w:p>
    <w:p w14:paraId="23795D98" w14:textId="77777777" w:rsidR="002405E9" w:rsidRPr="002405E9" w:rsidRDefault="002405E9" w:rsidP="002405E9">
      <w:pPr>
        <w:ind w:firstLine="360"/>
        <w:jc w:val="both"/>
        <w:rPr>
          <w:rFonts w:ascii="Garamond" w:hAnsi="Garamond" w:cstheme="majorBidi"/>
          <w:lang w:bidi="he-IL"/>
        </w:rPr>
      </w:pPr>
      <w:r w:rsidRPr="002405E9">
        <w:rPr>
          <w:rFonts w:ascii="Garamond" w:hAnsi="Garamond" w:cstheme="majorBidi"/>
          <w:lang w:bidi="he-IL"/>
        </w:rPr>
        <w:t>Genernative advertising represents both the latest stage in the evolution of persuasive media and a profound shift in its underlying mechanics. It extends a century-long effort to blur the line between editorial judgment and commercial influence, yet it does so through a medium that removes the very cues—formatting, placement, labeling—on which disclosure regimes have traditionally depended. When large language models produce seamless, authoritative prose that silently incorporates sponsored content, the distinction between information and promotion becomes nearly invisible.</w:t>
      </w:r>
    </w:p>
    <w:p w14:paraId="02085E99" w14:textId="77777777" w:rsidR="002405E9" w:rsidRPr="002405E9" w:rsidRDefault="002405E9" w:rsidP="002405E9">
      <w:pPr>
        <w:ind w:firstLine="360"/>
        <w:jc w:val="both"/>
        <w:rPr>
          <w:rFonts w:ascii="Garamond" w:hAnsi="Garamond" w:cstheme="majorBidi"/>
          <w:lang w:bidi="he-IL"/>
        </w:rPr>
      </w:pPr>
      <w:r w:rsidRPr="002405E9">
        <w:rPr>
          <w:rFonts w:ascii="Garamond" w:hAnsi="Garamond" w:cstheme="majorBidi"/>
          <w:lang w:bidi="he-IL"/>
        </w:rPr>
        <w:t xml:space="preserve">The experimental evidence presented in this Article highlights the scale of the challenge: consumers routinely fail to recognize AI-mediated sponsorship, and passive disclosures offer only marginal improvements. Yet the same evidence identifies a promising path forward. Affirmative, interactive </w:t>
      </w:r>
      <w:proofErr w:type="gramStart"/>
      <w:r w:rsidRPr="002405E9">
        <w:rPr>
          <w:rFonts w:ascii="Garamond" w:hAnsi="Garamond" w:cstheme="majorBidi"/>
          <w:lang w:bidi="he-IL"/>
        </w:rPr>
        <w:t>disclosures—requiring</w:t>
      </w:r>
      <w:proofErr w:type="gramEnd"/>
      <w:r w:rsidRPr="002405E9">
        <w:rPr>
          <w:rFonts w:ascii="Garamond" w:hAnsi="Garamond" w:cstheme="majorBidi"/>
          <w:lang w:bidi="he-IL"/>
        </w:rPr>
        <w:t xml:space="preserve"> users to acknowledge sponsored content before </w:t>
      </w:r>
      <w:proofErr w:type="gramStart"/>
      <w:r w:rsidRPr="002405E9">
        <w:rPr>
          <w:rFonts w:ascii="Garamond" w:hAnsi="Garamond" w:cstheme="majorBidi"/>
          <w:lang w:bidi="he-IL"/>
        </w:rPr>
        <w:t>exposure—</w:t>
      </w:r>
      <w:proofErr w:type="gramEnd"/>
      <w:r w:rsidRPr="002405E9">
        <w:rPr>
          <w:rFonts w:ascii="Garamond" w:hAnsi="Garamond" w:cstheme="majorBidi"/>
          <w:lang w:bidi="he-IL"/>
        </w:rPr>
        <w:t>substantially enhance recognition and reshape behavior, all without diminishing trust in the chatbot itself. These findings suggest that generative interfaces, far from being an inherent threat to transparency, may be harnessed as an exceptionally effective vehicle for it.</w:t>
      </w:r>
    </w:p>
    <w:p w14:paraId="1621C6E9" w14:textId="77777777" w:rsidR="002405E9" w:rsidRPr="002405E9" w:rsidRDefault="002405E9" w:rsidP="002405E9">
      <w:pPr>
        <w:ind w:firstLine="360"/>
        <w:jc w:val="both"/>
        <w:rPr>
          <w:rFonts w:ascii="Garamond" w:hAnsi="Garamond" w:cstheme="majorBidi"/>
          <w:lang w:bidi="he-IL"/>
        </w:rPr>
      </w:pPr>
      <w:r w:rsidRPr="002405E9">
        <w:rPr>
          <w:rFonts w:ascii="Garamond" w:hAnsi="Garamond" w:cstheme="majorBidi"/>
          <w:lang w:bidi="he-IL"/>
        </w:rPr>
        <w:t>The regulatory implications are clear. GenAI companies should be required not only to disclose advertising ties, but to do so through interactive mechanisms that leverage the conversational nature of their platforms. Agencies such as the Federal Trade Commission, together with state regulators, can build on emerging models—such as Utah’s AIPA and Colorado’s SB 24-205—to establish enforceable transparency standards for AI-mediated advertising.</w:t>
      </w:r>
    </w:p>
    <w:p w14:paraId="28D89C62" w14:textId="77777777" w:rsidR="002405E9" w:rsidRPr="002405E9" w:rsidRDefault="002405E9" w:rsidP="002405E9">
      <w:pPr>
        <w:ind w:firstLine="360"/>
        <w:jc w:val="both"/>
        <w:rPr>
          <w:rFonts w:ascii="Garamond" w:hAnsi="Garamond" w:cstheme="majorBidi"/>
          <w:lang w:bidi="he-IL"/>
        </w:rPr>
      </w:pPr>
      <w:r w:rsidRPr="002405E9">
        <w:rPr>
          <w:rFonts w:ascii="Garamond" w:hAnsi="Garamond" w:cstheme="majorBidi"/>
          <w:lang w:bidi="he-IL"/>
        </w:rPr>
        <w:t>Ultimately, the rise of genernative advertising forces a broader reckoning with the ethics of automated persuasion. The same technologies that can perfect the art of influence can also perfect the art of disclosure. Whether they function as tools of manipulation or instruments of consumer empowerment will depend on how law, design, and accountability converge in the years ahead.</w:t>
      </w:r>
    </w:p>
    <w:p w14:paraId="53A75E20" w14:textId="6BDD91EA" w:rsidR="00BC5F23" w:rsidRPr="00BC5F23" w:rsidRDefault="00BC5F23" w:rsidP="00F73533">
      <w:pPr>
        <w:ind w:firstLine="360"/>
        <w:jc w:val="both"/>
        <w:rPr>
          <w:rFonts w:ascii="Garamond" w:hAnsi="Garamond" w:cstheme="majorBidi"/>
          <w:rtl/>
          <w:lang w:bidi="he-IL"/>
        </w:rPr>
      </w:pPr>
    </w:p>
    <w:p w14:paraId="71FF9DF1" w14:textId="77777777" w:rsidR="00BC5F23" w:rsidRPr="001A045C" w:rsidRDefault="00BC5F23" w:rsidP="0014057B">
      <w:pPr>
        <w:ind w:firstLine="360"/>
        <w:jc w:val="both"/>
        <w:rPr>
          <w:rFonts w:ascii="Garamond" w:hAnsi="Garamond" w:cstheme="majorBidi"/>
          <w:rtl/>
          <w:lang w:bidi="he-IL"/>
        </w:rPr>
      </w:pPr>
    </w:p>
    <w:p w14:paraId="14978F9C" w14:textId="77777777" w:rsidR="009B168B" w:rsidRPr="001A045C" w:rsidRDefault="009B168B" w:rsidP="009B168B">
      <w:pPr>
        <w:pStyle w:val="1JOLTBodyText"/>
        <w:ind w:firstLine="0"/>
        <w:rPr>
          <w:rFonts w:ascii="Garamond" w:hAnsi="Garamond"/>
          <w:lang w:bidi="he-IL"/>
        </w:rPr>
      </w:pPr>
    </w:p>
    <w:p w14:paraId="127E9111" w14:textId="77777777" w:rsidR="009B168B" w:rsidRPr="001A045C" w:rsidRDefault="009B168B" w:rsidP="009B168B">
      <w:pPr>
        <w:pStyle w:val="1JOLTBodyText"/>
        <w:ind w:firstLine="0"/>
        <w:rPr>
          <w:rFonts w:ascii="Garamond" w:hAnsi="Garamond"/>
        </w:rPr>
      </w:pPr>
    </w:p>
    <w:p w14:paraId="3B280921" w14:textId="77777777" w:rsidR="009B168B" w:rsidRPr="001A045C" w:rsidRDefault="009B168B" w:rsidP="009B168B">
      <w:pPr>
        <w:pStyle w:val="1JOLTBodyText"/>
        <w:ind w:firstLine="0"/>
        <w:rPr>
          <w:rFonts w:ascii="Garamond" w:hAnsi="Garamond"/>
        </w:rPr>
      </w:pPr>
    </w:p>
    <w:p w14:paraId="4B3B794F" w14:textId="10F2E8DA" w:rsidR="009B168B" w:rsidRPr="001A045C" w:rsidRDefault="00D41A24" w:rsidP="009B168B">
      <w:pPr>
        <w:pStyle w:val="1JOLTBodyText"/>
        <w:ind w:firstLine="0"/>
        <w:rPr>
          <w:rFonts w:ascii="Garamond" w:hAnsi="Garamond"/>
        </w:rPr>
      </w:pPr>
      <w:r>
        <w:rPr>
          <w:rFonts w:ascii="Garamond" w:hAnsi="Garamond"/>
        </w:rPr>
        <w:br w:type="column"/>
      </w:r>
    </w:p>
    <w:p w14:paraId="0EADCD3F" w14:textId="73284A1C" w:rsidR="001F3FAF" w:rsidRDefault="000C4A1A" w:rsidP="00250BA9">
      <w:pPr>
        <w:pStyle w:val="Heading1"/>
        <w:rPr>
          <w:rFonts w:ascii="Garamond" w:hAnsi="Garamond"/>
        </w:rPr>
      </w:pPr>
      <w:bookmarkStart w:id="85" w:name="_Toc212649942"/>
      <w:bookmarkStart w:id="86" w:name="_Toc202804177"/>
      <w:r w:rsidRPr="000C4A1A">
        <w:rPr>
          <w:rFonts w:ascii="Garamond" w:hAnsi="Garamond"/>
        </w:rPr>
        <w:t>Appendices</w:t>
      </w:r>
      <w:bookmarkEnd w:id="85"/>
    </w:p>
    <w:p w14:paraId="3F5CEDD0" w14:textId="35211974" w:rsidR="00250BA9" w:rsidRPr="000C4A1A" w:rsidRDefault="00250BA9" w:rsidP="000C4A1A">
      <w:pPr>
        <w:pStyle w:val="Heading21"/>
        <w:numPr>
          <w:ilvl w:val="0"/>
          <w:numId w:val="17"/>
        </w:numPr>
      </w:pPr>
      <w:bookmarkStart w:id="87" w:name="_Toc212649943"/>
      <w:r w:rsidRPr="001A045C">
        <w:t xml:space="preserve">Appendix </w:t>
      </w:r>
      <w:r w:rsidR="00F51F0C" w:rsidRPr="001A045C">
        <w:t>I</w:t>
      </w:r>
      <w:r w:rsidR="003C12A5" w:rsidRPr="001A045C">
        <w:t xml:space="preserve"> – Stimulated Materials</w:t>
      </w:r>
      <w:bookmarkEnd w:id="86"/>
      <w:bookmarkEnd w:id="87"/>
    </w:p>
    <w:p w14:paraId="261C7DB0" w14:textId="77777777" w:rsidR="00DA0CE6" w:rsidRPr="001F3FAF" w:rsidRDefault="00DA0CE6" w:rsidP="00DA0CE6">
      <w:pPr>
        <w:pStyle w:val="Heading3"/>
        <w:numPr>
          <w:ilvl w:val="0"/>
          <w:numId w:val="18"/>
        </w:numPr>
      </w:pPr>
      <w:r w:rsidRPr="001F3FAF">
        <w:t>Study I</w:t>
      </w:r>
    </w:p>
    <w:p w14:paraId="6110378A" w14:textId="73E83619" w:rsidR="00F87F27" w:rsidRDefault="00F87F27" w:rsidP="00DE7D37">
      <w:pPr>
        <w:ind w:firstLine="360"/>
        <w:jc w:val="center"/>
        <w:rPr>
          <w:rFonts w:ascii="Garamond" w:hAnsi="Garamond" w:cstheme="majorBidi"/>
        </w:rPr>
      </w:pPr>
      <w:r>
        <w:rPr>
          <w:noProof/>
        </w:rPr>
        <w:drawing>
          <wp:inline distT="0" distB="0" distL="0" distR="0" wp14:anchorId="49E7181D" wp14:editId="6A06A8CB">
            <wp:extent cx="2810637" cy="2358625"/>
            <wp:effectExtent l="0" t="0" r="8890" b="3810"/>
            <wp:docPr id="10547231" name="Picture 104" descr="A screen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231" name="Picture 104" descr="A screenshot of a black screen&#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5329" cy="2463263"/>
                    </a:xfrm>
                    <a:prstGeom prst="rect">
                      <a:avLst/>
                    </a:prstGeom>
                    <a:noFill/>
                    <a:ln>
                      <a:noFill/>
                    </a:ln>
                  </pic:spPr>
                </pic:pic>
              </a:graphicData>
            </a:graphic>
          </wp:inline>
        </w:drawing>
      </w:r>
    </w:p>
    <w:p w14:paraId="33FE5E9D" w14:textId="6005BECB" w:rsidR="00F87F27" w:rsidRPr="00DE7D37" w:rsidRDefault="00F87F27" w:rsidP="00DE7D37">
      <w:pPr>
        <w:ind w:firstLine="360"/>
        <w:jc w:val="center"/>
        <w:rPr>
          <w:rFonts w:ascii="Garamond" w:hAnsi="Garamond" w:cstheme="majorBidi"/>
          <w:b/>
          <w:bCs/>
        </w:rPr>
      </w:pPr>
      <w:r w:rsidRPr="00DE7D37">
        <w:rPr>
          <w:rFonts w:ascii="Garamond" w:hAnsi="Garamond" w:cstheme="majorBidi"/>
          <w:b/>
          <w:bCs/>
        </w:rPr>
        <w:t># 1 – No Disclosure Condition (ND)</w:t>
      </w:r>
    </w:p>
    <w:p w14:paraId="1A2E1A4E" w14:textId="4136D3B1" w:rsidR="00F87F27" w:rsidRDefault="00F87F27" w:rsidP="00DE7D37">
      <w:pPr>
        <w:ind w:firstLine="360"/>
        <w:jc w:val="center"/>
        <w:rPr>
          <w:rFonts w:ascii="Garamond" w:hAnsi="Garamond" w:cstheme="majorBidi"/>
        </w:rPr>
      </w:pPr>
      <w:r>
        <w:rPr>
          <w:rFonts w:ascii="Garamond" w:hAnsi="Garamond" w:cstheme="majorBidi"/>
          <w:noProof/>
        </w:rPr>
        <w:drawing>
          <wp:inline distT="0" distB="0" distL="0" distR="0" wp14:anchorId="6F640437" wp14:editId="353F9E11">
            <wp:extent cx="2744686" cy="2496632"/>
            <wp:effectExtent l="0" t="0" r="0" b="0"/>
            <wp:docPr id="762396128" name="Picture 10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96128" name="Picture 105" descr="A screenshot of a compu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7473" cy="2508263"/>
                    </a:xfrm>
                    <a:prstGeom prst="rect">
                      <a:avLst/>
                    </a:prstGeom>
                    <a:noFill/>
                    <a:ln>
                      <a:noFill/>
                    </a:ln>
                  </pic:spPr>
                </pic:pic>
              </a:graphicData>
            </a:graphic>
          </wp:inline>
        </w:drawing>
      </w:r>
    </w:p>
    <w:p w14:paraId="7F6189D3" w14:textId="7E8B7B3A" w:rsidR="00F87F27" w:rsidRPr="00DE7D37" w:rsidRDefault="00F87F27" w:rsidP="00DE7D37">
      <w:pPr>
        <w:ind w:firstLine="360"/>
        <w:jc w:val="center"/>
        <w:rPr>
          <w:rFonts w:ascii="Garamond" w:hAnsi="Garamond" w:cstheme="majorBidi"/>
          <w:b/>
          <w:bCs/>
        </w:rPr>
      </w:pPr>
      <w:r w:rsidRPr="00DE7D37">
        <w:rPr>
          <w:rFonts w:ascii="Garamond" w:hAnsi="Garamond" w:cstheme="majorBidi"/>
          <w:b/>
          <w:bCs/>
        </w:rPr>
        <w:t xml:space="preserve"># 2 – No Disclosure and Linked-sources Condition (ND + </w:t>
      </w:r>
      <w:proofErr w:type="spellStart"/>
      <w:r w:rsidRPr="00DE7D37">
        <w:rPr>
          <w:rFonts w:ascii="Garamond" w:hAnsi="Garamond" w:cstheme="majorBidi"/>
          <w:b/>
          <w:bCs/>
        </w:rPr>
        <w:t>Srcs</w:t>
      </w:r>
      <w:proofErr w:type="spellEnd"/>
      <w:r w:rsidRPr="00DE7D37">
        <w:rPr>
          <w:rFonts w:ascii="Garamond" w:hAnsi="Garamond" w:cstheme="majorBidi"/>
          <w:b/>
          <w:bCs/>
        </w:rPr>
        <w:t>)</w:t>
      </w:r>
    </w:p>
    <w:p w14:paraId="28988DE0" w14:textId="77777777" w:rsidR="00F87F27" w:rsidRDefault="00F87F27" w:rsidP="00DE7D37">
      <w:pPr>
        <w:ind w:firstLine="360"/>
        <w:jc w:val="center"/>
        <w:rPr>
          <w:rFonts w:ascii="Garamond" w:hAnsi="Garamond" w:cstheme="majorBidi"/>
        </w:rPr>
      </w:pPr>
    </w:p>
    <w:p w14:paraId="1096ED4C" w14:textId="65325380" w:rsidR="00F87F27" w:rsidRDefault="00274843" w:rsidP="00DE7D37">
      <w:pPr>
        <w:ind w:firstLine="360"/>
        <w:jc w:val="center"/>
        <w:rPr>
          <w:rFonts w:ascii="Garamond" w:hAnsi="Garamond" w:cstheme="majorBidi"/>
        </w:rPr>
      </w:pPr>
      <w:r>
        <w:rPr>
          <w:rFonts w:ascii="Garamond" w:hAnsi="Garamond" w:cstheme="majorBidi"/>
          <w:b/>
          <w:bCs/>
          <w:noProof/>
          <w:sz w:val="14"/>
          <w:szCs w:val="14"/>
        </w:rPr>
        <w:drawing>
          <wp:anchor distT="0" distB="0" distL="114300" distR="114300" simplePos="0" relativeHeight="251658240" behindDoc="0" locked="0" layoutInCell="1" allowOverlap="1" wp14:anchorId="2712AADA" wp14:editId="7C574A67">
            <wp:simplePos x="0" y="0"/>
            <wp:positionH relativeFrom="column">
              <wp:posOffset>2816352</wp:posOffset>
            </wp:positionH>
            <wp:positionV relativeFrom="paragraph">
              <wp:posOffset>920496</wp:posOffset>
            </wp:positionV>
            <wp:extent cx="1729867" cy="1030522"/>
            <wp:effectExtent l="0" t="0" r="3810" b="0"/>
            <wp:wrapNone/>
            <wp:docPr id="1597452269" name="Picture 10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52269" name="Picture 106"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9867" cy="10305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theme="majorBidi"/>
          <w:b/>
          <w:bCs/>
          <w:noProof/>
          <w:sz w:val="14"/>
          <w:szCs w:val="14"/>
        </w:rPr>
        <w:drawing>
          <wp:inline distT="0" distB="0" distL="0" distR="0" wp14:anchorId="482BB750" wp14:editId="624E8274">
            <wp:extent cx="2597081" cy="2365248"/>
            <wp:effectExtent l="0" t="0" r="0" b="0"/>
            <wp:docPr id="15796428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498" cy="2384753"/>
                    </a:xfrm>
                    <a:prstGeom prst="rect">
                      <a:avLst/>
                    </a:prstGeom>
                    <a:noFill/>
                    <a:ln>
                      <a:noFill/>
                    </a:ln>
                  </pic:spPr>
                </pic:pic>
              </a:graphicData>
            </a:graphic>
          </wp:inline>
        </w:drawing>
      </w:r>
    </w:p>
    <w:p w14:paraId="5E43A711" w14:textId="70FEFA43" w:rsidR="00F87F27" w:rsidRPr="00DE7D37" w:rsidRDefault="00F87F27" w:rsidP="00DE7D37">
      <w:pPr>
        <w:ind w:firstLine="360"/>
        <w:jc w:val="center"/>
        <w:rPr>
          <w:rFonts w:ascii="Garamond" w:hAnsi="Garamond" w:cstheme="majorBidi"/>
          <w:b/>
          <w:bCs/>
        </w:rPr>
      </w:pPr>
      <w:r w:rsidRPr="00DE7D37">
        <w:rPr>
          <w:rFonts w:ascii="Garamond" w:hAnsi="Garamond" w:cstheme="majorBidi"/>
          <w:b/>
          <w:bCs/>
        </w:rPr>
        <w:t xml:space="preserve"># 3 – </w:t>
      </w:r>
      <w:r w:rsidR="00203E3D" w:rsidRPr="00DE7D37">
        <w:rPr>
          <w:rFonts w:ascii="Garamond" w:hAnsi="Garamond" w:cstheme="majorBidi"/>
          <w:b/>
          <w:bCs/>
        </w:rPr>
        <w:t>Sponsored content disclosure condition (</w:t>
      </w:r>
      <w:proofErr w:type="spellStart"/>
      <w:r w:rsidR="00203E3D" w:rsidRPr="00DE7D37">
        <w:rPr>
          <w:rFonts w:ascii="Garamond" w:hAnsi="Garamond" w:cstheme="majorBidi"/>
          <w:b/>
          <w:bCs/>
        </w:rPr>
        <w:t>Discl</w:t>
      </w:r>
      <w:proofErr w:type="spellEnd"/>
      <w:r w:rsidR="00203E3D"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Pr="00DE7D37">
        <w:rPr>
          <w:rFonts w:ascii="Garamond" w:hAnsi="Garamond" w:cstheme="majorBidi"/>
          <w:b/>
          <w:bCs/>
        </w:rPr>
        <w:t>)</w:t>
      </w:r>
    </w:p>
    <w:p w14:paraId="65B7A9E0" w14:textId="77777777" w:rsidR="00274843" w:rsidRDefault="00274843" w:rsidP="00DE7D37">
      <w:pPr>
        <w:ind w:firstLine="360"/>
        <w:jc w:val="center"/>
        <w:rPr>
          <w:rFonts w:ascii="Garamond" w:hAnsi="Garamond" w:cstheme="majorBidi"/>
          <w:b/>
          <w:bCs/>
          <w:sz w:val="14"/>
          <w:szCs w:val="14"/>
        </w:rPr>
      </w:pPr>
    </w:p>
    <w:p w14:paraId="70B6A981" w14:textId="56BA53FA" w:rsidR="00274843" w:rsidRDefault="00742D54" w:rsidP="00DE7D37">
      <w:pPr>
        <w:ind w:firstLine="360"/>
        <w:jc w:val="center"/>
        <w:rPr>
          <w:rFonts w:ascii="Garamond" w:hAnsi="Garamond" w:cstheme="majorBidi"/>
          <w:b/>
          <w:bCs/>
          <w:sz w:val="14"/>
          <w:szCs w:val="14"/>
        </w:rPr>
      </w:pPr>
      <w:r>
        <w:rPr>
          <w:rFonts w:ascii="Garamond" w:hAnsi="Garamond" w:cstheme="majorBidi"/>
          <w:b/>
          <w:bCs/>
          <w:noProof/>
          <w:sz w:val="14"/>
          <w:szCs w:val="14"/>
        </w:rPr>
        <w:drawing>
          <wp:anchor distT="0" distB="0" distL="114300" distR="114300" simplePos="0" relativeHeight="251658241" behindDoc="0" locked="0" layoutInCell="1" allowOverlap="1" wp14:anchorId="62DA8207" wp14:editId="7CBAE757">
            <wp:simplePos x="0" y="0"/>
            <wp:positionH relativeFrom="column">
              <wp:posOffset>2973832</wp:posOffset>
            </wp:positionH>
            <wp:positionV relativeFrom="paragraph">
              <wp:posOffset>517271</wp:posOffset>
            </wp:positionV>
            <wp:extent cx="1572768" cy="1429701"/>
            <wp:effectExtent l="0" t="0" r="8890" b="0"/>
            <wp:wrapNone/>
            <wp:docPr id="121181020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2768" cy="14297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theme="majorBidi"/>
          <w:b/>
          <w:bCs/>
          <w:noProof/>
          <w:sz w:val="14"/>
          <w:szCs w:val="14"/>
        </w:rPr>
        <w:drawing>
          <wp:inline distT="0" distB="0" distL="0" distR="0" wp14:anchorId="292A6DC0" wp14:editId="228A14C5">
            <wp:extent cx="2561697" cy="2328672"/>
            <wp:effectExtent l="0" t="0" r="0" b="0"/>
            <wp:docPr id="38354992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518" cy="2337599"/>
                    </a:xfrm>
                    <a:prstGeom prst="rect">
                      <a:avLst/>
                    </a:prstGeom>
                    <a:noFill/>
                    <a:ln>
                      <a:noFill/>
                    </a:ln>
                  </pic:spPr>
                </pic:pic>
              </a:graphicData>
            </a:graphic>
          </wp:inline>
        </w:drawing>
      </w:r>
    </w:p>
    <w:p w14:paraId="08E282F3" w14:textId="20C7D555" w:rsidR="00742D54" w:rsidRPr="00DE7D37" w:rsidRDefault="00742D54" w:rsidP="00DE7D37">
      <w:pPr>
        <w:ind w:firstLine="360"/>
        <w:jc w:val="center"/>
        <w:rPr>
          <w:rFonts w:ascii="Garamond" w:hAnsi="Garamond" w:cstheme="majorBidi"/>
          <w:b/>
          <w:bCs/>
        </w:rPr>
      </w:pPr>
      <w:r w:rsidRPr="00DE7D37">
        <w:rPr>
          <w:rFonts w:ascii="Garamond" w:hAnsi="Garamond" w:cstheme="majorBidi"/>
          <w:b/>
          <w:bCs/>
        </w:rPr>
        <w:t xml:space="preserve"># 4 – Sponsored content </w:t>
      </w:r>
      <w:r w:rsidR="00C759C4" w:rsidRPr="00DE7D37">
        <w:rPr>
          <w:rFonts w:ascii="Garamond" w:hAnsi="Garamond" w:cstheme="majorBidi"/>
          <w:b/>
          <w:bCs/>
        </w:rPr>
        <w:t>and within chat link disclosure</w:t>
      </w:r>
      <w:r w:rsidRPr="00DE7D37">
        <w:rPr>
          <w:rFonts w:ascii="Garamond" w:hAnsi="Garamond" w:cstheme="majorBidi"/>
          <w:b/>
          <w:bCs/>
        </w:rPr>
        <w:t xml:space="preserve"> condition (</w:t>
      </w:r>
      <w:proofErr w:type="spellStart"/>
      <w:r w:rsidRPr="00DE7D37">
        <w:rPr>
          <w:rFonts w:ascii="Garamond" w:hAnsi="Garamond" w:cstheme="majorBidi"/>
          <w:b/>
          <w:bCs/>
        </w:rPr>
        <w:t>Discl</w:t>
      </w:r>
      <w:proofErr w:type="spellEnd"/>
      <w:r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003F3607" w:rsidRPr="00DE7D37">
        <w:rPr>
          <w:rFonts w:ascii="Garamond" w:hAnsi="Garamond" w:cstheme="majorBidi"/>
          <w:b/>
          <w:bCs/>
        </w:rPr>
        <w:t xml:space="preserve"> + Chat (</w:t>
      </w:r>
      <w:r w:rsidR="00313C49" w:rsidRPr="00DE7D37">
        <w:rPr>
          <w:rFonts w:ascii="Garamond" w:hAnsi="Garamond" w:cstheme="majorBidi"/>
          <w:b/>
          <w:bCs/>
        </w:rPr>
        <w:t>link</w:t>
      </w:r>
      <w:r w:rsidR="003F3607" w:rsidRPr="00DE7D37">
        <w:rPr>
          <w:rFonts w:ascii="Garamond" w:hAnsi="Garamond" w:cstheme="majorBidi"/>
          <w:b/>
          <w:bCs/>
        </w:rPr>
        <w:t>)</w:t>
      </w:r>
      <w:r w:rsidRPr="00DE7D37">
        <w:rPr>
          <w:rFonts w:ascii="Garamond" w:hAnsi="Garamond" w:cstheme="majorBidi"/>
          <w:b/>
          <w:bCs/>
        </w:rPr>
        <w:t>)</w:t>
      </w:r>
    </w:p>
    <w:p w14:paraId="394BDDA2" w14:textId="1BDAB8E5" w:rsidR="003F3607" w:rsidRDefault="003F3607" w:rsidP="00DE7D37">
      <w:pPr>
        <w:ind w:firstLine="360"/>
        <w:jc w:val="center"/>
        <w:rPr>
          <w:rFonts w:ascii="Garamond" w:hAnsi="Garamond" w:cstheme="majorBidi"/>
          <w:b/>
          <w:bCs/>
          <w:sz w:val="14"/>
          <w:szCs w:val="14"/>
        </w:rPr>
      </w:pPr>
      <w:r>
        <w:rPr>
          <w:rFonts w:ascii="Garamond" w:hAnsi="Garamond" w:cstheme="majorBidi"/>
          <w:b/>
          <w:bCs/>
          <w:noProof/>
          <w:sz w:val="14"/>
          <w:szCs w:val="14"/>
        </w:rPr>
        <w:drawing>
          <wp:inline distT="0" distB="0" distL="0" distR="0" wp14:anchorId="4532DD03" wp14:editId="1587790A">
            <wp:extent cx="2672969" cy="2495046"/>
            <wp:effectExtent l="0" t="0" r="0" b="635"/>
            <wp:docPr id="7182183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665" cy="2501296"/>
                    </a:xfrm>
                    <a:prstGeom prst="rect">
                      <a:avLst/>
                    </a:prstGeom>
                    <a:noFill/>
                    <a:ln>
                      <a:noFill/>
                    </a:ln>
                  </pic:spPr>
                </pic:pic>
              </a:graphicData>
            </a:graphic>
          </wp:inline>
        </w:drawing>
      </w:r>
    </w:p>
    <w:p w14:paraId="06172EB9" w14:textId="31F338AD" w:rsidR="003F3607" w:rsidRPr="00DE7D37" w:rsidRDefault="003F3607" w:rsidP="00DE7D37">
      <w:pPr>
        <w:ind w:firstLine="360"/>
        <w:jc w:val="center"/>
        <w:rPr>
          <w:rFonts w:ascii="Garamond" w:hAnsi="Garamond" w:cstheme="majorBidi"/>
          <w:b/>
          <w:bCs/>
        </w:rPr>
      </w:pPr>
      <w:r w:rsidRPr="00DE7D37">
        <w:rPr>
          <w:rFonts w:ascii="Garamond" w:hAnsi="Garamond" w:cstheme="majorBidi"/>
          <w:b/>
          <w:bCs/>
        </w:rPr>
        <w:t xml:space="preserve"># 5 – Sponsored content and within chat </w:t>
      </w:r>
      <w:r w:rsidR="00313C49" w:rsidRPr="00DE7D37">
        <w:rPr>
          <w:rFonts w:ascii="Garamond" w:hAnsi="Garamond" w:cstheme="majorBidi"/>
          <w:b/>
          <w:bCs/>
        </w:rPr>
        <w:t>front</w:t>
      </w:r>
      <w:r w:rsidRPr="00DE7D37">
        <w:rPr>
          <w:rFonts w:ascii="Garamond" w:hAnsi="Garamond" w:cstheme="majorBidi"/>
          <w:b/>
          <w:bCs/>
        </w:rPr>
        <w:t xml:space="preserve"> disclosure condition (</w:t>
      </w:r>
      <w:proofErr w:type="spellStart"/>
      <w:r w:rsidRPr="00DE7D37">
        <w:rPr>
          <w:rFonts w:ascii="Garamond" w:hAnsi="Garamond" w:cstheme="majorBidi"/>
          <w:b/>
          <w:bCs/>
        </w:rPr>
        <w:t>Discl</w:t>
      </w:r>
      <w:proofErr w:type="spellEnd"/>
      <w:r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Pr="00DE7D37">
        <w:rPr>
          <w:rFonts w:ascii="Garamond" w:hAnsi="Garamond" w:cstheme="majorBidi"/>
          <w:b/>
          <w:bCs/>
        </w:rPr>
        <w:t xml:space="preserve"> + Chat (front))</w:t>
      </w:r>
    </w:p>
    <w:p w14:paraId="4639A4BD" w14:textId="77777777" w:rsidR="0039092D" w:rsidRDefault="0039092D" w:rsidP="00DE7D37">
      <w:pPr>
        <w:ind w:firstLine="360"/>
        <w:jc w:val="center"/>
        <w:rPr>
          <w:rFonts w:ascii="Garamond" w:hAnsi="Garamond" w:cstheme="majorBidi"/>
          <w:b/>
          <w:bCs/>
          <w:sz w:val="14"/>
          <w:szCs w:val="14"/>
        </w:rPr>
      </w:pPr>
    </w:p>
    <w:p w14:paraId="21BF2E03" w14:textId="5C028786" w:rsidR="0039092D" w:rsidRDefault="0039092D" w:rsidP="00DE7D37">
      <w:pPr>
        <w:ind w:firstLine="360"/>
        <w:jc w:val="center"/>
        <w:rPr>
          <w:rFonts w:ascii="Garamond" w:hAnsi="Garamond" w:cstheme="majorBidi"/>
          <w:b/>
          <w:bCs/>
          <w:sz w:val="14"/>
          <w:szCs w:val="14"/>
        </w:rPr>
      </w:pPr>
      <w:r>
        <w:rPr>
          <w:rFonts w:ascii="Garamond" w:hAnsi="Garamond" w:cstheme="majorBidi"/>
          <w:b/>
          <w:bCs/>
          <w:noProof/>
          <w:sz w:val="14"/>
          <w:szCs w:val="14"/>
        </w:rPr>
        <w:drawing>
          <wp:inline distT="0" distB="0" distL="0" distR="0" wp14:anchorId="67C16D6D" wp14:editId="50BA65CF">
            <wp:extent cx="2568650" cy="2560320"/>
            <wp:effectExtent l="0" t="0" r="3175" b="0"/>
            <wp:docPr id="23865064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013" cy="2569653"/>
                    </a:xfrm>
                    <a:prstGeom prst="rect">
                      <a:avLst/>
                    </a:prstGeom>
                    <a:noFill/>
                    <a:ln>
                      <a:noFill/>
                    </a:ln>
                  </pic:spPr>
                </pic:pic>
              </a:graphicData>
            </a:graphic>
          </wp:inline>
        </w:drawing>
      </w:r>
    </w:p>
    <w:p w14:paraId="37DFA966" w14:textId="41986733" w:rsidR="00F87F27" w:rsidRPr="00DE7D37" w:rsidRDefault="00587EE4" w:rsidP="00DE7D37">
      <w:pPr>
        <w:ind w:firstLine="360"/>
        <w:jc w:val="center"/>
        <w:rPr>
          <w:rFonts w:ascii="Garamond" w:hAnsi="Garamond" w:cstheme="majorBidi"/>
        </w:rPr>
      </w:pPr>
      <w:r w:rsidRPr="00DE7D37">
        <w:rPr>
          <w:rFonts w:ascii="Garamond" w:hAnsi="Garamond" w:cstheme="majorBidi"/>
          <w:b/>
          <w:bCs/>
        </w:rPr>
        <w:t># 6 – Pre-approval condition (</w:t>
      </w:r>
      <w:r w:rsidR="00DE7D37" w:rsidRPr="00DE7D37">
        <w:rPr>
          <w:rFonts w:ascii="Garamond" w:hAnsi="Garamond" w:cstheme="majorBidi"/>
          <w:b/>
          <w:bCs/>
        </w:rPr>
        <w:t>user approval</w:t>
      </w:r>
      <w:r w:rsidRPr="00DE7D37">
        <w:rPr>
          <w:rFonts w:ascii="Garamond" w:hAnsi="Garamond" w:cstheme="majorBidi"/>
          <w:b/>
          <w:bCs/>
        </w:rPr>
        <w:t>)</w:t>
      </w:r>
    </w:p>
    <w:p w14:paraId="0A5B2C16" w14:textId="13ECF42A" w:rsidR="00DE7D37" w:rsidRPr="007D16FA" w:rsidRDefault="001042AD" w:rsidP="007D16FA">
      <w:pPr>
        <w:ind w:firstLine="360"/>
        <w:jc w:val="center"/>
        <w:rPr>
          <w:rFonts w:ascii="Garamond" w:hAnsi="Garamond" w:cstheme="majorBidi"/>
          <w:b/>
          <w:bCs/>
        </w:rPr>
      </w:pPr>
      <w:r w:rsidRPr="00DE7D37">
        <w:rPr>
          <w:rFonts w:ascii="Garamond" w:hAnsi="Garamond" w:cstheme="majorBidi"/>
        </w:rPr>
        <w:br w:type="column"/>
      </w:r>
      <w:r w:rsidR="00DE7D37" w:rsidRPr="00DE7D37">
        <w:rPr>
          <w:rFonts w:ascii="Garamond" w:hAnsi="Garamond" w:cstheme="majorBidi"/>
          <w:b/>
          <w:bCs/>
          <w:sz w:val="28"/>
          <w:szCs w:val="28"/>
        </w:rPr>
        <w:t>Sources</w:t>
      </w:r>
    </w:p>
    <w:p w14:paraId="2914A02C" w14:textId="24A036B1" w:rsidR="00DE7D37" w:rsidRDefault="000D36B4" w:rsidP="00DE7D37">
      <w:pPr>
        <w:ind w:firstLine="360"/>
        <w:jc w:val="center"/>
        <w:rPr>
          <w:rFonts w:ascii="Garamond" w:hAnsi="Garamond" w:cstheme="majorBidi"/>
        </w:rPr>
      </w:pPr>
      <w:r>
        <w:rPr>
          <w:rFonts w:ascii="Garamond" w:hAnsi="Garamond" w:cstheme="majorBidi"/>
          <w:noProof/>
        </w:rPr>
        <w:drawing>
          <wp:inline distT="0" distB="0" distL="0" distR="0" wp14:anchorId="1905586C" wp14:editId="3BC8E259">
            <wp:extent cx="4104005" cy="2541270"/>
            <wp:effectExtent l="0" t="0" r="0" b="0"/>
            <wp:docPr id="52047783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4005" cy="2541270"/>
                    </a:xfrm>
                    <a:prstGeom prst="rect">
                      <a:avLst/>
                    </a:prstGeom>
                    <a:noFill/>
                    <a:ln>
                      <a:noFill/>
                    </a:ln>
                  </pic:spPr>
                </pic:pic>
              </a:graphicData>
            </a:graphic>
          </wp:inline>
        </w:drawing>
      </w:r>
    </w:p>
    <w:p w14:paraId="1775CF5B" w14:textId="2473A106" w:rsidR="00DE7D37" w:rsidRDefault="000D36B4" w:rsidP="00DE7D37">
      <w:pPr>
        <w:ind w:firstLine="360"/>
        <w:jc w:val="center"/>
        <w:rPr>
          <w:rFonts w:ascii="Garamond" w:hAnsi="Garamond" w:cstheme="majorBidi"/>
        </w:rPr>
      </w:pPr>
      <w:r>
        <w:rPr>
          <w:rFonts w:ascii="Garamond" w:hAnsi="Garamond" w:cstheme="majorBidi"/>
          <w:noProof/>
        </w:rPr>
        <w:drawing>
          <wp:inline distT="0" distB="0" distL="0" distR="0" wp14:anchorId="2160B97F" wp14:editId="74BA26E9">
            <wp:extent cx="4114800" cy="2519680"/>
            <wp:effectExtent l="0" t="0" r="0" b="0"/>
            <wp:docPr id="172385818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519680"/>
                    </a:xfrm>
                    <a:prstGeom prst="rect">
                      <a:avLst/>
                    </a:prstGeom>
                    <a:noFill/>
                    <a:ln>
                      <a:noFill/>
                    </a:ln>
                  </pic:spPr>
                </pic:pic>
              </a:graphicData>
            </a:graphic>
          </wp:inline>
        </w:drawing>
      </w:r>
    </w:p>
    <w:p w14:paraId="3E828EB3" w14:textId="31A938E7" w:rsidR="007D16FA" w:rsidRDefault="007D16FA" w:rsidP="007D16FA">
      <w:pPr>
        <w:ind w:firstLine="360"/>
        <w:jc w:val="center"/>
        <w:rPr>
          <w:rFonts w:ascii="Garamond" w:hAnsi="Garamond" w:cstheme="majorBidi"/>
          <w:b/>
          <w:bCs/>
        </w:rPr>
      </w:pPr>
      <w:r>
        <w:rPr>
          <w:rFonts w:ascii="Garamond" w:hAnsi="Garamond" w:cstheme="majorBidi"/>
          <w:b/>
          <w:bCs/>
        </w:rPr>
        <w:t xml:space="preserve">Article </w:t>
      </w:r>
      <w:r w:rsidRPr="00DE7D37">
        <w:rPr>
          <w:rFonts w:ascii="Garamond" w:hAnsi="Garamond" w:cstheme="majorBidi"/>
          <w:b/>
          <w:bCs/>
        </w:rPr>
        <w:t xml:space="preserve"># </w:t>
      </w:r>
      <w:r>
        <w:rPr>
          <w:rFonts w:ascii="Garamond" w:hAnsi="Garamond" w:cstheme="majorBidi"/>
          <w:b/>
          <w:bCs/>
        </w:rPr>
        <w:t>1</w:t>
      </w:r>
      <w:r w:rsidRPr="00DE7D37">
        <w:rPr>
          <w:rFonts w:ascii="Garamond" w:hAnsi="Garamond" w:cstheme="majorBidi"/>
          <w:b/>
          <w:bCs/>
        </w:rPr>
        <w:t xml:space="preserve"> – </w:t>
      </w:r>
      <w:r>
        <w:rPr>
          <w:rFonts w:ascii="Garamond" w:hAnsi="Garamond" w:cstheme="majorBidi"/>
          <w:b/>
          <w:bCs/>
        </w:rPr>
        <w:t>USA Today (with and without sponsorship disclosure)</w:t>
      </w:r>
    </w:p>
    <w:p w14:paraId="0501267B" w14:textId="36321D41" w:rsidR="007D16FA" w:rsidRDefault="007D16FA" w:rsidP="007D16FA">
      <w:pPr>
        <w:ind w:firstLine="360"/>
        <w:rPr>
          <w:rFonts w:ascii="Garamond" w:hAnsi="Garamond" w:cstheme="majorBidi"/>
        </w:rPr>
      </w:pPr>
    </w:p>
    <w:p w14:paraId="22B87360" w14:textId="77777777" w:rsidR="007D16FA" w:rsidRDefault="007D16FA" w:rsidP="007D16FA">
      <w:pPr>
        <w:rPr>
          <w:rFonts w:ascii="Garamond" w:hAnsi="Garamond" w:cstheme="majorBidi"/>
        </w:rPr>
      </w:pPr>
      <w:r>
        <w:rPr>
          <w:rFonts w:ascii="Garamond" w:hAnsi="Garamond" w:cstheme="majorBidi"/>
          <w:noProof/>
        </w:rPr>
        <w:drawing>
          <wp:inline distT="0" distB="0" distL="0" distR="0" wp14:anchorId="481C9AAE" wp14:editId="77104012">
            <wp:extent cx="4114800" cy="1818005"/>
            <wp:effectExtent l="0" t="0" r="0" b="0"/>
            <wp:docPr id="194887847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1818005"/>
                    </a:xfrm>
                    <a:prstGeom prst="rect">
                      <a:avLst/>
                    </a:prstGeom>
                    <a:noFill/>
                    <a:ln>
                      <a:noFill/>
                    </a:ln>
                  </pic:spPr>
                </pic:pic>
              </a:graphicData>
            </a:graphic>
          </wp:inline>
        </w:drawing>
      </w:r>
    </w:p>
    <w:p w14:paraId="38CBAD65" w14:textId="77777777" w:rsidR="007D16FA" w:rsidRDefault="007D16FA" w:rsidP="007D16FA">
      <w:pPr>
        <w:rPr>
          <w:rFonts w:ascii="Garamond" w:hAnsi="Garamond" w:cstheme="majorBidi"/>
        </w:rPr>
      </w:pPr>
    </w:p>
    <w:p w14:paraId="287EC4F0" w14:textId="77777777" w:rsidR="007D16FA" w:rsidRDefault="007D16FA" w:rsidP="007D16FA">
      <w:pPr>
        <w:rPr>
          <w:rFonts w:ascii="Garamond" w:hAnsi="Garamond" w:cstheme="majorBidi"/>
        </w:rPr>
      </w:pPr>
      <w:r>
        <w:rPr>
          <w:rFonts w:ascii="Garamond" w:hAnsi="Garamond" w:cstheme="majorBidi"/>
          <w:noProof/>
        </w:rPr>
        <w:drawing>
          <wp:inline distT="0" distB="0" distL="0" distR="0" wp14:anchorId="56343F9D" wp14:editId="6FFBB753">
            <wp:extent cx="4114800" cy="1818005"/>
            <wp:effectExtent l="0" t="0" r="0" b="0"/>
            <wp:docPr id="122387076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1818005"/>
                    </a:xfrm>
                    <a:prstGeom prst="rect">
                      <a:avLst/>
                    </a:prstGeom>
                    <a:noFill/>
                    <a:ln>
                      <a:noFill/>
                    </a:ln>
                  </pic:spPr>
                </pic:pic>
              </a:graphicData>
            </a:graphic>
          </wp:inline>
        </w:drawing>
      </w:r>
    </w:p>
    <w:p w14:paraId="2255ED6D" w14:textId="58722A8B" w:rsidR="007D16FA" w:rsidRDefault="007D16FA" w:rsidP="007D16FA">
      <w:pPr>
        <w:ind w:firstLine="360"/>
        <w:jc w:val="center"/>
        <w:rPr>
          <w:rFonts w:ascii="Garamond" w:hAnsi="Garamond" w:cstheme="majorBidi"/>
          <w:b/>
          <w:bCs/>
          <w:rtl/>
          <w:lang w:bidi="he-IL"/>
        </w:rPr>
      </w:pPr>
      <w:r>
        <w:rPr>
          <w:rFonts w:ascii="Garamond" w:hAnsi="Garamond" w:cstheme="majorBidi"/>
          <w:b/>
          <w:bCs/>
        </w:rPr>
        <w:t xml:space="preserve">Article </w:t>
      </w:r>
      <w:r w:rsidRPr="00DE7D37">
        <w:rPr>
          <w:rFonts w:ascii="Garamond" w:hAnsi="Garamond" w:cstheme="majorBidi"/>
          <w:b/>
          <w:bCs/>
        </w:rPr>
        <w:t xml:space="preserve"># </w:t>
      </w:r>
      <w:r>
        <w:rPr>
          <w:rFonts w:ascii="Garamond" w:hAnsi="Garamond" w:cstheme="majorBidi"/>
          <w:b/>
          <w:bCs/>
        </w:rPr>
        <w:t>2</w:t>
      </w:r>
      <w:r w:rsidRPr="00DE7D37">
        <w:rPr>
          <w:rFonts w:ascii="Garamond" w:hAnsi="Garamond" w:cstheme="majorBidi"/>
          <w:b/>
          <w:bCs/>
        </w:rPr>
        <w:t xml:space="preserve"> – </w:t>
      </w:r>
      <w:r>
        <w:rPr>
          <w:rFonts w:ascii="Garamond" w:hAnsi="Garamond" w:cstheme="majorBidi"/>
          <w:b/>
          <w:bCs/>
        </w:rPr>
        <w:t>Forbes (with and without sponsorship disclosure)</w:t>
      </w:r>
    </w:p>
    <w:p w14:paraId="1AEB1020" w14:textId="77777777" w:rsidR="006D695C" w:rsidRDefault="006D695C" w:rsidP="007D16FA">
      <w:pPr>
        <w:ind w:firstLine="360"/>
        <w:jc w:val="center"/>
        <w:rPr>
          <w:rFonts w:ascii="Garamond" w:hAnsi="Garamond" w:cstheme="majorBidi"/>
          <w:b/>
          <w:bCs/>
          <w:rtl/>
          <w:lang w:bidi="he-IL"/>
        </w:rPr>
      </w:pPr>
    </w:p>
    <w:p w14:paraId="488B55A2" w14:textId="6EC765E7" w:rsidR="006D695C" w:rsidRPr="001F3FAF" w:rsidRDefault="006D695C" w:rsidP="006D695C">
      <w:pPr>
        <w:pStyle w:val="Heading3"/>
        <w:numPr>
          <w:ilvl w:val="0"/>
          <w:numId w:val="18"/>
        </w:numPr>
      </w:pPr>
      <w:r w:rsidRPr="001F3FAF">
        <w:t>Study I</w:t>
      </w:r>
      <w:r>
        <w:t>I</w:t>
      </w:r>
    </w:p>
    <w:p w14:paraId="454BBE14" w14:textId="16D39658" w:rsidR="006D695C" w:rsidRDefault="006D695C" w:rsidP="003156D4">
      <w:pPr>
        <w:ind w:firstLine="360"/>
        <w:jc w:val="center"/>
        <w:rPr>
          <w:rFonts w:ascii="Garamond" w:hAnsi="Garamond" w:cstheme="majorBidi"/>
        </w:rPr>
      </w:pPr>
    </w:p>
    <w:p w14:paraId="05C7D691" w14:textId="0C35D9AE" w:rsidR="006D695C" w:rsidRDefault="006D695C" w:rsidP="006D695C">
      <w:pPr>
        <w:ind w:firstLine="360"/>
        <w:jc w:val="center"/>
        <w:rPr>
          <w:rFonts w:ascii="Garamond" w:hAnsi="Garamond" w:cstheme="majorBidi"/>
        </w:rPr>
      </w:pPr>
    </w:p>
    <w:p w14:paraId="17B77808" w14:textId="15143556" w:rsidR="00607E60" w:rsidRDefault="00607E60" w:rsidP="006D695C">
      <w:pPr>
        <w:ind w:firstLine="360"/>
        <w:jc w:val="center"/>
        <w:rPr>
          <w:rFonts w:ascii="Garamond" w:hAnsi="Garamond" w:cstheme="majorBidi"/>
        </w:rPr>
      </w:pPr>
      <w:r>
        <w:rPr>
          <w:rFonts w:ascii="Garamond" w:hAnsi="Garamond" w:cstheme="majorBidi"/>
          <w:noProof/>
        </w:rPr>
        <w:drawing>
          <wp:inline distT="0" distB="0" distL="0" distR="0" wp14:anchorId="5E3C6ABF" wp14:editId="4ED3F32E">
            <wp:extent cx="2217601" cy="2590800"/>
            <wp:effectExtent l="0" t="0" r="0" b="0"/>
            <wp:docPr id="111216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4566" cy="2598937"/>
                    </a:xfrm>
                    <a:prstGeom prst="rect">
                      <a:avLst/>
                    </a:prstGeom>
                    <a:noFill/>
                    <a:ln>
                      <a:noFill/>
                    </a:ln>
                  </pic:spPr>
                </pic:pic>
              </a:graphicData>
            </a:graphic>
          </wp:inline>
        </w:drawing>
      </w:r>
    </w:p>
    <w:p w14:paraId="5E7F2F39" w14:textId="4BF08A9F" w:rsidR="006D695C" w:rsidRPr="00DE7D37" w:rsidRDefault="006D695C" w:rsidP="006D695C">
      <w:pPr>
        <w:ind w:firstLine="360"/>
        <w:jc w:val="center"/>
        <w:rPr>
          <w:rFonts w:ascii="Garamond" w:hAnsi="Garamond" w:cstheme="majorBidi"/>
          <w:b/>
          <w:bCs/>
        </w:rPr>
      </w:pPr>
      <w:r w:rsidRPr="00DE7D37">
        <w:rPr>
          <w:rFonts w:ascii="Garamond" w:hAnsi="Garamond" w:cstheme="majorBidi"/>
          <w:b/>
          <w:bCs/>
        </w:rPr>
        <w:t xml:space="preserve"># </w:t>
      </w:r>
      <w:r w:rsidR="00607E60">
        <w:rPr>
          <w:rFonts w:ascii="Garamond" w:hAnsi="Garamond" w:cstheme="majorBidi"/>
          <w:b/>
          <w:bCs/>
        </w:rPr>
        <w:t>1</w:t>
      </w:r>
      <w:r w:rsidRPr="00DE7D37">
        <w:rPr>
          <w:rFonts w:ascii="Garamond" w:hAnsi="Garamond" w:cstheme="majorBidi"/>
          <w:b/>
          <w:bCs/>
        </w:rPr>
        <w:t xml:space="preserve"> – Sponsored content disclosure condition (</w:t>
      </w:r>
      <w:proofErr w:type="spellStart"/>
      <w:r w:rsidRPr="00DE7D37">
        <w:rPr>
          <w:rFonts w:ascii="Garamond" w:hAnsi="Garamond" w:cstheme="majorBidi"/>
          <w:b/>
          <w:bCs/>
        </w:rPr>
        <w:t>Discl</w:t>
      </w:r>
      <w:proofErr w:type="spellEnd"/>
      <w:r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Pr="00DE7D37">
        <w:rPr>
          <w:rFonts w:ascii="Garamond" w:hAnsi="Garamond" w:cstheme="majorBidi"/>
          <w:b/>
          <w:bCs/>
        </w:rPr>
        <w:t>)</w:t>
      </w:r>
    </w:p>
    <w:p w14:paraId="50438089" w14:textId="77777777" w:rsidR="006D695C" w:rsidRDefault="006D695C" w:rsidP="006D695C">
      <w:pPr>
        <w:ind w:firstLine="360"/>
        <w:jc w:val="center"/>
        <w:rPr>
          <w:rFonts w:ascii="Garamond" w:hAnsi="Garamond" w:cstheme="majorBidi"/>
          <w:b/>
          <w:bCs/>
          <w:sz w:val="14"/>
          <w:szCs w:val="14"/>
        </w:rPr>
      </w:pPr>
    </w:p>
    <w:p w14:paraId="48A6F803" w14:textId="25D2EA41" w:rsidR="006D695C" w:rsidRDefault="006D695C" w:rsidP="006D695C">
      <w:pPr>
        <w:ind w:firstLine="360"/>
        <w:jc w:val="center"/>
        <w:rPr>
          <w:rFonts w:ascii="Garamond" w:hAnsi="Garamond" w:cstheme="majorBidi"/>
          <w:b/>
          <w:bCs/>
          <w:sz w:val="14"/>
          <w:szCs w:val="14"/>
        </w:rPr>
      </w:pPr>
    </w:p>
    <w:p w14:paraId="0E02ACC8" w14:textId="727C20AD" w:rsidR="00607E60" w:rsidRDefault="00607E60" w:rsidP="006D695C">
      <w:pPr>
        <w:ind w:firstLine="360"/>
        <w:jc w:val="center"/>
        <w:rPr>
          <w:rFonts w:ascii="Garamond" w:hAnsi="Garamond" w:cstheme="majorBidi"/>
          <w:b/>
          <w:bCs/>
          <w:sz w:val="14"/>
          <w:szCs w:val="14"/>
        </w:rPr>
      </w:pPr>
      <w:r>
        <w:rPr>
          <w:rFonts w:ascii="Garamond" w:hAnsi="Garamond" w:cstheme="majorBidi"/>
          <w:b/>
          <w:bCs/>
          <w:noProof/>
          <w:sz w:val="14"/>
          <w:szCs w:val="14"/>
        </w:rPr>
        <w:drawing>
          <wp:anchor distT="0" distB="0" distL="114300" distR="114300" simplePos="0" relativeHeight="251671557" behindDoc="0" locked="0" layoutInCell="1" allowOverlap="1" wp14:anchorId="2B3D108C" wp14:editId="7CAB632F">
            <wp:simplePos x="0" y="0"/>
            <wp:positionH relativeFrom="column">
              <wp:posOffset>3042138</wp:posOffset>
            </wp:positionH>
            <wp:positionV relativeFrom="paragraph">
              <wp:posOffset>401271</wp:posOffset>
            </wp:positionV>
            <wp:extent cx="1599565" cy="1957705"/>
            <wp:effectExtent l="0" t="0" r="635" b="4445"/>
            <wp:wrapNone/>
            <wp:docPr id="577261813" name="Picture 6" descr="A screenshot of a black and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61813" name="Picture 6" descr="A screenshot of a black and white pag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9565" cy="1957705"/>
                    </a:xfrm>
                    <a:prstGeom prst="rect">
                      <a:avLst/>
                    </a:prstGeom>
                    <a:noFill/>
                    <a:ln>
                      <a:noFill/>
                    </a:ln>
                  </pic:spPr>
                </pic:pic>
              </a:graphicData>
            </a:graphic>
          </wp:anchor>
        </w:drawing>
      </w:r>
      <w:r>
        <w:rPr>
          <w:rFonts w:ascii="Garamond" w:hAnsi="Garamond" w:cstheme="majorBidi"/>
          <w:b/>
          <w:bCs/>
          <w:noProof/>
          <w:sz w:val="14"/>
          <w:szCs w:val="14"/>
        </w:rPr>
        <w:drawing>
          <wp:inline distT="0" distB="0" distL="0" distR="0" wp14:anchorId="456C495C" wp14:editId="5AD743C2">
            <wp:extent cx="2433781" cy="2766548"/>
            <wp:effectExtent l="0" t="0" r="5080" b="0"/>
            <wp:docPr id="426497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6002" cy="2780440"/>
                    </a:xfrm>
                    <a:prstGeom prst="rect">
                      <a:avLst/>
                    </a:prstGeom>
                    <a:noFill/>
                    <a:ln>
                      <a:noFill/>
                    </a:ln>
                  </pic:spPr>
                </pic:pic>
              </a:graphicData>
            </a:graphic>
          </wp:inline>
        </w:drawing>
      </w:r>
    </w:p>
    <w:p w14:paraId="726E22B6" w14:textId="4AB64241" w:rsidR="00607E60" w:rsidRDefault="00607E60" w:rsidP="006D695C">
      <w:pPr>
        <w:ind w:firstLine="360"/>
        <w:jc w:val="center"/>
        <w:rPr>
          <w:rFonts w:ascii="Garamond" w:hAnsi="Garamond" w:cstheme="majorBidi"/>
          <w:b/>
          <w:bCs/>
          <w:sz w:val="14"/>
          <w:szCs w:val="14"/>
        </w:rPr>
      </w:pPr>
    </w:p>
    <w:p w14:paraId="488568AD" w14:textId="108E496F" w:rsidR="006D695C" w:rsidRPr="00DE7D37" w:rsidRDefault="006D695C" w:rsidP="006D695C">
      <w:pPr>
        <w:ind w:firstLine="360"/>
        <w:jc w:val="center"/>
        <w:rPr>
          <w:rFonts w:ascii="Garamond" w:hAnsi="Garamond" w:cstheme="majorBidi"/>
          <w:b/>
          <w:bCs/>
        </w:rPr>
      </w:pPr>
      <w:r w:rsidRPr="00DE7D37">
        <w:rPr>
          <w:rFonts w:ascii="Garamond" w:hAnsi="Garamond" w:cstheme="majorBidi"/>
          <w:b/>
          <w:bCs/>
        </w:rPr>
        <w:t xml:space="preserve"># </w:t>
      </w:r>
      <w:r w:rsidR="00607E60">
        <w:rPr>
          <w:rFonts w:ascii="Garamond" w:hAnsi="Garamond" w:cstheme="majorBidi"/>
          <w:b/>
          <w:bCs/>
        </w:rPr>
        <w:t>2</w:t>
      </w:r>
      <w:r w:rsidRPr="00DE7D37">
        <w:rPr>
          <w:rFonts w:ascii="Garamond" w:hAnsi="Garamond" w:cstheme="majorBidi"/>
          <w:b/>
          <w:bCs/>
        </w:rPr>
        <w:t xml:space="preserve"> – Sponsored content and within chat link disclosure condition (</w:t>
      </w:r>
      <w:proofErr w:type="spellStart"/>
      <w:r w:rsidRPr="00DE7D37">
        <w:rPr>
          <w:rFonts w:ascii="Garamond" w:hAnsi="Garamond" w:cstheme="majorBidi"/>
          <w:b/>
          <w:bCs/>
        </w:rPr>
        <w:t>Discl</w:t>
      </w:r>
      <w:proofErr w:type="spellEnd"/>
      <w:r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Pr="00DE7D37">
        <w:rPr>
          <w:rFonts w:ascii="Garamond" w:hAnsi="Garamond" w:cstheme="majorBidi"/>
          <w:b/>
          <w:bCs/>
        </w:rPr>
        <w:t xml:space="preserve"> + Chat (link))</w:t>
      </w:r>
    </w:p>
    <w:p w14:paraId="410D89AB" w14:textId="3FF95869" w:rsidR="006D695C" w:rsidRDefault="006D695C" w:rsidP="006D695C">
      <w:pPr>
        <w:ind w:firstLine="360"/>
        <w:jc w:val="center"/>
        <w:rPr>
          <w:rFonts w:ascii="Garamond" w:hAnsi="Garamond" w:cstheme="majorBidi"/>
          <w:b/>
          <w:bCs/>
          <w:sz w:val="14"/>
          <w:szCs w:val="14"/>
        </w:rPr>
      </w:pPr>
    </w:p>
    <w:p w14:paraId="5C202E70" w14:textId="7E92FF71" w:rsidR="00607E60" w:rsidRDefault="00607E60" w:rsidP="006D695C">
      <w:pPr>
        <w:ind w:firstLine="360"/>
        <w:jc w:val="center"/>
        <w:rPr>
          <w:rFonts w:ascii="Garamond" w:hAnsi="Garamond" w:cstheme="majorBidi"/>
          <w:b/>
          <w:bCs/>
          <w:sz w:val="14"/>
          <w:szCs w:val="14"/>
        </w:rPr>
      </w:pPr>
      <w:r>
        <w:rPr>
          <w:rFonts w:ascii="Garamond" w:hAnsi="Garamond" w:cstheme="majorBidi"/>
          <w:b/>
          <w:bCs/>
          <w:noProof/>
          <w:sz w:val="14"/>
          <w:szCs w:val="14"/>
        </w:rPr>
        <w:drawing>
          <wp:inline distT="0" distB="0" distL="0" distR="0" wp14:anchorId="3E24058A" wp14:editId="60A6AF01">
            <wp:extent cx="2497015" cy="3364805"/>
            <wp:effectExtent l="0" t="0" r="0" b="7620"/>
            <wp:docPr id="1008600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6427" cy="3377488"/>
                    </a:xfrm>
                    <a:prstGeom prst="rect">
                      <a:avLst/>
                    </a:prstGeom>
                    <a:noFill/>
                    <a:ln>
                      <a:noFill/>
                    </a:ln>
                  </pic:spPr>
                </pic:pic>
              </a:graphicData>
            </a:graphic>
          </wp:inline>
        </w:drawing>
      </w:r>
    </w:p>
    <w:p w14:paraId="3F673046" w14:textId="1B95B1EC" w:rsidR="006D695C" w:rsidRPr="00DE7D37" w:rsidRDefault="006D695C" w:rsidP="006D695C">
      <w:pPr>
        <w:ind w:firstLine="360"/>
        <w:jc w:val="center"/>
        <w:rPr>
          <w:rFonts w:ascii="Garamond" w:hAnsi="Garamond" w:cstheme="majorBidi"/>
          <w:b/>
          <w:bCs/>
        </w:rPr>
      </w:pPr>
      <w:r w:rsidRPr="00DE7D37">
        <w:rPr>
          <w:rFonts w:ascii="Garamond" w:hAnsi="Garamond" w:cstheme="majorBidi"/>
          <w:b/>
          <w:bCs/>
        </w:rPr>
        <w:t xml:space="preserve"># </w:t>
      </w:r>
      <w:r w:rsidR="00607E60">
        <w:rPr>
          <w:rFonts w:ascii="Garamond" w:hAnsi="Garamond" w:cstheme="majorBidi"/>
          <w:b/>
          <w:bCs/>
        </w:rPr>
        <w:t>3</w:t>
      </w:r>
      <w:r w:rsidRPr="00DE7D37">
        <w:rPr>
          <w:rFonts w:ascii="Garamond" w:hAnsi="Garamond" w:cstheme="majorBidi"/>
          <w:b/>
          <w:bCs/>
        </w:rPr>
        <w:t xml:space="preserve"> – Sponsored content and within chat front disclosure condition (</w:t>
      </w:r>
      <w:proofErr w:type="spellStart"/>
      <w:r w:rsidRPr="00DE7D37">
        <w:rPr>
          <w:rFonts w:ascii="Garamond" w:hAnsi="Garamond" w:cstheme="majorBidi"/>
          <w:b/>
          <w:bCs/>
        </w:rPr>
        <w:t>Discl</w:t>
      </w:r>
      <w:proofErr w:type="spellEnd"/>
      <w:r w:rsidRPr="00DE7D37">
        <w:rPr>
          <w:rFonts w:ascii="Garamond" w:hAnsi="Garamond" w:cstheme="majorBidi"/>
          <w:b/>
          <w:bCs/>
        </w:rPr>
        <w:t xml:space="preserve">: </w:t>
      </w:r>
      <w:proofErr w:type="spellStart"/>
      <w:r w:rsidRPr="00DE7D37">
        <w:rPr>
          <w:rFonts w:ascii="Garamond" w:hAnsi="Garamond" w:cstheme="majorBidi"/>
          <w:b/>
          <w:bCs/>
        </w:rPr>
        <w:t>Srcs</w:t>
      </w:r>
      <w:proofErr w:type="spellEnd"/>
      <w:r w:rsidRPr="00DE7D37">
        <w:rPr>
          <w:rFonts w:ascii="Garamond" w:hAnsi="Garamond" w:cstheme="majorBidi"/>
          <w:b/>
          <w:bCs/>
        </w:rPr>
        <w:t xml:space="preserve"> + Chat (front))</w:t>
      </w:r>
    </w:p>
    <w:p w14:paraId="74B3CE62" w14:textId="77777777" w:rsidR="006D695C" w:rsidRDefault="006D695C" w:rsidP="006D695C">
      <w:pPr>
        <w:ind w:firstLine="360"/>
        <w:jc w:val="center"/>
        <w:rPr>
          <w:rFonts w:ascii="Garamond" w:hAnsi="Garamond" w:cstheme="majorBidi"/>
          <w:b/>
          <w:bCs/>
          <w:sz w:val="14"/>
          <w:szCs w:val="14"/>
        </w:rPr>
      </w:pPr>
    </w:p>
    <w:p w14:paraId="31018774" w14:textId="1A0A64C6" w:rsidR="006D695C" w:rsidRDefault="006D695C" w:rsidP="006D695C">
      <w:pPr>
        <w:ind w:firstLine="360"/>
        <w:jc w:val="center"/>
        <w:rPr>
          <w:rFonts w:ascii="Garamond" w:hAnsi="Garamond" w:cstheme="majorBidi"/>
          <w:b/>
          <w:bCs/>
          <w:sz w:val="14"/>
          <w:szCs w:val="14"/>
        </w:rPr>
      </w:pPr>
    </w:p>
    <w:p w14:paraId="4E6AC2C2" w14:textId="77777777" w:rsidR="00CF01AE" w:rsidRDefault="00CF01AE" w:rsidP="006D695C">
      <w:pPr>
        <w:ind w:firstLine="360"/>
        <w:jc w:val="center"/>
        <w:rPr>
          <w:rFonts w:ascii="Garamond" w:hAnsi="Garamond" w:cstheme="majorBidi"/>
          <w:b/>
          <w:bCs/>
          <w:sz w:val="14"/>
          <w:szCs w:val="14"/>
        </w:rPr>
      </w:pPr>
    </w:p>
    <w:p w14:paraId="20F53C35" w14:textId="7F21FAA5" w:rsidR="00CF01AE" w:rsidRDefault="00CF01AE" w:rsidP="006D695C">
      <w:pPr>
        <w:ind w:firstLine="360"/>
        <w:jc w:val="center"/>
        <w:rPr>
          <w:rFonts w:ascii="Garamond" w:hAnsi="Garamond" w:cstheme="majorBidi"/>
          <w:b/>
          <w:bCs/>
          <w:sz w:val="14"/>
          <w:szCs w:val="14"/>
        </w:rPr>
      </w:pPr>
      <w:r>
        <w:rPr>
          <w:rFonts w:ascii="Garamond" w:hAnsi="Garamond" w:cstheme="majorBidi"/>
          <w:b/>
          <w:bCs/>
          <w:noProof/>
          <w:sz w:val="14"/>
          <w:szCs w:val="14"/>
        </w:rPr>
        <w:drawing>
          <wp:inline distT="0" distB="0" distL="0" distR="0" wp14:anchorId="44E4D2CE" wp14:editId="21BE3BD7">
            <wp:extent cx="2532248" cy="2936875"/>
            <wp:effectExtent l="0" t="0" r="1905" b="0"/>
            <wp:docPr id="800650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1527" cy="2947637"/>
                    </a:xfrm>
                    <a:prstGeom prst="rect">
                      <a:avLst/>
                    </a:prstGeom>
                    <a:noFill/>
                    <a:ln>
                      <a:noFill/>
                    </a:ln>
                  </pic:spPr>
                </pic:pic>
              </a:graphicData>
            </a:graphic>
          </wp:inline>
        </w:drawing>
      </w:r>
    </w:p>
    <w:p w14:paraId="22B63EBD" w14:textId="4D9BA819" w:rsidR="006D695C" w:rsidRPr="00DE7D37" w:rsidRDefault="006D695C" w:rsidP="006D695C">
      <w:pPr>
        <w:ind w:firstLine="360"/>
        <w:jc w:val="center"/>
        <w:rPr>
          <w:rFonts w:ascii="Garamond" w:hAnsi="Garamond" w:cstheme="majorBidi"/>
        </w:rPr>
      </w:pPr>
      <w:r w:rsidRPr="00DE7D37">
        <w:rPr>
          <w:rFonts w:ascii="Garamond" w:hAnsi="Garamond" w:cstheme="majorBidi"/>
          <w:b/>
          <w:bCs/>
        </w:rPr>
        <w:t xml:space="preserve"># </w:t>
      </w:r>
      <w:r w:rsidR="00607E60">
        <w:rPr>
          <w:rFonts w:ascii="Garamond" w:hAnsi="Garamond" w:cstheme="majorBidi"/>
          <w:b/>
          <w:bCs/>
        </w:rPr>
        <w:t>4</w:t>
      </w:r>
      <w:r w:rsidRPr="00DE7D37">
        <w:rPr>
          <w:rFonts w:ascii="Garamond" w:hAnsi="Garamond" w:cstheme="majorBidi"/>
          <w:b/>
          <w:bCs/>
        </w:rPr>
        <w:t xml:space="preserve"> – Pre-approval condition (user approval)</w:t>
      </w:r>
    </w:p>
    <w:p w14:paraId="44E81856" w14:textId="3FCA009C" w:rsidR="00DE7D37" w:rsidRPr="00DE7D37" w:rsidRDefault="006D695C" w:rsidP="0042025D">
      <w:pPr>
        <w:rPr>
          <w:rFonts w:ascii="Garamond" w:hAnsi="Garamond" w:cstheme="majorBidi"/>
        </w:rPr>
      </w:pPr>
      <w:r w:rsidRPr="00DE7D37">
        <w:rPr>
          <w:rFonts w:ascii="Garamond" w:hAnsi="Garamond" w:cstheme="majorBidi"/>
        </w:rPr>
        <w:br w:type="column"/>
      </w:r>
    </w:p>
    <w:p w14:paraId="7B200C34" w14:textId="07B7939E" w:rsidR="00D02523" w:rsidRDefault="00F51F0C" w:rsidP="000C4A1A">
      <w:pPr>
        <w:pStyle w:val="Heading21"/>
        <w:rPr>
          <w:rtl/>
          <w:lang w:bidi="he-IL"/>
        </w:rPr>
      </w:pPr>
      <w:bookmarkStart w:id="88" w:name="_Toc202804178"/>
      <w:bookmarkStart w:id="89" w:name="_Toc212649945"/>
      <w:r w:rsidRPr="001A045C">
        <w:rPr>
          <w:lang w:bidi="he-IL"/>
        </w:rPr>
        <w:t xml:space="preserve">Appendix II – </w:t>
      </w:r>
      <w:r w:rsidR="00DC59E8" w:rsidRPr="001A045C">
        <w:rPr>
          <w:lang w:bidi="he-IL"/>
        </w:rPr>
        <w:t xml:space="preserve">Full </w:t>
      </w:r>
      <w:r w:rsidRPr="001A045C">
        <w:rPr>
          <w:lang w:bidi="he-IL"/>
        </w:rPr>
        <w:t>Survey</w:t>
      </w:r>
      <w:bookmarkEnd w:id="88"/>
      <w:bookmarkEnd w:id="89"/>
    </w:p>
    <w:p w14:paraId="0681D2B6" w14:textId="77777777" w:rsidR="00E7477E" w:rsidRDefault="00E7477E" w:rsidP="00E7477E">
      <w:pPr>
        <w:pStyle w:val="1JOLTBodyText"/>
        <w:ind w:firstLine="0"/>
        <w:jc w:val="center"/>
        <w:rPr>
          <w:rFonts w:ascii="Garamond" w:hAnsi="Garamond" w:cstheme="majorBidi"/>
          <w:b/>
          <w:bCs/>
          <w:smallCaps/>
          <w:sz w:val="24"/>
          <w:szCs w:val="24"/>
          <w:lang w:bidi="he-IL"/>
        </w:rPr>
      </w:pPr>
    </w:p>
    <w:p w14:paraId="646088B3" w14:textId="744ED729" w:rsidR="0042025D" w:rsidRPr="00E7477E" w:rsidRDefault="00B667BA" w:rsidP="0042025D">
      <w:pPr>
        <w:pStyle w:val="Heading3"/>
        <w:numPr>
          <w:ilvl w:val="0"/>
          <w:numId w:val="34"/>
        </w:numPr>
        <w:rPr>
          <w:lang w:bidi="he-IL"/>
        </w:rPr>
      </w:pPr>
      <w:bookmarkStart w:id="90" w:name="_Toc212649946"/>
      <w:r w:rsidRPr="00E7477E">
        <w:rPr>
          <w:lang w:bidi="he-IL"/>
        </w:rPr>
        <w:t xml:space="preserve">Study </w:t>
      </w:r>
      <w:r w:rsidR="00E7477E" w:rsidRPr="00E7477E">
        <w:rPr>
          <w:lang w:bidi="he-IL"/>
        </w:rPr>
        <w:t>I</w:t>
      </w:r>
      <w:bookmarkEnd w:id="90"/>
    </w:p>
    <w:p w14:paraId="16D74771" w14:textId="77777777" w:rsidR="00B667BA" w:rsidRDefault="00B667BA" w:rsidP="00B667BA">
      <w:pPr>
        <w:pStyle w:val="BlockSeparator"/>
      </w:pPr>
    </w:p>
    <w:p w14:paraId="5BDC6A3A" w14:textId="77777777" w:rsidR="00B667BA" w:rsidRDefault="00B667BA" w:rsidP="00B667BA">
      <w:pPr>
        <w:pStyle w:val="BlockStartLabel"/>
      </w:pPr>
      <w:r>
        <w:t>Start of Block: Content Evaluation</w:t>
      </w:r>
    </w:p>
    <w:tbl>
      <w:tblPr>
        <w:tblStyle w:val="QQuestionIconTable"/>
        <w:tblW w:w="50" w:type="auto"/>
        <w:tblLook w:val="07E0" w:firstRow="1" w:lastRow="1" w:firstColumn="1" w:lastColumn="1" w:noHBand="1" w:noVBand="1"/>
      </w:tblPr>
      <w:tblGrid>
        <w:gridCol w:w="380"/>
      </w:tblGrid>
      <w:tr w:rsidR="00B667BA" w14:paraId="196203AF" w14:textId="77777777" w:rsidTr="00F511B0">
        <w:tc>
          <w:tcPr>
            <w:tcW w:w="50" w:type="dxa"/>
          </w:tcPr>
          <w:p w14:paraId="31E42B68" w14:textId="77777777" w:rsidR="00B667BA" w:rsidRDefault="00B667BA" w:rsidP="00F511B0">
            <w:pPr>
              <w:keepNext/>
            </w:pPr>
            <w:r>
              <w:rPr>
                <w:noProof/>
              </w:rPr>
              <w:drawing>
                <wp:inline distT="0" distB="0" distL="0" distR="0" wp14:anchorId="20EF9EFE" wp14:editId="23B34B65">
                  <wp:extent cx="228600" cy="228600"/>
                  <wp:effectExtent l="0" t="0" r="0" b="0"/>
                  <wp:docPr id="1"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Randomization.png"/>
                          <pic:cNvPicPr/>
                        </pic:nvPicPr>
                        <pic:blipFill>
                          <a:blip r:embed="rId40"/>
                          <a:stretch>
                            <a:fillRect/>
                          </a:stretch>
                        </pic:blipFill>
                        <pic:spPr>
                          <a:xfrm>
                            <a:off x="0" y="0"/>
                            <a:ext cx="228600" cy="228600"/>
                          </a:xfrm>
                          <a:prstGeom prst="rect">
                            <a:avLst/>
                          </a:prstGeom>
                        </pic:spPr>
                      </pic:pic>
                    </a:graphicData>
                  </a:graphic>
                </wp:inline>
              </w:drawing>
            </w:r>
          </w:p>
        </w:tc>
      </w:tr>
    </w:tbl>
    <w:p w14:paraId="60340E50" w14:textId="77777777" w:rsidR="00B667BA" w:rsidRDefault="00B667BA" w:rsidP="00B667BA"/>
    <w:p w14:paraId="481606AD" w14:textId="77777777" w:rsidR="00B667BA" w:rsidRDefault="00B667BA" w:rsidP="00B667BA">
      <w:pPr>
        <w:keepNext/>
      </w:pPr>
      <w:r>
        <w:t xml:space="preserve">Q1 According to the chatbot conversation, what are some potential benefits of drinking enhanced water during a workout? Choose all that apply: </w:t>
      </w:r>
    </w:p>
    <w:p w14:paraId="100AFF1B" w14:textId="77777777" w:rsidR="00B667BA" w:rsidRDefault="00B667BA" w:rsidP="00B667BA">
      <w:pPr>
        <w:pStyle w:val="ListParagraph"/>
        <w:keepNext/>
        <w:numPr>
          <w:ilvl w:val="0"/>
          <w:numId w:val="14"/>
        </w:numPr>
        <w:contextualSpacing w:val="0"/>
      </w:pPr>
      <w:r>
        <w:t xml:space="preserve">It prevents muscle cramps better than regular water  (1) </w:t>
      </w:r>
    </w:p>
    <w:p w14:paraId="10E963A3" w14:textId="77777777" w:rsidR="00B667BA" w:rsidRDefault="00B667BA" w:rsidP="00B667BA">
      <w:pPr>
        <w:pStyle w:val="ListParagraph"/>
        <w:keepNext/>
        <w:numPr>
          <w:ilvl w:val="0"/>
          <w:numId w:val="14"/>
        </w:numPr>
        <w:contextualSpacing w:val="0"/>
      </w:pPr>
      <w:r>
        <w:t xml:space="preserve">It may support energy production  (2) </w:t>
      </w:r>
    </w:p>
    <w:p w14:paraId="64A019DD" w14:textId="77777777" w:rsidR="00B667BA" w:rsidRDefault="00B667BA" w:rsidP="00B667BA">
      <w:pPr>
        <w:pStyle w:val="ListParagraph"/>
        <w:keepNext/>
        <w:numPr>
          <w:ilvl w:val="0"/>
          <w:numId w:val="14"/>
        </w:numPr>
        <w:contextualSpacing w:val="0"/>
      </w:pPr>
      <w:r>
        <w:t xml:space="preserve">It can help with mental focus  (3) </w:t>
      </w:r>
    </w:p>
    <w:p w14:paraId="6D0D0F38" w14:textId="77777777" w:rsidR="00B667BA" w:rsidRDefault="00B667BA" w:rsidP="00B667BA">
      <w:pPr>
        <w:pStyle w:val="ListParagraph"/>
        <w:keepNext/>
        <w:numPr>
          <w:ilvl w:val="0"/>
          <w:numId w:val="14"/>
        </w:numPr>
        <w:contextualSpacing w:val="0"/>
      </w:pPr>
      <w:r>
        <w:t xml:space="preserve">It helps replenish electrolytes lost through sweat  (4) </w:t>
      </w:r>
    </w:p>
    <w:p w14:paraId="290DD2AD" w14:textId="77777777" w:rsidR="00B667BA" w:rsidRDefault="00B667BA" w:rsidP="00B667BA">
      <w:pPr>
        <w:pStyle w:val="ListParagraph"/>
        <w:keepNext/>
        <w:numPr>
          <w:ilvl w:val="0"/>
          <w:numId w:val="14"/>
        </w:numPr>
        <w:contextualSpacing w:val="0"/>
      </w:pPr>
      <w:r>
        <w:t xml:space="preserve">It reduces the need for post-workout meals  (5) </w:t>
      </w:r>
    </w:p>
    <w:p w14:paraId="12581017" w14:textId="77777777" w:rsidR="00B667BA" w:rsidRDefault="00B667BA" w:rsidP="00B667BA"/>
    <w:p w14:paraId="576E02A5" w14:textId="77777777" w:rsidR="00B667BA" w:rsidRDefault="00B667BA" w:rsidP="00B667BA">
      <w:pPr>
        <w:pStyle w:val="QuestionSeparator"/>
      </w:pPr>
    </w:p>
    <w:tbl>
      <w:tblPr>
        <w:tblStyle w:val="QQuestionIconTable"/>
        <w:tblW w:w="50" w:type="auto"/>
        <w:tblLook w:val="07E0" w:firstRow="1" w:lastRow="1" w:firstColumn="1" w:lastColumn="1" w:noHBand="1" w:noVBand="1"/>
      </w:tblPr>
      <w:tblGrid>
        <w:gridCol w:w="380"/>
      </w:tblGrid>
      <w:tr w:rsidR="00B667BA" w14:paraId="659C8D6A" w14:textId="77777777" w:rsidTr="00F511B0">
        <w:tc>
          <w:tcPr>
            <w:tcW w:w="50" w:type="dxa"/>
          </w:tcPr>
          <w:p w14:paraId="326847F0" w14:textId="77777777" w:rsidR="00B667BA" w:rsidRDefault="00B667BA" w:rsidP="00F511B0">
            <w:pPr>
              <w:keepNext/>
            </w:pPr>
            <w:r>
              <w:rPr>
                <w:noProof/>
              </w:rPr>
              <w:drawing>
                <wp:inline distT="0" distB="0" distL="0" distR="0" wp14:anchorId="3060225B" wp14:editId="7312CD87">
                  <wp:extent cx="228600" cy="228600"/>
                  <wp:effectExtent l="0" t="0" r="0" b="0"/>
                  <wp:docPr id="2"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andomization.png"/>
                          <pic:cNvPicPr/>
                        </pic:nvPicPr>
                        <pic:blipFill>
                          <a:blip r:embed="rId40"/>
                          <a:stretch>
                            <a:fillRect/>
                          </a:stretch>
                        </pic:blipFill>
                        <pic:spPr>
                          <a:xfrm>
                            <a:off x="0" y="0"/>
                            <a:ext cx="228600" cy="228600"/>
                          </a:xfrm>
                          <a:prstGeom prst="rect">
                            <a:avLst/>
                          </a:prstGeom>
                        </pic:spPr>
                      </pic:pic>
                    </a:graphicData>
                  </a:graphic>
                </wp:inline>
              </w:drawing>
            </w:r>
          </w:p>
        </w:tc>
      </w:tr>
    </w:tbl>
    <w:p w14:paraId="41EA036F" w14:textId="77777777" w:rsidR="00B667BA" w:rsidRDefault="00B667BA" w:rsidP="00B667BA"/>
    <w:p w14:paraId="499290B1" w14:textId="77777777" w:rsidR="00B667BA" w:rsidRDefault="00B667BA" w:rsidP="00B667BA">
      <w:pPr>
        <w:keepNext/>
      </w:pPr>
      <w:r>
        <w:t>Q2 In what situations does the conversation suggest regular water is sufficient?</w:t>
      </w:r>
    </w:p>
    <w:p w14:paraId="16C5A833" w14:textId="77777777" w:rsidR="00B667BA" w:rsidRDefault="00B667BA" w:rsidP="00B667BA">
      <w:pPr>
        <w:pStyle w:val="ListParagraph"/>
        <w:keepNext/>
        <w:numPr>
          <w:ilvl w:val="0"/>
          <w:numId w:val="16"/>
        </w:numPr>
        <w:contextualSpacing w:val="0"/>
      </w:pPr>
      <w:r>
        <w:t xml:space="preserve">During intense cardio or strength training  (1) </w:t>
      </w:r>
    </w:p>
    <w:p w14:paraId="37D27476" w14:textId="77777777" w:rsidR="00B667BA" w:rsidRDefault="00B667BA" w:rsidP="00B667BA">
      <w:pPr>
        <w:pStyle w:val="ListParagraph"/>
        <w:keepNext/>
        <w:numPr>
          <w:ilvl w:val="0"/>
          <w:numId w:val="16"/>
        </w:numPr>
        <w:contextualSpacing w:val="0"/>
      </w:pPr>
      <w:r>
        <w:t xml:space="preserve">When you're feeling dehydrated after a long day  (5) </w:t>
      </w:r>
    </w:p>
    <w:p w14:paraId="1FCA94BB" w14:textId="77777777" w:rsidR="00B667BA" w:rsidRDefault="00B667BA" w:rsidP="00B667BA">
      <w:pPr>
        <w:pStyle w:val="ListParagraph"/>
        <w:keepNext/>
        <w:numPr>
          <w:ilvl w:val="0"/>
          <w:numId w:val="16"/>
        </w:numPr>
        <w:contextualSpacing w:val="0"/>
      </w:pPr>
      <w:r>
        <w:t xml:space="preserve">During light workouts like walking or stretching  (3) </w:t>
      </w:r>
    </w:p>
    <w:p w14:paraId="39B896D0" w14:textId="77777777" w:rsidR="00B667BA" w:rsidRDefault="00B667BA" w:rsidP="00B667BA">
      <w:pPr>
        <w:pStyle w:val="ListParagraph"/>
        <w:keepNext/>
        <w:numPr>
          <w:ilvl w:val="0"/>
          <w:numId w:val="16"/>
        </w:numPr>
        <w:contextualSpacing w:val="0"/>
      </w:pPr>
      <w:r>
        <w:t xml:space="preserve">When you need a mental focus boost before work  (4) </w:t>
      </w:r>
    </w:p>
    <w:p w14:paraId="797E6AF9" w14:textId="77777777" w:rsidR="00B667BA" w:rsidRDefault="00B667BA" w:rsidP="00B667BA"/>
    <w:p w14:paraId="01DAC241" w14:textId="77777777" w:rsidR="00B667BA" w:rsidRDefault="00B667BA" w:rsidP="00B667BA">
      <w:pPr>
        <w:pStyle w:val="BlockEndLabel"/>
      </w:pPr>
      <w:r>
        <w:t>End of Block: Content Evaluation</w:t>
      </w:r>
    </w:p>
    <w:p w14:paraId="405AEB64" w14:textId="77777777" w:rsidR="00B667BA" w:rsidRDefault="00B667BA" w:rsidP="00B667BA">
      <w:pPr>
        <w:pStyle w:val="BlockSeparator"/>
      </w:pPr>
    </w:p>
    <w:p w14:paraId="7B052282" w14:textId="77777777" w:rsidR="00B667BA" w:rsidRDefault="00B667BA" w:rsidP="00B667BA">
      <w:pPr>
        <w:pStyle w:val="BlockStartLabel"/>
      </w:pPr>
      <w:r>
        <w:t>Start of Block: AI chatbot evaluation</w:t>
      </w:r>
    </w:p>
    <w:p w14:paraId="0F09DB80" w14:textId="77777777" w:rsidR="00B667BA" w:rsidRDefault="00B667BA" w:rsidP="00B667BA"/>
    <w:p w14:paraId="08368429" w14:textId="77777777" w:rsidR="00B667BA" w:rsidRDefault="00B667BA" w:rsidP="00B667BA">
      <w:pPr>
        <w:keepNext/>
      </w:pPr>
      <w:r>
        <w:t>Q3 Read the statements below carefully and indicate to what extent you agree (1 = Strongly Disagree, 7 = Strongly agree)</w:t>
      </w:r>
    </w:p>
    <w:tbl>
      <w:tblPr>
        <w:tblStyle w:val="QQuestionTable"/>
        <w:tblW w:w="9576" w:type="auto"/>
        <w:tblLook w:val="07E0" w:firstRow="1" w:lastRow="1" w:firstColumn="1" w:lastColumn="1" w:noHBand="1" w:noVBand="1"/>
      </w:tblPr>
      <w:tblGrid>
        <w:gridCol w:w="874"/>
        <w:gridCol w:w="1016"/>
        <w:gridCol w:w="632"/>
        <w:gridCol w:w="720"/>
        <w:gridCol w:w="781"/>
        <w:gridCol w:w="720"/>
        <w:gridCol w:w="720"/>
        <w:gridCol w:w="1017"/>
      </w:tblGrid>
      <w:tr w:rsidR="00B667BA" w14:paraId="1FD26874" w14:textId="77777777" w:rsidTr="00F51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2E78D763" w14:textId="77777777" w:rsidR="00B667BA" w:rsidRDefault="00B667BA" w:rsidP="00F511B0">
            <w:pPr>
              <w:keepNext/>
            </w:pPr>
          </w:p>
        </w:tc>
        <w:tc>
          <w:tcPr>
            <w:tcW w:w="1197" w:type="dxa"/>
          </w:tcPr>
          <w:p w14:paraId="6CEBB72C"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1 - Strongly Disagree (1)</w:t>
            </w:r>
          </w:p>
        </w:tc>
        <w:tc>
          <w:tcPr>
            <w:tcW w:w="1197" w:type="dxa"/>
          </w:tcPr>
          <w:p w14:paraId="29DEF465"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2 (9)</w:t>
            </w:r>
          </w:p>
        </w:tc>
        <w:tc>
          <w:tcPr>
            <w:tcW w:w="1197" w:type="dxa"/>
          </w:tcPr>
          <w:p w14:paraId="69527F43"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3 (10)</w:t>
            </w:r>
          </w:p>
        </w:tc>
        <w:tc>
          <w:tcPr>
            <w:tcW w:w="1197" w:type="dxa"/>
          </w:tcPr>
          <w:p w14:paraId="1CE90C80"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4 - Neutral (11)</w:t>
            </w:r>
          </w:p>
        </w:tc>
        <w:tc>
          <w:tcPr>
            <w:tcW w:w="1197" w:type="dxa"/>
          </w:tcPr>
          <w:p w14:paraId="33915834"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5 (12)</w:t>
            </w:r>
          </w:p>
        </w:tc>
        <w:tc>
          <w:tcPr>
            <w:tcW w:w="1197" w:type="dxa"/>
          </w:tcPr>
          <w:p w14:paraId="69F1843A"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6 (13)</w:t>
            </w:r>
          </w:p>
        </w:tc>
        <w:tc>
          <w:tcPr>
            <w:tcW w:w="1197" w:type="dxa"/>
          </w:tcPr>
          <w:p w14:paraId="716A8DE4"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7 - Strongly Agree (14)</w:t>
            </w:r>
          </w:p>
        </w:tc>
      </w:tr>
      <w:tr w:rsidR="00B667BA" w14:paraId="31FAB82C" w14:textId="77777777" w:rsidTr="00F511B0">
        <w:tc>
          <w:tcPr>
            <w:cnfStyle w:val="001000000000" w:firstRow="0" w:lastRow="0" w:firstColumn="1" w:lastColumn="0" w:oddVBand="0" w:evenVBand="0" w:oddHBand="0" w:evenHBand="0" w:firstRowFirstColumn="0" w:firstRowLastColumn="0" w:lastRowFirstColumn="0" w:lastRowLastColumn="0"/>
            <w:tcW w:w="1197" w:type="dxa"/>
          </w:tcPr>
          <w:p w14:paraId="65FDF119" w14:textId="77777777" w:rsidR="00B667BA" w:rsidRDefault="00B667BA" w:rsidP="00F511B0">
            <w:pPr>
              <w:keepNext/>
            </w:pPr>
            <w:r>
              <w:t xml:space="preserve">The AI’s recommendation was helpful (1) </w:t>
            </w:r>
          </w:p>
        </w:tc>
        <w:tc>
          <w:tcPr>
            <w:tcW w:w="1197" w:type="dxa"/>
          </w:tcPr>
          <w:p w14:paraId="5A172672"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452ABF80"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14017469"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16DB8AA2"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7F621BF3"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71D734D5"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6812BD72"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r>
      <w:tr w:rsidR="00B667BA" w14:paraId="03A98A01" w14:textId="77777777" w:rsidTr="00F511B0">
        <w:tc>
          <w:tcPr>
            <w:cnfStyle w:val="001000000000" w:firstRow="0" w:lastRow="0" w:firstColumn="1" w:lastColumn="0" w:oddVBand="0" w:evenVBand="0" w:oddHBand="0" w:evenHBand="0" w:firstRowFirstColumn="0" w:firstRowLastColumn="0" w:lastRowFirstColumn="0" w:lastRowLastColumn="0"/>
            <w:tcW w:w="1197" w:type="dxa"/>
          </w:tcPr>
          <w:p w14:paraId="7A785030" w14:textId="77777777" w:rsidR="00B667BA" w:rsidRDefault="00B667BA" w:rsidP="00F511B0">
            <w:pPr>
              <w:keepNext/>
            </w:pPr>
            <w:r>
              <w:t xml:space="preserve">I found the AI chatbot to be trustworthy (5) </w:t>
            </w:r>
          </w:p>
        </w:tc>
        <w:tc>
          <w:tcPr>
            <w:tcW w:w="1197" w:type="dxa"/>
          </w:tcPr>
          <w:p w14:paraId="74A94A54"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1D957353"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097605E8"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0FCD4517"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50E0327C"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43FDA28D"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7451DD73"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r>
      <w:tr w:rsidR="00B667BA" w14:paraId="08229AB0" w14:textId="77777777" w:rsidTr="00F511B0">
        <w:tc>
          <w:tcPr>
            <w:cnfStyle w:val="001000000000" w:firstRow="0" w:lastRow="0" w:firstColumn="1" w:lastColumn="0" w:oddVBand="0" w:evenVBand="0" w:oddHBand="0" w:evenHBand="0" w:firstRowFirstColumn="0" w:firstRowLastColumn="0" w:lastRowFirstColumn="0" w:lastRowLastColumn="0"/>
            <w:tcW w:w="1197" w:type="dxa"/>
          </w:tcPr>
          <w:p w14:paraId="1A1FFA58" w14:textId="77777777" w:rsidR="00B667BA" w:rsidRDefault="00B667BA" w:rsidP="00F511B0">
            <w:pPr>
              <w:keepNext/>
            </w:pPr>
            <w:r>
              <w:t xml:space="preserve">I would rely on AI for similar insights in the future (6) </w:t>
            </w:r>
          </w:p>
        </w:tc>
        <w:tc>
          <w:tcPr>
            <w:tcW w:w="1197" w:type="dxa"/>
          </w:tcPr>
          <w:p w14:paraId="57D3BB5D"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70C7BDDE"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39CBDABF"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5C9396D8"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250EC4EC"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42A54D27"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5A8DAC94"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r>
    </w:tbl>
    <w:p w14:paraId="3294FB26" w14:textId="77777777" w:rsidR="00B667BA" w:rsidRDefault="00B667BA" w:rsidP="00B667BA"/>
    <w:p w14:paraId="1873B6E6" w14:textId="77777777" w:rsidR="00B667BA" w:rsidRDefault="00B667BA" w:rsidP="00B667BA"/>
    <w:p w14:paraId="2A3C6415" w14:textId="77777777" w:rsidR="00B667BA" w:rsidRDefault="00B667BA" w:rsidP="00B667BA">
      <w:pPr>
        <w:pStyle w:val="BlockEndLabel"/>
      </w:pPr>
      <w:r>
        <w:t>End of Block: AI chatbot evaluation</w:t>
      </w:r>
    </w:p>
    <w:p w14:paraId="69D83AE4" w14:textId="77777777" w:rsidR="00B667BA" w:rsidRDefault="00B667BA" w:rsidP="00B667BA">
      <w:pPr>
        <w:pStyle w:val="BlockSeparator"/>
      </w:pPr>
    </w:p>
    <w:p w14:paraId="27581EB0" w14:textId="77777777" w:rsidR="00B667BA" w:rsidRDefault="00B667BA" w:rsidP="00B667BA">
      <w:pPr>
        <w:pStyle w:val="BlockStartLabel"/>
      </w:pPr>
      <w:r>
        <w:t>Start of Block: Advertising perception</w:t>
      </w:r>
    </w:p>
    <w:p w14:paraId="7A9E01F4" w14:textId="77777777" w:rsidR="00B667BA" w:rsidRDefault="00B667BA" w:rsidP="00B667BA"/>
    <w:p w14:paraId="1ABDDA70" w14:textId="77777777" w:rsidR="00B667BA" w:rsidRDefault="00B667BA" w:rsidP="00B667BA">
      <w:pPr>
        <w:keepNext/>
      </w:pPr>
      <w:r>
        <w:t>Q4 Indicate the extent to which you thought the conversation was influenced by paid advertising or sponsorship:</w:t>
      </w:r>
    </w:p>
    <w:tbl>
      <w:tblPr>
        <w:tblStyle w:val="QQuestionTable"/>
        <w:tblW w:w="9576" w:type="auto"/>
        <w:tblLook w:val="07E0" w:firstRow="1" w:lastRow="1" w:firstColumn="1" w:lastColumn="1" w:noHBand="1" w:noVBand="1"/>
      </w:tblPr>
      <w:tblGrid>
        <w:gridCol w:w="674"/>
        <w:gridCol w:w="1030"/>
        <w:gridCol w:w="673"/>
        <w:gridCol w:w="754"/>
        <w:gridCol w:w="811"/>
        <w:gridCol w:w="754"/>
        <w:gridCol w:w="754"/>
        <w:gridCol w:w="1030"/>
      </w:tblGrid>
      <w:tr w:rsidR="00B667BA" w14:paraId="1F29C149" w14:textId="77777777" w:rsidTr="00F51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0071CAA4" w14:textId="77777777" w:rsidR="00B667BA" w:rsidRDefault="00B667BA" w:rsidP="00F511B0">
            <w:pPr>
              <w:keepNext/>
            </w:pPr>
          </w:p>
        </w:tc>
        <w:tc>
          <w:tcPr>
            <w:tcW w:w="1197" w:type="dxa"/>
          </w:tcPr>
          <w:p w14:paraId="2877A1CA"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1 - Strongly Disagree (1)</w:t>
            </w:r>
          </w:p>
        </w:tc>
        <w:tc>
          <w:tcPr>
            <w:tcW w:w="1197" w:type="dxa"/>
          </w:tcPr>
          <w:p w14:paraId="10867C4F"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2 (9)</w:t>
            </w:r>
          </w:p>
        </w:tc>
        <w:tc>
          <w:tcPr>
            <w:tcW w:w="1197" w:type="dxa"/>
          </w:tcPr>
          <w:p w14:paraId="125B8AFA"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3 (10)</w:t>
            </w:r>
          </w:p>
        </w:tc>
        <w:tc>
          <w:tcPr>
            <w:tcW w:w="1197" w:type="dxa"/>
          </w:tcPr>
          <w:p w14:paraId="5CEF515A"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4 - Neutral (11)</w:t>
            </w:r>
          </w:p>
        </w:tc>
        <w:tc>
          <w:tcPr>
            <w:tcW w:w="1197" w:type="dxa"/>
          </w:tcPr>
          <w:p w14:paraId="6410D88D"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5 (12)</w:t>
            </w:r>
          </w:p>
        </w:tc>
        <w:tc>
          <w:tcPr>
            <w:tcW w:w="1197" w:type="dxa"/>
          </w:tcPr>
          <w:p w14:paraId="75507C20"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6 (13)</w:t>
            </w:r>
          </w:p>
        </w:tc>
        <w:tc>
          <w:tcPr>
            <w:tcW w:w="1197" w:type="dxa"/>
          </w:tcPr>
          <w:p w14:paraId="2BB6CED6"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7 - Strongly Agree (14)</w:t>
            </w:r>
          </w:p>
        </w:tc>
      </w:tr>
      <w:tr w:rsidR="00B667BA" w14:paraId="4F2A2087" w14:textId="77777777" w:rsidTr="00F511B0">
        <w:tc>
          <w:tcPr>
            <w:cnfStyle w:val="001000000000" w:firstRow="0" w:lastRow="0" w:firstColumn="1" w:lastColumn="0" w:oddVBand="0" w:evenVBand="0" w:oddHBand="0" w:evenHBand="0" w:firstRowFirstColumn="0" w:firstRowLastColumn="0" w:lastRowFirstColumn="0" w:lastRowLastColumn="0"/>
            <w:tcW w:w="1197" w:type="dxa"/>
          </w:tcPr>
          <w:p w14:paraId="1FE8C352" w14:textId="77777777" w:rsidR="00B667BA" w:rsidRDefault="00B667BA" w:rsidP="00F511B0">
            <w:pPr>
              <w:keepNext/>
            </w:pPr>
            <w:r>
              <w:t xml:space="preserve">1 (1) </w:t>
            </w:r>
          </w:p>
        </w:tc>
        <w:tc>
          <w:tcPr>
            <w:tcW w:w="1197" w:type="dxa"/>
          </w:tcPr>
          <w:p w14:paraId="3F99E44D"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0DD82AB4"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38EAEEDE"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27DA8C52"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0645FF2F"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465B55F0"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38FCA3F1"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r>
    </w:tbl>
    <w:p w14:paraId="1E2EBBED" w14:textId="77777777" w:rsidR="00B667BA" w:rsidRDefault="00B667BA" w:rsidP="00B667BA"/>
    <w:p w14:paraId="01EC479F" w14:textId="77777777" w:rsidR="00B667BA" w:rsidRDefault="00B667BA" w:rsidP="00B667BA"/>
    <w:p w14:paraId="60844E0A" w14:textId="77777777" w:rsidR="00B667BA" w:rsidRDefault="00B667BA" w:rsidP="00B667BA">
      <w:pPr>
        <w:pStyle w:val="QuestionSeparator"/>
      </w:pPr>
    </w:p>
    <w:tbl>
      <w:tblPr>
        <w:tblW w:w="0" w:type="auto"/>
        <w:tblInd w:w="10" w:type="dxa"/>
        <w:tblCellMar>
          <w:left w:w="10" w:type="dxa"/>
          <w:right w:w="10" w:type="dxa"/>
        </w:tblCellMar>
        <w:tblLook w:val="04A0" w:firstRow="1" w:lastRow="0" w:firstColumn="1" w:lastColumn="0" w:noHBand="0" w:noVBand="1"/>
      </w:tblPr>
      <w:tblGrid>
        <w:gridCol w:w="1094"/>
        <w:gridCol w:w="5376"/>
      </w:tblGrid>
      <w:tr w:rsidR="00B667BA" w14:paraId="080A6BBD" w14:textId="77777777" w:rsidTr="00F511B0">
        <w:trPr>
          <w:trHeight w:val="300"/>
        </w:trPr>
        <w:tc>
          <w:tcPr>
            <w:tcW w:w="1368" w:type="dxa"/>
            <w:tcBorders>
              <w:top w:val="nil"/>
              <w:left w:val="nil"/>
              <w:bottom w:val="nil"/>
              <w:right w:val="nil"/>
            </w:tcBorders>
          </w:tcPr>
          <w:p w14:paraId="4EB2C713" w14:textId="77777777" w:rsidR="00B667BA" w:rsidRDefault="00B667BA" w:rsidP="00F511B0">
            <w:pPr>
              <w:rPr>
                <w:color w:val="CCCCCC"/>
              </w:rPr>
            </w:pPr>
            <w:r>
              <w:rPr>
                <w:color w:val="CCCCCC"/>
              </w:rPr>
              <w:t>Page Break</w:t>
            </w:r>
          </w:p>
        </w:tc>
        <w:tc>
          <w:tcPr>
            <w:tcW w:w="8208" w:type="dxa"/>
            <w:tcBorders>
              <w:top w:val="nil"/>
              <w:left w:val="nil"/>
              <w:bottom w:val="nil"/>
              <w:right w:val="nil"/>
            </w:tcBorders>
          </w:tcPr>
          <w:p w14:paraId="3B8C14E5" w14:textId="77777777" w:rsidR="00B667BA" w:rsidRDefault="00B667BA" w:rsidP="00F511B0">
            <w:pPr>
              <w:pBdr>
                <w:top w:val="single" w:sz="8" w:space="0" w:color="CCCCCC"/>
              </w:pBdr>
              <w:spacing w:before="120" w:after="120" w:line="120" w:lineRule="auto"/>
              <w:jc w:val="center"/>
              <w:rPr>
                <w:color w:val="CCCCCC"/>
              </w:rPr>
            </w:pPr>
          </w:p>
        </w:tc>
      </w:tr>
    </w:tbl>
    <w:p w14:paraId="12D3DD46" w14:textId="77777777" w:rsidR="00B667BA" w:rsidRDefault="00B667BA" w:rsidP="00B667BA">
      <w:r>
        <w:br w:type="page"/>
      </w:r>
    </w:p>
    <w:p w14:paraId="64DC6EF7" w14:textId="77777777" w:rsidR="00B667BA" w:rsidRDefault="00B667BA" w:rsidP="00B667BA"/>
    <w:p w14:paraId="7799DDD5" w14:textId="77777777" w:rsidR="00B667BA" w:rsidRDefault="00B667BA" w:rsidP="00B667BA">
      <w:pPr>
        <w:keepNext/>
      </w:pPr>
      <w:r>
        <w:t>Q5 Why did you or did you not think the message was advertising?</w:t>
      </w:r>
    </w:p>
    <w:p w14:paraId="64E027FE" w14:textId="77777777" w:rsidR="00B667BA" w:rsidRDefault="00B667BA" w:rsidP="00B667BA">
      <w:pPr>
        <w:pStyle w:val="TextEntryLine"/>
        <w:ind w:firstLine="400"/>
      </w:pPr>
      <w:r>
        <w:t>________________________________________________________________</w:t>
      </w:r>
    </w:p>
    <w:p w14:paraId="066B1F9B" w14:textId="77777777" w:rsidR="00B667BA" w:rsidRDefault="00B667BA" w:rsidP="00B667BA">
      <w:pPr>
        <w:pStyle w:val="TextEntryLine"/>
        <w:ind w:firstLine="400"/>
      </w:pPr>
      <w:r>
        <w:t>________________________________________________________________</w:t>
      </w:r>
    </w:p>
    <w:p w14:paraId="56A8391A" w14:textId="77777777" w:rsidR="00B667BA" w:rsidRDefault="00B667BA" w:rsidP="00B667BA">
      <w:pPr>
        <w:pStyle w:val="TextEntryLine"/>
        <w:ind w:firstLine="400"/>
      </w:pPr>
      <w:r>
        <w:t>________________________________________________________________</w:t>
      </w:r>
    </w:p>
    <w:p w14:paraId="0EA37257" w14:textId="77777777" w:rsidR="00B667BA" w:rsidRDefault="00B667BA" w:rsidP="00B667BA">
      <w:pPr>
        <w:pStyle w:val="TextEntryLine"/>
        <w:ind w:firstLine="400"/>
      </w:pPr>
      <w:r>
        <w:t>________________________________________________________________</w:t>
      </w:r>
    </w:p>
    <w:p w14:paraId="2F66298E" w14:textId="77777777" w:rsidR="00B667BA" w:rsidRDefault="00B667BA" w:rsidP="00B667BA">
      <w:pPr>
        <w:pStyle w:val="TextEntryLine"/>
        <w:ind w:firstLine="400"/>
      </w:pPr>
      <w:r>
        <w:t>________________________________________________________________</w:t>
      </w:r>
    </w:p>
    <w:p w14:paraId="7D54FE08" w14:textId="77777777" w:rsidR="00B667BA" w:rsidRDefault="00B667BA" w:rsidP="00B667BA"/>
    <w:p w14:paraId="40A263C1" w14:textId="77777777" w:rsidR="00B667BA" w:rsidRDefault="00B667BA" w:rsidP="00B667BA">
      <w:pPr>
        <w:pStyle w:val="QuestionSeparator"/>
      </w:pPr>
    </w:p>
    <w:tbl>
      <w:tblPr>
        <w:tblW w:w="0" w:type="auto"/>
        <w:tblInd w:w="10" w:type="dxa"/>
        <w:tblCellMar>
          <w:left w:w="10" w:type="dxa"/>
          <w:right w:w="10" w:type="dxa"/>
        </w:tblCellMar>
        <w:tblLook w:val="04A0" w:firstRow="1" w:lastRow="0" w:firstColumn="1" w:lastColumn="0" w:noHBand="0" w:noVBand="1"/>
      </w:tblPr>
      <w:tblGrid>
        <w:gridCol w:w="1094"/>
        <w:gridCol w:w="5376"/>
      </w:tblGrid>
      <w:tr w:rsidR="00B667BA" w14:paraId="5AA30323" w14:textId="77777777" w:rsidTr="00F511B0">
        <w:trPr>
          <w:trHeight w:val="300"/>
        </w:trPr>
        <w:tc>
          <w:tcPr>
            <w:tcW w:w="1368" w:type="dxa"/>
            <w:tcBorders>
              <w:top w:val="nil"/>
              <w:left w:val="nil"/>
              <w:bottom w:val="nil"/>
              <w:right w:val="nil"/>
            </w:tcBorders>
          </w:tcPr>
          <w:p w14:paraId="30D9BDDA" w14:textId="77777777" w:rsidR="00B667BA" w:rsidRDefault="00B667BA" w:rsidP="00F511B0">
            <w:pPr>
              <w:rPr>
                <w:color w:val="CCCCCC"/>
              </w:rPr>
            </w:pPr>
            <w:r>
              <w:rPr>
                <w:color w:val="CCCCCC"/>
              </w:rPr>
              <w:t>Page Break</w:t>
            </w:r>
          </w:p>
        </w:tc>
        <w:tc>
          <w:tcPr>
            <w:tcW w:w="8208" w:type="dxa"/>
            <w:tcBorders>
              <w:top w:val="nil"/>
              <w:left w:val="nil"/>
              <w:bottom w:val="nil"/>
              <w:right w:val="nil"/>
            </w:tcBorders>
          </w:tcPr>
          <w:p w14:paraId="2C552CC3" w14:textId="77777777" w:rsidR="00B667BA" w:rsidRDefault="00B667BA" w:rsidP="00F511B0">
            <w:pPr>
              <w:pBdr>
                <w:top w:val="single" w:sz="8" w:space="0" w:color="CCCCCC"/>
              </w:pBdr>
              <w:spacing w:before="120" w:after="120" w:line="120" w:lineRule="auto"/>
              <w:jc w:val="center"/>
              <w:rPr>
                <w:color w:val="CCCCCC"/>
              </w:rPr>
            </w:pPr>
          </w:p>
        </w:tc>
      </w:tr>
    </w:tbl>
    <w:p w14:paraId="3ABC4ECD" w14:textId="77777777" w:rsidR="00B667BA" w:rsidRDefault="00B667BA" w:rsidP="00B667BA">
      <w:r>
        <w:br w:type="page"/>
      </w:r>
    </w:p>
    <w:p w14:paraId="6527D654" w14:textId="77777777" w:rsidR="00B667BA" w:rsidRDefault="00B667BA" w:rsidP="00B667BA"/>
    <w:p w14:paraId="445635C6" w14:textId="77777777" w:rsidR="00B667BA" w:rsidRDefault="00B667BA" w:rsidP="00B667BA">
      <w:pPr>
        <w:keepNext/>
      </w:pPr>
      <w:r>
        <w:t>Q6 Did you notice any message indicating that the chatbot response might be sponsored or promotional?</w:t>
      </w:r>
    </w:p>
    <w:tbl>
      <w:tblPr>
        <w:tblStyle w:val="QQuestionTable"/>
        <w:tblW w:w="9576" w:type="auto"/>
        <w:tblLook w:val="07E0" w:firstRow="1" w:lastRow="1" w:firstColumn="1" w:lastColumn="1" w:noHBand="1" w:noVBand="1"/>
      </w:tblPr>
      <w:tblGrid>
        <w:gridCol w:w="683"/>
        <w:gridCol w:w="865"/>
        <w:gridCol w:w="858"/>
        <w:gridCol w:w="783"/>
        <w:gridCol w:w="785"/>
        <w:gridCol w:w="783"/>
        <w:gridCol w:w="858"/>
        <w:gridCol w:w="865"/>
      </w:tblGrid>
      <w:tr w:rsidR="00B667BA" w14:paraId="1AE2122D" w14:textId="77777777" w:rsidTr="00F51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3A59BDEE" w14:textId="77777777" w:rsidR="00B667BA" w:rsidRDefault="00B667BA" w:rsidP="00F511B0">
            <w:pPr>
              <w:keepNext/>
            </w:pPr>
          </w:p>
        </w:tc>
        <w:tc>
          <w:tcPr>
            <w:tcW w:w="1197" w:type="dxa"/>
          </w:tcPr>
          <w:p w14:paraId="1FD81480"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Definitely not (1)</w:t>
            </w:r>
          </w:p>
        </w:tc>
        <w:tc>
          <w:tcPr>
            <w:tcW w:w="1197" w:type="dxa"/>
          </w:tcPr>
          <w:p w14:paraId="3F973F74"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Probably not (9)</w:t>
            </w:r>
          </w:p>
        </w:tc>
        <w:tc>
          <w:tcPr>
            <w:tcW w:w="1197" w:type="dxa"/>
          </w:tcPr>
          <w:p w14:paraId="286A0D86"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Possibly not (10)</w:t>
            </w:r>
          </w:p>
        </w:tc>
        <w:tc>
          <w:tcPr>
            <w:tcW w:w="1197" w:type="dxa"/>
          </w:tcPr>
          <w:p w14:paraId="079592FE"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Not sure (11)</w:t>
            </w:r>
          </w:p>
        </w:tc>
        <w:tc>
          <w:tcPr>
            <w:tcW w:w="1197" w:type="dxa"/>
          </w:tcPr>
          <w:p w14:paraId="1034CE6D"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Possibly yes (12)</w:t>
            </w:r>
          </w:p>
        </w:tc>
        <w:tc>
          <w:tcPr>
            <w:tcW w:w="1197" w:type="dxa"/>
          </w:tcPr>
          <w:p w14:paraId="54DFEF42"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r>
              <w:t>Probably yes (13)</w:t>
            </w:r>
          </w:p>
        </w:tc>
        <w:tc>
          <w:tcPr>
            <w:tcW w:w="1197" w:type="dxa"/>
          </w:tcPr>
          <w:p w14:paraId="2DEA91A4" w14:textId="77777777" w:rsidR="00B667BA" w:rsidRDefault="00B667BA" w:rsidP="00F511B0">
            <w:pPr>
              <w:cnfStyle w:val="100000000000" w:firstRow="1" w:lastRow="0" w:firstColumn="0" w:lastColumn="0" w:oddVBand="0" w:evenVBand="0" w:oddHBand="0" w:evenHBand="0" w:firstRowFirstColumn="0" w:firstRowLastColumn="0" w:lastRowFirstColumn="0" w:lastRowLastColumn="0"/>
            </w:pPr>
            <w:proofErr w:type="gramStart"/>
            <w:r>
              <w:t>Definitely yes</w:t>
            </w:r>
            <w:proofErr w:type="gramEnd"/>
            <w:r>
              <w:t xml:space="preserve"> (14)</w:t>
            </w:r>
          </w:p>
        </w:tc>
      </w:tr>
      <w:tr w:rsidR="00B667BA" w14:paraId="66B0A6EE" w14:textId="77777777" w:rsidTr="00F511B0">
        <w:tc>
          <w:tcPr>
            <w:cnfStyle w:val="001000000000" w:firstRow="0" w:lastRow="0" w:firstColumn="1" w:lastColumn="0" w:oddVBand="0" w:evenVBand="0" w:oddHBand="0" w:evenHBand="0" w:firstRowFirstColumn="0" w:firstRowLastColumn="0" w:lastRowFirstColumn="0" w:lastRowLastColumn="0"/>
            <w:tcW w:w="1197" w:type="dxa"/>
          </w:tcPr>
          <w:p w14:paraId="6DE01AC4" w14:textId="77777777" w:rsidR="00B667BA" w:rsidRDefault="00B667BA" w:rsidP="00F511B0">
            <w:pPr>
              <w:keepNext/>
            </w:pPr>
            <w:r>
              <w:t xml:space="preserve">1 (1) </w:t>
            </w:r>
          </w:p>
        </w:tc>
        <w:tc>
          <w:tcPr>
            <w:tcW w:w="1197" w:type="dxa"/>
          </w:tcPr>
          <w:p w14:paraId="496FC9EA"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60A1E175"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3D534256"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3E24A83F"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1F574BE9"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7307E702"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c>
          <w:tcPr>
            <w:tcW w:w="1197" w:type="dxa"/>
          </w:tcPr>
          <w:p w14:paraId="11362EDE" w14:textId="77777777" w:rsidR="00B667BA" w:rsidRDefault="00B667BA" w:rsidP="00B667BA">
            <w:pPr>
              <w:pStyle w:val="ListParagraph"/>
              <w:keepNext/>
              <w:numPr>
                <w:ilvl w:val="0"/>
                <w:numId w:val="16"/>
              </w:numPr>
              <w:contextualSpacing w:val="0"/>
              <w:cnfStyle w:val="000000000000" w:firstRow="0" w:lastRow="0" w:firstColumn="0" w:lastColumn="0" w:oddVBand="0" w:evenVBand="0" w:oddHBand="0" w:evenHBand="0" w:firstRowFirstColumn="0" w:firstRowLastColumn="0" w:lastRowFirstColumn="0" w:lastRowLastColumn="0"/>
            </w:pPr>
          </w:p>
        </w:tc>
      </w:tr>
    </w:tbl>
    <w:p w14:paraId="2200DFB7" w14:textId="77777777" w:rsidR="00B667BA" w:rsidRDefault="00B667BA" w:rsidP="00B667BA"/>
    <w:p w14:paraId="16932E7F" w14:textId="77777777" w:rsidR="00B667BA" w:rsidRDefault="00B667BA" w:rsidP="00B667BA"/>
    <w:p w14:paraId="276B8EC3" w14:textId="77777777" w:rsidR="00B667BA" w:rsidRDefault="00B667BA" w:rsidP="00B667BA">
      <w:pPr>
        <w:pStyle w:val="QuestionSeparator"/>
      </w:pPr>
    </w:p>
    <w:tbl>
      <w:tblPr>
        <w:tblW w:w="0" w:type="auto"/>
        <w:tblInd w:w="10" w:type="dxa"/>
        <w:tblCellMar>
          <w:left w:w="10" w:type="dxa"/>
          <w:right w:w="10" w:type="dxa"/>
        </w:tblCellMar>
        <w:tblLook w:val="04A0" w:firstRow="1" w:lastRow="0" w:firstColumn="1" w:lastColumn="0" w:noHBand="0" w:noVBand="1"/>
      </w:tblPr>
      <w:tblGrid>
        <w:gridCol w:w="1094"/>
        <w:gridCol w:w="5376"/>
      </w:tblGrid>
      <w:tr w:rsidR="00B667BA" w14:paraId="0F65FA8C" w14:textId="77777777" w:rsidTr="00F511B0">
        <w:trPr>
          <w:trHeight w:val="300"/>
        </w:trPr>
        <w:tc>
          <w:tcPr>
            <w:tcW w:w="1368" w:type="dxa"/>
            <w:tcBorders>
              <w:top w:val="nil"/>
              <w:left w:val="nil"/>
              <w:bottom w:val="nil"/>
              <w:right w:val="nil"/>
            </w:tcBorders>
          </w:tcPr>
          <w:p w14:paraId="64509366" w14:textId="77777777" w:rsidR="00B667BA" w:rsidRDefault="00B667BA" w:rsidP="00F511B0">
            <w:pPr>
              <w:rPr>
                <w:color w:val="CCCCCC"/>
              </w:rPr>
            </w:pPr>
            <w:r>
              <w:rPr>
                <w:color w:val="CCCCCC"/>
              </w:rPr>
              <w:t>Page Break</w:t>
            </w:r>
          </w:p>
        </w:tc>
        <w:tc>
          <w:tcPr>
            <w:tcW w:w="8208" w:type="dxa"/>
            <w:tcBorders>
              <w:top w:val="nil"/>
              <w:left w:val="nil"/>
              <w:bottom w:val="nil"/>
              <w:right w:val="nil"/>
            </w:tcBorders>
          </w:tcPr>
          <w:p w14:paraId="0233919E" w14:textId="77777777" w:rsidR="00B667BA" w:rsidRDefault="00B667BA" w:rsidP="00F511B0">
            <w:pPr>
              <w:pBdr>
                <w:top w:val="single" w:sz="8" w:space="0" w:color="CCCCCC"/>
              </w:pBdr>
              <w:spacing w:before="120" w:after="120" w:line="120" w:lineRule="auto"/>
              <w:jc w:val="center"/>
              <w:rPr>
                <w:color w:val="CCCCCC"/>
              </w:rPr>
            </w:pPr>
          </w:p>
        </w:tc>
      </w:tr>
    </w:tbl>
    <w:p w14:paraId="56497D6A" w14:textId="77777777" w:rsidR="00B667BA" w:rsidRDefault="00B667BA" w:rsidP="00B667BA">
      <w:r>
        <w:br w:type="page"/>
      </w:r>
    </w:p>
    <w:p w14:paraId="5C5D30F6" w14:textId="77777777" w:rsidR="00B667BA" w:rsidRDefault="00B667BA" w:rsidP="00B667BA">
      <w:pPr>
        <w:pStyle w:val="BlockEndLabel"/>
      </w:pPr>
      <w:r>
        <w:t>End of Block: Advertising perception</w:t>
      </w:r>
    </w:p>
    <w:p w14:paraId="7E2C24F4" w14:textId="77777777" w:rsidR="00B667BA" w:rsidRDefault="00B667BA" w:rsidP="00B667BA">
      <w:pPr>
        <w:pStyle w:val="BlockSeparator"/>
      </w:pPr>
    </w:p>
    <w:p w14:paraId="7E92B1CD" w14:textId="77777777" w:rsidR="00B667BA" w:rsidRDefault="00B667BA" w:rsidP="00B667BA">
      <w:pPr>
        <w:pStyle w:val="BlockStartLabel"/>
      </w:pPr>
      <w:r>
        <w:t>Start of Block: Additional questions</w:t>
      </w:r>
    </w:p>
    <w:p w14:paraId="5CBC0DC4" w14:textId="77777777" w:rsidR="00B667BA" w:rsidRDefault="00B667BA" w:rsidP="00B667BA"/>
    <w:p w14:paraId="356901A1" w14:textId="77777777" w:rsidR="00B667BA" w:rsidRDefault="00B667BA" w:rsidP="00B667BA">
      <w:pPr>
        <w:keepNext/>
      </w:pPr>
      <w:r>
        <w:t>Q7 How often do you use AI chatbots such as ChatGPT, Claude, or similar tools?</w:t>
      </w:r>
    </w:p>
    <w:p w14:paraId="187046C5" w14:textId="77777777" w:rsidR="00B667BA" w:rsidRDefault="00B667BA" w:rsidP="00B667BA">
      <w:pPr>
        <w:pStyle w:val="ListParagraph"/>
        <w:keepNext/>
        <w:numPr>
          <w:ilvl w:val="0"/>
          <w:numId w:val="16"/>
        </w:numPr>
        <w:contextualSpacing w:val="0"/>
      </w:pPr>
      <w:r>
        <w:t xml:space="preserve">Never - I have never used an AI chatbot before  (1) </w:t>
      </w:r>
    </w:p>
    <w:p w14:paraId="2657BFC5" w14:textId="77777777" w:rsidR="00B667BA" w:rsidRDefault="00B667BA" w:rsidP="00B667BA">
      <w:pPr>
        <w:pStyle w:val="ListParagraph"/>
        <w:keepNext/>
        <w:numPr>
          <w:ilvl w:val="0"/>
          <w:numId w:val="16"/>
        </w:numPr>
        <w:contextualSpacing w:val="0"/>
      </w:pPr>
      <w:r>
        <w:t xml:space="preserve">Rarely – less than once a month  (2) </w:t>
      </w:r>
    </w:p>
    <w:p w14:paraId="0F64B7FE" w14:textId="77777777" w:rsidR="00B667BA" w:rsidRDefault="00B667BA" w:rsidP="00B667BA">
      <w:pPr>
        <w:pStyle w:val="ListParagraph"/>
        <w:keepNext/>
        <w:numPr>
          <w:ilvl w:val="0"/>
          <w:numId w:val="16"/>
        </w:numPr>
        <w:contextualSpacing w:val="0"/>
      </w:pPr>
      <w:r>
        <w:t xml:space="preserve">Occasionally – a few times a month or week  (3) </w:t>
      </w:r>
    </w:p>
    <w:p w14:paraId="25F3536E" w14:textId="77777777" w:rsidR="00B667BA" w:rsidRDefault="00B667BA" w:rsidP="00B667BA">
      <w:pPr>
        <w:pStyle w:val="ListParagraph"/>
        <w:keepNext/>
        <w:numPr>
          <w:ilvl w:val="0"/>
          <w:numId w:val="16"/>
        </w:numPr>
        <w:contextualSpacing w:val="0"/>
      </w:pPr>
      <w:r>
        <w:t xml:space="preserve">Frequently – daily or almost daily  (4) </w:t>
      </w:r>
    </w:p>
    <w:p w14:paraId="02D479BB" w14:textId="77777777" w:rsidR="00B667BA" w:rsidRDefault="00B667BA" w:rsidP="00B667BA"/>
    <w:p w14:paraId="2C4EBB73" w14:textId="77777777" w:rsidR="00B667BA" w:rsidRDefault="00B667BA" w:rsidP="00B667BA">
      <w:pPr>
        <w:pStyle w:val="QuestionSeparator"/>
      </w:pPr>
    </w:p>
    <w:p w14:paraId="6379ED50" w14:textId="77777777" w:rsidR="00B667BA" w:rsidRDefault="00B667BA" w:rsidP="00B667BA"/>
    <w:p w14:paraId="5792124B" w14:textId="77777777" w:rsidR="00B667BA" w:rsidRDefault="00B667BA" w:rsidP="00B667BA">
      <w:pPr>
        <w:keepNext/>
      </w:pPr>
      <w:r>
        <w:t>Q8 How old are you?</w:t>
      </w:r>
    </w:p>
    <w:p w14:paraId="19D4A73B" w14:textId="77777777" w:rsidR="00B667BA" w:rsidRDefault="00B667BA" w:rsidP="00B667BA">
      <w:pPr>
        <w:pStyle w:val="ListParagraph"/>
        <w:keepNext/>
        <w:numPr>
          <w:ilvl w:val="0"/>
          <w:numId w:val="16"/>
        </w:numPr>
        <w:contextualSpacing w:val="0"/>
      </w:pPr>
      <w:r>
        <w:t xml:space="preserve">Under 18  (1) </w:t>
      </w:r>
    </w:p>
    <w:p w14:paraId="0E205010" w14:textId="77777777" w:rsidR="00B667BA" w:rsidRDefault="00B667BA" w:rsidP="00B667BA">
      <w:pPr>
        <w:pStyle w:val="ListParagraph"/>
        <w:keepNext/>
        <w:numPr>
          <w:ilvl w:val="0"/>
          <w:numId w:val="16"/>
        </w:numPr>
        <w:contextualSpacing w:val="0"/>
      </w:pPr>
      <w:r>
        <w:t xml:space="preserve">18-24 years old  (2) </w:t>
      </w:r>
    </w:p>
    <w:p w14:paraId="08AC302F" w14:textId="77777777" w:rsidR="00B667BA" w:rsidRDefault="00B667BA" w:rsidP="00B667BA">
      <w:pPr>
        <w:pStyle w:val="ListParagraph"/>
        <w:keepNext/>
        <w:numPr>
          <w:ilvl w:val="0"/>
          <w:numId w:val="16"/>
        </w:numPr>
        <w:contextualSpacing w:val="0"/>
      </w:pPr>
      <w:r>
        <w:t xml:space="preserve">25-34 years old  (3) </w:t>
      </w:r>
    </w:p>
    <w:p w14:paraId="50C141A8" w14:textId="77777777" w:rsidR="00B667BA" w:rsidRDefault="00B667BA" w:rsidP="00B667BA">
      <w:pPr>
        <w:pStyle w:val="ListParagraph"/>
        <w:keepNext/>
        <w:numPr>
          <w:ilvl w:val="0"/>
          <w:numId w:val="16"/>
        </w:numPr>
        <w:contextualSpacing w:val="0"/>
      </w:pPr>
      <w:r>
        <w:t xml:space="preserve">35-44 years old  (4) </w:t>
      </w:r>
    </w:p>
    <w:p w14:paraId="2100A7EB" w14:textId="77777777" w:rsidR="00B667BA" w:rsidRDefault="00B667BA" w:rsidP="00B667BA">
      <w:pPr>
        <w:pStyle w:val="ListParagraph"/>
        <w:keepNext/>
        <w:numPr>
          <w:ilvl w:val="0"/>
          <w:numId w:val="16"/>
        </w:numPr>
        <w:contextualSpacing w:val="0"/>
      </w:pPr>
      <w:r>
        <w:t xml:space="preserve">45-54 years old  (5) </w:t>
      </w:r>
    </w:p>
    <w:p w14:paraId="3136ACB4" w14:textId="77777777" w:rsidR="00B667BA" w:rsidRDefault="00B667BA" w:rsidP="00B667BA">
      <w:pPr>
        <w:pStyle w:val="ListParagraph"/>
        <w:keepNext/>
        <w:numPr>
          <w:ilvl w:val="0"/>
          <w:numId w:val="16"/>
        </w:numPr>
        <w:contextualSpacing w:val="0"/>
      </w:pPr>
      <w:r>
        <w:t xml:space="preserve">55-64 years old  (6) </w:t>
      </w:r>
    </w:p>
    <w:p w14:paraId="198C3010" w14:textId="77777777" w:rsidR="00B667BA" w:rsidRDefault="00B667BA" w:rsidP="00B667BA">
      <w:pPr>
        <w:pStyle w:val="ListParagraph"/>
        <w:keepNext/>
        <w:numPr>
          <w:ilvl w:val="0"/>
          <w:numId w:val="16"/>
        </w:numPr>
        <w:contextualSpacing w:val="0"/>
      </w:pPr>
      <w:r>
        <w:t xml:space="preserve">65+ years old  (7) </w:t>
      </w:r>
    </w:p>
    <w:p w14:paraId="321C91E8" w14:textId="77777777" w:rsidR="00B667BA" w:rsidRDefault="00B667BA" w:rsidP="00B667BA"/>
    <w:p w14:paraId="0D163EB0" w14:textId="77777777" w:rsidR="00B667BA" w:rsidRDefault="00B667BA" w:rsidP="00B667BA">
      <w:pPr>
        <w:pStyle w:val="QuestionSeparator"/>
      </w:pPr>
    </w:p>
    <w:p w14:paraId="296F8B67" w14:textId="77777777" w:rsidR="00B667BA" w:rsidRDefault="00B667BA" w:rsidP="00B667BA"/>
    <w:p w14:paraId="3743C15D" w14:textId="77777777" w:rsidR="00B667BA" w:rsidRDefault="00B667BA" w:rsidP="00B667BA">
      <w:pPr>
        <w:keepNext/>
      </w:pPr>
      <w:r>
        <w:t>Q9 How do you describe yourself?</w:t>
      </w:r>
    </w:p>
    <w:p w14:paraId="3D5DE98C" w14:textId="77777777" w:rsidR="00B667BA" w:rsidRDefault="00B667BA" w:rsidP="00B667BA">
      <w:pPr>
        <w:pStyle w:val="ListParagraph"/>
        <w:keepNext/>
        <w:numPr>
          <w:ilvl w:val="0"/>
          <w:numId w:val="16"/>
        </w:numPr>
        <w:contextualSpacing w:val="0"/>
      </w:pPr>
      <w:r>
        <w:t xml:space="preserve">Male  (1) </w:t>
      </w:r>
    </w:p>
    <w:p w14:paraId="56D574C1" w14:textId="77777777" w:rsidR="00B667BA" w:rsidRDefault="00B667BA" w:rsidP="00B667BA">
      <w:pPr>
        <w:pStyle w:val="ListParagraph"/>
        <w:keepNext/>
        <w:numPr>
          <w:ilvl w:val="0"/>
          <w:numId w:val="16"/>
        </w:numPr>
        <w:contextualSpacing w:val="0"/>
      </w:pPr>
      <w:r>
        <w:t xml:space="preserve">Female  (2) </w:t>
      </w:r>
    </w:p>
    <w:p w14:paraId="55ECE23C" w14:textId="77777777" w:rsidR="00B667BA" w:rsidRDefault="00B667BA" w:rsidP="00B667BA">
      <w:pPr>
        <w:pStyle w:val="ListParagraph"/>
        <w:keepNext/>
        <w:numPr>
          <w:ilvl w:val="0"/>
          <w:numId w:val="16"/>
        </w:numPr>
        <w:contextualSpacing w:val="0"/>
      </w:pPr>
      <w:r>
        <w:t xml:space="preserve">Non-binary / third gender  (3) </w:t>
      </w:r>
    </w:p>
    <w:p w14:paraId="7BAFF4A1" w14:textId="77777777" w:rsidR="00B667BA" w:rsidRDefault="00B667BA" w:rsidP="00B667BA">
      <w:pPr>
        <w:pStyle w:val="ListParagraph"/>
        <w:keepNext/>
        <w:numPr>
          <w:ilvl w:val="0"/>
          <w:numId w:val="16"/>
        </w:numPr>
        <w:contextualSpacing w:val="0"/>
      </w:pPr>
      <w:r>
        <w:t>Prefer to self-describe  (4) __________________________________________________</w:t>
      </w:r>
    </w:p>
    <w:p w14:paraId="2848C6B7" w14:textId="77777777" w:rsidR="00B667BA" w:rsidRDefault="00B667BA" w:rsidP="00B667BA">
      <w:pPr>
        <w:pStyle w:val="ListParagraph"/>
        <w:keepNext/>
        <w:numPr>
          <w:ilvl w:val="0"/>
          <w:numId w:val="16"/>
        </w:numPr>
        <w:contextualSpacing w:val="0"/>
      </w:pPr>
      <w:r>
        <w:t xml:space="preserve">Prefer not to say  (5) </w:t>
      </w:r>
    </w:p>
    <w:p w14:paraId="0AFC28A2" w14:textId="77777777" w:rsidR="00B667BA" w:rsidRDefault="00B667BA" w:rsidP="00B667BA"/>
    <w:p w14:paraId="06AF93A4" w14:textId="77777777" w:rsidR="00B667BA" w:rsidRDefault="00B667BA" w:rsidP="00B667BA">
      <w:pPr>
        <w:pStyle w:val="QuestionSeparator"/>
      </w:pPr>
    </w:p>
    <w:p w14:paraId="18BFA451" w14:textId="77777777" w:rsidR="00B667BA" w:rsidRDefault="00B667BA" w:rsidP="00B667BA"/>
    <w:p w14:paraId="0B0F7193" w14:textId="77777777" w:rsidR="00B667BA" w:rsidRDefault="00B667BA" w:rsidP="00B667BA">
      <w:pPr>
        <w:keepNext/>
      </w:pPr>
      <w:r>
        <w:t>Q10 Choose one or more races that you consider yourself to be</w:t>
      </w:r>
    </w:p>
    <w:p w14:paraId="6A84C614" w14:textId="77777777" w:rsidR="00B667BA" w:rsidRDefault="00B667BA" w:rsidP="00B667BA">
      <w:pPr>
        <w:pStyle w:val="ListParagraph"/>
        <w:keepNext/>
        <w:numPr>
          <w:ilvl w:val="0"/>
          <w:numId w:val="14"/>
        </w:numPr>
        <w:contextualSpacing w:val="0"/>
      </w:pPr>
      <w:r>
        <w:t xml:space="preserve">White or Caucasian  (1) </w:t>
      </w:r>
    </w:p>
    <w:p w14:paraId="02AFD785" w14:textId="77777777" w:rsidR="00B667BA" w:rsidRDefault="00B667BA" w:rsidP="00B667BA">
      <w:pPr>
        <w:pStyle w:val="ListParagraph"/>
        <w:keepNext/>
        <w:numPr>
          <w:ilvl w:val="0"/>
          <w:numId w:val="14"/>
        </w:numPr>
        <w:contextualSpacing w:val="0"/>
      </w:pPr>
      <w:r>
        <w:t xml:space="preserve">Black or African American  (2) </w:t>
      </w:r>
    </w:p>
    <w:p w14:paraId="2EEBAC29" w14:textId="77777777" w:rsidR="00B667BA" w:rsidRDefault="00B667BA" w:rsidP="00B667BA">
      <w:pPr>
        <w:pStyle w:val="ListParagraph"/>
        <w:keepNext/>
        <w:numPr>
          <w:ilvl w:val="0"/>
          <w:numId w:val="14"/>
        </w:numPr>
        <w:contextualSpacing w:val="0"/>
      </w:pPr>
      <w:r>
        <w:t xml:space="preserve">American Indian/Native American or Alaska Native  (3) </w:t>
      </w:r>
    </w:p>
    <w:p w14:paraId="22386622" w14:textId="77777777" w:rsidR="00B667BA" w:rsidRDefault="00B667BA" w:rsidP="00B667BA">
      <w:pPr>
        <w:pStyle w:val="ListParagraph"/>
        <w:keepNext/>
        <w:numPr>
          <w:ilvl w:val="0"/>
          <w:numId w:val="14"/>
        </w:numPr>
        <w:contextualSpacing w:val="0"/>
      </w:pPr>
      <w:r>
        <w:t xml:space="preserve">Asian  (4) </w:t>
      </w:r>
    </w:p>
    <w:p w14:paraId="68B2EA89" w14:textId="77777777" w:rsidR="00B667BA" w:rsidRDefault="00B667BA" w:rsidP="00B667BA">
      <w:pPr>
        <w:pStyle w:val="ListParagraph"/>
        <w:keepNext/>
        <w:numPr>
          <w:ilvl w:val="0"/>
          <w:numId w:val="14"/>
        </w:numPr>
        <w:contextualSpacing w:val="0"/>
      </w:pPr>
      <w:r>
        <w:t xml:space="preserve">Native Hawaiian or Other Pacific Islander  (5) </w:t>
      </w:r>
    </w:p>
    <w:p w14:paraId="32DC6ED9" w14:textId="77777777" w:rsidR="00B667BA" w:rsidRDefault="00B667BA" w:rsidP="00B667BA">
      <w:pPr>
        <w:pStyle w:val="ListParagraph"/>
        <w:keepNext/>
        <w:numPr>
          <w:ilvl w:val="0"/>
          <w:numId w:val="14"/>
        </w:numPr>
        <w:contextualSpacing w:val="0"/>
      </w:pPr>
      <w:r>
        <w:t xml:space="preserve">Other  (6) </w:t>
      </w:r>
    </w:p>
    <w:p w14:paraId="4D9555F2" w14:textId="77777777" w:rsidR="00B667BA" w:rsidRDefault="00B667BA" w:rsidP="00B667BA">
      <w:pPr>
        <w:pStyle w:val="ListParagraph"/>
        <w:keepNext/>
        <w:numPr>
          <w:ilvl w:val="0"/>
          <w:numId w:val="14"/>
        </w:numPr>
        <w:contextualSpacing w:val="0"/>
      </w:pPr>
      <w:r>
        <w:t xml:space="preserve">Prefer not to say  (7) </w:t>
      </w:r>
    </w:p>
    <w:p w14:paraId="750EF9F4" w14:textId="77777777" w:rsidR="00B667BA" w:rsidRDefault="00B667BA" w:rsidP="00B667BA"/>
    <w:p w14:paraId="5A980C10" w14:textId="77777777" w:rsidR="00B667BA" w:rsidRDefault="00B667BA" w:rsidP="00B667BA">
      <w:pPr>
        <w:pStyle w:val="QuestionSeparator"/>
      </w:pPr>
    </w:p>
    <w:p w14:paraId="1613968F" w14:textId="77777777" w:rsidR="00B667BA" w:rsidRDefault="00B667BA" w:rsidP="00B667BA"/>
    <w:p w14:paraId="0883B023" w14:textId="77777777" w:rsidR="00B667BA" w:rsidRDefault="00B667BA" w:rsidP="00B667BA">
      <w:pPr>
        <w:keepNext/>
      </w:pPr>
      <w:r>
        <w:t>Q11 What is the highest level of education you have completed?</w:t>
      </w:r>
    </w:p>
    <w:p w14:paraId="3F08ED6E" w14:textId="77777777" w:rsidR="00B667BA" w:rsidRDefault="00B667BA" w:rsidP="00B667BA">
      <w:pPr>
        <w:pStyle w:val="ListParagraph"/>
        <w:keepNext/>
        <w:numPr>
          <w:ilvl w:val="0"/>
          <w:numId w:val="16"/>
        </w:numPr>
        <w:contextualSpacing w:val="0"/>
      </w:pPr>
      <w:r>
        <w:t xml:space="preserve">Some high school or less  (1) </w:t>
      </w:r>
    </w:p>
    <w:p w14:paraId="54897013" w14:textId="77777777" w:rsidR="00B667BA" w:rsidRDefault="00B667BA" w:rsidP="00B667BA">
      <w:pPr>
        <w:pStyle w:val="ListParagraph"/>
        <w:keepNext/>
        <w:numPr>
          <w:ilvl w:val="0"/>
          <w:numId w:val="16"/>
        </w:numPr>
        <w:contextualSpacing w:val="0"/>
      </w:pPr>
      <w:r>
        <w:t xml:space="preserve">High school diploma or GED  (2) </w:t>
      </w:r>
    </w:p>
    <w:p w14:paraId="379D5DF2" w14:textId="77777777" w:rsidR="00B667BA" w:rsidRDefault="00B667BA" w:rsidP="00B667BA">
      <w:pPr>
        <w:pStyle w:val="ListParagraph"/>
        <w:keepNext/>
        <w:numPr>
          <w:ilvl w:val="0"/>
          <w:numId w:val="16"/>
        </w:numPr>
        <w:contextualSpacing w:val="0"/>
      </w:pPr>
      <w:r>
        <w:t xml:space="preserve">Some college, but no degree  (3) </w:t>
      </w:r>
    </w:p>
    <w:p w14:paraId="2B29ECF9" w14:textId="77777777" w:rsidR="00B667BA" w:rsidRDefault="00B667BA" w:rsidP="00B667BA">
      <w:pPr>
        <w:pStyle w:val="ListParagraph"/>
        <w:keepNext/>
        <w:numPr>
          <w:ilvl w:val="0"/>
          <w:numId w:val="16"/>
        </w:numPr>
        <w:contextualSpacing w:val="0"/>
      </w:pPr>
      <w:r>
        <w:t xml:space="preserve">Associates or technical degree  (4) </w:t>
      </w:r>
    </w:p>
    <w:p w14:paraId="0274E10E" w14:textId="77777777" w:rsidR="00B667BA" w:rsidRDefault="00B667BA" w:rsidP="00B667BA">
      <w:pPr>
        <w:pStyle w:val="ListParagraph"/>
        <w:keepNext/>
        <w:numPr>
          <w:ilvl w:val="0"/>
          <w:numId w:val="16"/>
        </w:numPr>
        <w:contextualSpacing w:val="0"/>
      </w:pPr>
      <w:r>
        <w:t xml:space="preserve">Bachelor’s degree  (5) </w:t>
      </w:r>
    </w:p>
    <w:p w14:paraId="58EA8C55" w14:textId="77777777" w:rsidR="00B667BA" w:rsidRDefault="00B667BA" w:rsidP="00B667BA">
      <w:pPr>
        <w:pStyle w:val="ListParagraph"/>
        <w:keepNext/>
        <w:numPr>
          <w:ilvl w:val="0"/>
          <w:numId w:val="16"/>
        </w:numPr>
        <w:contextualSpacing w:val="0"/>
      </w:pPr>
      <w:r>
        <w:t xml:space="preserve">Graduate or professional degree (MA, MS, MBA, PhD, JD, MD, DDS etc.)  (6) </w:t>
      </w:r>
    </w:p>
    <w:p w14:paraId="39168634" w14:textId="77777777" w:rsidR="00B667BA" w:rsidRDefault="00B667BA" w:rsidP="00B667BA">
      <w:pPr>
        <w:pStyle w:val="ListParagraph"/>
        <w:keepNext/>
        <w:numPr>
          <w:ilvl w:val="0"/>
          <w:numId w:val="16"/>
        </w:numPr>
        <w:contextualSpacing w:val="0"/>
      </w:pPr>
      <w:r>
        <w:t xml:space="preserve">Prefer not to say  (7) </w:t>
      </w:r>
    </w:p>
    <w:p w14:paraId="302743E5" w14:textId="77777777" w:rsidR="00B667BA" w:rsidRDefault="00B667BA" w:rsidP="00B667BA"/>
    <w:p w14:paraId="6D647B36" w14:textId="77777777" w:rsidR="00B667BA" w:rsidRDefault="00B667BA" w:rsidP="00B667BA">
      <w:pPr>
        <w:pStyle w:val="QuestionSeparator"/>
      </w:pPr>
    </w:p>
    <w:p w14:paraId="42D7AA59" w14:textId="77777777" w:rsidR="00B667BA" w:rsidRDefault="00B667BA" w:rsidP="00B667BA"/>
    <w:p w14:paraId="66AEE92D" w14:textId="77777777" w:rsidR="00B667BA" w:rsidRDefault="00B667BA" w:rsidP="00B667BA">
      <w:pPr>
        <w:keepNext/>
      </w:pPr>
      <w:r>
        <w:t>Q12 What was your total household income before taxes during the past 12 months?</w:t>
      </w:r>
    </w:p>
    <w:p w14:paraId="5F34632C" w14:textId="77777777" w:rsidR="00B667BA" w:rsidRDefault="00B667BA" w:rsidP="00B667BA">
      <w:pPr>
        <w:pStyle w:val="ListParagraph"/>
        <w:keepNext/>
        <w:numPr>
          <w:ilvl w:val="0"/>
          <w:numId w:val="16"/>
        </w:numPr>
        <w:contextualSpacing w:val="0"/>
      </w:pPr>
      <w:r>
        <w:t xml:space="preserve">Less than $25,000  (1) </w:t>
      </w:r>
    </w:p>
    <w:p w14:paraId="77CD8A8A" w14:textId="77777777" w:rsidR="00B667BA" w:rsidRDefault="00B667BA" w:rsidP="00B667BA">
      <w:pPr>
        <w:pStyle w:val="ListParagraph"/>
        <w:keepNext/>
        <w:numPr>
          <w:ilvl w:val="0"/>
          <w:numId w:val="16"/>
        </w:numPr>
        <w:contextualSpacing w:val="0"/>
      </w:pPr>
      <w:r>
        <w:t xml:space="preserve">$25,000-$49,999  (2) </w:t>
      </w:r>
    </w:p>
    <w:p w14:paraId="2348BE21" w14:textId="77777777" w:rsidR="00B667BA" w:rsidRDefault="00B667BA" w:rsidP="00B667BA">
      <w:pPr>
        <w:pStyle w:val="ListParagraph"/>
        <w:keepNext/>
        <w:numPr>
          <w:ilvl w:val="0"/>
          <w:numId w:val="16"/>
        </w:numPr>
        <w:contextualSpacing w:val="0"/>
      </w:pPr>
      <w:r>
        <w:t xml:space="preserve">$50,000-$74,999  (3) </w:t>
      </w:r>
    </w:p>
    <w:p w14:paraId="38B2C457" w14:textId="77777777" w:rsidR="00B667BA" w:rsidRDefault="00B667BA" w:rsidP="00B667BA">
      <w:pPr>
        <w:pStyle w:val="ListParagraph"/>
        <w:keepNext/>
        <w:numPr>
          <w:ilvl w:val="0"/>
          <w:numId w:val="16"/>
        </w:numPr>
        <w:contextualSpacing w:val="0"/>
      </w:pPr>
      <w:r>
        <w:t xml:space="preserve">$75,000-$99,999  (4) </w:t>
      </w:r>
    </w:p>
    <w:p w14:paraId="3D231AF7" w14:textId="77777777" w:rsidR="00B667BA" w:rsidRDefault="00B667BA" w:rsidP="00B667BA">
      <w:pPr>
        <w:pStyle w:val="ListParagraph"/>
        <w:keepNext/>
        <w:numPr>
          <w:ilvl w:val="0"/>
          <w:numId w:val="16"/>
        </w:numPr>
        <w:contextualSpacing w:val="0"/>
      </w:pPr>
      <w:r>
        <w:t xml:space="preserve">$100,000-$149,999  (5) </w:t>
      </w:r>
    </w:p>
    <w:p w14:paraId="06CE5C03" w14:textId="77777777" w:rsidR="00B667BA" w:rsidRDefault="00B667BA" w:rsidP="00B667BA">
      <w:pPr>
        <w:pStyle w:val="ListParagraph"/>
        <w:keepNext/>
        <w:numPr>
          <w:ilvl w:val="0"/>
          <w:numId w:val="16"/>
        </w:numPr>
        <w:contextualSpacing w:val="0"/>
      </w:pPr>
      <w:r>
        <w:t xml:space="preserve">$150,000 or more  (6) </w:t>
      </w:r>
    </w:p>
    <w:p w14:paraId="35AC903E" w14:textId="77777777" w:rsidR="00B667BA" w:rsidRDefault="00B667BA" w:rsidP="00B667BA">
      <w:pPr>
        <w:pStyle w:val="ListParagraph"/>
        <w:keepNext/>
        <w:numPr>
          <w:ilvl w:val="0"/>
          <w:numId w:val="16"/>
        </w:numPr>
        <w:contextualSpacing w:val="0"/>
      </w:pPr>
      <w:r>
        <w:t xml:space="preserve">Prefer not to say  (7) </w:t>
      </w:r>
    </w:p>
    <w:p w14:paraId="38267A5C" w14:textId="77777777" w:rsidR="00B667BA" w:rsidRDefault="00B667BA" w:rsidP="00B667BA"/>
    <w:p w14:paraId="3730DB1D" w14:textId="77777777" w:rsidR="00B667BA" w:rsidRDefault="00B667BA" w:rsidP="00B667BA">
      <w:pPr>
        <w:pStyle w:val="BlockEndLabel"/>
      </w:pPr>
      <w:r>
        <w:t>End of Block: Additional questions</w:t>
      </w:r>
    </w:p>
    <w:p w14:paraId="6852AA25" w14:textId="77777777" w:rsidR="00B667BA" w:rsidRDefault="00B667BA" w:rsidP="00B667BA">
      <w:pPr>
        <w:pStyle w:val="BlockSeparator"/>
      </w:pPr>
    </w:p>
    <w:p w14:paraId="465639A3" w14:textId="77777777" w:rsidR="00B667BA" w:rsidRDefault="00B667BA" w:rsidP="00B667BA">
      <w:pPr>
        <w:pStyle w:val="BlockStartLabel"/>
      </w:pPr>
      <w:r>
        <w:t>Start of Block: Block 4</w:t>
      </w:r>
    </w:p>
    <w:p w14:paraId="74EE0724" w14:textId="77777777" w:rsidR="00B667BA" w:rsidRDefault="00B667BA" w:rsidP="00B667BA"/>
    <w:p w14:paraId="6A94E39E" w14:textId="77777777" w:rsidR="00B667BA" w:rsidRDefault="00B667BA" w:rsidP="00B667BA">
      <w:pPr>
        <w:keepNext/>
      </w:pPr>
      <w:r>
        <w:t>Disclosure Thank you for participating in this online study!  The goal of this study was to assess whether covert advertising practices that advertisers use on Generative AI Chatbots and news websites mislead and harm consumers. The news website page that you just reviewed featured a covert advertorial—an advertisement designed to appear as editorial content. The advertorial was marked with a noticeable/unnoticeable disclosure (differs among participant groups) as uncommonly/commonly used (differs among participant groups) by popular news websites. The study aimed to check whether the disclosure of commercial sponsorships was visible to you and how you engaged with the advertorial.  Your participation was crucial in helping us flag manipulative advertising practices, make advertisers socially accountable for these practices, and preserve the integrity of online journalism.  This study was conducted by academics [Dr. Uri Yosef Hacohen, Tel-Aviv University, reachable at https://en-law.tau.ac.il/profile/urihacohen ] and was funded by a non-profit organization committed to fundamental research and education. The data collected during this study did not include any personally identifiable information and will be used only for the purpose of this study).  Thank you again for participating!   Click next to get your Prolific code and paste it in Prolific to get your reward.</w:t>
      </w:r>
    </w:p>
    <w:p w14:paraId="6CED01D5" w14:textId="77777777" w:rsidR="00B667BA" w:rsidRDefault="00B667BA" w:rsidP="00B667BA"/>
    <w:p w14:paraId="5B6C359F" w14:textId="77777777" w:rsidR="00B667BA" w:rsidRDefault="00B667BA" w:rsidP="00B667BA">
      <w:pPr>
        <w:pStyle w:val="BlockEndLabel"/>
      </w:pPr>
      <w:r>
        <w:t>End of Block: Block 4</w:t>
      </w:r>
    </w:p>
    <w:p w14:paraId="61520EAB" w14:textId="77777777" w:rsidR="00B667BA" w:rsidRDefault="00B667BA" w:rsidP="00B667BA">
      <w:pPr>
        <w:pStyle w:val="BlockSeparator"/>
      </w:pPr>
    </w:p>
    <w:p w14:paraId="2409A445" w14:textId="77777777" w:rsidR="00B667BA" w:rsidRDefault="00B667BA" w:rsidP="00B667BA"/>
    <w:p w14:paraId="44189FD2" w14:textId="77777777" w:rsidR="0042025D" w:rsidRDefault="0042025D" w:rsidP="0042025D">
      <w:pPr>
        <w:pStyle w:val="1JOLTBodyText"/>
        <w:ind w:firstLine="0"/>
        <w:jc w:val="center"/>
        <w:rPr>
          <w:rFonts w:ascii="Garamond" w:hAnsi="Garamond" w:cstheme="majorBidi"/>
          <w:b/>
          <w:bCs/>
          <w:smallCaps/>
          <w:sz w:val="24"/>
          <w:szCs w:val="24"/>
          <w:lang w:bidi="he-IL"/>
        </w:rPr>
      </w:pPr>
    </w:p>
    <w:p w14:paraId="7FB804F1" w14:textId="4874A66E" w:rsidR="0042025D" w:rsidRPr="00E7477E" w:rsidRDefault="006B5123" w:rsidP="0042025D">
      <w:pPr>
        <w:pStyle w:val="Heading3"/>
        <w:rPr>
          <w:lang w:bidi="he-IL"/>
        </w:rPr>
      </w:pPr>
      <w:r>
        <w:rPr>
          <w:noProof/>
          <w:lang w:bidi="he-IL"/>
        </w:rPr>
        <w:drawing>
          <wp:anchor distT="0" distB="0" distL="114300" distR="114300" simplePos="0" relativeHeight="251672581" behindDoc="1" locked="0" layoutInCell="1" allowOverlap="1" wp14:anchorId="12C60C48" wp14:editId="3E2194AA">
            <wp:simplePos x="0" y="0"/>
            <wp:positionH relativeFrom="margin">
              <wp:align>center</wp:align>
            </wp:positionH>
            <wp:positionV relativeFrom="paragraph">
              <wp:posOffset>294779</wp:posOffset>
            </wp:positionV>
            <wp:extent cx="4866188" cy="3700049"/>
            <wp:effectExtent l="0" t="0" r="0" b="0"/>
            <wp:wrapTight wrapText="bothSides">
              <wp:wrapPolygon edited="0">
                <wp:start x="0" y="0"/>
                <wp:lineTo x="0" y="21467"/>
                <wp:lineTo x="21479" y="21467"/>
                <wp:lineTo x="21479" y="0"/>
                <wp:lineTo x="0" y="0"/>
              </wp:wrapPolygon>
            </wp:wrapTight>
            <wp:docPr id="179926135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61358" name="Picture 1" descr="A screenshot of a survey&#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6188" cy="3700049"/>
                    </a:xfrm>
                    <a:prstGeom prst="rect">
                      <a:avLst/>
                    </a:prstGeom>
                    <a:noFill/>
                    <a:ln>
                      <a:noFill/>
                    </a:ln>
                  </pic:spPr>
                </pic:pic>
              </a:graphicData>
            </a:graphic>
          </wp:anchor>
        </w:drawing>
      </w:r>
      <w:r w:rsidR="0042025D" w:rsidRPr="00E7477E">
        <w:rPr>
          <w:lang w:bidi="he-IL"/>
        </w:rPr>
        <w:t xml:space="preserve">Study </w:t>
      </w:r>
      <w:r w:rsidR="0042025D">
        <w:rPr>
          <w:lang w:bidi="he-IL"/>
        </w:rPr>
        <w:t>II</w:t>
      </w:r>
    </w:p>
    <w:p w14:paraId="7F08326F" w14:textId="68F2C2C9" w:rsidR="00B667BA" w:rsidRDefault="006B5123" w:rsidP="006B5123">
      <w:pPr>
        <w:pStyle w:val="1JOLTBodyText"/>
        <w:jc w:val="center"/>
        <w:rPr>
          <w:lang w:bidi="he-IL"/>
        </w:rPr>
      </w:pPr>
      <w:r>
        <w:rPr>
          <w:noProof/>
          <w:lang w:bidi="he-IL"/>
        </w:rPr>
        <w:drawing>
          <wp:anchor distT="0" distB="0" distL="114300" distR="114300" simplePos="0" relativeHeight="251675653" behindDoc="1" locked="0" layoutInCell="1" allowOverlap="1" wp14:anchorId="4F8AF655" wp14:editId="1A888849">
            <wp:simplePos x="0" y="0"/>
            <wp:positionH relativeFrom="margin">
              <wp:align>left</wp:align>
            </wp:positionH>
            <wp:positionV relativeFrom="paragraph">
              <wp:posOffset>4271221</wp:posOffset>
            </wp:positionV>
            <wp:extent cx="4518283" cy="2233295"/>
            <wp:effectExtent l="0" t="0" r="0" b="0"/>
            <wp:wrapTight wrapText="bothSides">
              <wp:wrapPolygon edited="0">
                <wp:start x="0" y="0"/>
                <wp:lineTo x="0" y="21373"/>
                <wp:lineTo x="21494" y="21373"/>
                <wp:lineTo x="21494" y="0"/>
                <wp:lineTo x="0" y="0"/>
              </wp:wrapPolygon>
            </wp:wrapTight>
            <wp:docPr id="834126678" name="Picture 3"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26678" name="Picture 3" descr="A screenshot of a survey&#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8283" cy="2233295"/>
                    </a:xfrm>
                    <a:prstGeom prst="rect">
                      <a:avLst/>
                    </a:prstGeom>
                    <a:noFill/>
                    <a:ln>
                      <a:noFill/>
                    </a:ln>
                  </pic:spPr>
                </pic:pic>
              </a:graphicData>
            </a:graphic>
          </wp:anchor>
        </w:drawing>
      </w:r>
      <w:r w:rsidR="00B667BA">
        <w:rPr>
          <w:lang w:bidi="he-IL"/>
        </w:rPr>
        <w:br w:type="column"/>
      </w:r>
      <w:r w:rsidR="002D6611">
        <w:rPr>
          <w:noProof/>
          <w:lang w:bidi="he-IL"/>
        </w:rPr>
        <w:drawing>
          <wp:anchor distT="0" distB="0" distL="114300" distR="114300" simplePos="0" relativeHeight="251674629" behindDoc="1" locked="0" layoutInCell="1" allowOverlap="1" wp14:anchorId="415821C4" wp14:editId="44278956">
            <wp:simplePos x="0" y="0"/>
            <wp:positionH relativeFrom="margin">
              <wp:align>center</wp:align>
            </wp:positionH>
            <wp:positionV relativeFrom="paragraph">
              <wp:posOffset>298027</wp:posOffset>
            </wp:positionV>
            <wp:extent cx="4582160" cy="1797050"/>
            <wp:effectExtent l="0" t="0" r="8890" b="0"/>
            <wp:wrapTight wrapText="bothSides">
              <wp:wrapPolygon edited="0">
                <wp:start x="0" y="0"/>
                <wp:lineTo x="0" y="21295"/>
                <wp:lineTo x="21552" y="21295"/>
                <wp:lineTo x="21552" y="0"/>
                <wp:lineTo x="0" y="0"/>
              </wp:wrapPolygon>
            </wp:wrapTight>
            <wp:docPr id="433422736" name="Picture 2"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22736" name="Picture 2" descr="A screenshot of a survey&#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216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26CEA" w14:textId="77777777" w:rsidR="00DD4DD4" w:rsidRDefault="00DD4DD4" w:rsidP="006B5123">
      <w:pPr>
        <w:pStyle w:val="1JOLTBodyText"/>
        <w:jc w:val="center"/>
        <w:rPr>
          <w:lang w:bidi="he-IL"/>
        </w:rPr>
      </w:pPr>
    </w:p>
    <w:p w14:paraId="1E5C8327" w14:textId="04AA9F1F" w:rsidR="002D6611" w:rsidRDefault="00DD4DD4" w:rsidP="006B5123">
      <w:pPr>
        <w:pStyle w:val="1JOLTBodyText"/>
        <w:jc w:val="center"/>
        <w:rPr>
          <w:lang w:bidi="he-IL"/>
        </w:rPr>
      </w:pPr>
      <w:r>
        <w:rPr>
          <w:noProof/>
          <w:lang w:bidi="he-IL"/>
        </w:rPr>
        <w:drawing>
          <wp:anchor distT="0" distB="0" distL="114300" distR="114300" simplePos="0" relativeHeight="251676677" behindDoc="1" locked="0" layoutInCell="1" allowOverlap="1" wp14:anchorId="088752CA" wp14:editId="46F9A6A8">
            <wp:simplePos x="0" y="0"/>
            <wp:positionH relativeFrom="margin">
              <wp:align>center</wp:align>
            </wp:positionH>
            <wp:positionV relativeFrom="paragraph">
              <wp:posOffset>287655</wp:posOffset>
            </wp:positionV>
            <wp:extent cx="4707255" cy="1717675"/>
            <wp:effectExtent l="0" t="0" r="0" b="0"/>
            <wp:wrapTight wrapText="bothSides">
              <wp:wrapPolygon edited="0">
                <wp:start x="0" y="0"/>
                <wp:lineTo x="0" y="21321"/>
                <wp:lineTo x="21504" y="21321"/>
                <wp:lineTo x="21504" y="0"/>
                <wp:lineTo x="0" y="0"/>
              </wp:wrapPolygon>
            </wp:wrapTight>
            <wp:docPr id="474684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725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C1653" w14:textId="20A72315" w:rsidR="002D6611" w:rsidRDefault="00DD4DD4" w:rsidP="006B5123">
      <w:pPr>
        <w:pStyle w:val="1JOLTBodyText"/>
        <w:jc w:val="center"/>
        <w:rPr>
          <w:lang w:bidi="he-IL"/>
        </w:rPr>
      </w:pPr>
      <w:r>
        <w:rPr>
          <w:noProof/>
          <w:lang w:bidi="he-IL"/>
        </w:rPr>
        <w:drawing>
          <wp:anchor distT="0" distB="0" distL="114300" distR="114300" simplePos="0" relativeHeight="251677701" behindDoc="1" locked="0" layoutInCell="1" allowOverlap="1" wp14:anchorId="43EBCBFF" wp14:editId="789E3BC5">
            <wp:simplePos x="0" y="0"/>
            <wp:positionH relativeFrom="margin">
              <wp:posOffset>-67945</wp:posOffset>
            </wp:positionH>
            <wp:positionV relativeFrom="paragraph">
              <wp:posOffset>2181225</wp:posOffset>
            </wp:positionV>
            <wp:extent cx="4182110" cy="1463040"/>
            <wp:effectExtent l="0" t="0" r="8890" b="3810"/>
            <wp:wrapTight wrapText="bothSides">
              <wp:wrapPolygon edited="0">
                <wp:start x="0" y="0"/>
                <wp:lineTo x="0" y="21375"/>
                <wp:lineTo x="21548" y="21375"/>
                <wp:lineTo x="21548" y="0"/>
                <wp:lineTo x="0" y="0"/>
              </wp:wrapPolygon>
            </wp:wrapTight>
            <wp:docPr id="1001371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11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34745" w14:textId="4D03E0B3" w:rsidR="002D6611" w:rsidRPr="00B667BA" w:rsidRDefault="002D6611" w:rsidP="006B5123">
      <w:pPr>
        <w:pStyle w:val="1JOLTBodyText"/>
        <w:jc w:val="center"/>
        <w:rPr>
          <w:rtl/>
          <w:lang w:bidi="he-IL"/>
        </w:rPr>
      </w:pPr>
    </w:p>
    <w:p w14:paraId="5E7449D4" w14:textId="710FBEEC" w:rsidR="000961F2" w:rsidRPr="001A045C" w:rsidRDefault="000961F2" w:rsidP="000C4A1A">
      <w:pPr>
        <w:pStyle w:val="Heading21"/>
        <w:rPr>
          <w:rtl/>
          <w:lang w:bidi="he-IL"/>
        </w:rPr>
      </w:pPr>
      <w:bookmarkStart w:id="91" w:name="_Toc212649947"/>
      <w:r w:rsidRPr="001A045C">
        <w:rPr>
          <w:lang w:bidi="he-IL"/>
        </w:rPr>
        <w:t>Appendix II</w:t>
      </w:r>
      <w:r>
        <w:rPr>
          <w:lang w:bidi="he-IL"/>
        </w:rPr>
        <w:t>I</w:t>
      </w:r>
      <w:r w:rsidRPr="001A045C">
        <w:rPr>
          <w:lang w:bidi="he-IL"/>
        </w:rPr>
        <w:t xml:space="preserve"> – </w:t>
      </w:r>
      <w:r>
        <w:rPr>
          <w:lang w:bidi="he-IL"/>
        </w:rPr>
        <w:t>Procedure</w:t>
      </w:r>
      <w:bookmarkEnd w:id="91"/>
    </w:p>
    <w:p w14:paraId="2446E283" w14:textId="47D3F62C" w:rsidR="00366205" w:rsidRPr="001A045C" w:rsidRDefault="00366205" w:rsidP="00994F36">
      <w:pPr>
        <w:ind w:firstLine="720"/>
        <w:jc w:val="both"/>
        <w:rPr>
          <w:rFonts w:ascii="Garamond" w:hAnsi="Garamond" w:cstheme="majorBidi"/>
          <w:rtl/>
        </w:rPr>
      </w:pPr>
    </w:p>
    <w:p w14:paraId="6388F905" w14:textId="0739E739" w:rsidR="00430268" w:rsidRPr="001A045C" w:rsidRDefault="00430268" w:rsidP="00DF72E0">
      <w:pPr>
        <w:ind w:firstLine="720"/>
        <w:jc w:val="both"/>
        <w:rPr>
          <w:rFonts w:ascii="Garamond" w:hAnsi="Garamond" w:cstheme="majorBidi"/>
          <w:rtl/>
        </w:rPr>
      </w:pPr>
    </w:p>
    <w:p w14:paraId="350C5D35" w14:textId="4ED91758" w:rsidR="00430268" w:rsidRPr="001A045C" w:rsidRDefault="00430268" w:rsidP="00F07DF5">
      <w:pPr>
        <w:ind w:firstLine="720"/>
        <w:jc w:val="both"/>
        <w:rPr>
          <w:rFonts w:ascii="Garamond" w:hAnsi="Garamond" w:cstheme="majorBidi"/>
          <w:rtl/>
        </w:rPr>
      </w:pPr>
    </w:p>
    <w:p w14:paraId="553F7BB9" w14:textId="6E09A7ED" w:rsidR="00430268" w:rsidRPr="001A045C" w:rsidRDefault="00430268" w:rsidP="00BE7F84">
      <w:pPr>
        <w:ind w:firstLine="720"/>
        <w:jc w:val="both"/>
        <w:rPr>
          <w:rFonts w:ascii="Garamond" w:hAnsi="Garamond" w:cstheme="majorBidi"/>
          <w:rtl/>
        </w:rPr>
      </w:pPr>
    </w:p>
    <w:p w14:paraId="7BE0820E" w14:textId="5F3CDF5A" w:rsidR="0067754F" w:rsidRPr="001A045C" w:rsidRDefault="0067754F" w:rsidP="0067754F">
      <w:pPr>
        <w:pStyle w:val="Heading21"/>
        <w:rPr>
          <w:rtl/>
          <w:lang w:bidi="he-IL"/>
        </w:rPr>
      </w:pPr>
      <w:bookmarkStart w:id="92" w:name="_Toc212649948"/>
      <w:r w:rsidRPr="001A045C">
        <w:rPr>
          <w:lang w:bidi="he-IL"/>
        </w:rPr>
        <w:t>Appendix I</w:t>
      </w:r>
      <w:r w:rsidR="005C3145">
        <w:rPr>
          <w:lang w:bidi="he-IL"/>
        </w:rPr>
        <w:t>V</w:t>
      </w:r>
      <w:r w:rsidRPr="001A045C">
        <w:rPr>
          <w:lang w:bidi="he-IL"/>
        </w:rPr>
        <w:t xml:space="preserve"> – </w:t>
      </w:r>
      <w:r w:rsidR="005C3145">
        <w:rPr>
          <w:lang w:bidi="he-IL"/>
        </w:rPr>
        <w:t>Additional Findings</w:t>
      </w:r>
      <w:bookmarkEnd w:id="92"/>
    </w:p>
    <w:p w14:paraId="3E0C71D4" w14:textId="77777777" w:rsidR="005C3145" w:rsidRDefault="005C3145" w:rsidP="005C3145">
      <w:pPr>
        <w:pStyle w:val="1JOLTBodyText"/>
        <w:ind w:firstLine="0"/>
        <w:rPr>
          <w:rFonts w:ascii="Garamond" w:hAnsi="Garamond" w:cstheme="majorBidi"/>
          <w:b/>
          <w:bCs/>
          <w:smallCaps/>
          <w:sz w:val="24"/>
          <w:szCs w:val="24"/>
          <w:lang w:bidi="he-IL"/>
        </w:rPr>
      </w:pPr>
    </w:p>
    <w:p w14:paraId="7E7796DF" w14:textId="4B24BF40" w:rsidR="005C3145" w:rsidRPr="00E7477E" w:rsidRDefault="00D1522E" w:rsidP="005C3145">
      <w:pPr>
        <w:pStyle w:val="Heading3"/>
        <w:numPr>
          <w:ilvl w:val="0"/>
          <w:numId w:val="24"/>
        </w:numPr>
        <w:rPr>
          <w:lang w:bidi="he-IL"/>
        </w:rPr>
      </w:pPr>
      <w:bookmarkStart w:id="93" w:name="_Toc212649949"/>
      <w:r w:rsidRPr="00D1522E">
        <w:rPr>
          <w:noProof/>
        </w:rPr>
        <w:drawing>
          <wp:anchor distT="107950" distB="107950" distL="114300" distR="114300" simplePos="0" relativeHeight="251658245" behindDoc="0" locked="0" layoutInCell="1" allowOverlap="1" wp14:anchorId="01D921A6" wp14:editId="5BC9E998">
            <wp:simplePos x="0" y="0"/>
            <wp:positionH relativeFrom="margin">
              <wp:align>center</wp:align>
            </wp:positionH>
            <wp:positionV relativeFrom="paragraph">
              <wp:posOffset>465571</wp:posOffset>
            </wp:positionV>
            <wp:extent cx="4481830" cy="2379980"/>
            <wp:effectExtent l="0" t="0" r="0" b="1270"/>
            <wp:wrapTopAndBottom/>
            <wp:docPr id="1185692764" name="גרפיק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92764"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4481830" cy="2379980"/>
                    </a:xfrm>
                    <a:prstGeom prst="rect">
                      <a:avLst/>
                    </a:prstGeom>
                  </pic:spPr>
                </pic:pic>
              </a:graphicData>
            </a:graphic>
            <wp14:sizeRelH relativeFrom="page">
              <wp14:pctWidth>0</wp14:pctWidth>
            </wp14:sizeRelH>
            <wp14:sizeRelV relativeFrom="page">
              <wp14:pctHeight>0</wp14:pctHeight>
            </wp14:sizeRelV>
          </wp:anchor>
        </w:drawing>
      </w:r>
      <w:r w:rsidR="005C3145" w:rsidRPr="00E7477E">
        <w:rPr>
          <w:lang w:bidi="he-IL"/>
        </w:rPr>
        <w:t>Study I</w:t>
      </w:r>
      <w:bookmarkEnd w:id="93"/>
    </w:p>
    <w:p w14:paraId="167DDAA3" w14:textId="77777777" w:rsidR="006C4E1F" w:rsidRDefault="006C4E1F" w:rsidP="00D1522E">
      <w:pPr>
        <w:spacing w:after="120"/>
        <w:jc w:val="center"/>
        <w:rPr>
          <w:rFonts w:ascii="Garamond" w:hAnsi="Garamond" w:cstheme="majorBidi"/>
          <w:b/>
          <w:bCs/>
        </w:rPr>
      </w:pPr>
    </w:p>
    <w:p w14:paraId="2DB7C7EB" w14:textId="4BD71CEF" w:rsidR="00D1522E" w:rsidRPr="00D1522E" w:rsidRDefault="00D1522E" w:rsidP="00D1522E">
      <w:pPr>
        <w:spacing w:after="120"/>
        <w:jc w:val="center"/>
        <w:rPr>
          <w:rFonts w:ascii="Garamond" w:hAnsi="Garamond" w:cstheme="majorBidi"/>
        </w:rPr>
      </w:pPr>
      <w:r w:rsidRPr="00D1522E">
        <w:rPr>
          <w:rFonts w:ascii="Garamond" w:hAnsi="Garamond" w:cstheme="majorBidi"/>
          <w:b/>
          <w:bCs/>
        </w:rPr>
        <w:t xml:space="preserve">Figure S1. Differences </w:t>
      </w:r>
      <w:r>
        <w:rPr>
          <w:rFonts w:ascii="Garamond" w:hAnsi="Garamond" w:cstheme="majorBidi"/>
          <w:b/>
          <w:bCs/>
        </w:rPr>
        <w:t>B</w:t>
      </w:r>
      <w:r w:rsidRPr="00D1522E">
        <w:rPr>
          <w:rFonts w:ascii="Garamond" w:hAnsi="Garamond" w:cstheme="majorBidi"/>
          <w:b/>
          <w:bCs/>
        </w:rPr>
        <w:t xml:space="preserve">etween </w:t>
      </w:r>
      <w:r>
        <w:rPr>
          <w:rFonts w:ascii="Garamond" w:hAnsi="Garamond" w:cstheme="majorBidi"/>
          <w:b/>
          <w:bCs/>
        </w:rPr>
        <w:t>S</w:t>
      </w:r>
      <w:r w:rsidRPr="00D1522E">
        <w:rPr>
          <w:rFonts w:ascii="Garamond" w:hAnsi="Garamond" w:cstheme="majorBidi"/>
          <w:b/>
          <w:bCs/>
        </w:rPr>
        <w:t xml:space="preserve">ponsor </w:t>
      </w:r>
      <w:r>
        <w:rPr>
          <w:rFonts w:ascii="Garamond" w:hAnsi="Garamond" w:cstheme="majorBidi"/>
          <w:b/>
          <w:bCs/>
        </w:rPr>
        <w:t>I</w:t>
      </w:r>
      <w:r w:rsidRPr="00D1522E">
        <w:rPr>
          <w:rFonts w:ascii="Garamond" w:hAnsi="Garamond" w:cstheme="majorBidi"/>
          <w:b/>
          <w:bCs/>
        </w:rPr>
        <w:t xml:space="preserve">dentification </w:t>
      </w:r>
      <w:r>
        <w:rPr>
          <w:rFonts w:ascii="Garamond" w:hAnsi="Garamond" w:cstheme="majorBidi"/>
          <w:b/>
          <w:bCs/>
        </w:rPr>
        <w:t>G</w:t>
      </w:r>
      <w:r w:rsidRPr="00D1522E">
        <w:rPr>
          <w:rFonts w:ascii="Garamond" w:hAnsi="Garamond" w:cstheme="majorBidi"/>
          <w:b/>
          <w:bCs/>
        </w:rPr>
        <w:t>roups</w:t>
      </w:r>
    </w:p>
    <w:p w14:paraId="7E7D5AA2" w14:textId="77777777" w:rsidR="00D1522E" w:rsidRPr="00D1522E" w:rsidRDefault="00D1522E" w:rsidP="00D1522E">
      <w:pPr>
        <w:spacing w:after="240" w:line="276" w:lineRule="auto"/>
        <w:rPr>
          <w:rFonts w:ascii="Garamond" w:hAnsi="Garamond" w:cstheme="majorBidi"/>
          <w:sz w:val="18"/>
          <w:szCs w:val="18"/>
        </w:rPr>
      </w:pPr>
      <w:r w:rsidRPr="00D1522E">
        <w:rPr>
          <w:rFonts w:ascii="Garamond" w:hAnsi="Garamond" w:cstheme="majorBidi"/>
          <w:sz w:val="18"/>
          <w:szCs w:val="18"/>
        </w:rPr>
        <w:t>Bars show estimated means (± SE) for sponsor influence, helpfulness, trust in chat, and future reliance as a function of whether participants identified the chat as “probably/definitely sponsored” (</w:t>
      </w:r>
      <w:r w:rsidRPr="00D1522E">
        <w:rPr>
          <w:rFonts w:ascii="Garamond" w:hAnsi="Garamond" w:cstheme="majorBidi"/>
          <w:i/>
          <w:iCs/>
          <w:sz w:val="18"/>
          <w:szCs w:val="18"/>
        </w:rPr>
        <w:t xml:space="preserve">n </w:t>
      </w:r>
      <w:r w:rsidRPr="00D1522E">
        <w:rPr>
          <w:rFonts w:ascii="Garamond" w:hAnsi="Garamond" w:cstheme="majorBidi"/>
          <w:sz w:val="18"/>
          <w:szCs w:val="18"/>
        </w:rPr>
        <w:t>= 60) or not (</w:t>
      </w:r>
      <w:r w:rsidRPr="00D1522E">
        <w:rPr>
          <w:rFonts w:ascii="Garamond" w:hAnsi="Garamond" w:cstheme="majorBidi"/>
          <w:i/>
          <w:iCs/>
          <w:sz w:val="18"/>
          <w:szCs w:val="18"/>
        </w:rPr>
        <w:t xml:space="preserve">n </w:t>
      </w:r>
      <w:r w:rsidRPr="00D1522E">
        <w:rPr>
          <w:rFonts w:ascii="Garamond" w:hAnsi="Garamond" w:cstheme="majorBidi"/>
          <w:sz w:val="18"/>
          <w:szCs w:val="18"/>
        </w:rPr>
        <w:t xml:space="preserve"> = 237). Asterisks indicate independent-samples </w:t>
      </w:r>
      <w:r w:rsidRPr="00D1522E">
        <w:rPr>
          <w:rFonts w:ascii="Garamond" w:hAnsi="Garamond" w:cstheme="majorBidi"/>
          <w:i/>
          <w:iCs/>
          <w:sz w:val="18"/>
          <w:szCs w:val="18"/>
        </w:rPr>
        <w:t>t</w:t>
      </w:r>
      <w:r w:rsidRPr="00D1522E">
        <w:rPr>
          <w:rFonts w:ascii="Garamond" w:hAnsi="Garamond" w:cstheme="majorBidi"/>
          <w:sz w:val="18"/>
          <w:szCs w:val="18"/>
        </w:rPr>
        <w:t xml:space="preserve">-tests between groups. </w:t>
      </w:r>
      <w:r w:rsidRPr="00D1522E">
        <w:rPr>
          <w:rFonts w:ascii="Garamond" w:hAnsi="Garamond" w:cstheme="majorBidi"/>
          <w:i/>
          <w:iCs/>
          <w:sz w:val="18"/>
          <w:szCs w:val="18"/>
        </w:rPr>
        <w:t>N</w:t>
      </w:r>
      <w:r w:rsidRPr="00D1522E">
        <w:rPr>
          <w:rFonts w:ascii="Garamond" w:hAnsi="Garamond" w:cstheme="majorBidi"/>
          <w:sz w:val="18"/>
          <w:szCs w:val="18"/>
        </w:rPr>
        <w:t xml:space="preserve"> = 297; *** </w:t>
      </w:r>
      <w:r w:rsidRPr="00D1522E">
        <w:rPr>
          <w:rFonts w:ascii="Garamond" w:hAnsi="Garamond" w:cstheme="majorBidi"/>
          <w:i/>
          <w:iCs/>
          <w:sz w:val="18"/>
          <w:szCs w:val="18"/>
        </w:rPr>
        <w:t>p</w:t>
      </w:r>
      <w:r w:rsidRPr="00D1522E">
        <w:rPr>
          <w:rFonts w:ascii="Garamond" w:hAnsi="Garamond" w:cstheme="majorBidi"/>
          <w:sz w:val="18"/>
          <w:szCs w:val="18"/>
        </w:rPr>
        <w:t xml:space="preserve"> &lt; .001</w:t>
      </w:r>
    </w:p>
    <w:p w14:paraId="2A0AF802" w14:textId="77777777" w:rsidR="00D1522E" w:rsidRPr="00E341B3" w:rsidRDefault="00D1522E" w:rsidP="00D1522E">
      <w:pPr>
        <w:spacing w:after="120"/>
        <w:rPr>
          <w:rFonts w:ascii="Roboto Condensed" w:hAnsi="Roboto Condensed" w:cstheme="majorBidi"/>
          <w:sz w:val="18"/>
          <w:szCs w:val="18"/>
        </w:rPr>
      </w:pPr>
    </w:p>
    <w:p w14:paraId="59D2F4CA" w14:textId="69749795" w:rsidR="00B27D6F" w:rsidRPr="001A045C" w:rsidRDefault="00B27D6F" w:rsidP="004861E8">
      <w:pPr>
        <w:ind w:firstLine="720"/>
        <w:jc w:val="both"/>
        <w:rPr>
          <w:rFonts w:ascii="Garamond" w:hAnsi="Garamond" w:cstheme="majorBidi"/>
        </w:rPr>
      </w:pPr>
    </w:p>
    <w:sectPr w:rsidR="00B27D6F" w:rsidRPr="001A045C" w:rsidSect="00BD6D10">
      <w:headerReference w:type="even" r:id="rId48"/>
      <w:headerReference w:type="default" r:id="rId49"/>
      <w:headerReference w:type="first" r:id="rId50"/>
      <w:pgSz w:w="12240" w:h="15840"/>
      <w:pgMar w:top="2160" w:right="2880" w:bottom="2160" w:left="2880" w:header="56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15C03" w14:textId="77777777" w:rsidR="00FA2EBC" w:rsidRDefault="00FA2EBC">
      <w:r>
        <w:separator/>
      </w:r>
    </w:p>
  </w:endnote>
  <w:endnote w:type="continuationSeparator" w:id="0">
    <w:p w14:paraId="674B5D71" w14:textId="77777777" w:rsidR="00FA2EBC" w:rsidRDefault="00FA2EBC">
      <w:r>
        <w:continuationSeparator/>
      </w:r>
    </w:p>
  </w:endnote>
  <w:endnote w:type="continuationNotice" w:id="1">
    <w:p w14:paraId="05AD39A7" w14:textId="77777777" w:rsidR="00FA2EBC" w:rsidRDefault="00FA2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ËÎÌå"/>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00"/>
    <w:family w:val="swiss"/>
    <w:pitch w:val="variable"/>
    <w:sig w:usb0="00000803" w:usb1="00000000" w:usb2="00000000" w:usb3="00000000" w:csb0="00000021" w:csb1="00000000"/>
  </w:font>
  <w:font w:name="Code">
    <w:altName w:val="Calibri"/>
    <w:charset w:val="00"/>
    <w:family w:val="swiss"/>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Ten">
    <w:altName w:val="Times New Roman"/>
    <w:panose1 w:val="00000000000000000000"/>
    <w:charset w:val="00"/>
    <w:family w:val="modern"/>
    <w:notTrueType/>
    <w:pitch w:val="variable"/>
    <w:sig w:usb0="00000003" w:usb1="00000000" w:usb2="00000000" w:usb3="00000000" w:csb0="00000001"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Garamond Premier Pro">
    <w:altName w:val="Cambria"/>
    <w:panose1 w:val="00000000000000000000"/>
    <w:charset w:val="00"/>
    <w:family w:val="roman"/>
    <w:notTrueType/>
    <w:pitch w:val="default"/>
    <w:sig w:usb0="00000003" w:usb1="00000000" w:usb2="00000000" w:usb3="00000000" w:csb0="00000001" w:csb1="00000000"/>
  </w:font>
  <w:font w:name="Linux Libertine">
    <w:altName w:val="Lin Libertine"/>
    <w:charset w:val="00"/>
    <w:family w:val="auto"/>
    <w:pitch w:val="variable"/>
    <w:sig w:usb0="E0000AFF" w:usb1="5200E5FB" w:usb2="02000020" w:usb3="00000000" w:csb0="000001BF" w:csb1="00000000"/>
  </w:font>
  <w:font w:name="Cambria Math">
    <w:panose1 w:val="02040503050406030204"/>
    <w:charset w:val="00"/>
    <w:family w:val="roman"/>
    <w:pitch w:val="variable"/>
    <w:sig w:usb0="E00006FF" w:usb1="420024FF" w:usb2="02000000" w:usb3="00000000" w:csb0="0000019F" w:csb1="00000000"/>
  </w:font>
  <w:font w:name="GillSansStd">
    <w:altName w:val="Calibri"/>
    <w:panose1 w:val="00000000000000000000"/>
    <w:charset w:val="00"/>
    <w:family w:val="swiss"/>
    <w:notTrueType/>
    <w:pitch w:val="default"/>
    <w:sig w:usb0="00000003" w:usb1="00000000" w:usb2="00000000" w:usb3="00000000" w:csb0="00000001" w:csb1="00000000"/>
  </w:font>
  <w:font w:name="PIONN J+ Adv P S 405 B 6">
    <w:altName w:val="Cambria"/>
    <w:panose1 w:val="00000000000000000000"/>
    <w:charset w:val="00"/>
    <w:family w:val="roman"/>
    <w:notTrueType/>
    <w:pitch w:val="default"/>
    <w:sig w:usb0="00000003" w:usb1="00000000" w:usb2="00000000" w:usb3="00000000" w:csb0="00000001" w:csb1="00000000"/>
  </w:font>
  <w:font w:name="PIONN K+ Adv P S 405 B 7">
    <w:altName w:val="Calibri"/>
    <w:panose1 w:val="00000000000000000000"/>
    <w:charset w:val="00"/>
    <w:family w:val="swiss"/>
    <w:notTrueType/>
    <w:pitch w:val="default"/>
    <w:sig w:usb0="00000003" w:usb1="00000000" w:usb2="00000000" w:usb3="00000000" w:csb0="00000001" w:csb1="00000000"/>
  </w:font>
  <w:font w:name="NewBaskerville-Roman">
    <w:altName w:val="Cambria"/>
    <w:panose1 w:val="00000000000000000000"/>
    <w:charset w:val="00"/>
    <w:family w:val="roman"/>
    <w:notTrueType/>
    <w:pitch w:val="default"/>
    <w:sig w:usb0="00000003" w:usb1="00000000" w:usb2="00000000" w:usb3="00000000" w:csb0="00000001" w:csb1="00000000"/>
  </w:font>
  <w:font w:name="NewBaskerville-Italic">
    <w:altName w:val="Cambria"/>
    <w:panose1 w:val="00000000000000000000"/>
    <w:charset w:val="00"/>
    <w:family w:val="roman"/>
    <w:notTrueType/>
    <w:pitch w:val="default"/>
    <w:sig w:usb0="00000003" w:usb1="00000000" w:usb2="00000000" w:usb3="00000000" w:csb0="00000001" w:csb1="00000000"/>
  </w:font>
  <w:font w:name="AdvGulliv-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boto Condensed">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B35D8" w14:textId="77777777" w:rsidR="00FA2EBC" w:rsidRPr="003224AC" w:rsidRDefault="00FA2EBC" w:rsidP="003224AC">
      <w:r>
        <w:continuationSeparator/>
      </w:r>
    </w:p>
  </w:footnote>
  <w:footnote w:type="continuationSeparator" w:id="0">
    <w:p w14:paraId="23CE9613" w14:textId="77777777" w:rsidR="00FA2EBC" w:rsidRDefault="00FA2EBC">
      <w:r>
        <w:continuationSeparator/>
      </w:r>
    </w:p>
  </w:footnote>
  <w:footnote w:type="continuationNotice" w:id="1">
    <w:p w14:paraId="4D637B6A" w14:textId="77777777" w:rsidR="00FA2EBC" w:rsidRDefault="00FA2EBC"/>
  </w:footnote>
  <w:footnote w:id="2">
    <w:p w14:paraId="2888A92F" w14:textId="72AEF9D7" w:rsidR="00817BE5" w:rsidRPr="0037513D" w:rsidRDefault="00817BE5" w:rsidP="00982077">
      <w:pPr>
        <w:pStyle w:val="FootnoteTextbtlj"/>
        <w:spacing w:after="0" w:line="240" w:lineRule="auto"/>
        <w:contextualSpacing/>
        <w:rPr>
          <w:rFonts w:cstheme="majorBidi"/>
          <w:b/>
          <w:bCs/>
          <w:sz w:val="18"/>
          <w:szCs w:val="18"/>
          <w:lang w:bidi="he-IL"/>
        </w:rPr>
      </w:pPr>
      <w:r w:rsidRPr="0037513D">
        <w:rPr>
          <w:rStyle w:val="FootnoteReference"/>
          <w:rFonts w:cstheme="majorBidi"/>
          <w:sz w:val="18"/>
          <w:szCs w:val="18"/>
        </w:rPr>
        <w:t>†</w:t>
      </w:r>
      <w:r w:rsidRPr="0037513D">
        <w:rPr>
          <w:rFonts w:cstheme="majorBidi"/>
          <w:sz w:val="18"/>
          <w:szCs w:val="18"/>
        </w:rPr>
        <w:t xml:space="preserve"> Assistant Professor, Tel-Aviv University Faculty of Law; Faculty Associate at the Chief Justice Meir Shamgar Center for Digital Law and Innovation. I am grateful to Professor Peter Menell for his kind advice and support, to Guy Becker and Or </w:t>
      </w:r>
      <w:r w:rsidR="00333DE1" w:rsidRPr="0037513D">
        <w:rPr>
          <w:rFonts w:cstheme="majorBidi"/>
          <w:sz w:val="18"/>
          <w:szCs w:val="18"/>
        </w:rPr>
        <w:t>Bu</w:t>
      </w:r>
      <w:r w:rsidR="008861DC" w:rsidRPr="0037513D">
        <w:rPr>
          <w:rFonts w:cstheme="majorBidi"/>
          <w:sz w:val="18"/>
          <w:szCs w:val="18"/>
        </w:rPr>
        <w:t>rstein</w:t>
      </w:r>
      <w:r w:rsidRPr="0037513D">
        <w:rPr>
          <w:rFonts w:cstheme="majorBidi"/>
          <w:sz w:val="18"/>
          <w:szCs w:val="18"/>
        </w:rPr>
        <w:t xml:space="preserve"> for their diligent research assistance</w:t>
      </w:r>
      <w:r w:rsidR="008861DC" w:rsidRPr="0037513D">
        <w:rPr>
          <w:rFonts w:cstheme="majorBidi"/>
          <w:sz w:val="18"/>
          <w:szCs w:val="18"/>
        </w:rPr>
        <w:t xml:space="preserve">, </w:t>
      </w:r>
      <w:r w:rsidRPr="0037513D">
        <w:rPr>
          <w:rFonts w:cstheme="majorBidi"/>
          <w:sz w:val="18"/>
          <w:szCs w:val="18"/>
        </w:rPr>
        <w:t>insightful feedback</w:t>
      </w:r>
      <w:r w:rsidR="008861DC" w:rsidRPr="0037513D">
        <w:rPr>
          <w:rFonts w:cstheme="majorBidi"/>
          <w:sz w:val="18"/>
          <w:szCs w:val="18"/>
        </w:rPr>
        <w:t xml:space="preserve"> and analysis</w:t>
      </w:r>
      <w:r w:rsidR="0027135E" w:rsidRPr="0037513D">
        <w:rPr>
          <w:rFonts w:cstheme="majorBidi"/>
          <w:sz w:val="18"/>
          <w:szCs w:val="18"/>
        </w:rPr>
        <w:t>, and spectacular technical support</w:t>
      </w:r>
      <w:r w:rsidRPr="0037513D">
        <w:rPr>
          <w:rFonts w:cstheme="majorBidi"/>
          <w:sz w:val="18"/>
          <w:szCs w:val="18"/>
        </w:rPr>
        <w:t>.</w:t>
      </w:r>
    </w:p>
  </w:footnote>
  <w:footnote w:id="3">
    <w:p w14:paraId="3BA2DA32" w14:textId="30B6AA79" w:rsidR="001C517C" w:rsidRPr="0037513D" w:rsidRDefault="001C517C" w:rsidP="00481F3E">
      <w:pPr>
        <w:pStyle w:val="FootnoteText"/>
        <w:spacing w:after="0" w:line="240" w:lineRule="auto"/>
        <w:contextualSpacing/>
        <w:jc w:val="both"/>
        <w:rPr>
          <w:rFonts w:ascii="Garamond" w:hAnsi="Garamond"/>
          <w:i/>
          <w:iCs/>
          <w:sz w:val="18"/>
          <w:szCs w:val="18"/>
        </w:rPr>
      </w:pPr>
      <w:r w:rsidRPr="0037513D">
        <w:rPr>
          <w:rStyle w:val="FootnoteReference"/>
          <w:rFonts w:ascii="Garamond" w:hAnsi="Garamond"/>
          <w:sz w:val="18"/>
          <w:szCs w:val="18"/>
        </w:rPr>
        <w:footnoteRef/>
      </w:r>
      <w:r w:rsidRPr="0037513D">
        <w:rPr>
          <w:rFonts w:ascii="Garamond" w:hAnsi="Garamond"/>
          <w:sz w:val="18"/>
          <w:szCs w:val="18"/>
          <w:lang w:bidi="he-IL"/>
        </w:rPr>
        <w:t xml:space="preserve"> </w:t>
      </w:r>
      <w:r w:rsidR="00271493" w:rsidRPr="0037513D">
        <w:rPr>
          <w:rFonts w:ascii="Garamond" w:hAnsi="Garamond"/>
          <w:sz w:val="18"/>
          <w:szCs w:val="18"/>
          <w:lang w:bidi="he-IL"/>
        </w:rPr>
        <w:t xml:space="preserve">Up until recently, this disclosure appeared whenever ChatGPT generated </w:t>
      </w:r>
      <w:r w:rsidR="00935F05" w:rsidRPr="0037513D">
        <w:rPr>
          <w:rFonts w:ascii="Garamond" w:hAnsi="Garamond"/>
          <w:sz w:val="18"/>
          <w:szCs w:val="18"/>
          <w:lang w:bidi="he-IL"/>
        </w:rPr>
        <w:t>product recommendations.</w:t>
      </w:r>
      <w:r w:rsidR="002713A8" w:rsidRPr="0037513D">
        <w:rPr>
          <w:rFonts w:ascii="Garamond" w:hAnsi="Garamond"/>
          <w:sz w:val="18"/>
          <w:szCs w:val="18"/>
          <w:lang w:bidi="he-IL"/>
        </w:rPr>
        <w:t xml:space="preserve"> </w:t>
      </w:r>
      <w:r w:rsidR="002713A8" w:rsidRPr="0037513D">
        <w:rPr>
          <w:rFonts w:ascii="Garamond" w:hAnsi="Garamond"/>
          <w:i/>
          <w:iCs/>
          <w:sz w:val="18"/>
          <w:szCs w:val="18"/>
          <w:lang w:bidi="he-IL"/>
        </w:rPr>
        <w:t xml:space="preserve">See </w:t>
      </w:r>
      <w:r w:rsidR="00481F3E" w:rsidRPr="0037513D">
        <w:rPr>
          <w:rFonts w:ascii="Garamond" w:hAnsi="Garamond"/>
          <w:sz w:val="18"/>
          <w:szCs w:val="18"/>
          <w:lang w:bidi="he-IL"/>
        </w:rPr>
        <w:t xml:space="preserve">Brodie Clark, </w:t>
      </w:r>
      <w:r w:rsidR="00481F3E" w:rsidRPr="0037513D">
        <w:rPr>
          <w:rFonts w:ascii="Garamond" w:hAnsi="Garamond"/>
          <w:i/>
          <w:iCs/>
          <w:sz w:val="18"/>
          <w:szCs w:val="18"/>
          <w:lang w:bidi="he-IL"/>
        </w:rPr>
        <w:t>ChatGPT Shopping Results Have Been Updated,</w:t>
      </w:r>
      <w:r w:rsidR="00481F3E" w:rsidRPr="0037513D">
        <w:rPr>
          <w:rFonts w:ascii="Garamond" w:hAnsi="Garamond"/>
          <w:sz w:val="18"/>
          <w:szCs w:val="18"/>
          <w:lang w:bidi="he-IL"/>
        </w:rPr>
        <w:t xml:space="preserve"> </w:t>
      </w:r>
      <w:r w:rsidR="00481F3E" w:rsidRPr="0037513D">
        <w:rPr>
          <w:rFonts w:ascii="Garamond" w:hAnsi="Garamond"/>
          <w:smallCaps/>
          <w:sz w:val="18"/>
          <w:szCs w:val="18"/>
          <w:lang w:bidi="he-IL"/>
        </w:rPr>
        <w:t>Brodie Clark Consulting</w:t>
      </w:r>
      <w:r w:rsidR="00481F3E" w:rsidRPr="0037513D">
        <w:rPr>
          <w:rFonts w:ascii="Garamond" w:hAnsi="Garamond"/>
          <w:sz w:val="18"/>
          <w:szCs w:val="18"/>
          <w:lang w:bidi="he-IL"/>
        </w:rPr>
        <w:t xml:space="preserve"> (Sep. 3, 2025)</w:t>
      </w:r>
      <w:r w:rsidR="00481F3E" w:rsidRPr="0037513D">
        <w:rPr>
          <w:rFonts w:ascii="Garamond" w:hAnsi="Garamond"/>
          <w:i/>
          <w:iCs/>
          <w:sz w:val="18"/>
          <w:szCs w:val="18"/>
        </w:rPr>
        <w:t>.</w:t>
      </w:r>
    </w:p>
  </w:footnote>
  <w:footnote w:id="4">
    <w:p w14:paraId="5B6786A9" w14:textId="77777777" w:rsidR="008E2380" w:rsidRPr="0037513D" w:rsidRDefault="008E2380" w:rsidP="008E238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lang w:bidi="he-IL"/>
        </w:rPr>
        <w:t xml:space="preserve"> </w:t>
      </w:r>
      <w:r w:rsidRPr="0037513D">
        <w:rPr>
          <w:rFonts w:ascii="Garamond" w:hAnsi="Garamond"/>
          <w:i/>
          <w:iCs/>
          <w:sz w:val="18"/>
          <w:szCs w:val="18"/>
          <w:lang w:bidi="he-IL"/>
        </w:rPr>
        <w:t xml:space="preserve">See </w:t>
      </w:r>
      <w:r w:rsidRPr="0037513D">
        <w:rPr>
          <w:rFonts w:ascii="Garamond" w:eastAsia="Times New Roman" w:hAnsi="Garamond"/>
          <w:sz w:val="18"/>
          <w:szCs w:val="18"/>
        </w:rPr>
        <w:t xml:space="preserve">Bassant </w:t>
      </w:r>
      <w:proofErr w:type="spellStart"/>
      <w:r w:rsidRPr="0037513D">
        <w:rPr>
          <w:rFonts w:ascii="Garamond" w:eastAsia="Times New Roman" w:hAnsi="Garamond"/>
          <w:sz w:val="18"/>
          <w:szCs w:val="18"/>
        </w:rPr>
        <w:t>Eyada</w:t>
      </w:r>
      <w:proofErr w:type="spellEnd"/>
      <w:r w:rsidRPr="0037513D">
        <w:rPr>
          <w:rFonts w:ascii="Garamond" w:eastAsia="Times New Roman" w:hAnsi="Garamond"/>
          <w:sz w:val="18"/>
          <w:szCs w:val="18"/>
        </w:rPr>
        <w:t xml:space="preserve"> &amp; Asli </w:t>
      </w:r>
      <w:r w:rsidRPr="0037513D">
        <w:rPr>
          <w:rFonts w:ascii="Garamond" w:eastAsia="Times New Roman" w:hAnsi="Garamond"/>
          <w:sz w:val="18"/>
          <w:szCs w:val="18"/>
          <w:lang w:bidi="he-IL"/>
        </w:rPr>
        <w:t xml:space="preserve">Cazorla </w:t>
      </w:r>
      <w:r w:rsidRPr="0037513D">
        <w:rPr>
          <w:rFonts w:ascii="Garamond" w:eastAsia="Times New Roman" w:hAnsi="Garamond"/>
          <w:sz w:val="18"/>
          <w:szCs w:val="18"/>
        </w:rPr>
        <w:t xml:space="preserve">Milla, </w:t>
      </w:r>
      <w:r w:rsidRPr="0037513D">
        <w:rPr>
          <w:rFonts w:ascii="Garamond" w:eastAsia="Times New Roman" w:hAnsi="Garamond"/>
          <w:i/>
          <w:iCs/>
          <w:sz w:val="18"/>
          <w:szCs w:val="18"/>
        </w:rPr>
        <w:t>Native Advertising: Challenges and Perspectives</w:t>
      </w:r>
      <w:r w:rsidRPr="0037513D">
        <w:rPr>
          <w:rFonts w:ascii="Garamond" w:eastAsia="Times New Roman" w:hAnsi="Garamond"/>
          <w:sz w:val="18"/>
          <w:szCs w:val="18"/>
        </w:rPr>
        <w:t xml:space="preserve">, 1 </w:t>
      </w:r>
      <w:r w:rsidRPr="0037513D">
        <w:rPr>
          <w:rFonts w:ascii="Garamond" w:eastAsia="Times New Roman" w:hAnsi="Garamond"/>
          <w:smallCaps/>
          <w:sz w:val="18"/>
          <w:szCs w:val="18"/>
        </w:rPr>
        <w:t>Journal of Design Sciences and Applied Arts</w:t>
      </w:r>
      <w:r w:rsidRPr="0037513D">
        <w:rPr>
          <w:rFonts w:ascii="Garamond" w:eastAsia="Times New Roman" w:hAnsi="Garamond"/>
          <w:sz w:val="18"/>
          <w:szCs w:val="18"/>
        </w:rPr>
        <w:t xml:space="preserve"> 67, 68–70 (2020).</w:t>
      </w:r>
    </w:p>
  </w:footnote>
  <w:footnote w:id="5">
    <w:p w14:paraId="3CB3DB21" w14:textId="77777777" w:rsidR="008E2380" w:rsidRPr="0037513D" w:rsidRDefault="008E2380" w:rsidP="008E2380">
      <w:pPr>
        <w:pStyle w:val="FootnoteText"/>
        <w:spacing w:after="0" w:line="240" w:lineRule="auto"/>
        <w:contextualSpacing/>
        <w:jc w:val="both"/>
        <w:rPr>
          <w:rFonts w:ascii="Garamond" w:hAnsi="Garamond"/>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Id.</w:t>
      </w:r>
      <w:r w:rsidRPr="0037513D">
        <w:rPr>
          <w:rFonts w:ascii="Garamond" w:hAnsi="Garamond"/>
          <w:sz w:val="18"/>
          <w:szCs w:val="18"/>
          <w:rtl/>
          <w:lang w:bidi="he-IL"/>
        </w:rPr>
        <w:t xml:space="preserve"> </w:t>
      </w:r>
      <w:r w:rsidRPr="0037513D">
        <w:rPr>
          <w:rFonts w:ascii="Garamond" w:hAnsi="Garamond"/>
          <w:sz w:val="18"/>
          <w:szCs w:val="18"/>
        </w:rPr>
        <w:t xml:space="preserve">at 68–69; Matt Carlson, </w:t>
      </w:r>
      <w:r w:rsidRPr="0037513D">
        <w:rPr>
          <w:rFonts w:ascii="Garamond" w:hAnsi="Garamond"/>
          <w:i/>
          <w:iCs/>
          <w:sz w:val="18"/>
          <w:szCs w:val="18"/>
        </w:rPr>
        <w:t>When news sites go native: Redefining the advertising–editorial divide in response to native advertising</w:t>
      </w:r>
      <w:r w:rsidRPr="0037513D">
        <w:rPr>
          <w:rFonts w:ascii="Garamond" w:hAnsi="Garamond"/>
          <w:sz w:val="18"/>
          <w:szCs w:val="18"/>
        </w:rPr>
        <w:t xml:space="preserve">, 16(7) </w:t>
      </w:r>
      <w:r w:rsidRPr="0037513D">
        <w:rPr>
          <w:rFonts w:ascii="Garamond" w:hAnsi="Garamond"/>
          <w:smallCaps/>
          <w:sz w:val="18"/>
          <w:szCs w:val="18"/>
        </w:rPr>
        <w:t>Journalism</w:t>
      </w:r>
      <w:r w:rsidRPr="0037513D">
        <w:rPr>
          <w:rFonts w:ascii="Garamond" w:hAnsi="Garamond"/>
          <w:sz w:val="18"/>
          <w:szCs w:val="18"/>
        </w:rPr>
        <w:t xml:space="preserve"> 849–865 (2014); Ross D. Petty, </w:t>
      </w:r>
      <w:r w:rsidRPr="0037513D">
        <w:rPr>
          <w:rFonts w:ascii="Garamond" w:hAnsi="Garamond"/>
          <w:i/>
          <w:iCs/>
          <w:sz w:val="18"/>
          <w:szCs w:val="18"/>
        </w:rPr>
        <w:t>From puffery to penalties: a historical analysis of US masked marketing public policy concerns</w:t>
      </w:r>
      <w:r w:rsidRPr="0037513D">
        <w:rPr>
          <w:rFonts w:ascii="Garamond" w:hAnsi="Garamond"/>
          <w:sz w:val="18"/>
          <w:szCs w:val="18"/>
        </w:rPr>
        <w:t xml:space="preserve">, 5(1) </w:t>
      </w:r>
      <w:r w:rsidRPr="0037513D">
        <w:rPr>
          <w:rFonts w:ascii="Garamond" w:hAnsi="Garamond"/>
          <w:smallCaps/>
          <w:sz w:val="18"/>
          <w:szCs w:val="18"/>
        </w:rPr>
        <w:t>Journal of Historical Research in Marketing</w:t>
      </w:r>
      <w:r w:rsidRPr="0037513D">
        <w:rPr>
          <w:rFonts w:ascii="Garamond" w:hAnsi="Garamond"/>
          <w:sz w:val="18"/>
          <w:szCs w:val="18"/>
        </w:rPr>
        <w:t>, 10–26 (2013).</w:t>
      </w:r>
    </w:p>
  </w:footnote>
  <w:footnote w:id="6">
    <w:p w14:paraId="0B868600" w14:textId="77777777" w:rsidR="008E2380" w:rsidRPr="0037513D" w:rsidRDefault="008E2380" w:rsidP="008E2380">
      <w:pPr>
        <w:pStyle w:val="FootnoteText"/>
        <w:spacing w:after="0" w:line="240" w:lineRule="auto"/>
        <w:contextualSpacing/>
        <w:jc w:val="both"/>
        <w:rPr>
          <w:rFonts w:ascii="Garamond" w:eastAsia="Times New Roman"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eastAsia="Times New Roman" w:hAnsi="Garamond"/>
          <w:sz w:val="18"/>
          <w:szCs w:val="18"/>
        </w:rPr>
        <w:t xml:space="preserve">Ines Zelch, Matthias Hagen &amp; Martin Potthast, </w:t>
      </w:r>
      <w:r w:rsidRPr="0037513D">
        <w:rPr>
          <w:rFonts w:ascii="Garamond" w:eastAsia="Times New Roman" w:hAnsi="Garamond"/>
          <w:i/>
          <w:iCs/>
          <w:sz w:val="18"/>
          <w:szCs w:val="18"/>
        </w:rPr>
        <w:t>A User Study on the Acceptance of Native Advertising in Generative IR</w:t>
      </w:r>
      <w:r w:rsidRPr="0037513D">
        <w:rPr>
          <w:rFonts w:ascii="Garamond" w:eastAsia="Times New Roman" w:hAnsi="Garamond"/>
          <w:sz w:val="18"/>
          <w:szCs w:val="18"/>
        </w:rPr>
        <w:t xml:space="preserve">, </w:t>
      </w:r>
      <w:r w:rsidRPr="0037513D">
        <w:rPr>
          <w:rFonts w:ascii="Garamond" w:eastAsia="Times New Roman" w:hAnsi="Garamond"/>
          <w:i/>
          <w:iCs/>
          <w:sz w:val="18"/>
          <w:szCs w:val="18"/>
        </w:rPr>
        <w:t>in</w:t>
      </w:r>
      <w:r w:rsidRPr="0037513D">
        <w:rPr>
          <w:rFonts w:ascii="Garamond" w:eastAsia="Times New Roman" w:hAnsi="Garamond"/>
          <w:sz w:val="18"/>
          <w:szCs w:val="18"/>
        </w:rPr>
        <w:t xml:space="preserve"> </w:t>
      </w:r>
      <w:r w:rsidRPr="0037513D">
        <w:rPr>
          <w:rFonts w:ascii="Garamond" w:eastAsia="Times New Roman" w:hAnsi="Garamond"/>
          <w:smallCaps/>
          <w:sz w:val="18"/>
          <w:szCs w:val="18"/>
        </w:rPr>
        <w:t>CHIIR 2024 - Proceedings of the 2024 Conference on Human Information Interaction and Retrieval</w:t>
      </w:r>
      <w:r w:rsidRPr="0037513D">
        <w:rPr>
          <w:rFonts w:ascii="Garamond" w:eastAsia="Times New Roman" w:hAnsi="Garamond"/>
          <w:sz w:val="18"/>
          <w:szCs w:val="18"/>
        </w:rPr>
        <w:t xml:space="preserve"> 142, 143 (2024).</w:t>
      </w:r>
    </w:p>
  </w:footnote>
  <w:footnote w:id="7">
    <w:p w14:paraId="33D66110" w14:textId="77777777" w:rsidR="008E2380" w:rsidRPr="0037513D" w:rsidRDefault="008E2380" w:rsidP="008E2380">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 xml:space="preserve">Ava Sirrah, </w:t>
      </w:r>
      <w:r w:rsidRPr="0037513D">
        <w:rPr>
          <w:rFonts w:ascii="Garamond" w:eastAsia="Times New Roman" w:hAnsi="Garamond"/>
          <w:i/>
          <w:iCs/>
          <w:sz w:val="18"/>
          <w:szCs w:val="18"/>
        </w:rPr>
        <w:t>How Invisible Ads Undermine Journalism Ethics</w:t>
      </w:r>
      <w:r w:rsidRPr="0037513D">
        <w:rPr>
          <w:rFonts w:ascii="Garamond" w:eastAsia="Times New Roman" w:hAnsi="Garamond"/>
          <w:sz w:val="18"/>
          <w:szCs w:val="18"/>
        </w:rPr>
        <w:t xml:space="preserve">, </w:t>
      </w:r>
      <w:r w:rsidRPr="0037513D">
        <w:rPr>
          <w:rFonts w:ascii="Garamond" w:eastAsia="Times New Roman" w:hAnsi="Garamond"/>
          <w:smallCaps/>
          <w:sz w:val="18"/>
          <w:szCs w:val="18"/>
        </w:rPr>
        <w:t>Center for Journalism Ethics – UW–Madison</w:t>
      </w:r>
      <w:r w:rsidRPr="0037513D">
        <w:rPr>
          <w:rFonts w:ascii="Garamond" w:eastAsia="Times New Roman" w:hAnsi="Garamond"/>
          <w:sz w:val="18"/>
          <w:szCs w:val="18"/>
        </w:rPr>
        <w:t xml:space="preserve"> (2023), </w:t>
      </w:r>
      <w:hyperlink r:id="rId1" w:history="1">
        <w:r w:rsidRPr="0037513D">
          <w:rPr>
            <w:rStyle w:val="Hyperlink"/>
            <w:rFonts w:ascii="Garamond" w:eastAsia="Times New Roman" w:hAnsi="Garamond"/>
            <w:sz w:val="18"/>
            <w:szCs w:val="18"/>
          </w:rPr>
          <w:t>https://ethics.journalism.wisc.edu/2023/11/06/invisibleadsunderminejournalism/?utm_source=chatgpt.com</w:t>
        </w:r>
      </w:hyperlink>
      <w:r w:rsidRPr="0037513D">
        <w:rPr>
          <w:rFonts w:ascii="Garamond" w:hAnsi="Garamond"/>
          <w:sz w:val="18"/>
          <w:szCs w:val="18"/>
        </w:rPr>
        <w:t xml:space="preserve">; </w:t>
      </w:r>
      <w:r w:rsidRPr="0037513D">
        <w:rPr>
          <w:rFonts w:ascii="Garamond" w:eastAsia="Times New Roman" w:hAnsi="Garamond"/>
          <w:sz w:val="18"/>
          <w:szCs w:val="18"/>
        </w:rPr>
        <w:t xml:space="preserve">Zelch, </w:t>
      </w:r>
      <w:r w:rsidRPr="0037513D">
        <w:rPr>
          <w:rFonts w:ascii="Garamond" w:eastAsia="Times New Roman" w:hAnsi="Garamond"/>
          <w:i/>
          <w:iCs/>
          <w:sz w:val="18"/>
          <w:szCs w:val="18"/>
        </w:rPr>
        <w:t xml:space="preserve">supra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eastAsia="Times New Roman" w:hAnsi="Garamond" w:cs="Times New Roman"/>
          <w:i/>
          <w:iCs/>
          <w:color w:val="000000"/>
          <w:kern w:val="0"/>
          <w:sz w:val="18"/>
          <w:szCs w:val="18"/>
          <w:rtl/>
          <w:lang w:bidi="he-IL"/>
          <w14:ligatures w14:val="none"/>
        </w:rPr>
        <w:t xml:space="preserve"> </w:t>
      </w:r>
      <w:r w:rsidRPr="0037513D">
        <w:rPr>
          <w:rFonts w:ascii="Garamond" w:eastAsia="Times New Roman" w:hAnsi="Garamond" w:cs="Times New Roman"/>
          <w:color w:val="000000"/>
          <w:kern w:val="0"/>
          <w:sz w:val="18"/>
          <w:szCs w:val="18"/>
          <w14:ligatures w14:val="none"/>
        </w:rPr>
        <w:t xml:space="preserve">at </w:t>
      </w:r>
      <w:r w:rsidRPr="0037513D">
        <w:rPr>
          <w:rFonts w:ascii="Garamond" w:eastAsia="Times New Roman" w:hAnsi="Garamond" w:cs="Times New Roman"/>
          <w:kern w:val="0"/>
          <w:sz w:val="18"/>
          <w:szCs w:val="18"/>
          <w14:ligatures w14:val="none"/>
        </w:rPr>
        <w:t>143</w:t>
      </w:r>
      <w:r w:rsidRPr="0037513D">
        <w:rPr>
          <w:rFonts w:ascii="Garamond" w:hAnsi="Garamond"/>
          <w:sz w:val="18"/>
          <w:szCs w:val="18"/>
        </w:rPr>
        <w:t xml:space="preserve"> (“</w:t>
      </w:r>
      <w:r w:rsidRPr="0037513D">
        <w:rPr>
          <w:rFonts w:ascii="Garamond" w:hAnsi="Garamond" w:cstheme="majorBidi"/>
          <w:sz w:val="18"/>
          <w:szCs w:val="18"/>
          <w:lang w:bidi="he-IL"/>
        </w:rPr>
        <w:t xml:space="preserve">Text SERPs enable an even closer integration of ads with organic results, akin to native advertising.”); </w:t>
      </w:r>
      <w:r w:rsidRPr="0037513D">
        <w:rPr>
          <w:rFonts w:ascii="Garamond" w:eastAsia="Times New Roman" w:hAnsi="Garamond"/>
          <w:sz w:val="18"/>
          <w:szCs w:val="18"/>
        </w:rPr>
        <w:t xml:space="preserve">Michelle A. Amazeen &amp; Ashley R. Muddiman, </w:t>
      </w:r>
      <w:r w:rsidRPr="0037513D">
        <w:rPr>
          <w:rFonts w:ascii="Garamond" w:eastAsia="Times New Roman" w:hAnsi="Garamond"/>
          <w:i/>
          <w:iCs/>
          <w:sz w:val="18"/>
          <w:szCs w:val="18"/>
        </w:rPr>
        <w:t>Saving Media or Trading on Trust?: The Effects of Native Advertising on Audience Perceptions of Legacy and Online News Publishers</w:t>
      </w:r>
      <w:r w:rsidRPr="0037513D">
        <w:rPr>
          <w:rFonts w:ascii="Garamond" w:eastAsia="Times New Roman" w:hAnsi="Garamond"/>
          <w:sz w:val="18"/>
          <w:szCs w:val="18"/>
        </w:rPr>
        <w:t xml:space="preserve">, 6 </w:t>
      </w:r>
      <w:r w:rsidRPr="0037513D">
        <w:rPr>
          <w:rFonts w:ascii="Garamond" w:eastAsia="Times New Roman" w:hAnsi="Garamond"/>
          <w:smallCaps/>
          <w:sz w:val="18"/>
          <w:szCs w:val="18"/>
        </w:rPr>
        <w:t>Digital Journalism</w:t>
      </w:r>
      <w:r w:rsidRPr="0037513D">
        <w:rPr>
          <w:rFonts w:ascii="Garamond" w:eastAsia="Times New Roman" w:hAnsi="Garamond"/>
          <w:sz w:val="18"/>
          <w:szCs w:val="18"/>
        </w:rPr>
        <w:t xml:space="preserve"> 176, 177 (2017)</w:t>
      </w:r>
      <w:r w:rsidRPr="0037513D">
        <w:rPr>
          <w:rFonts w:ascii="Garamond" w:hAnsi="Garamond" w:cstheme="majorBidi"/>
          <w:sz w:val="18"/>
          <w:szCs w:val="18"/>
          <w:lang w:bidi="he-IL"/>
        </w:rPr>
        <w:t>(“Nearly three out of four online publishers in the United States now offer native advertising opportunities.”).</w:t>
      </w:r>
    </w:p>
  </w:footnote>
  <w:footnote w:id="8">
    <w:p w14:paraId="6542E066" w14:textId="77777777" w:rsidR="008E2380" w:rsidRPr="0037513D" w:rsidRDefault="008E2380" w:rsidP="008E238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Sara Lebow, </w:t>
      </w:r>
      <w:r w:rsidRPr="0037513D">
        <w:rPr>
          <w:rFonts w:ascii="Garamond" w:hAnsi="Garamond"/>
          <w:i/>
          <w:iCs/>
          <w:sz w:val="18"/>
          <w:szCs w:val="18"/>
        </w:rPr>
        <w:t>Display advertising in 5 charts: From programmatic to retail media</w:t>
      </w:r>
      <w:r w:rsidRPr="0037513D">
        <w:rPr>
          <w:rFonts w:ascii="Garamond" w:hAnsi="Garamond"/>
          <w:sz w:val="18"/>
          <w:szCs w:val="18"/>
        </w:rPr>
        <w:t xml:space="preserve">, </w:t>
      </w:r>
      <w:r w:rsidRPr="0037513D">
        <w:rPr>
          <w:rFonts w:ascii="Garamond" w:eastAsia="Times New Roman" w:hAnsi="Garamond"/>
          <w:smallCaps/>
          <w:sz w:val="18"/>
          <w:szCs w:val="18"/>
        </w:rPr>
        <w:t>Insider Intelligence eMarketer (</w:t>
      </w:r>
      <w:r w:rsidRPr="0037513D">
        <w:rPr>
          <w:rFonts w:ascii="Garamond" w:hAnsi="Garamond"/>
          <w:sz w:val="18"/>
          <w:szCs w:val="18"/>
        </w:rPr>
        <w:t>Nov 9, 2023).</w:t>
      </w:r>
    </w:p>
  </w:footnote>
  <w:footnote w:id="9">
    <w:p w14:paraId="62D7AD87" w14:textId="77777777" w:rsidR="00005B17" w:rsidRPr="0037513D" w:rsidRDefault="00005B17" w:rsidP="00005B1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heme="minorHAnsi" w:hAnsi="Garamond" w:cstheme="majorBidi"/>
          <w:sz w:val="18"/>
          <w:szCs w:val="18"/>
        </w:rPr>
        <w:t xml:space="preserve">Bassant </w:t>
      </w:r>
      <w:proofErr w:type="spellStart"/>
      <w:r w:rsidRPr="0037513D">
        <w:rPr>
          <w:rFonts w:ascii="Garamond" w:eastAsiaTheme="minorHAnsi" w:hAnsi="Garamond" w:cstheme="majorBidi"/>
          <w:sz w:val="18"/>
          <w:szCs w:val="18"/>
        </w:rPr>
        <w:t>Eyada</w:t>
      </w:r>
      <w:proofErr w:type="spellEnd"/>
      <w:r w:rsidRPr="0037513D">
        <w:rPr>
          <w:rFonts w:ascii="Garamond" w:eastAsiaTheme="minorHAnsi" w:hAnsi="Garamond" w:cstheme="majorBidi"/>
          <w:sz w:val="18"/>
          <w:szCs w:val="18"/>
        </w:rPr>
        <w:t xml:space="preserve"> &amp; Asli Milla</w:t>
      </w:r>
      <w:r w:rsidRPr="0037513D">
        <w:rPr>
          <w:rFonts w:ascii="Garamond" w:eastAsia="Times New Roman" w:hAnsi="Garamond"/>
          <w:sz w:val="18"/>
          <w:szCs w:val="18"/>
        </w:rPr>
        <w:t xml:space="preserve">, </w:t>
      </w:r>
      <w:r w:rsidRPr="0037513D">
        <w:rPr>
          <w:rFonts w:ascii="Garamond" w:eastAsia="Times New Roman" w:hAnsi="Garamond"/>
          <w:i/>
          <w:iCs/>
          <w:sz w:val="18"/>
          <w:szCs w:val="18"/>
        </w:rPr>
        <w:t>Native Advertising: Challenges and Perspectives</w:t>
      </w:r>
      <w:r w:rsidRPr="0037513D">
        <w:rPr>
          <w:rFonts w:ascii="Garamond" w:eastAsia="Times New Roman" w:hAnsi="Garamond"/>
          <w:sz w:val="18"/>
          <w:szCs w:val="18"/>
        </w:rPr>
        <w:t xml:space="preserve">, 1 </w:t>
      </w:r>
      <w:r w:rsidRPr="0037513D">
        <w:rPr>
          <w:rFonts w:ascii="Garamond" w:eastAsia="Times New Roman" w:hAnsi="Garamond"/>
          <w:smallCaps/>
          <w:sz w:val="18"/>
          <w:szCs w:val="18"/>
        </w:rPr>
        <w:t>Journal of Design Sciences and Applied Arts</w:t>
      </w:r>
      <w:r w:rsidRPr="0037513D">
        <w:rPr>
          <w:rFonts w:ascii="Garamond" w:eastAsia="Times New Roman" w:hAnsi="Garamond"/>
          <w:sz w:val="18"/>
          <w:szCs w:val="18"/>
        </w:rPr>
        <w:t xml:space="preserve"> 67, 72 (2020).</w:t>
      </w:r>
    </w:p>
  </w:footnote>
  <w:footnote w:id="10">
    <w:p w14:paraId="6464A30C" w14:textId="77777777" w:rsidR="00005B17" w:rsidRPr="0037513D" w:rsidRDefault="00005B17" w:rsidP="00005B1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Federal Trade Commission, </w:t>
      </w:r>
      <w:r w:rsidRPr="0037513D">
        <w:rPr>
          <w:rStyle w:val="Emphasis"/>
          <w:rFonts w:ascii="Garamond" w:hAnsi="Garamond"/>
          <w:sz w:val="18"/>
          <w:szCs w:val="18"/>
        </w:rPr>
        <w:t>Blurred Lines: Advertising or</w:t>
      </w:r>
      <w:r w:rsidRPr="0037513D">
        <w:rPr>
          <w:rFonts w:ascii="Garamond" w:hAnsi="Garamond"/>
          <w:sz w:val="18"/>
          <w:szCs w:val="18"/>
          <w:rtl/>
        </w:rPr>
        <w:t xml:space="preserve"> </w:t>
      </w:r>
      <w:r w:rsidRPr="0037513D">
        <w:rPr>
          <w:rStyle w:val="Emphasis"/>
          <w:rFonts w:ascii="Garamond" w:hAnsi="Garamond"/>
          <w:sz w:val="18"/>
          <w:szCs w:val="18"/>
        </w:rPr>
        <w:t>Content? – An FTC Workshop on Native Advertising</w:t>
      </w:r>
      <w:r w:rsidRPr="0037513D">
        <w:rPr>
          <w:rFonts w:ascii="Garamond" w:hAnsi="Garamond"/>
          <w:sz w:val="18"/>
          <w:szCs w:val="18"/>
        </w:rPr>
        <w:t xml:space="preserve"> (Dec. 4, 2013)</w:t>
      </w:r>
      <w:r w:rsidRPr="0037513D">
        <w:rPr>
          <w:rFonts w:ascii="Garamond" w:hAnsi="Garamond"/>
          <w:sz w:val="18"/>
          <w:szCs w:val="18"/>
          <w:rtl/>
        </w:rPr>
        <w:t>,</w:t>
      </w:r>
      <w:r w:rsidRPr="0037513D">
        <w:rPr>
          <w:rFonts w:ascii="Garamond" w:hAnsi="Garamond"/>
          <w:sz w:val="18"/>
          <w:szCs w:val="18"/>
        </w:rPr>
        <w:t xml:space="preserve"> </w:t>
      </w:r>
      <w:hyperlink r:id="rId2" w:history="1">
        <w:r w:rsidRPr="0037513D">
          <w:rPr>
            <w:rStyle w:val="Hyperlink"/>
            <w:rFonts w:ascii="Garamond" w:hAnsi="Garamond"/>
            <w:sz w:val="18"/>
            <w:szCs w:val="18"/>
          </w:rPr>
          <w:t>https://www.ftc.gov/news-events/events/2013/12/blurred-lines-advertising-or-content-ftc-workshop-native-advertising</w:t>
        </w:r>
      </w:hyperlink>
      <w:r w:rsidRPr="0037513D">
        <w:rPr>
          <w:rFonts w:ascii="Garamond" w:hAnsi="Garamond" w:cstheme="majorBidi"/>
          <w:sz w:val="18"/>
          <w:szCs w:val="18"/>
        </w:rPr>
        <w:t xml:space="preserve"> (as Bob Garfield stated, “The problem is that this is the digital world that we’re talking about.  That content may be born under a brand voice logo on Forbes.com, but it doesn’t stay there.  No, it migrates.  And within eight hours of this native ad being posted, it has also shown up, no doubt with the sponsor’s help, on 162 other sites.  And as far as those sites were concerned, the source was not the native advertising section of Forbes; it was simply Forbes.”).</w:t>
      </w:r>
    </w:p>
  </w:footnote>
  <w:footnote w:id="11">
    <w:p w14:paraId="5CE64D14" w14:textId="77777777" w:rsidR="00005B17" w:rsidRPr="0037513D" w:rsidRDefault="00005B17" w:rsidP="00005B1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generally  </w:t>
      </w:r>
      <w:r w:rsidRPr="0037513D">
        <w:rPr>
          <w:rFonts w:ascii="Garamond" w:hAnsi="Garamond"/>
          <w:sz w:val="18"/>
          <w:szCs w:val="18"/>
        </w:rPr>
        <w:t xml:space="preserve">Uri Y. Hacohen, </w:t>
      </w:r>
      <w:r w:rsidRPr="0037513D">
        <w:rPr>
          <w:rFonts w:ascii="Garamond" w:hAnsi="Garamond"/>
          <w:i/>
          <w:iCs/>
          <w:sz w:val="18"/>
          <w:szCs w:val="18"/>
        </w:rPr>
        <w:t xml:space="preserve">The Shifting Economics of Influencer Sponsorship Disclosures, </w:t>
      </w:r>
      <w:r w:rsidRPr="0037513D">
        <w:rPr>
          <w:rFonts w:ascii="Garamond" w:hAnsi="Garamond"/>
          <w:sz w:val="18"/>
          <w:szCs w:val="18"/>
        </w:rPr>
        <w:t>(</w:t>
      </w:r>
      <w:r w:rsidRPr="0037513D">
        <w:rPr>
          <w:rFonts w:ascii="Garamond" w:hAnsi="Garamond"/>
          <w:smallCaps/>
          <w:color w:val="000000" w:themeColor="text1"/>
          <w:sz w:val="18"/>
          <w:szCs w:val="18"/>
        </w:rPr>
        <w:t xml:space="preserve">Forthcoming at the Cardozo Arts &amp; Ent. L.J., 2025). </w:t>
      </w:r>
    </w:p>
  </w:footnote>
  <w:footnote w:id="12">
    <w:p w14:paraId="1822F593" w14:textId="4C16C01D" w:rsidR="003E376E" w:rsidRPr="0037513D" w:rsidRDefault="003E376E"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5C4194" w:rsidRPr="0037513D">
        <w:rPr>
          <w:rFonts w:ascii="Garamond" w:hAnsi="Garamond" w:cstheme="majorBidi"/>
          <w:sz w:val="18"/>
          <w:szCs w:val="18"/>
        </w:rPr>
        <w:t xml:space="preserve">Ruvimbo Musiyiwa &amp; Jenna Jacobson, </w:t>
      </w:r>
      <w:r w:rsidR="005C4194" w:rsidRPr="0037513D">
        <w:rPr>
          <w:rFonts w:ascii="Garamond" w:hAnsi="Garamond" w:cstheme="majorBidi"/>
          <w:i/>
          <w:iCs/>
          <w:sz w:val="18"/>
          <w:szCs w:val="18"/>
        </w:rPr>
        <w:t>Sponsorship Disclosure in Social Media Influencer Marketing: The Algorithmic and Non-Algorithmic Barriers</w:t>
      </w:r>
      <w:r w:rsidR="005C4194" w:rsidRPr="0037513D">
        <w:rPr>
          <w:rFonts w:ascii="Garamond" w:hAnsi="Garamond" w:cstheme="majorBidi"/>
          <w:sz w:val="18"/>
          <w:szCs w:val="18"/>
        </w:rPr>
        <w:t xml:space="preserve">, 9 </w:t>
      </w:r>
      <w:r w:rsidR="005C4194" w:rsidRPr="0037513D">
        <w:rPr>
          <w:rFonts w:ascii="Garamond" w:hAnsi="Garamond" w:cstheme="majorBidi"/>
          <w:smallCaps/>
          <w:sz w:val="18"/>
          <w:szCs w:val="18"/>
        </w:rPr>
        <w:t>Social Media + Society</w:t>
      </w:r>
      <w:r w:rsidR="005C4194" w:rsidRPr="0037513D">
        <w:rPr>
          <w:rFonts w:ascii="Garamond" w:hAnsi="Garamond" w:cstheme="majorBidi"/>
          <w:sz w:val="18"/>
          <w:szCs w:val="18"/>
        </w:rPr>
        <w:t xml:space="preserve"> (2023) (discussing sponsorship disclosure regulations throughout the globe);  </w:t>
      </w:r>
      <w:r w:rsidR="005C4194" w:rsidRPr="0037513D">
        <w:rPr>
          <w:rFonts w:ascii="Garamond" w:hAnsi="Garamond"/>
          <w:sz w:val="18"/>
          <w:szCs w:val="18"/>
        </w:rPr>
        <w:t xml:space="preserve">Daniel Ershov &amp; Matthew Mitchell, </w:t>
      </w:r>
      <w:r w:rsidR="005C4194" w:rsidRPr="0037513D">
        <w:rPr>
          <w:rFonts w:ascii="Garamond" w:hAnsi="Garamond"/>
          <w:i/>
          <w:iCs/>
          <w:sz w:val="18"/>
          <w:szCs w:val="18"/>
        </w:rPr>
        <w:t>The Effects of Advertising Disclosure Regulations on Social Media: Evidence From Instagram</w:t>
      </w:r>
      <w:r w:rsidR="005C4194" w:rsidRPr="0037513D">
        <w:rPr>
          <w:rFonts w:ascii="Garamond" w:hAnsi="Garamond"/>
          <w:sz w:val="18"/>
          <w:szCs w:val="18"/>
        </w:rPr>
        <w:t>, 56(1) T</w:t>
      </w:r>
      <w:r w:rsidR="005C4194" w:rsidRPr="0037513D">
        <w:rPr>
          <w:rFonts w:ascii="Garamond" w:hAnsi="Garamond" w:cstheme="majorBidi"/>
          <w:smallCaps/>
          <w:sz w:val="18"/>
          <w:szCs w:val="18"/>
        </w:rPr>
        <w:t xml:space="preserve">he RAND Journal of Economics </w:t>
      </w:r>
      <w:r w:rsidR="005C4194" w:rsidRPr="0037513D">
        <w:rPr>
          <w:rFonts w:ascii="Garamond" w:hAnsi="Garamond"/>
          <w:sz w:val="18"/>
          <w:szCs w:val="18"/>
        </w:rPr>
        <w:t>74 (2025) (same); Zofia Saternus, Cristina Mihale</w:t>
      </w:r>
      <w:r w:rsidR="005C4194" w:rsidRPr="0037513D">
        <w:rPr>
          <w:rFonts w:ascii="Cambria Math" w:hAnsi="Cambria Math" w:cs="Cambria Math"/>
          <w:sz w:val="18"/>
          <w:szCs w:val="18"/>
        </w:rPr>
        <w:t>‑</w:t>
      </w:r>
      <w:r w:rsidR="005C4194" w:rsidRPr="0037513D">
        <w:rPr>
          <w:rFonts w:ascii="Garamond" w:hAnsi="Garamond"/>
          <w:sz w:val="18"/>
          <w:szCs w:val="18"/>
        </w:rPr>
        <w:t xml:space="preserve">Wilson, &amp; Oliver Hinz, </w:t>
      </w:r>
      <w:r w:rsidR="005C4194" w:rsidRPr="0037513D">
        <w:rPr>
          <w:rFonts w:ascii="Garamond" w:hAnsi="Garamond"/>
          <w:i/>
          <w:iCs/>
          <w:sz w:val="18"/>
          <w:szCs w:val="18"/>
        </w:rPr>
        <w:t>Influencer marketing on Instagram</w:t>
      </w:r>
      <w:r w:rsidR="005C4194" w:rsidRPr="0037513D">
        <w:rPr>
          <w:rFonts w:ascii="Garamond" w:hAnsi="Garamond" w:cs="Garamond"/>
          <w:i/>
          <w:iCs/>
          <w:sz w:val="18"/>
          <w:szCs w:val="18"/>
        </w:rPr>
        <w:t>—</w:t>
      </w:r>
      <w:r w:rsidR="005C4194" w:rsidRPr="0037513D">
        <w:rPr>
          <w:rFonts w:ascii="Garamond" w:hAnsi="Garamond"/>
          <w:i/>
          <w:iCs/>
          <w:sz w:val="18"/>
          <w:szCs w:val="18"/>
        </w:rPr>
        <w:t>The optimal disclosure strategy from influencers</w:t>
      </w:r>
      <w:r w:rsidR="005C4194" w:rsidRPr="0037513D">
        <w:rPr>
          <w:rFonts w:ascii="Garamond" w:hAnsi="Garamond" w:cs="Garamond"/>
          <w:i/>
          <w:iCs/>
          <w:sz w:val="18"/>
          <w:szCs w:val="18"/>
        </w:rPr>
        <w:t>’</w:t>
      </w:r>
      <w:r w:rsidR="005C4194" w:rsidRPr="0037513D">
        <w:rPr>
          <w:rFonts w:ascii="Garamond" w:hAnsi="Garamond"/>
          <w:i/>
          <w:iCs/>
          <w:sz w:val="18"/>
          <w:szCs w:val="18"/>
        </w:rPr>
        <w:t xml:space="preserve"> and marketers</w:t>
      </w:r>
      <w:r w:rsidR="005C4194" w:rsidRPr="0037513D">
        <w:rPr>
          <w:rFonts w:ascii="Garamond" w:hAnsi="Garamond" w:cs="Garamond"/>
          <w:i/>
          <w:iCs/>
          <w:sz w:val="18"/>
          <w:szCs w:val="18"/>
        </w:rPr>
        <w:t>’</w:t>
      </w:r>
      <w:r w:rsidR="005C4194" w:rsidRPr="0037513D">
        <w:rPr>
          <w:rFonts w:ascii="Garamond" w:hAnsi="Garamond"/>
          <w:i/>
          <w:iCs/>
          <w:sz w:val="18"/>
          <w:szCs w:val="18"/>
        </w:rPr>
        <w:t xml:space="preserve"> perspectives</w:t>
      </w:r>
      <w:r w:rsidR="005C4194" w:rsidRPr="0037513D">
        <w:rPr>
          <w:rFonts w:ascii="Garamond" w:hAnsi="Garamond"/>
          <w:sz w:val="18"/>
          <w:szCs w:val="18"/>
        </w:rPr>
        <w:t xml:space="preserve">, 34 </w:t>
      </w:r>
      <w:r w:rsidR="005C4194" w:rsidRPr="0037513D">
        <w:rPr>
          <w:rFonts w:ascii="Garamond" w:hAnsi="Garamond"/>
          <w:smallCaps/>
          <w:sz w:val="18"/>
          <w:szCs w:val="18"/>
        </w:rPr>
        <w:t>Electronic Markets</w:t>
      </w:r>
      <w:r w:rsidR="005C4194" w:rsidRPr="0037513D">
        <w:rPr>
          <w:rFonts w:ascii="Garamond" w:hAnsi="Garamond"/>
          <w:sz w:val="18"/>
          <w:szCs w:val="18"/>
        </w:rPr>
        <w:t xml:space="preserve">, 60 (2024) (same). </w:t>
      </w:r>
    </w:p>
  </w:footnote>
  <w:footnote w:id="13">
    <w:p w14:paraId="42C07097" w14:textId="77777777" w:rsidR="00F02053" w:rsidRPr="0037513D" w:rsidRDefault="00F02053" w:rsidP="00F0205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Paul Ricard, </w:t>
      </w:r>
      <w:r w:rsidRPr="0037513D">
        <w:rPr>
          <w:rStyle w:val="Emphasis"/>
          <w:rFonts w:ascii="Garamond" w:hAnsi="Garamond"/>
          <w:sz w:val="18"/>
          <w:szCs w:val="18"/>
        </w:rPr>
        <w:t>Poll Finds Public Turning to AI Bots for News Updates</w:t>
      </w:r>
      <w:r w:rsidRPr="0037513D">
        <w:rPr>
          <w:rFonts w:ascii="Garamond" w:hAnsi="Garamond"/>
          <w:sz w:val="18"/>
          <w:szCs w:val="18"/>
        </w:rPr>
        <w:t xml:space="preserve">, </w:t>
      </w:r>
      <w:r w:rsidRPr="0037513D">
        <w:rPr>
          <w:rFonts w:ascii="Garamond" w:hAnsi="Garamond"/>
          <w:smallCaps/>
          <w:sz w:val="18"/>
          <w:szCs w:val="18"/>
        </w:rPr>
        <w:t>Agence France-Presse,</w:t>
      </w:r>
      <w:r w:rsidRPr="0037513D">
        <w:rPr>
          <w:rFonts w:ascii="Garamond" w:hAnsi="Garamond"/>
          <w:sz w:val="18"/>
          <w:szCs w:val="18"/>
        </w:rPr>
        <w:t xml:space="preserve"> (June 17, 2025),</w:t>
      </w:r>
      <w:r w:rsidRPr="0037513D">
        <w:rPr>
          <w:rFonts w:ascii="Garamond" w:eastAsia="Times New Roman" w:hAnsi="Garamond"/>
          <w:sz w:val="18"/>
          <w:szCs w:val="18"/>
        </w:rPr>
        <w:t xml:space="preserve"> </w:t>
      </w:r>
      <w:hyperlink r:id="rId3" w:history="1">
        <w:r w:rsidRPr="0037513D">
          <w:rPr>
            <w:rStyle w:val="Hyperlink"/>
            <w:rFonts w:ascii="Garamond" w:eastAsia="Times New Roman" w:hAnsi="Garamond"/>
            <w:sz w:val="18"/>
            <w:szCs w:val="18"/>
          </w:rPr>
          <w:t>https://techxplore.com/news/2025-06-poll-ai-bots-news.html?utm_source=chatgpt.com</w:t>
        </w:r>
      </w:hyperlink>
      <w:r w:rsidRPr="0037513D">
        <w:rPr>
          <w:rFonts w:ascii="Garamond" w:eastAsia="Times New Roman" w:hAnsi="Garamond"/>
          <w:sz w:val="18"/>
          <w:szCs w:val="18"/>
        </w:rPr>
        <w:t xml:space="preserve">. </w:t>
      </w:r>
      <w:r w:rsidRPr="0037513D">
        <w:rPr>
          <w:rFonts w:ascii="Garamond" w:eastAsia="Times New Roman" w:hAnsi="Garamond"/>
          <w:i/>
          <w:iCs/>
          <w:sz w:val="18"/>
          <w:szCs w:val="18"/>
        </w:rPr>
        <w:t>But see</w:t>
      </w:r>
      <w:r w:rsidRPr="0037513D">
        <w:rPr>
          <w:rFonts w:ascii="Garamond" w:eastAsia="Times New Roman" w:hAnsi="Garamond"/>
          <w:sz w:val="18"/>
          <w:szCs w:val="18"/>
        </w:rPr>
        <w:t xml:space="preserve"> </w:t>
      </w:r>
      <w:r w:rsidRPr="0037513D">
        <w:rPr>
          <w:rFonts w:ascii="Garamond" w:hAnsi="Garamond"/>
          <w:sz w:val="18"/>
          <w:szCs w:val="18"/>
        </w:rPr>
        <w:t xml:space="preserve">Kimberly Culp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FTC Outlines Five Don’ts for AI Chatbots</w:t>
      </w:r>
      <w:r w:rsidRPr="0037513D">
        <w:rPr>
          <w:rFonts w:ascii="Garamond" w:hAnsi="Garamond"/>
          <w:sz w:val="18"/>
          <w:szCs w:val="18"/>
        </w:rPr>
        <w:t xml:space="preserve">, </w:t>
      </w:r>
      <w:r w:rsidRPr="0037513D">
        <w:rPr>
          <w:rFonts w:ascii="Garamond" w:hAnsi="Garamond"/>
          <w:smallCaps/>
          <w:sz w:val="18"/>
          <w:szCs w:val="18"/>
        </w:rPr>
        <w:t>Fenwick</w:t>
      </w:r>
      <w:r w:rsidRPr="0037513D">
        <w:rPr>
          <w:rFonts w:ascii="Garamond" w:hAnsi="Garamond"/>
          <w:sz w:val="18"/>
          <w:szCs w:val="18"/>
        </w:rPr>
        <w:t xml:space="preserve"> (July 11, 2024), </w:t>
      </w:r>
      <w:hyperlink r:id="rId4" w:history="1">
        <w:r w:rsidRPr="0037513D">
          <w:rPr>
            <w:rStyle w:val="Hyperlink"/>
            <w:rFonts w:ascii="Garamond" w:hAnsi="Garamond"/>
            <w:sz w:val="18"/>
            <w:szCs w:val="18"/>
          </w:rPr>
          <w:t>https://www.fenwick.com/insights/publications/ftc-outlines-five-donts-for-ai-chatbots?utm_source=chatgpt.com</w:t>
        </w:r>
      </w:hyperlink>
      <w:r w:rsidRPr="0037513D">
        <w:rPr>
          <w:rFonts w:ascii="Garamond" w:hAnsi="Garamond"/>
          <w:sz w:val="18"/>
          <w:szCs w:val="18"/>
        </w:rPr>
        <w:t xml:space="preserve"> </w:t>
      </w:r>
      <w:r w:rsidRPr="0037513D">
        <w:rPr>
          <w:rFonts w:ascii="Garamond" w:eastAsia="Times New Roman" w:hAnsi="Garamond"/>
          <w:sz w:val="18"/>
          <w:szCs w:val="18"/>
        </w:rPr>
        <w:t xml:space="preserve"> (“All marketing materials must clearly disclose the presence of chatbots powered by AI and their capabilities, along with any content sponsorships or endorsements that have a material connection to or could influence the credibility of the output communications.”).</w:t>
      </w:r>
    </w:p>
  </w:footnote>
  <w:footnote w:id="14">
    <w:p w14:paraId="315ABE9B" w14:textId="4AD205B1" w:rsidR="00BB5F2C" w:rsidRPr="0037513D" w:rsidRDefault="00BB5F2C"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0A172A" w:rsidRPr="0037513D">
        <w:rPr>
          <w:rFonts w:ascii="Garamond" w:eastAsia="Times New Roman" w:hAnsi="Garamond" w:cs="Times New Roman"/>
          <w:i/>
          <w:iCs/>
          <w:color w:val="000000"/>
          <w:kern w:val="0"/>
          <w:sz w:val="18"/>
          <w:szCs w:val="18"/>
          <w14:ligatures w14:val="none"/>
        </w:rPr>
        <w:t>See</w:t>
      </w:r>
      <w:r w:rsidR="000A172A" w:rsidRPr="0037513D">
        <w:rPr>
          <w:rFonts w:ascii="Garamond" w:eastAsia="Times New Roman" w:hAnsi="Garamond" w:cs="Times New Roman"/>
          <w:i/>
          <w:iCs/>
          <w:color w:val="000000"/>
          <w:kern w:val="0"/>
          <w:sz w:val="18"/>
          <w:szCs w:val="18"/>
          <w:rtl/>
          <w14:ligatures w14:val="none"/>
        </w:rPr>
        <w:t> </w:t>
      </w:r>
      <w:r w:rsidR="000A172A" w:rsidRPr="0037513D">
        <w:rPr>
          <w:rFonts w:ascii="Garamond" w:eastAsia="Times New Roman" w:hAnsi="Garamond"/>
          <w:sz w:val="18"/>
          <w:szCs w:val="18"/>
        </w:rPr>
        <w:t xml:space="preserve">Zelch </w:t>
      </w:r>
      <w:r w:rsidR="000A172A" w:rsidRPr="0037513D">
        <w:rPr>
          <w:rStyle w:val="Emphasis"/>
          <w:rFonts w:ascii="Garamond" w:hAnsi="Garamond"/>
          <w:sz w:val="18"/>
          <w:szCs w:val="18"/>
        </w:rPr>
        <w:t>et al.</w:t>
      </w:r>
      <w:r w:rsidR="000A172A" w:rsidRPr="0037513D">
        <w:rPr>
          <w:rFonts w:ascii="Garamond" w:hAnsi="Garamond"/>
          <w:sz w:val="18"/>
          <w:szCs w:val="18"/>
        </w:rPr>
        <w:t xml:space="preserve">, </w:t>
      </w:r>
      <w:r w:rsidR="000A172A" w:rsidRPr="0037513D">
        <w:rPr>
          <w:rFonts w:ascii="Garamond" w:eastAsia="Times New Roman" w:hAnsi="Garamond" w:cs="Times New Roman"/>
          <w:i/>
          <w:iCs/>
          <w:color w:val="000000"/>
          <w:kern w:val="0"/>
          <w:sz w:val="18"/>
          <w:szCs w:val="18"/>
          <w14:ligatures w14:val="none"/>
        </w:rPr>
        <w:t>supra</w:t>
      </w:r>
      <w:r w:rsidR="000A172A" w:rsidRPr="0037513D">
        <w:rPr>
          <w:rFonts w:ascii="Garamond" w:eastAsia="Times New Roman" w:hAnsi="Garamond" w:cs="Times New Roman"/>
          <w:i/>
          <w:iCs/>
          <w:color w:val="000000"/>
          <w:kern w:val="0"/>
          <w:sz w:val="18"/>
          <w:szCs w:val="18"/>
          <w:rtl/>
          <w14:ligatures w14:val="none"/>
        </w:rPr>
        <w:t> </w:t>
      </w:r>
      <w:r w:rsidR="005C4194" w:rsidRPr="0037513D">
        <w:rPr>
          <w:rFonts w:ascii="Garamond" w:eastAsia="Times New Roman" w:hAnsi="Garamond"/>
          <w:sz w:val="18"/>
          <w:szCs w:val="18"/>
        </w:rPr>
        <w:t xml:space="preserve">note </w:t>
      </w:r>
      <w:r w:rsidR="005C4194" w:rsidRPr="0037513D">
        <w:rPr>
          <w:rFonts w:ascii="Garamond" w:eastAsia="Times New Roman" w:hAnsi="Garamond"/>
          <w:sz w:val="18"/>
          <w:szCs w:val="18"/>
        </w:rPr>
        <w:fldChar w:fldCharType="begin"/>
      </w:r>
      <w:r w:rsidR="005C4194" w:rsidRPr="0037513D">
        <w:rPr>
          <w:rFonts w:ascii="Garamond" w:eastAsia="Times New Roman" w:hAnsi="Garamond"/>
          <w:sz w:val="18"/>
          <w:szCs w:val="18"/>
        </w:rPr>
        <w:instrText xml:space="preserve"> NOTEREF _Ref212655002 \h  \* MERGEFORMAT </w:instrText>
      </w:r>
      <w:r w:rsidR="005C4194" w:rsidRPr="0037513D">
        <w:rPr>
          <w:rFonts w:ascii="Garamond" w:eastAsia="Times New Roman" w:hAnsi="Garamond"/>
          <w:sz w:val="18"/>
          <w:szCs w:val="18"/>
        </w:rPr>
      </w:r>
      <w:r w:rsidR="005C4194" w:rsidRPr="0037513D">
        <w:rPr>
          <w:rFonts w:ascii="Garamond" w:eastAsia="Times New Roman" w:hAnsi="Garamond"/>
          <w:sz w:val="18"/>
          <w:szCs w:val="18"/>
        </w:rPr>
        <w:fldChar w:fldCharType="separate"/>
      </w:r>
      <w:r w:rsidR="005C4194" w:rsidRPr="0037513D">
        <w:rPr>
          <w:rFonts w:ascii="Garamond" w:eastAsia="Times New Roman" w:hAnsi="Garamond"/>
          <w:sz w:val="18"/>
          <w:szCs w:val="18"/>
        </w:rPr>
        <w:t>3</w:t>
      </w:r>
      <w:r w:rsidR="005C4194" w:rsidRPr="0037513D">
        <w:rPr>
          <w:rFonts w:ascii="Garamond" w:eastAsia="Times New Roman" w:hAnsi="Garamond"/>
          <w:sz w:val="18"/>
          <w:szCs w:val="18"/>
        </w:rPr>
        <w:fldChar w:fldCharType="end"/>
      </w:r>
      <w:r w:rsidR="000A172A" w:rsidRPr="0037513D">
        <w:rPr>
          <w:rFonts w:ascii="Garamond" w:eastAsia="Times New Roman" w:hAnsi="Garamond" w:cs="Times New Roman"/>
          <w:color w:val="000000"/>
          <w:kern w:val="0"/>
          <w:sz w:val="18"/>
          <w:szCs w:val="18"/>
          <w:shd w:val="clear" w:color="auto" w:fill="FFFF00"/>
          <w:lang w:bidi="he-IL"/>
          <w14:ligatures w14:val="none"/>
        </w:rPr>
        <w:t xml:space="preserve">, </w:t>
      </w:r>
      <w:r w:rsidR="000A172A" w:rsidRPr="0037513D">
        <w:rPr>
          <w:rFonts w:ascii="Garamond" w:eastAsia="Times New Roman" w:hAnsi="Garamond" w:cs="Times New Roman"/>
          <w:color w:val="000000"/>
          <w:kern w:val="0"/>
          <w:sz w:val="18"/>
          <w:szCs w:val="18"/>
          <w14:ligatures w14:val="none"/>
        </w:rPr>
        <w:t xml:space="preserve">at </w:t>
      </w:r>
      <w:r w:rsidR="000A172A" w:rsidRPr="0037513D">
        <w:rPr>
          <w:rFonts w:ascii="Garamond" w:eastAsia="Times New Roman" w:hAnsi="Garamond" w:cs="Times New Roman"/>
          <w:color w:val="000000" w:themeColor="text1"/>
          <w:kern w:val="0"/>
          <w:sz w:val="18"/>
          <w:szCs w:val="18"/>
          <w14:ligatures w14:val="none"/>
        </w:rPr>
        <w:t xml:space="preserve">142 </w:t>
      </w:r>
      <w:r w:rsidR="000A172A" w:rsidRPr="0037513D">
        <w:rPr>
          <w:rFonts w:ascii="Garamond" w:hAnsi="Garamond"/>
          <w:sz w:val="18"/>
          <w:szCs w:val="18"/>
        </w:rPr>
        <w:t>(describes this as a paradigm shift).</w:t>
      </w:r>
    </w:p>
  </w:footnote>
  <w:footnote w:id="15">
    <w:p w14:paraId="7530B5E9" w14:textId="77777777" w:rsidR="004650D0" w:rsidRPr="0037513D" w:rsidRDefault="004650D0" w:rsidP="004650D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rtl/>
          <w:lang w:bidi="he-IL"/>
        </w:rPr>
        <w:t xml:space="preserve"> </w:t>
      </w:r>
      <w:r w:rsidRPr="0037513D">
        <w:rPr>
          <w:rFonts w:ascii="Garamond" w:hAnsi="Garamond"/>
          <w:sz w:val="18"/>
          <w:szCs w:val="18"/>
        </w:rPr>
        <w:t xml:space="preserve">This problem is, in fact, broader: it includes both legitimate optimization measures that can enhance content visibility while still being influenced and affected by commercial interests, and it may include illegitimate optimization measures such as source manipulation. </w:t>
      </w:r>
      <w:r w:rsidRPr="0037513D">
        <w:rPr>
          <w:rFonts w:ascii="Garamond" w:hAnsi="Garamond"/>
          <w:i/>
          <w:iCs/>
          <w:sz w:val="18"/>
          <w:szCs w:val="18"/>
        </w:rPr>
        <w:t>See</w:t>
      </w:r>
      <w:r w:rsidRPr="0037513D">
        <w:rPr>
          <w:rFonts w:ascii="Garamond" w:hAnsi="Garamond"/>
          <w:sz w:val="18"/>
          <w:szCs w:val="18"/>
        </w:rPr>
        <w:t xml:space="preserve"> </w:t>
      </w:r>
      <w:proofErr w:type="spellStart"/>
      <w:r w:rsidRPr="0037513D">
        <w:rPr>
          <w:rFonts w:ascii="Garamond" w:eastAsia="Times New Roman" w:hAnsi="Garamond"/>
          <w:sz w:val="18"/>
          <w:szCs w:val="18"/>
        </w:rPr>
        <w:t>Aounon</w:t>
      </w:r>
      <w:proofErr w:type="spellEnd"/>
      <w:r w:rsidRPr="0037513D">
        <w:rPr>
          <w:rFonts w:ascii="Garamond" w:eastAsia="Times New Roman" w:hAnsi="Garamond"/>
          <w:sz w:val="18"/>
          <w:szCs w:val="18"/>
        </w:rPr>
        <w:t xml:space="preserve"> Kumar &amp; Himabindu </w:t>
      </w:r>
      <w:proofErr w:type="spellStart"/>
      <w:r w:rsidRPr="0037513D">
        <w:rPr>
          <w:rFonts w:ascii="Garamond" w:eastAsia="Times New Roman" w:hAnsi="Garamond"/>
          <w:sz w:val="18"/>
          <w:szCs w:val="18"/>
        </w:rPr>
        <w:t>Lakkaraju</w:t>
      </w:r>
      <w:proofErr w:type="spellEnd"/>
      <w:r w:rsidRPr="0037513D">
        <w:rPr>
          <w:rFonts w:ascii="Garamond" w:eastAsia="Times New Roman" w:hAnsi="Garamond"/>
          <w:sz w:val="18"/>
          <w:szCs w:val="18"/>
        </w:rPr>
        <w:t xml:space="preserve">, </w:t>
      </w:r>
      <w:r w:rsidRPr="0037513D">
        <w:rPr>
          <w:rFonts w:ascii="Garamond" w:eastAsia="Times New Roman" w:hAnsi="Garamond"/>
          <w:i/>
          <w:iCs/>
          <w:sz w:val="18"/>
          <w:szCs w:val="18"/>
        </w:rPr>
        <w:t>Manipulating Large Language Models to Increase Product Visibility</w:t>
      </w:r>
      <w:r w:rsidRPr="0037513D">
        <w:rPr>
          <w:rFonts w:ascii="Garamond" w:eastAsia="Times New Roman" w:hAnsi="Garamond"/>
          <w:sz w:val="18"/>
          <w:szCs w:val="18"/>
        </w:rPr>
        <w:t xml:space="preserve">, </w:t>
      </w:r>
      <w:r w:rsidRPr="0037513D">
        <w:rPr>
          <w:rFonts w:ascii="Garamond" w:eastAsia="Times New Roman" w:hAnsi="Garamond"/>
          <w:smallCaps/>
          <w:sz w:val="18"/>
          <w:szCs w:val="18"/>
        </w:rPr>
        <w:t>arXiv</w:t>
      </w:r>
      <w:r w:rsidRPr="0037513D">
        <w:rPr>
          <w:rFonts w:ascii="Garamond" w:eastAsia="Times New Roman" w:hAnsi="Garamond"/>
          <w:sz w:val="18"/>
          <w:szCs w:val="18"/>
        </w:rPr>
        <w:t>:2404.07981 [cs.IR] 1 (2024)</w:t>
      </w:r>
      <w:r w:rsidRPr="0037513D">
        <w:rPr>
          <w:rFonts w:ascii="Garamond" w:hAnsi="Garamond"/>
          <w:sz w:val="18"/>
          <w:szCs w:val="18"/>
          <w:lang w:bidi="he-IL"/>
        </w:rPr>
        <w:t>.</w:t>
      </w:r>
    </w:p>
  </w:footnote>
  <w:footnote w:id="16">
    <w:p w14:paraId="1A35111D" w14:textId="77777777" w:rsidR="004650D0" w:rsidRPr="0037513D" w:rsidRDefault="004650D0" w:rsidP="004650D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 xml:space="preserve">Yifan Ding et al., </w:t>
      </w:r>
      <w:r w:rsidRPr="0037513D">
        <w:rPr>
          <w:rFonts w:ascii="Garamond" w:eastAsia="Times New Roman" w:hAnsi="Garamond"/>
          <w:i/>
          <w:iCs/>
          <w:sz w:val="18"/>
          <w:szCs w:val="18"/>
        </w:rPr>
        <w:t>Citations and Trust in LLM Generated Responses</w:t>
      </w:r>
      <w:r w:rsidRPr="0037513D">
        <w:rPr>
          <w:rFonts w:ascii="Garamond" w:eastAsia="Times New Roman" w:hAnsi="Garamond"/>
          <w:sz w:val="18"/>
          <w:szCs w:val="18"/>
        </w:rPr>
        <w:t xml:space="preserve">, </w:t>
      </w:r>
      <w:proofErr w:type="spellStart"/>
      <w:r w:rsidRPr="0037513D">
        <w:rPr>
          <w:rFonts w:ascii="Garamond" w:eastAsia="Times New Roman" w:hAnsi="Garamond"/>
          <w:smallCaps/>
          <w:sz w:val="18"/>
          <w:szCs w:val="18"/>
        </w:rPr>
        <w:t>arXiv</w:t>
      </w:r>
      <w:proofErr w:type="spellEnd"/>
      <w:r w:rsidRPr="0037513D">
        <w:rPr>
          <w:rFonts w:ascii="Garamond" w:eastAsia="Times New Roman" w:hAnsi="Garamond"/>
          <w:smallCaps/>
          <w:sz w:val="18"/>
          <w:szCs w:val="18"/>
        </w:rPr>
        <w:t xml:space="preserve"> </w:t>
      </w:r>
      <w:r w:rsidRPr="0037513D">
        <w:rPr>
          <w:rFonts w:ascii="Garamond" w:eastAsia="Times New Roman" w:hAnsi="Garamond"/>
          <w:sz w:val="18"/>
          <w:szCs w:val="18"/>
        </w:rPr>
        <w:t xml:space="preserve">2501.01303 [cs.CL] (2025) </w:t>
      </w:r>
      <w:r w:rsidRPr="0037513D">
        <w:rPr>
          <w:rFonts w:ascii="Garamond" w:hAnsi="Garamond"/>
          <w:sz w:val="18"/>
          <w:szCs w:val="18"/>
        </w:rPr>
        <w:t>(“There were 1,976 answers in our dataset that had at least one reference. Of these, only 193 (9.77%) were manually checked.”).</w:t>
      </w:r>
    </w:p>
  </w:footnote>
  <w:footnote w:id="17">
    <w:p w14:paraId="155122BE" w14:textId="77777777" w:rsidR="004650D0" w:rsidRPr="0037513D" w:rsidRDefault="004650D0" w:rsidP="004650D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Id.</w:t>
      </w:r>
      <w:r w:rsidRPr="0037513D">
        <w:rPr>
          <w:rFonts w:ascii="Garamond" w:hAnsi="Garamond"/>
          <w:sz w:val="18"/>
          <w:szCs w:val="18"/>
        </w:rPr>
        <w:t xml:space="preserve"> (</w:t>
      </w:r>
      <w:r w:rsidRPr="0037513D">
        <w:rPr>
          <w:rFonts w:ascii="Garamond" w:hAnsi="Garamond"/>
          <w:sz w:val="18"/>
          <w:szCs w:val="18"/>
          <w:lang w:bidi="he-IL"/>
        </w:rPr>
        <w:t>at Results).</w:t>
      </w:r>
    </w:p>
  </w:footnote>
  <w:footnote w:id="18">
    <w:p w14:paraId="305BFF7D" w14:textId="77777777" w:rsidR="004650D0" w:rsidRPr="0037513D" w:rsidRDefault="004650D0" w:rsidP="004650D0">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e.g., </w:t>
      </w:r>
      <w:r w:rsidRPr="0037513D">
        <w:rPr>
          <w:rFonts w:ascii="Garamond" w:hAnsi="Garamond"/>
          <w:sz w:val="18"/>
          <w:szCs w:val="18"/>
        </w:rPr>
        <w:t xml:space="preserve">David Berenstein, </w:t>
      </w:r>
      <w:r w:rsidRPr="0037513D">
        <w:rPr>
          <w:rFonts w:ascii="Garamond" w:hAnsi="Garamond"/>
          <w:i/>
          <w:iCs/>
          <w:sz w:val="18"/>
          <w:szCs w:val="18"/>
        </w:rPr>
        <w:t>A Practical Guide on AI Security and LLM Vulnerabilities</w:t>
      </w:r>
      <w:r w:rsidRPr="0037513D">
        <w:rPr>
          <w:rFonts w:ascii="Garamond" w:hAnsi="Garamond"/>
          <w:sz w:val="18"/>
          <w:szCs w:val="18"/>
        </w:rPr>
        <w:t xml:space="preserve">, </w:t>
      </w:r>
      <w:proofErr w:type="spellStart"/>
      <w:r w:rsidRPr="0037513D">
        <w:rPr>
          <w:rStyle w:val="Strong"/>
          <w:rFonts w:ascii="Garamond" w:hAnsi="Garamond"/>
          <w:b w:val="0"/>
          <w:bCs w:val="0"/>
          <w:smallCaps/>
          <w:sz w:val="18"/>
          <w:szCs w:val="18"/>
        </w:rPr>
        <w:t>Giskard</w:t>
      </w:r>
      <w:proofErr w:type="spellEnd"/>
      <w:r w:rsidRPr="0037513D">
        <w:rPr>
          <w:rFonts w:ascii="Garamond" w:hAnsi="Garamond"/>
          <w:sz w:val="18"/>
          <w:szCs w:val="18"/>
        </w:rPr>
        <w:t xml:space="preserve"> (Jun. 4, 2025) (noting that, “training data might also include low-quality information like spam or commercial content”); Briana Brownell, </w:t>
      </w:r>
      <w:r w:rsidRPr="0037513D">
        <w:rPr>
          <w:rFonts w:ascii="Garamond" w:hAnsi="Garamond"/>
          <w:i/>
          <w:iCs/>
          <w:sz w:val="18"/>
          <w:szCs w:val="18"/>
        </w:rPr>
        <w:t>How does ChatGPT choose its sources when browsing the web?</w:t>
      </w:r>
      <w:r w:rsidRPr="0037513D">
        <w:rPr>
          <w:rFonts w:ascii="Garamond" w:hAnsi="Garamond"/>
          <w:sz w:val="18"/>
          <w:szCs w:val="18"/>
        </w:rPr>
        <w:t xml:space="preserve">, </w:t>
      </w:r>
      <w:r w:rsidRPr="0037513D">
        <w:rPr>
          <w:rStyle w:val="Strong"/>
          <w:rFonts w:ascii="Garamond" w:hAnsi="Garamond"/>
          <w:b w:val="0"/>
          <w:bCs w:val="0"/>
          <w:smallCaps/>
          <w:sz w:val="18"/>
          <w:szCs w:val="18"/>
        </w:rPr>
        <w:t>Zapier</w:t>
      </w:r>
      <w:r w:rsidRPr="0037513D">
        <w:rPr>
          <w:rFonts w:ascii="Garamond" w:hAnsi="Garamond"/>
          <w:sz w:val="18"/>
          <w:szCs w:val="18"/>
        </w:rPr>
        <w:t xml:space="preserve"> (Mar. 13, 2024) (“ChatGPT also claims to downgrade sources based on areas of possible bias, including sites for whom affiliate marketing might influence the results, noting inherent biases of company blogs toward their own products. In my tests, it did somewhat steer clear of these sites, but not totally.”)</w:t>
      </w:r>
      <w:r w:rsidRPr="0037513D">
        <w:rPr>
          <w:rFonts w:ascii="Garamond" w:hAnsi="Garamond"/>
          <w:sz w:val="18"/>
          <w:szCs w:val="18"/>
          <w:lang w:bidi="he-IL"/>
        </w:rPr>
        <w:t>.</w:t>
      </w:r>
    </w:p>
  </w:footnote>
  <w:footnote w:id="19">
    <w:p w14:paraId="3215B751" w14:textId="77777777" w:rsidR="00C43861" w:rsidRPr="0037513D" w:rsidRDefault="00C43861" w:rsidP="00C4386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David"/>
          <w:kern w:val="0"/>
          <w:sz w:val="18"/>
          <w:szCs w:val="18"/>
          <w14:ligatures w14:val="none"/>
        </w:rPr>
        <w:t>Dirk Lewandowski</w:t>
      </w:r>
      <w:r w:rsidRPr="0037513D">
        <w:rPr>
          <w:rFonts w:ascii="Garamond" w:eastAsia="Times New Roman" w:hAnsi="Garamond" w:cs="David"/>
          <w:i/>
          <w:iCs/>
          <w:kern w:val="0"/>
          <w:sz w:val="18"/>
          <w:szCs w:val="18"/>
          <w14:ligatures w14:val="none"/>
        </w:rPr>
        <w:t>, The Influence of Commercial Intent of Search Results on Their Perceived Relevance</w:t>
      </w:r>
      <w:r w:rsidRPr="0037513D">
        <w:rPr>
          <w:rFonts w:ascii="Garamond" w:eastAsia="Times New Roman" w:hAnsi="Garamond" w:cs="David"/>
          <w:kern w:val="0"/>
          <w:sz w:val="18"/>
          <w:szCs w:val="18"/>
          <w14:ligatures w14:val="none"/>
        </w:rPr>
        <w:t xml:space="preserve">, </w:t>
      </w:r>
      <w:proofErr w:type="spellStart"/>
      <w:r w:rsidRPr="0037513D">
        <w:rPr>
          <w:rFonts w:ascii="Garamond" w:eastAsia="Times New Roman" w:hAnsi="Garamond" w:cs="David"/>
          <w:kern w:val="0"/>
          <w:sz w:val="18"/>
          <w:szCs w:val="18"/>
          <w14:ligatures w14:val="none"/>
        </w:rPr>
        <w:t>I</w:t>
      </w:r>
      <w:r w:rsidRPr="0037513D">
        <w:rPr>
          <w:rFonts w:ascii="Garamond" w:eastAsia="Times New Roman" w:hAnsi="Garamond"/>
          <w:smallCaps/>
          <w:sz w:val="18"/>
          <w:szCs w:val="18"/>
        </w:rPr>
        <w:t>Conference</w:t>
      </w:r>
      <w:proofErr w:type="spellEnd"/>
      <w:r w:rsidRPr="0037513D">
        <w:rPr>
          <w:rFonts w:ascii="Garamond" w:eastAsia="Times New Roman" w:hAnsi="Garamond"/>
          <w:smallCaps/>
          <w:sz w:val="18"/>
          <w:szCs w:val="18"/>
        </w:rPr>
        <w:t xml:space="preserve"> </w:t>
      </w:r>
      <w:r w:rsidRPr="0037513D">
        <w:rPr>
          <w:rFonts w:ascii="Garamond" w:eastAsia="Times New Roman" w:hAnsi="Garamond" w:cs="David"/>
          <w:kern w:val="0"/>
          <w:sz w:val="18"/>
          <w:szCs w:val="18"/>
          <w14:ligatures w14:val="none"/>
        </w:rPr>
        <w:t>’11, 452, 455 (2011)</w:t>
      </w:r>
      <w:r w:rsidRPr="0037513D">
        <w:rPr>
          <w:rFonts w:ascii="Garamond" w:hAnsi="Garamond"/>
          <w:sz w:val="18"/>
          <w:szCs w:val="18"/>
        </w:rPr>
        <w:t xml:space="preserve"> (“We found that all search engines provide </w:t>
      </w:r>
      <w:proofErr w:type="gramStart"/>
      <w:r w:rsidRPr="0037513D">
        <w:rPr>
          <w:rFonts w:ascii="Garamond" w:hAnsi="Garamond"/>
          <w:sz w:val="18"/>
          <w:szCs w:val="18"/>
        </w:rPr>
        <w:t>a large number of</w:t>
      </w:r>
      <w:proofErr w:type="gramEnd"/>
      <w:r w:rsidRPr="0037513D">
        <w:rPr>
          <w:rFonts w:ascii="Garamond" w:hAnsi="Garamond"/>
          <w:sz w:val="18"/>
          <w:szCs w:val="18"/>
        </w:rPr>
        <w:t xml:space="preserve"> results with a commercial intent. Google provides significantly more commercial results than the other search engines do.”).</w:t>
      </w:r>
    </w:p>
  </w:footnote>
  <w:footnote w:id="20">
    <w:p w14:paraId="210AF5C0" w14:textId="504BAB98" w:rsidR="00BA7483" w:rsidRPr="0037513D" w:rsidRDefault="00BA7483" w:rsidP="00BA748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2F798F" w:rsidRPr="0037513D">
        <w:rPr>
          <w:rFonts w:ascii="Garamond" w:hAnsi="Garamond"/>
          <w:i/>
          <w:iCs/>
          <w:sz w:val="18"/>
          <w:szCs w:val="18"/>
        </w:rPr>
        <w:t xml:space="preserve">See </w:t>
      </w:r>
      <w:r w:rsidR="00E17B0F" w:rsidRPr="0037513D">
        <w:rPr>
          <w:rFonts w:ascii="Garamond" w:hAnsi="Garamond"/>
          <w:sz w:val="18"/>
          <w:szCs w:val="18"/>
        </w:rPr>
        <w:t>Clark</w:t>
      </w:r>
      <w:r w:rsidR="00E17B0F" w:rsidRPr="0037513D">
        <w:rPr>
          <w:rFonts w:ascii="Garamond" w:hAnsi="Garamond"/>
          <w:i/>
          <w:iCs/>
          <w:sz w:val="18"/>
          <w:szCs w:val="18"/>
        </w:rPr>
        <w:t xml:space="preserve">, supra </w:t>
      </w:r>
      <w:r w:rsidR="00E17B0F" w:rsidRPr="0037513D">
        <w:rPr>
          <w:rFonts w:ascii="Garamond" w:hAnsi="Garamond"/>
          <w:sz w:val="18"/>
          <w:szCs w:val="18"/>
        </w:rPr>
        <w:t xml:space="preserve">note </w:t>
      </w:r>
      <w:r w:rsidR="00E17B0F" w:rsidRPr="0037513D">
        <w:rPr>
          <w:rFonts w:ascii="Garamond" w:hAnsi="Garamond"/>
          <w:sz w:val="18"/>
          <w:szCs w:val="18"/>
        </w:rPr>
        <w:fldChar w:fldCharType="begin"/>
      </w:r>
      <w:r w:rsidR="00E17B0F" w:rsidRPr="0037513D">
        <w:rPr>
          <w:rFonts w:ascii="Garamond" w:hAnsi="Garamond"/>
          <w:sz w:val="18"/>
          <w:szCs w:val="18"/>
        </w:rPr>
        <w:instrText xml:space="preserve"> NOTEREF _Ref214881658 \h  \* MERGEFORMAT </w:instrText>
      </w:r>
      <w:r w:rsidR="00E17B0F" w:rsidRPr="0037513D">
        <w:rPr>
          <w:rFonts w:ascii="Garamond" w:hAnsi="Garamond"/>
          <w:sz w:val="18"/>
          <w:szCs w:val="18"/>
        </w:rPr>
      </w:r>
      <w:r w:rsidR="00E17B0F" w:rsidRPr="0037513D">
        <w:rPr>
          <w:rFonts w:ascii="Garamond" w:hAnsi="Garamond"/>
          <w:sz w:val="18"/>
          <w:szCs w:val="18"/>
        </w:rPr>
        <w:fldChar w:fldCharType="separate"/>
      </w:r>
      <w:r w:rsidR="00E17B0F" w:rsidRPr="0037513D">
        <w:rPr>
          <w:rFonts w:ascii="Garamond" w:hAnsi="Garamond"/>
          <w:sz w:val="18"/>
          <w:szCs w:val="18"/>
        </w:rPr>
        <w:t>1</w:t>
      </w:r>
      <w:r w:rsidR="00E17B0F" w:rsidRPr="0037513D">
        <w:rPr>
          <w:rFonts w:ascii="Garamond" w:hAnsi="Garamond"/>
          <w:sz w:val="18"/>
          <w:szCs w:val="18"/>
        </w:rPr>
        <w:fldChar w:fldCharType="end"/>
      </w:r>
      <w:r w:rsidR="00E17B0F" w:rsidRPr="0037513D">
        <w:rPr>
          <w:rFonts w:ascii="Garamond" w:hAnsi="Garamond"/>
          <w:sz w:val="18"/>
          <w:szCs w:val="18"/>
        </w:rPr>
        <w:t xml:space="preserve">. </w:t>
      </w:r>
      <w:r w:rsidRPr="0037513D">
        <w:rPr>
          <w:rFonts w:ascii="Garamond" w:hAnsi="Garamond"/>
          <w:sz w:val="18"/>
          <w:szCs w:val="18"/>
        </w:rPr>
        <w:t>This statement</w:t>
      </w:r>
      <w:r w:rsidR="00E66139" w:rsidRPr="0037513D">
        <w:rPr>
          <w:rFonts w:ascii="Garamond" w:hAnsi="Garamond"/>
          <w:sz w:val="18"/>
          <w:szCs w:val="18"/>
        </w:rPr>
        <w:t>, w</w:t>
      </w:r>
      <w:r w:rsidR="00E66139" w:rsidRPr="0037513D">
        <w:rPr>
          <w:rFonts w:ascii="Garamond" w:hAnsi="Garamond" w:cstheme="majorBidi"/>
          <w:sz w:val="18"/>
          <w:szCs w:val="18"/>
        </w:rPr>
        <w:t>hile true on its narrow terms because OpenAI—as of now—</w:t>
      </w:r>
      <w:r w:rsidR="005868E5" w:rsidRPr="0037513D">
        <w:rPr>
          <w:rFonts w:ascii="Garamond" w:hAnsi="Garamond" w:cstheme="majorBidi"/>
          <w:sz w:val="18"/>
          <w:szCs w:val="18"/>
        </w:rPr>
        <w:t>does</w:t>
      </w:r>
      <w:r w:rsidR="00E66139" w:rsidRPr="0037513D">
        <w:rPr>
          <w:rFonts w:ascii="Garamond" w:hAnsi="Garamond" w:cstheme="majorBidi"/>
          <w:sz w:val="18"/>
          <w:szCs w:val="18"/>
        </w:rPr>
        <w:t xml:space="preserve"> not </w:t>
      </w:r>
      <w:r w:rsidR="002F798F" w:rsidRPr="0037513D">
        <w:rPr>
          <w:rFonts w:ascii="Garamond" w:hAnsi="Garamond" w:cstheme="majorBidi"/>
          <w:sz w:val="18"/>
          <w:szCs w:val="18"/>
        </w:rPr>
        <w:t>provide</w:t>
      </w:r>
      <w:r w:rsidR="005868E5" w:rsidRPr="0037513D">
        <w:rPr>
          <w:rFonts w:ascii="Garamond" w:hAnsi="Garamond" w:cstheme="majorBidi"/>
          <w:sz w:val="18"/>
          <w:szCs w:val="18"/>
        </w:rPr>
        <w:t xml:space="preserve"> sponsored </w:t>
      </w:r>
      <w:r w:rsidR="002F798F" w:rsidRPr="0037513D">
        <w:rPr>
          <w:rFonts w:ascii="Garamond" w:hAnsi="Garamond" w:cstheme="majorBidi"/>
          <w:sz w:val="18"/>
          <w:szCs w:val="18"/>
        </w:rPr>
        <w:t xml:space="preserve">references, still </w:t>
      </w:r>
      <w:r w:rsidR="00E66139" w:rsidRPr="0037513D">
        <w:rPr>
          <w:rFonts w:ascii="Garamond" w:hAnsi="Garamond" w:cstheme="majorBidi"/>
          <w:sz w:val="18"/>
          <w:szCs w:val="18"/>
        </w:rPr>
        <w:t>obscures the structural ways in which sponsorship-laden content influences the system’s generative outputs</w:t>
      </w:r>
      <w:r w:rsidR="002F798F" w:rsidRPr="0037513D">
        <w:rPr>
          <w:rFonts w:ascii="Garamond" w:hAnsi="Garamond" w:cstheme="majorBidi"/>
          <w:sz w:val="18"/>
          <w:szCs w:val="18"/>
        </w:rPr>
        <w:t>.</w:t>
      </w:r>
    </w:p>
  </w:footnote>
  <w:footnote w:id="21">
    <w:p w14:paraId="7897CBAD" w14:textId="77777777" w:rsidR="00B5109C" w:rsidRPr="0037513D" w:rsidRDefault="00B5109C" w:rsidP="00B5109C">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 xml:space="preserve">Zelch </w:t>
      </w:r>
      <w:r w:rsidRPr="0037513D">
        <w:rPr>
          <w:rStyle w:val="Emphasis"/>
          <w:rFonts w:ascii="Garamond" w:hAnsi="Garamond"/>
          <w:sz w:val="18"/>
          <w:szCs w:val="18"/>
        </w:rPr>
        <w:t>et al.</w:t>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t xml:space="preserve">at </w:t>
      </w:r>
      <w:r w:rsidRPr="0037513D">
        <w:rPr>
          <w:rFonts w:ascii="Garamond" w:hAnsi="Garamond"/>
          <w:color w:val="000000" w:themeColor="text1"/>
          <w:sz w:val="18"/>
          <w:szCs w:val="18"/>
        </w:rPr>
        <w:t>142</w:t>
      </w:r>
      <w:r w:rsidRPr="0037513D">
        <w:rPr>
          <w:rFonts w:ascii="Garamond" w:eastAsia="Times New Roman" w:hAnsi="Garamond" w:cs="Times New Roman"/>
          <w:color w:val="000000" w:themeColor="text1"/>
          <w:kern w:val="0"/>
          <w:sz w:val="18"/>
          <w:szCs w:val="18"/>
          <w14:ligatures w14:val="none"/>
        </w:rPr>
        <w:t>.</w:t>
      </w:r>
      <w:r w:rsidRPr="0037513D">
        <w:rPr>
          <w:rFonts w:ascii="Garamond" w:hAnsi="Garamond"/>
          <w:sz w:val="18"/>
          <w:szCs w:val="18"/>
          <w:lang w:bidi="he-IL"/>
        </w:rPr>
        <w:t>1 (“</w:t>
      </w:r>
      <w:r w:rsidRPr="0037513D">
        <w:rPr>
          <w:rFonts w:ascii="Garamond" w:hAnsi="Garamond" w:cstheme="majorBidi"/>
          <w:sz w:val="18"/>
          <w:szCs w:val="18"/>
          <w:lang w:bidi="he-IL"/>
        </w:rPr>
        <w:t>Unlike on the traditional list SERPs, where ads typically appear prominently but separate from the unpaid results, the LLMs powering conversational search systems have the capacity to blend ads and generated search results in the form of native advertising.”)</w:t>
      </w:r>
    </w:p>
  </w:footnote>
  <w:footnote w:id="22">
    <w:p w14:paraId="4561F313" w14:textId="77777777" w:rsidR="00B5109C" w:rsidRPr="0037513D" w:rsidRDefault="00B5109C" w:rsidP="00B5109C">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Pr="0037513D">
        <w:rPr>
          <w:rFonts w:ascii="Garamond" w:hAnsi="Garamond"/>
          <w:sz w:val="18"/>
          <w:szCs w:val="18"/>
        </w:rPr>
        <w:t xml:space="preserve">Even in the marketing literature domain there were only two experimental studies considering the issue and even them with a limited design.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 xml:space="preserve">Zelch </w:t>
      </w:r>
      <w:r w:rsidRPr="0037513D">
        <w:rPr>
          <w:rStyle w:val="Emphasis"/>
          <w:rFonts w:ascii="Garamond" w:hAnsi="Garamond"/>
          <w:sz w:val="18"/>
          <w:szCs w:val="18"/>
        </w:rPr>
        <w:t>et al.</w:t>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lang w:bidi="he-IL"/>
        </w:rPr>
        <w:t xml:space="preserve">; Brian Jay Tang et al., </w:t>
      </w:r>
      <w:r w:rsidRPr="0037513D">
        <w:rPr>
          <w:rFonts w:ascii="Garamond" w:hAnsi="Garamond"/>
          <w:i/>
          <w:iCs/>
          <w:sz w:val="18"/>
          <w:szCs w:val="18"/>
          <w:lang w:bidi="he-IL"/>
        </w:rPr>
        <w:t>Ads that Talk Back: Implications and Perceptions of Injecting Personalized Advertising into LLM Chatbots</w:t>
      </w:r>
      <w:r w:rsidRPr="0037513D">
        <w:rPr>
          <w:rFonts w:ascii="Garamond" w:hAnsi="Garamond"/>
          <w:sz w:val="18"/>
          <w:szCs w:val="18"/>
          <w:lang w:bidi="he-IL"/>
        </w:rPr>
        <w:t>,</w:t>
      </w:r>
      <w:r w:rsidRPr="0037513D">
        <w:rPr>
          <w:rFonts w:ascii="Garamond" w:eastAsia="Times New Roman" w:hAnsi="Garamond"/>
          <w:smallCaps/>
          <w:sz w:val="18"/>
          <w:szCs w:val="18"/>
        </w:rPr>
        <w:t xml:space="preserve"> </w:t>
      </w:r>
      <w:proofErr w:type="spellStart"/>
      <w:r w:rsidRPr="0037513D">
        <w:rPr>
          <w:rFonts w:ascii="Garamond" w:eastAsia="Times New Roman" w:hAnsi="Garamond"/>
          <w:smallCaps/>
          <w:sz w:val="18"/>
          <w:szCs w:val="18"/>
        </w:rPr>
        <w:t>arXiv</w:t>
      </w:r>
      <w:proofErr w:type="spellEnd"/>
      <w:r w:rsidRPr="0037513D">
        <w:rPr>
          <w:rFonts w:ascii="Garamond" w:eastAsia="Times New Roman" w:hAnsi="Garamond"/>
          <w:smallCaps/>
          <w:sz w:val="18"/>
          <w:szCs w:val="18"/>
        </w:rPr>
        <w:t xml:space="preserve"> </w:t>
      </w:r>
      <w:r w:rsidRPr="0037513D">
        <w:rPr>
          <w:rFonts w:ascii="Garamond" w:hAnsi="Garamond"/>
          <w:sz w:val="18"/>
          <w:szCs w:val="18"/>
          <w:lang w:bidi="he-IL"/>
        </w:rPr>
        <w:t>2409.15436 [</w:t>
      </w:r>
      <w:proofErr w:type="spellStart"/>
      <w:r w:rsidRPr="0037513D">
        <w:rPr>
          <w:rFonts w:ascii="Garamond" w:hAnsi="Garamond"/>
          <w:sz w:val="18"/>
          <w:szCs w:val="18"/>
          <w:lang w:bidi="he-IL"/>
        </w:rPr>
        <w:t>cs.HC</w:t>
      </w:r>
      <w:proofErr w:type="spellEnd"/>
      <w:r w:rsidRPr="0037513D">
        <w:rPr>
          <w:rFonts w:ascii="Garamond" w:hAnsi="Garamond"/>
          <w:sz w:val="18"/>
          <w:szCs w:val="18"/>
          <w:lang w:bidi="he-IL"/>
        </w:rPr>
        <w:t>] (2025).</w:t>
      </w:r>
    </w:p>
  </w:footnote>
  <w:footnote w:id="23">
    <w:p w14:paraId="3AACF40C" w14:textId="71CE28CF" w:rsidR="005D0EED" w:rsidRPr="0037513D" w:rsidRDefault="005D0EED" w:rsidP="005D0EED">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Pr="0037513D">
        <w:rPr>
          <w:rFonts w:ascii="Garamond" w:hAnsi="Garamond"/>
          <w:i/>
          <w:iCs/>
          <w:sz w:val="18"/>
          <w:szCs w:val="18"/>
        </w:rPr>
        <w:t xml:space="preserve">See </w:t>
      </w:r>
      <w:proofErr w:type="gramStart"/>
      <w:r w:rsidR="004641E5" w:rsidRPr="0037513D">
        <w:rPr>
          <w:rFonts w:ascii="Garamond" w:hAnsi="Garamond"/>
          <w:i/>
          <w:iCs/>
          <w:sz w:val="18"/>
          <w:szCs w:val="18"/>
        </w:rPr>
        <w:t>infra</w:t>
      </w:r>
      <w:r w:rsidR="004641E5" w:rsidRPr="0037513D">
        <w:rPr>
          <w:rFonts w:ascii="Garamond" w:hAnsi="Garamond"/>
          <w:sz w:val="18"/>
          <w:szCs w:val="18"/>
        </w:rPr>
        <w:t xml:space="preserve"> </w:t>
      </w:r>
      <w:r w:rsidR="00A05D5E" w:rsidRPr="0037513D">
        <w:rPr>
          <w:rFonts w:ascii="Garamond" w:hAnsi="Garamond"/>
          <w:sz w:val="18"/>
          <w:szCs w:val="18"/>
        </w:rPr>
        <w:t>Part</w:t>
      </w:r>
      <w:r w:rsidR="004641E5" w:rsidRPr="0037513D">
        <w:rPr>
          <w:rFonts w:ascii="Garamond" w:hAnsi="Garamond"/>
          <w:sz w:val="18"/>
          <w:szCs w:val="18"/>
        </w:rPr>
        <w:t xml:space="preserve"> III</w:t>
      </w:r>
      <w:proofErr w:type="gramEnd"/>
      <w:r w:rsidR="004641E5" w:rsidRPr="0037513D">
        <w:rPr>
          <w:rFonts w:ascii="Garamond" w:hAnsi="Garamond"/>
          <w:sz w:val="18"/>
          <w:szCs w:val="18"/>
        </w:rPr>
        <w:t>.</w:t>
      </w:r>
    </w:p>
  </w:footnote>
  <w:footnote w:id="24">
    <w:p w14:paraId="3CEE4CD7" w14:textId="66E739B9" w:rsidR="00435231" w:rsidRPr="0037513D" w:rsidRDefault="00435231" w:rsidP="0043523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DD3E2E" w:rsidRPr="0037513D">
        <w:rPr>
          <w:rFonts w:ascii="Garamond" w:hAnsi="Garamond"/>
          <w:i/>
          <w:iCs/>
          <w:sz w:val="18"/>
          <w:szCs w:val="18"/>
        </w:rPr>
        <w:t xml:space="preserve">Id. </w:t>
      </w:r>
    </w:p>
  </w:footnote>
  <w:footnote w:id="25">
    <w:p w14:paraId="24B369EF" w14:textId="38663843" w:rsidR="00435231" w:rsidRPr="0037513D" w:rsidRDefault="00435231" w:rsidP="0043523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DD3E2E" w:rsidRPr="0037513D">
        <w:rPr>
          <w:rFonts w:ascii="Garamond" w:hAnsi="Garamond"/>
          <w:i/>
          <w:iCs/>
          <w:sz w:val="18"/>
          <w:szCs w:val="18"/>
        </w:rPr>
        <w:t xml:space="preserve">Id. </w:t>
      </w:r>
    </w:p>
  </w:footnote>
  <w:footnote w:id="26">
    <w:p w14:paraId="668D686B" w14:textId="77777777" w:rsidR="007B0931" w:rsidRPr="0037513D" w:rsidRDefault="007B0931" w:rsidP="007B093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Arial"/>
          <w:color w:val="2E2E2E"/>
          <w:sz w:val="18"/>
          <w:szCs w:val="18"/>
        </w:rPr>
        <w:t xml:space="preserve">Sofia Eleni </w:t>
      </w:r>
      <w:proofErr w:type="spellStart"/>
      <w:r w:rsidRPr="0037513D">
        <w:rPr>
          <w:rFonts w:ascii="Garamond" w:hAnsi="Garamond" w:cs="Arial"/>
          <w:color w:val="2E2E2E"/>
          <w:sz w:val="18"/>
          <w:szCs w:val="18"/>
        </w:rPr>
        <w:t>Spatharioti</w:t>
      </w:r>
      <w:proofErr w:type="spellEnd"/>
      <w:r w:rsidRPr="0037513D">
        <w:rPr>
          <w:rFonts w:ascii="Garamond" w:hAnsi="Garamond" w:cs="Arial"/>
          <w:color w:val="2E2E2E"/>
          <w:sz w:val="18"/>
          <w:szCs w:val="18"/>
        </w:rPr>
        <w:t xml:space="preserve"> et al.,</w:t>
      </w:r>
      <w:r w:rsidRPr="0037513D">
        <w:rPr>
          <w:rFonts w:ascii="Garamond" w:hAnsi="Garamond" w:cs="Arial"/>
          <w:i/>
          <w:iCs/>
          <w:color w:val="2E2E2E"/>
          <w:sz w:val="18"/>
          <w:szCs w:val="18"/>
        </w:rPr>
        <w:t xml:space="preserve"> Comparing Traditional and LLM-Based Search for Consumer Choice: A Randomized Experiment, </w:t>
      </w:r>
      <w:r w:rsidRPr="0037513D">
        <w:rPr>
          <w:rFonts w:ascii="Garamond" w:hAnsi="Garamond" w:cs="Arial"/>
          <w:color w:val="2E2E2E"/>
          <w:sz w:val="18"/>
          <w:szCs w:val="18"/>
        </w:rPr>
        <w:t xml:space="preserve">2 (2023). </w:t>
      </w:r>
    </w:p>
  </w:footnote>
  <w:footnote w:id="27">
    <w:p w14:paraId="5B3873EA" w14:textId="77777777" w:rsidR="007B0931" w:rsidRPr="0037513D" w:rsidRDefault="007B0931" w:rsidP="007B093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 xml:space="preserve">Sebastian Schmidt et al., </w:t>
      </w:r>
      <w:r w:rsidRPr="0037513D">
        <w:rPr>
          <w:rFonts w:ascii="Garamond" w:eastAsia="Times New Roman" w:hAnsi="Garamond"/>
          <w:i/>
          <w:iCs/>
          <w:sz w:val="18"/>
          <w:szCs w:val="18"/>
        </w:rPr>
        <w:t>Detecting Generated Native Ads in Conversational Search</w:t>
      </w:r>
      <w:r w:rsidRPr="0037513D">
        <w:rPr>
          <w:rFonts w:ascii="Garamond" w:eastAsia="Times New Roman" w:hAnsi="Garamond"/>
          <w:sz w:val="18"/>
          <w:szCs w:val="18"/>
        </w:rPr>
        <w:t xml:space="preserve">, </w:t>
      </w:r>
      <w:r w:rsidRPr="0037513D">
        <w:rPr>
          <w:rFonts w:ascii="Garamond" w:eastAsia="Times New Roman" w:hAnsi="Garamond"/>
          <w:i/>
          <w:iCs/>
          <w:sz w:val="18"/>
          <w:szCs w:val="18"/>
        </w:rPr>
        <w:t>in</w:t>
      </w:r>
      <w:r w:rsidRPr="0037513D">
        <w:rPr>
          <w:rFonts w:ascii="Garamond" w:eastAsia="Times New Roman" w:hAnsi="Garamond"/>
          <w:sz w:val="18"/>
          <w:szCs w:val="18"/>
        </w:rPr>
        <w:t xml:space="preserve"> </w:t>
      </w:r>
      <w:r w:rsidRPr="0037513D">
        <w:rPr>
          <w:rFonts w:ascii="Garamond" w:eastAsia="Times New Roman" w:hAnsi="Garamond"/>
          <w:smallCaps/>
          <w:sz w:val="18"/>
          <w:szCs w:val="18"/>
        </w:rPr>
        <w:t>WWW 2024 Companion - Companion Proceedings of the ACM Web Conference</w:t>
      </w:r>
      <w:r w:rsidRPr="0037513D">
        <w:rPr>
          <w:rFonts w:ascii="Garamond" w:eastAsia="Times New Roman" w:hAnsi="Garamond"/>
          <w:sz w:val="18"/>
          <w:szCs w:val="18"/>
        </w:rPr>
        <w:t xml:space="preserve"> 722, 6 (2024).</w:t>
      </w:r>
    </w:p>
  </w:footnote>
  <w:footnote w:id="28">
    <w:p w14:paraId="28C89412" w14:textId="771361F6" w:rsidR="00F40115" w:rsidRPr="0037513D" w:rsidRDefault="00F40115" w:rsidP="009D30C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lang w:bidi="he-IL"/>
        </w:rPr>
        <w:t>Id.</w:t>
      </w:r>
      <w:r w:rsidRPr="0037513D">
        <w:rPr>
          <w:rFonts w:ascii="Garamond" w:hAnsi="Garamond"/>
          <w:sz w:val="18"/>
          <w:szCs w:val="18"/>
          <w:lang w:bidi="he-IL"/>
        </w:rPr>
        <w:t xml:space="preserve"> </w:t>
      </w:r>
      <w:r w:rsidRPr="0037513D">
        <w:rPr>
          <w:rFonts w:ascii="Garamond" w:hAnsi="Garamond"/>
          <w:i/>
          <w:iCs/>
          <w:sz w:val="18"/>
          <w:szCs w:val="18"/>
        </w:rPr>
        <w:t>Cf</w:t>
      </w:r>
      <w:r w:rsidRPr="0037513D">
        <w:rPr>
          <w:rFonts w:ascii="Garamond" w:hAnsi="Garamond"/>
          <w:sz w:val="18"/>
          <w:szCs w:val="18"/>
        </w:rPr>
        <w:t xml:space="preserve">. Ryan Calo, </w:t>
      </w:r>
      <w:r w:rsidRPr="0037513D">
        <w:rPr>
          <w:rFonts w:ascii="Garamond" w:hAnsi="Garamond"/>
          <w:i/>
          <w:iCs/>
          <w:sz w:val="18"/>
          <w:szCs w:val="18"/>
        </w:rPr>
        <w:t>Against Notice Skepticism In Privacy (And Elsewhere)</w:t>
      </w:r>
      <w:r w:rsidRPr="0037513D">
        <w:rPr>
          <w:rFonts w:ascii="Garamond" w:hAnsi="Garamond"/>
          <w:sz w:val="18"/>
          <w:szCs w:val="18"/>
        </w:rPr>
        <w:t xml:space="preserve">, 87 </w:t>
      </w:r>
      <w:r w:rsidRPr="0037513D">
        <w:rPr>
          <w:rFonts w:ascii="Garamond" w:hAnsi="Garamond" w:cs="Calibri"/>
          <w:smallCaps/>
          <w:sz w:val="18"/>
          <w:szCs w:val="18"/>
        </w:rPr>
        <w:t>Notre Dame L. Rev.</w:t>
      </w:r>
      <w:r w:rsidRPr="0037513D">
        <w:rPr>
          <w:rFonts w:ascii="Garamond" w:hAnsi="Garamond"/>
          <w:sz w:val="18"/>
          <w:szCs w:val="18"/>
        </w:rPr>
        <w:t xml:space="preserve"> 1027 (2011) (discussing the differences between notice and behavioral nudges). </w:t>
      </w:r>
    </w:p>
  </w:footnote>
  <w:footnote w:id="29">
    <w:p w14:paraId="6ACEBD7B" w14:textId="0B9F8B64" w:rsidR="00B935A2" w:rsidRPr="0037513D" w:rsidRDefault="00B935A2" w:rsidP="00B935A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803A62" w:rsidRPr="0037513D">
        <w:rPr>
          <w:rFonts w:ascii="Garamond" w:hAnsi="Garamond"/>
          <w:i/>
          <w:iCs/>
          <w:sz w:val="18"/>
          <w:szCs w:val="18"/>
        </w:rPr>
        <w:t xml:space="preserve">Id. See infra </w:t>
      </w:r>
      <w:r w:rsidR="00803A62" w:rsidRPr="0037513D">
        <w:rPr>
          <w:rFonts w:ascii="Garamond" w:hAnsi="Garamond"/>
          <w:sz w:val="18"/>
          <w:szCs w:val="18"/>
        </w:rPr>
        <w:t>note</w:t>
      </w:r>
      <w:r w:rsidR="00803A62" w:rsidRPr="0037513D">
        <w:rPr>
          <w:rFonts w:ascii="Garamond" w:hAnsi="Garamond"/>
          <w:i/>
          <w:iCs/>
          <w:sz w:val="18"/>
          <w:szCs w:val="18"/>
        </w:rPr>
        <w:t xml:space="preserve"> </w:t>
      </w:r>
      <w:r w:rsidR="00803A62" w:rsidRPr="0037513D">
        <w:rPr>
          <w:rFonts w:ascii="Garamond" w:hAnsi="Garamond"/>
          <w:sz w:val="18"/>
          <w:szCs w:val="18"/>
        </w:rPr>
        <w:fldChar w:fldCharType="begin"/>
      </w:r>
      <w:r w:rsidR="00803A62" w:rsidRPr="0037513D">
        <w:rPr>
          <w:rFonts w:ascii="Garamond" w:hAnsi="Garamond"/>
          <w:sz w:val="18"/>
          <w:szCs w:val="18"/>
        </w:rPr>
        <w:instrText xml:space="preserve"> NOTEREF _Ref190348906 \h  \* MERGEFORMAT </w:instrText>
      </w:r>
      <w:r w:rsidR="00803A62" w:rsidRPr="0037513D">
        <w:rPr>
          <w:rFonts w:ascii="Garamond" w:hAnsi="Garamond"/>
          <w:sz w:val="18"/>
          <w:szCs w:val="18"/>
        </w:rPr>
      </w:r>
      <w:r w:rsidR="00803A62" w:rsidRPr="0037513D">
        <w:rPr>
          <w:rFonts w:ascii="Garamond" w:hAnsi="Garamond"/>
          <w:sz w:val="18"/>
          <w:szCs w:val="18"/>
        </w:rPr>
        <w:fldChar w:fldCharType="separate"/>
      </w:r>
      <w:r w:rsidR="00803A62" w:rsidRPr="0037513D">
        <w:rPr>
          <w:rFonts w:ascii="Garamond" w:hAnsi="Garamond"/>
          <w:sz w:val="18"/>
          <w:szCs w:val="18"/>
        </w:rPr>
        <w:t>54</w:t>
      </w:r>
      <w:r w:rsidR="00803A62" w:rsidRPr="0037513D">
        <w:rPr>
          <w:rFonts w:ascii="Garamond" w:hAnsi="Garamond"/>
          <w:sz w:val="18"/>
          <w:szCs w:val="18"/>
        </w:rPr>
        <w:fldChar w:fldCharType="end"/>
      </w:r>
      <w:r w:rsidR="00803A62" w:rsidRPr="0037513D">
        <w:rPr>
          <w:rFonts w:ascii="Garamond" w:hAnsi="Garamond"/>
          <w:sz w:val="18"/>
          <w:szCs w:val="18"/>
        </w:rPr>
        <w:t xml:space="preserve">, and accompanying text. </w:t>
      </w:r>
    </w:p>
  </w:footnote>
  <w:footnote w:id="30">
    <w:p w14:paraId="1E64FA79" w14:textId="4D6678C3" w:rsidR="00B935A2" w:rsidRPr="0037513D" w:rsidRDefault="00B935A2" w:rsidP="00B935A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046869" w:rsidRPr="0037513D">
        <w:rPr>
          <w:rFonts w:ascii="Garamond" w:hAnsi="Garamond"/>
          <w:i/>
          <w:iCs/>
          <w:sz w:val="18"/>
          <w:szCs w:val="18"/>
        </w:rPr>
        <w:t xml:space="preserve">See </w:t>
      </w:r>
      <w:proofErr w:type="gramStart"/>
      <w:r w:rsidR="00046869" w:rsidRPr="0037513D">
        <w:rPr>
          <w:rFonts w:ascii="Garamond" w:hAnsi="Garamond"/>
          <w:i/>
          <w:iCs/>
          <w:sz w:val="18"/>
          <w:szCs w:val="18"/>
        </w:rPr>
        <w:t>infra</w:t>
      </w:r>
      <w:r w:rsidR="00046869" w:rsidRPr="0037513D">
        <w:rPr>
          <w:rFonts w:ascii="Garamond" w:hAnsi="Garamond"/>
          <w:sz w:val="18"/>
          <w:szCs w:val="18"/>
        </w:rPr>
        <w:t xml:space="preserve"> </w:t>
      </w:r>
      <w:r w:rsidR="00A05D5E" w:rsidRPr="0037513D">
        <w:rPr>
          <w:rFonts w:ascii="Garamond" w:hAnsi="Garamond"/>
          <w:sz w:val="18"/>
          <w:szCs w:val="18"/>
        </w:rPr>
        <w:t xml:space="preserve">Part </w:t>
      </w:r>
      <w:r w:rsidR="00046869" w:rsidRPr="0037513D">
        <w:rPr>
          <w:rFonts w:ascii="Garamond" w:hAnsi="Garamond"/>
          <w:sz w:val="18"/>
          <w:szCs w:val="18"/>
        </w:rPr>
        <w:t>III</w:t>
      </w:r>
      <w:proofErr w:type="gramEnd"/>
      <w:r w:rsidR="00046869" w:rsidRPr="0037513D">
        <w:rPr>
          <w:rFonts w:ascii="Garamond" w:hAnsi="Garamond"/>
          <w:sz w:val="18"/>
          <w:szCs w:val="18"/>
        </w:rPr>
        <w:t>.</w:t>
      </w:r>
    </w:p>
  </w:footnote>
  <w:footnote w:id="31">
    <w:p w14:paraId="260E6D1D" w14:textId="51F76181" w:rsidR="00A218F8" w:rsidRPr="0037513D" w:rsidRDefault="00A218F8" w:rsidP="00A218F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A05D5E" w:rsidRPr="0037513D">
        <w:rPr>
          <w:rFonts w:ascii="Garamond" w:hAnsi="Garamond"/>
          <w:i/>
          <w:iCs/>
          <w:sz w:val="18"/>
          <w:szCs w:val="18"/>
        </w:rPr>
        <w:t xml:space="preserve">See </w:t>
      </w:r>
      <w:proofErr w:type="gramStart"/>
      <w:r w:rsidR="00A05D5E" w:rsidRPr="0037513D">
        <w:rPr>
          <w:rFonts w:ascii="Garamond" w:hAnsi="Garamond"/>
          <w:i/>
          <w:iCs/>
          <w:sz w:val="18"/>
          <w:szCs w:val="18"/>
        </w:rPr>
        <w:t>infra</w:t>
      </w:r>
      <w:r w:rsidR="00A05D5E" w:rsidRPr="0037513D">
        <w:rPr>
          <w:rFonts w:ascii="Garamond" w:hAnsi="Garamond"/>
          <w:sz w:val="18"/>
          <w:szCs w:val="18"/>
        </w:rPr>
        <w:t xml:space="preserve"> Part</w:t>
      </w:r>
      <w:proofErr w:type="gramEnd"/>
      <w:r w:rsidR="00A05D5E" w:rsidRPr="0037513D">
        <w:rPr>
          <w:rFonts w:ascii="Garamond" w:hAnsi="Garamond"/>
          <w:sz w:val="18"/>
          <w:szCs w:val="18"/>
        </w:rPr>
        <w:t xml:space="preserve"> I.</w:t>
      </w:r>
    </w:p>
  </w:footnote>
  <w:footnote w:id="32">
    <w:p w14:paraId="54A200F0" w14:textId="1210887F" w:rsidR="00A218F8" w:rsidRPr="0037513D" w:rsidRDefault="00A218F8" w:rsidP="00A218F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A05D5E" w:rsidRPr="0037513D">
        <w:rPr>
          <w:rFonts w:ascii="Garamond" w:hAnsi="Garamond"/>
          <w:i/>
          <w:iCs/>
          <w:sz w:val="18"/>
          <w:szCs w:val="18"/>
        </w:rPr>
        <w:t xml:space="preserve">See </w:t>
      </w:r>
      <w:proofErr w:type="gramStart"/>
      <w:r w:rsidR="00A05D5E" w:rsidRPr="0037513D">
        <w:rPr>
          <w:rFonts w:ascii="Garamond" w:hAnsi="Garamond"/>
          <w:i/>
          <w:iCs/>
          <w:sz w:val="18"/>
          <w:szCs w:val="18"/>
        </w:rPr>
        <w:t>infra</w:t>
      </w:r>
      <w:r w:rsidR="00A05D5E" w:rsidRPr="0037513D">
        <w:rPr>
          <w:rFonts w:ascii="Garamond" w:hAnsi="Garamond"/>
          <w:sz w:val="18"/>
          <w:szCs w:val="18"/>
        </w:rPr>
        <w:t xml:space="preserve"> Part II</w:t>
      </w:r>
      <w:proofErr w:type="gramEnd"/>
      <w:r w:rsidR="00A05D5E" w:rsidRPr="0037513D">
        <w:rPr>
          <w:rFonts w:ascii="Garamond" w:hAnsi="Garamond"/>
          <w:sz w:val="18"/>
          <w:szCs w:val="18"/>
        </w:rPr>
        <w:t>.</w:t>
      </w:r>
    </w:p>
  </w:footnote>
  <w:footnote w:id="33">
    <w:p w14:paraId="4BFE3D4E" w14:textId="77F244A2" w:rsidR="00A218F8" w:rsidRPr="0037513D" w:rsidRDefault="00A218F8" w:rsidP="00A218F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lang w:bidi="he-IL"/>
        </w:rPr>
        <w:t xml:space="preserve"> </w:t>
      </w:r>
      <w:r w:rsidR="00A05D5E" w:rsidRPr="0037513D">
        <w:rPr>
          <w:rFonts w:ascii="Garamond" w:hAnsi="Garamond"/>
          <w:i/>
          <w:iCs/>
          <w:sz w:val="18"/>
          <w:szCs w:val="18"/>
        </w:rPr>
        <w:t xml:space="preserve">See </w:t>
      </w:r>
      <w:proofErr w:type="gramStart"/>
      <w:r w:rsidR="00A05D5E" w:rsidRPr="0037513D">
        <w:rPr>
          <w:rFonts w:ascii="Garamond" w:hAnsi="Garamond"/>
          <w:i/>
          <w:iCs/>
          <w:sz w:val="18"/>
          <w:szCs w:val="18"/>
        </w:rPr>
        <w:t>infra</w:t>
      </w:r>
      <w:r w:rsidR="00A05D5E" w:rsidRPr="0037513D">
        <w:rPr>
          <w:rFonts w:ascii="Garamond" w:hAnsi="Garamond"/>
          <w:sz w:val="18"/>
          <w:szCs w:val="18"/>
        </w:rPr>
        <w:t xml:space="preserve"> Part III</w:t>
      </w:r>
      <w:proofErr w:type="gramEnd"/>
      <w:r w:rsidR="00A05D5E" w:rsidRPr="0037513D">
        <w:rPr>
          <w:rFonts w:ascii="Garamond" w:hAnsi="Garamond"/>
          <w:sz w:val="18"/>
          <w:szCs w:val="18"/>
        </w:rPr>
        <w:t>.</w:t>
      </w:r>
    </w:p>
  </w:footnote>
  <w:footnote w:id="34">
    <w:p w14:paraId="70533A38" w14:textId="77777777" w:rsidR="00084153" w:rsidRPr="0037513D" w:rsidRDefault="00084153" w:rsidP="0008415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 xml:space="preserve">See </w:t>
      </w:r>
      <w:proofErr w:type="spellStart"/>
      <w:r w:rsidRPr="0037513D">
        <w:rPr>
          <w:rFonts w:ascii="Garamond" w:hAnsi="Garamond"/>
          <w:sz w:val="18"/>
          <w:szCs w:val="18"/>
        </w:rPr>
        <w:t>Eyada</w:t>
      </w:r>
      <w:proofErr w:type="spellEnd"/>
      <w:r w:rsidRPr="0037513D">
        <w:rPr>
          <w:rFonts w:ascii="Garamond" w:hAnsi="Garamond"/>
          <w:sz w:val="18"/>
          <w:szCs w:val="18"/>
        </w:rPr>
        <w:t xml:space="preserve"> &amp; Cazorla Milla,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_Ref214295989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w:t>
      </w:r>
      <w:r w:rsidRPr="0037513D">
        <w:rPr>
          <w:rFonts w:ascii="Garamond" w:hAnsi="Garamond"/>
          <w:sz w:val="18"/>
          <w:szCs w:val="18"/>
        </w:rPr>
        <w:fldChar w:fldCharType="end"/>
      </w:r>
      <w:r w:rsidRPr="0037513D">
        <w:rPr>
          <w:rFonts w:ascii="Garamond" w:hAnsi="Garamond"/>
          <w:sz w:val="18"/>
          <w:szCs w:val="18"/>
        </w:rPr>
        <w:t>, at 67.</w:t>
      </w:r>
    </w:p>
  </w:footnote>
  <w:footnote w:id="35">
    <w:p w14:paraId="2865F438" w14:textId="77777777" w:rsidR="00084153" w:rsidRPr="0037513D" w:rsidRDefault="00084153" w:rsidP="0008415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Id.</w:t>
      </w:r>
      <w:r w:rsidRPr="0037513D">
        <w:rPr>
          <w:rFonts w:ascii="Garamond" w:hAnsi="Garamond"/>
          <w:sz w:val="18"/>
          <w:szCs w:val="18"/>
        </w:rPr>
        <w:t xml:space="preserve"> </w:t>
      </w:r>
    </w:p>
  </w:footnote>
  <w:footnote w:id="36">
    <w:p w14:paraId="48F723BA" w14:textId="5C6C0855" w:rsidR="00993266" w:rsidRPr="0037513D" w:rsidRDefault="00993266" w:rsidP="00993266">
      <w:pPr>
        <w:autoSpaceDE w:val="0"/>
        <w:autoSpaceDN w:val="0"/>
        <w:adjustRightInd w:val="0"/>
        <w:spacing w:after="0" w:line="240" w:lineRule="auto"/>
        <w:contextualSpacing/>
        <w:jc w:val="both"/>
        <w:rPr>
          <w:rFonts w:ascii="Garamond" w:eastAsiaTheme="minorHAnsi" w:hAnsi="Garamond" w:cs="GillSansSt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generally</w:t>
      </w:r>
      <w:r w:rsidRPr="0037513D">
        <w:rPr>
          <w:rFonts w:ascii="Garamond" w:hAnsi="Garamond"/>
          <w:sz w:val="18"/>
          <w:szCs w:val="18"/>
        </w:rPr>
        <w:t xml:space="preserve">, </w:t>
      </w:r>
      <w:r w:rsidRPr="0037513D">
        <w:rPr>
          <w:rFonts w:ascii="Garamond" w:eastAsia="Times New Roman" w:hAnsi="Garamond"/>
          <w:sz w:val="18"/>
          <w:szCs w:val="18"/>
        </w:rPr>
        <w:t xml:space="preserve">Matt Carlson, </w:t>
      </w:r>
      <w:r w:rsidRPr="0037513D">
        <w:rPr>
          <w:rFonts w:ascii="Garamond" w:eastAsia="Times New Roman" w:hAnsi="Garamond"/>
          <w:i/>
          <w:iCs/>
          <w:sz w:val="18"/>
          <w:szCs w:val="18"/>
        </w:rPr>
        <w:t>When News Sites Go Native: Redefining the Advertising-Editorial Divide in Response to Native Advertising</w:t>
      </w:r>
      <w:r w:rsidRPr="0037513D">
        <w:rPr>
          <w:rFonts w:ascii="Garamond" w:eastAsia="Times New Roman" w:hAnsi="Garamond"/>
          <w:sz w:val="18"/>
          <w:szCs w:val="18"/>
        </w:rPr>
        <w:t xml:space="preserve">, 16(7) </w:t>
      </w:r>
      <w:r w:rsidRPr="0037513D">
        <w:rPr>
          <w:rFonts w:ascii="Garamond" w:eastAsia="Times New Roman" w:hAnsi="Garamond"/>
          <w:smallCaps/>
          <w:sz w:val="18"/>
          <w:szCs w:val="18"/>
        </w:rPr>
        <w:t>Journalism</w:t>
      </w:r>
      <w:r w:rsidRPr="0037513D">
        <w:rPr>
          <w:rFonts w:ascii="Garamond" w:eastAsia="Times New Roman" w:hAnsi="Garamond"/>
          <w:sz w:val="18"/>
          <w:szCs w:val="18"/>
        </w:rPr>
        <w:t xml:space="preserve"> 849, 850 (2015); Ross D. Petty, </w:t>
      </w:r>
      <w:r w:rsidRPr="0037513D">
        <w:rPr>
          <w:rFonts w:ascii="Garamond" w:eastAsia="Times New Roman" w:hAnsi="Garamond"/>
          <w:i/>
          <w:iCs/>
          <w:sz w:val="18"/>
          <w:szCs w:val="18"/>
        </w:rPr>
        <w:t>From Puffery to Penalties: A Historical Analysis of US Masked Marketing Public Policy Concerns</w:t>
      </w:r>
      <w:r w:rsidRPr="0037513D">
        <w:rPr>
          <w:rFonts w:ascii="Garamond" w:eastAsia="Times New Roman" w:hAnsi="Garamond"/>
          <w:sz w:val="18"/>
          <w:szCs w:val="18"/>
        </w:rPr>
        <w:t xml:space="preserve">, 5 </w:t>
      </w:r>
      <w:r w:rsidRPr="0037513D">
        <w:rPr>
          <w:rFonts w:ascii="Garamond" w:eastAsia="Times New Roman" w:hAnsi="Garamond"/>
          <w:smallCaps/>
          <w:sz w:val="18"/>
          <w:szCs w:val="18"/>
        </w:rPr>
        <w:t>Journal of Historical Research in Marketing</w:t>
      </w:r>
      <w:r w:rsidRPr="0037513D">
        <w:rPr>
          <w:rFonts w:ascii="Garamond" w:eastAsia="Times New Roman" w:hAnsi="Garamond"/>
          <w:sz w:val="18"/>
          <w:szCs w:val="18"/>
        </w:rPr>
        <w:t xml:space="preserve"> 10, 12–13 (2013).</w:t>
      </w:r>
    </w:p>
  </w:footnote>
  <w:footnote w:id="37">
    <w:p w14:paraId="6F97D118" w14:textId="77777777" w:rsidR="00090AB4" w:rsidRPr="0037513D" w:rsidRDefault="00090AB4" w:rsidP="00090AB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PIONN J+ Adv P S 405 B 6"/>
          <w:color w:val="211D1E"/>
          <w:sz w:val="18"/>
          <w:szCs w:val="18"/>
        </w:rPr>
        <w:t>L</w:t>
      </w:r>
      <w:r w:rsidRPr="0037513D">
        <w:rPr>
          <w:rFonts w:ascii="Garamond" w:eastAsia="Times New Roman" w:hAnsi="Garamond" w:cs="Code"/>
          <w:smallCaps/>
          <w:color w:val="000000"/>
          <w:sz w:val="18"/>
          <w:szCs w:val="18"/>
          <w:lang w:bidi="he-IL"/>
        </w:rPr>
        <w:t xml:space="preserve">inda Lawson, Truth in Publishing: Federal Regulation of the Press’s Business Practices, </w:t>
      </w:r>
      <w:r w:rsidRPr="0037513D">
        <w:rPr>
          <w:rFonts w:ascii="Garamond" w:hAnsi="Garamond" w:cs="PIONN K+ Adv P S 405 B 7"/>
          <w:color w:val="211D1E"/>
          <w:sz w:val="18"/>
          <w:szCs w:val="18"/>
        </w:rPr>
        <w:t>1880-1920</w:t>
      </w:r>
      <w:r w:rsidRPr="0037513D">
        <w:rPr>
          <w:rFonts w:ascii="Garamond" w:hAnsi="Garamond" w:cs="PIONN J+ Adv P S 405 B 6"/>
          <w:color w:val="211D1E"/>
          <w:sz w:val="18"/>
          <w:szCs w:val="18"/>
          <w:lang w:bidi="he-IL"/>
        </w:rPr>
        <w:t xml:space="preserve"> </w:t>
      </w:r>
      <w:r w:rsidRPr="0037513D">
        <w:rPr>
          <w:rFonts w:ascii="Garamond" w:hAnsi="Garamond" w:cs="PIONN J+ Adv P S 405 B 6"/>
          <w:color w:val="211D1E"/>
          <w:sz w:val="18"/>
          <w:szCs w:val="18"/>
        </w:rPr>
        <w:t xml:space="preserve">(Southern Ill. Univ. Press, 1993). </w:t>
      </w:r>
    </w:p>
  </w:footnote>
  <w:footnote w:id="38">
    <w:p w14:paraId="5B454E91" w14:textId="77777777" w:rsidR="00090AB4" w:rsidRPr="0037513D" w:rsidRDefault="00090AB4" w:rsidP="00090AB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Nathaniel C. Fowler Jr., </w:t>
      </w:r>
      <w:r w:rsidRPr="0037513D">
        <w:rPr>
          <w:rStyle w:val="Emphasis"/>
          <w:rFonts w:ascii="Garamond" w:hAnsi="Garamond"/>
          <w:sz w:val="18"/>
          <w:szCs w:val="18"/>
        </w:rPr>
        <w:t>Fowler’s Publicity</w:t>
      </w:r>
      <w:r w:rsidRPr="0037513D">
        <w:rPr>
          <w:rFonts w:ascii="Garamond" w:hAnsi="Garamond"/>
          <w:sz w:val="18"/>
          <w:szCs w:val="18"/>
        </w:rPr>
        <w:t xml:space="preserve"> 454–</w:t>
      </w:r>
      <w:r w:rsidRPr="0037513D">
        <w:rPr>
          <w:rFonts w:ascii="Garamond" w:hAnsi="Garamond"/>
          <w:sz w:val="18"/>
          <w:szCs w:val="18"/>
          <w:lang w:bidi="he-IL"/>
        </w:rPr>
        <w:t>69</w:t>
      </w:r>
      <w:r w:rsidRPr="0037513D">
        <w:rPr>
          <w:rFonts w:ascii="Garamond" w:hAnsi="Garamond"/>
          <w:sz w:val="18"/>
          <w:szCs w:val="18"/>
        </w:rPr>
        <w:t xml:space="preserve"> (Publicity Publ’g Co. 1900)</w:t>
      </w:r>
      <w:r w:rsidRPr="0037513D">
        <w:rPr>
          <w:rFonts w:ascii="Garamond" w:eastAsia="Times New Roman" w:hAnsi="Garamond" w:cs="David"/>
          <w:sz w:val="18"/>
          <w:szCs w:val="18"/>
          <w:rtl/>
          <w:lang w:bidi="he-IL"/>
        </w:rPr>
        <w:t>.</w:t>
      </w:r>
    </w:p>
  </w:footnote>
  <w:footnote w:id="39">
    <w:p w14:paraId="11C27432" w14:textId="5AD05C6E" w:rsidR="001B5B00" w:rsidRPr="0037513D" w:rsidRDefault="001B5B00"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5426FD" w:rsidRPr="0037513D">
        <w:rPr>
          <w:rFonts w:ascii="Garamond" w:eastAsia="Times New Roman" w:hAnsi="Garamond" w:cs="Times New Roman"/>
          <w:i/>
          <w:iCs/>
          <w:color w:val="000000"/>
          <w:kern w:val="0"/>
          <w:sz w:val="18"/>
          <w:szCs w:val="18"/>
          <w14:ligatures w14:val="none"/>
        </w:rPr>
        <w:t>See</w:t>
      </w:r>
      <w:r w:rsidR="005426FD" w:rsidRPr="0037513D">
        <w:rPr>
          <w:rFonts w:ascii="Garamond" w:eastAsia="Times New Roman" w:hAnsi="Garamond" w:cs="Times New Roman"/>
          <w:i/>
          <w:iCs/>
          <w:color w:val="000000"/>
          <w:kern w:val="0"/>
          <w:sz w:val="18"/>
          <w:szCs w:val="18"/>
          <w:rtl/>
          <w14:ligatures w14:val="none"/>
        </w:rPr>
        <w:t> </w:t>
      </w:r>
      <w:r w:rsidR="005426FD" w:rsidRPr="0037513D">
        <w:rPr>
          <w:rFonts w:ascii="Garamond" w:hAnsi="Garamond"/>
          <w:sz w:val="18"/>
          <w:szCs w:val="18"/>
        </w:rPr>
        <w:t>Ross D. Petty,</w:t>
      </w:r>
      <w:r w:rsidR="005426FD" w:rsidRPr="0037513D">
        <w:rPr>
          <w:rFonts w:ascii="Garamond" w:eastAsia="Times New Roman" w:hAnsi="Garamond"/>
          <w:sz w:val="18"/>
          <w:szCs w:val="18"/>
        </w:rPr>
        <w:t xml:space="preserve"> </w:t>
      </w:r>
      <w:r w:rsidR="005426FD" w:rsidRPr="0037513D">
        <w:rPr>
          <w:rStyle w:val="Emphasis"/>
          <w:rFonts w:ascii="Garamond" w:hAnsi="Garamond"/>
          <w:sz w:val="18"/>
          <w:szCs w:val="18"/>
        </w:rPr>
        <w:t>et al.</w:t>
      </w:r>
      <w:r w:rsidR="005426FD" w:rsidRPr="0037513D">
        <w:rPr>
          <w:rFonts w:ascii="Garamond" w:hAnsi="Garamond"/>
          <w:sz w:val="18"/>
          <w:szCs w:val="18"/>
        </w:rPr>
        <w:t xml:space="preserve">, </w:t>
      </w:r>
      <w:r w:rsidR="005426FD" w:rsidRPr="0037513D">
        <w:rPr>
          <w:rFonts w:ascii="Garamond" w:eastAsia="Times New Roman" w:hAnsi="Garamond" w:cs="Times New Roman"/>
          <w:i/>
          <w:iCs/>
          <w:color w:val="000000"/>
          <w:kern w:val="0"/>
          <w:sz w:val="18"/>
          <w:szCs w:val="18"/>
          <w14:ligatures w14:val="none"/>
        </w:rPr>
        <w:t>supra</w:t>
      </w:r>
      <w:r w:rsidR="005426FD" w:rsidRPr="0037513D">
        <w:rPr>
          <w:rFonts w:ascii="Garamond" w:eastAsia="Times New Roman" w:hAnsi="Garamond" w:cs="Times New Roman"/>
          <w:i/>
          <w:iCs/>
          <w:color w:val="000000"/>
          <w:kern w:val="0"/>
          <w:sz w:val="18"/>
          <w:szCs w:val="18"/>
          <w:rtl/>
          <w14:ligatures w14:val="none"/>
        </w:rPr>
        <w:t> </w:t>
      </w:r>
      <w:r w:rsidR="005426FD" w:rsidRPr="0037513D">
        <w:rPr>
          <w:rFonts w:ascii="Garamond" w:eastAsia="Times New Roman" w:hAnsi="Garamond" w:cs="Times New Roman"/>
          <w:color w:val="000000"/>
          <w:kern w:val="0"/>
          <w:sz w:val="18"/>
          <w:szCs w:val="18"/>
          <w14:ligatures w14:val="none"/>
        </w:rPr>
        <w:t>note</w:t>
      </w:r>
      <w:r w:rsidR="00E40C1C" w:rsidRPr="0037513D">
        <w:rPr>
          <w:rFonts w:ascii="Garamond" w:eastAsia="Times New Roman" w:hAnsi="Garamond" w:cs="Times New Roman"/>
          <w:color w:val="000000"/>
          <w:kern w:val="0"/>
          <w:sz w:val="18"/>
          <w:szCs w:val="18"/>
          <w14:ligatures w14:val="none"/>
        </w:rPr>
        <w:t xml:space="preserve"> </w:t>
      </w:r>
      <w:r w:rsidR="00E40C1C" w:rsidRPr="0037513D">
        <w:rPr>
          <w:rFonts w:ascii="Garamond" w:eastAsia="Times New Roman" w:hAnsi="Garamond" w:cs="Times New Roman"/>
          <w:color w:val="000000"/>
          <w:kern w:val="0"/>
          <w:sz w:val="18"/>
          <w:szCs w:val="18"/>
          <w14:ligatures w14:val="none"/>
        </w:rPr>
        <w:fldChar w:fldCharType="begin"/>
      </w:r>
      <w:r w:rsidR="00E40C1C" w:rsidRPr="0037513D">
        <w:rPr>
          <w:rFonts w:ascii="Garamond" w:eastAsia="Times New Roman" w:hAnsi="Garamond" w:cs="Times New Roman"/>
          <w:color w:val="000000"/>
          <w:kern w:val="0"/>
          <w:sz w:val="18"/>
          <w:szCs w:val="18"/>
          <w14:ligatures w14:val="none"/>
        </w:rPr>
        <w:instrText xml:space="preserve"> NOTEREF _Ref214370917 \h  \* MERGEFORMAT </w:instrText>
      </w:r>
      <w:r w:rsidR="00E40C1C" w:rsidRPr="0037513D">
        <w:rPr>
          <w:rFonts w:ascii="Garamond" w:eastAsia="Times New Roman" w:hAnsi="Garamond" w:cs="Times New Roman"/>
          <w:color w:val="000000"/>
          <w:kern w:val="0"/>
          <w:sz w:val="18"/>
          <w:szCs w:val="18"/>
          <w14:ligatures w14:val="none"/>
        </w:rPr>
      </w:r>
      <w:r w:rsidR="00E40C1C" w:rsidRPr="0037513D">
        <w:rPr>
          <w:rFonts w:ascii="Garamond" w:eastAsia="Times New Roman" w:hAnsi="Garamond" w:cs="Times New Roman"/>
          <w:color w:val="000000"/>
          <w:kern w:val="0"/>
          <w:sz w:val="18"/>
          <w:szCs w:val="18"/>
          <w14:ligatures w14:val="none"/>
        </w:rPr>
        <w:fldChar w:fldCharType="separate"/>
      </w:r>
      <w:r w:rsidR="00E40C1C" w:rsidRPr="0037513D">
        <w:rPr>
          <w:rFonts w:ascii="Garamond" w:eastAsia="Times New Roman" w:hAnsi="Garamond" w:cs="Times New Roman"/>
          <w:color w:val="000000"/>
          <w:kern w:val="0"/>
          <w:sz w:val="18"/>
          <w:szCs w:val="18"/>
          <w14:ligatures w14:val="none"/>
        </w:rPr>
        <w:t>24</w:t>
      </w:r>
      <w:r w:rsidR="00E40C1C" w:rsidRPr="0037513D">
        <w:rPr>
          <w:rFonts w:ascii="Garamond" w:eastAsia="Times New Roman" w:hAnsi="Garamond" w:cs="Times New Roman"/>
          <w:color w:val="000000"/>
          <w:kern w:val="0"/>
          <w:sz w:val="18"/>
          <w:szCs w:val="18"/>
          <w14:ligatures w14:val="none"/>
        </w:rPr>
        <w:fldChar w:fldCharType="end"/>
      </w:r>
      <w:r w:rsidR="005426FD" w:rsidRPr="0037513D">
        <w:rPr>
          <w:rFonts w:ascii="Garamond" w:eastAsia="Times New Roman" w:hAnsi="Garamond" w:cs="Times New Roman"/>
          <w:color w:val="000000"/>
          <w:kern w:val="0"/>
          <w:sz w:val="18"/>
          <w:szCs w:val="18"/>
          <w:shd w:val="clear" w:color="auto" w:fill="FFFF00"/>
          <w:lang w:bidi="he-IL"/>
          <w14:ligatures w14:val="none"/>
        </w:rPr>
        <w:t xml:space="preserve">, </w:t>
      </w:r>
      <w:r w:rsidR="005426FD" w:rsidRPr="0037513D">
        <w:rPr>
          <w:rFonts w:ascii="Garamond" w:eastAsia="Times New Roman" w:hAnsi="Garamond" w:cs="Times New Roman"/>
          <w:color w:val="000000"/>
          <w:kern w:val="0"/>
          <w:sz w:val="18"/>
          <w:szCs w:val="18"/>
          <w14:ligatures w14:val="none"/>
        </w:rPr>
        <w:t xml:space="preserve">at </w:t>
      </w:r>
      <w:r w:rsidR="005426FD" w:rsidRPr="0037513D">
        <w:rPr>
          <w:rFonts w:ascii="Garamond" w:hAnsi="Garamond"/>
          <w:color w:val="000000" w:themeColor="text1"/>
          <w:sz w:val="18"/>
          <w:szCs w:val="18"/>
        </w:rPr>
        <w:t xml:space="preserve">13. </w:t>
      </w:r>
    </w:p>
  </w:footnote>
  <w:footnote w:id="40">
    <w:p w14:paraId="3FA0CD32" w14:textId="77777777" w:rsidR="006135F5" w:rsidRPr="0037513D" w:rsidRDefault="006135F5" w:rsidP="006135F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Code"/>
          <w:smallCaps/>
          <w:color w:val="000000"/>
          <w:sz w:val="18"/>
          <w:szCs w:val="18"/>
          <w:lang w:bidi="he-IL"/>
        </w:rPr>
        <w:t>Oxford English Dictionary,</w:t>
      </w:r>
      <w:r w:rsidRPr="0037513D">
        <w:rPr>
          <w:rFonts w:ascii="Garamond" w:hAnsi="Garamond"/>
          <w:sz w:val="18"/>
          <w:szCs w:val="18"/>
        </w:rPr>
        <w:t xml:space="preserve"> </w:t>
      </w:r>
      <w:r w:rsidRPr="0037513D">
        <w:rPr>
          <w:rStyle w:val="Emphasis"/>
          <w:rFonts w:ascii="Garamond" w:hAnsi="Garamond"/>
          <w:sz w:val="18"/>
          <w:szCs w:val="18"/>
        </w:rPr>
        <w:t>Advertorial</w:t>
      </w:r>
      <w:r w:rsidRPr="0037513D">
        <w:rPr>
          <w:rFonts w:ascii="Garamond" w:hAnsi="Garamond"/>
          <w:sz w:val="18"/>
          <w:szCs w:val="18"/>
        </w:rPr>
        <w:t xml:space="preserve"> (Oxford Univ. Press, 2d ed. 1989).</w:t>
      </w:r>
    </w:p>
  </w:footnote>
  <w:footnote w:id="41">
    <w:p w14:paraId="5B97541C" w14:textId="5F5ADF5B" w:rsidR="00F14CE9" w:rsidRPr="0037513D" w:rsidRDefault="00F14CE9"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574BF3" w:rsidRPr="0037513D">
        <w:rPr>
          <w:rStyle w:val="Strong"/>
          <w:rFonts w:ascii="Garamond" w:eastAsia="Times New Roman" w:hAnsi="Garamond"/>
          <w:b w:val="0"/>
          <w:bCs w:val="0"/>
          <w:sz w:val="18"/>
          <w:szCs w:val="18"/>
        </w:rPr>
        <w:t xml:space="preserve">D. Snyder, </w:t>
      </w:r>
      <w:r w:rsidR="00574BF3" w:rsidRPr="0037513D">
        <w:rPr>
          <w:rStyle w:val="Strong"/>
          <w:rFonts w:ascii="Garamond" w:eastAsia="Times New Roman" w:hAnsi="Garamond"/>
          <w:b w:val="0"/>
          <w:bCs w:val="0"/>
          <w:i/>
          <w:iCs/>
          <w:sz w:val="18"/>
          <w:szCs w:val="18"/>
        </w:rPr>
        <w:t>Business Is the Public’s Interest</w:t>
      </w:r>
      <w:r w:rsidR="00574BF3" w:rsidRPr="0037513D">
        <w:rPr>
          <w:rStyle w:val="Strong"/>
          <w:rFonts w:ascii="Garamond" w:eastAsia="Times New Roman" w:hAnsi="Garamond"/>
          <w:b w:val="0"/>
          <w:bCs w:val="0"/>
          <w:sz w:val="18"/>
          <w:szCs w:val="18"/>
        </w:rPr>
        <w:t xml:space="preserve">, </w:t>
      </w:r>
      <w:r w:rsidR="00574BF3" w:rsidRPr="0037513D">
        <w:rPr>
          <w:rFonts w:ascii="Garamond" w:hAnsi="Garamond" w:cs="Code"/>
          <w:smallCaps/>
          <w:color w:val="000000"/>
          <w:sz w:val="18"/>
          <w:szCs w:val="18"/>
          <w:lang w:bidi="he-IL"/>
        </w:rPr>
        <w:t>Atlantic Monthly,</w:t>
      </w:r>
      <w:r w:rsidR="00B9401C" w:rsidRPr="0037513D">
        <w:rPr>
          <w:rStyle w:val="Strong"/>
          <w:rFonts w:ascii="Garamond" w:eastAsia="Times New Roman" w:hAnsi="Garamond"/>
          <w:b w:val="0"/>
          <w:bCs w:val="0"/>
          <w:sz w:val="18"/>
          <w:szCs w:val="18"/>
        </w:rPr>
        <w:t xml:space="preserve"> 34,</w:t>
      </w:r>
      <w:r w:rsidR="00DD1BD4" w:rsidRPr="0037513D">
        <w:rPr>
          <w:rStyle w:val="Strong"/>
          <w:rFonts w:ascii="Garamond" w:eastAsia="Times New Roman" w:hAnsi="Garamond"/>
          <w:b w:val="0"/>
          <w:bCs w:val="0"/>
          <w:sz w:val="18"/>
          <w:szCs w:val="18"/>
        </w:rPr>
        <w:t xml:space="preserve"> (</w:t>
      </w:r>
      <w:r w:rsidR="00574BF3" w:rsidRPr="0037513D">
        <w:rPr>
          <w:rStyle w:val="Strong"/>
          <w:rFonts w:ascii="Garamond" w:eastAsia="Times New Roman" w:hAnsi="Garamond"/>
          <w:b w:val="0"/>
          <w:bCs w:val="0"/>
          <w:sz w:val="18"/>
          <w:szCs w:val="18"/>
        </w:rPr>
        <w:t>1951</w:t>
      </w:r>
      <w:r w:rsidR="00DD1BD4" w:rsidRPr="0037513D">
        <w:rPr>
          <w:rStyle w:val="Strong"/>
          <w:rFonts w:ascii="Garamond" w:eastAsia="Times New Roman" w:hAnsi="Garamond"/>
          <w:b w:val="0"/>
          <w:bCs w:val="0"/>
          <w:sz w:val="18"/>
          <w:szCs w:val="18"/>
        </w:rPr>
        <w:t>).</w:t>
      </w:r>
    </w:p>
  </w:footnote>
  <w:footnote w:id="42">
    <w:p w14:paraId="04FDF4FF" w14:textId="77777777" w:rsidR="00D72B0E" w:rsidRPr="0037513D" w:rsidRDefault="00D72B0E" w:rsidP="00D72B0E">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proofErr w:type="spellStart"/>
      <w:r w:rsidRPr="0037513D">
        <w:rPr>
          <w:rFonts w:ascii="Garamond" w:hAnsi="Garamond"/>
          <w:sz w:val="18"/>
          <w:szCs w:val="18"/>
        </w:rPr>
        <w:t>Eyada</w:t>
      </w:r>
      <w:proofErr w:type="spellEnd"/>
      <w:r w:rsidRPr="0037513D">
        <w:rPr>
          <w:rFonts w:ascii="Garamond" w:hAnsi="Garamond"/>
          <w:sz w:val="18"/>
          <w:szCs w:val="18"/>
        </w:rPr>
        <w:t xml:space="preserve"> &amp; Cazorla Milla,</w:t>
      </w:r>
      <w:r w:rsidRPr="0037513D">
        <w:rPr>
          <w:rFonts w:ascii="Garamond" w:eastAsia="Times New Roman" w:hAnsi="Garamond"/>
          <w:sz w:val="18"/>
          <w:szCs w:val="18"/>
        </w:rPr>
        <w:t xml:space="preserve"> </w:t>
      </w:r>
      <w:r w:rsidRPr="0037513D">
        <w:rPr>
          <w:rStyle w:val="Emphasis"/>
          <w:rFonts w:ascii="Garamond" w:hAnsi="Garamond"/>
          <w:sz w:val="18"/>
          <w:szCs w:val="18"/>
        </w:rPr>
        <w:t>et al.</w:t>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note</w:t>
      </w:r>
      <w:r w:rsidRPr="0037513D">
        <w:rPr>
          <w:rFonts w:ascii="Garamond" w:eastAsia="Times New Roman" w:hAnsi="Garamond" w:cs="Times New Roman"/>
          <w:color w:val="000000"/>
          <w:kern w:val="0"/>
          <w:sz w:val="18"/>
          <w:szCs w:val="18"/>
          <w:shd w:val="clear" w:color="auto" w:fill="FFFF00"/>
          <w:lang w:bidi="he-IL"/>
          <w14:ligatures w14:val="none"/>
        </w:rPr>
        <w:t xml:space="preserve"> </w:t>
      </w:r>
      <w:r w:rsidRPr="0037513D">
        <w:rPr>
          <w:rFonts w:ascii="Garamond" w:hAnsi="Garamond"/>
          <w:sz w:val="18"/>
          <w:szCs w:val="18"/>
        </w:rPr>
        <w:t xml:space="preserve"> </w:t>
      </w:r>
      <w:r w:rsidRPr="0037513D">
        <w:rPr>
          <w:rFonts w:ascii="Garamond" w:hAnsi="Garamond"/>
          <w:sz w:val="18"/>
          <w:szCs w:val="18"/>
        </w:rPr>
        <w:fldChar w:fldCharType="begin"/>
      </w:r>
      <w:r w:rsidRPr="0037513D">
        <w:rPr>
          <w:rFonts w:ascii="Garamond" w:hAnsi="Garamond"/>
          <w:sz w:val="18"/>
          <w:szCs w:val="18"/>
        </w:rPr>
        <w:instrText xml:space="preserve"> NOTEREF _Ref214295989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w:t>
      </w:r>
      <w:r w:rsidRPr="0037513D">
        <w:rPr>
          <w:rFonts w:ascii="Garamond" w:hAnsi="Garamond"/>
          <w:sz w:val="18"/>
          <w:szCs w:val="18"/>
        </w:rPr>
        <w:fldChar w:fldCharType="end"/>
      </w:r>
      <w:r w:rsidRPr="0037513D">
        <w:rPr>
          <w:rFonts w:ascii="Garamond" w:eastAsia="Times New Roman" w:hAnsi="Garamond" w:cs="Times New Roman"/>
          <w:color w:val="000000"/>
          <w:kern w:val="0"/>
          <w:sz w:val="18"/>
          <w:szCs w:val="18"/>
          <w:shd w:val="clear" w:color="auto" w:fill="FFFF00"/>
          <w:lang w:bidi="he-IL"/>
          <w14:ligatures w14:val="none"/>
        </w:rPr>
        <w:t xml:space="preserve">, </w:t>
      </w:r>
      <w:r w:rsidRPr="0037513D">
        <w:rPr>
          <w:rFonts w:ascii="Garamond" w:eastAsia="Times New Roman" w:hAnsi="Garamond" w:cs="Times New Roman"/>
          <w:color w:val="000000"/>
          <w:kern w:val="0"/>
          <w:sz w:val="18"/>
          <w:szCs w:val="18"/>
          <w14:ligatures w14:val="none"/>
        </w:rPr>
        <w:t>at</w:t>
      </w:r>
      <w:r w:rsidRPr="0037513D">
        <w:rPr>
          <w:rFonts w:ascii="Garamond" w:hAnsi="Garamond"/>
          <w:color w:val="000000" w:themeColor="text1"/>
          <w:sz w:val="18"/>
          <w:szCs w:val="18"/>
        </w:rPr>
        <w:t xml:space="preserve"> 68. </w:t>
      </w:r>
    </w:p>
  </w:footnote>
  <w:footnote w:id="43">
    <w:p w14:paraId="4A401CD0" w14:textId="77777777" w:rsidR="00D72B0E" w:rsidRPr="0037513D" w:rsidRDefault="00D72B0E" w:rsidP="00D72B0E">
      <w:pPr>
        <w:pStyle w:val="FootnoteText"/>
        <w:spacing w:after="0" w:line="240" w:lineRule="auto"/>
        <w:contextualSpacing/>
        <w:jc w:val="both"/>
        <w:rPr>
          <w:rFonts w:ascii="Garamond" w:hAnsi="Garamond"/>
          <w:i/>
          <w:iCs/>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Id. a</w:t>
      </w:r>
      <w:r w:rsidRPr="0037513D">
        <w:rPr>
          <w:rFonts w:ascii="Garamond" w:eastAsia="Times New Roman" w:hAnsi="Garamond" w:cs="Times New Roman"/>
          <w:color w:val="000000"/>
          <w:kern w:val="0"/>
          <w:sz w:val="18"/>
          <w:szCs w:val="18"/>
          <w14:ligatures w14:val="none"/>
        </w:rPr>
        <w:t xml:space="preserve">t 69–71. </w:t>
      </w:r>
    </w:p>
  </w:footnote>
  <w:footnote w:id="44">
    <w:p w14:paraId="3B5C80E9" w14:textId="77777777" w:rsidR="00D72B0E" w:rsidRPr="0037513D" w:rsidRDefault="00D72B0E" w:rsidP="00D72B0E">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 xml:space="preserve">Id. </w:t>
      </w:r>
    </w:p>
  </w:footnote>
  <w:footnote w:id="45">
    <w:p w14:paraId="0DAF20EC" w14:textId="1A1B4FE2" w:rsidR="000C765A" w:rsidRPr="0037513D" w:rsidRDefault="000C765A"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951CCD" w:rsidRPr="0037513D">
        <w:rPr>
          <w:rFonts w:ascii="Garamond" w:eastAsia="Times New Roman" w:hAnsi="Garamond" w:cs="Times New Roman"/>
          <w:i/>
          <w:iCs/>
          <w:color w:val="000000"/>
          <w:kern w:val="0"/>
          <w:sz w:val="18"/>
          <w:szCs w:val="18"/>
          <w14:ligatures w14:val="none"/>
        </w:rPr>
        <w:t xml:space="preserve">Id. </w:t>
      </w:r>
    </w:p>
  </w:footnote>
  <w:footnote w:id="46">
    <w:p w14:paraId="4246CC46" w14:textId="77777777" w:rsidR="00BB08B2" w:rsidRPr="0037513D" w:rsidRDefault="00BB08B2" w:rsidP="00BB08B2">
      <w:pPr>
        <w:spacing w:after="0" w:line="240" w:lineRule="auto"/>
        <w:contextualSpacing/>
        <w:jc w:val="both"/>
        <w:rPr>
          <w:rFonts w:ascii="Garamond" w:hAnsi="Garamond" w:cstheme="majorBidi"/>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z w:val="18"/>
          <w:szCs w:val="18"/>
          <w:rtl/>
          <w:lang w:bidi="he-IL"/>
        </w:rPr>
        <w:t xml:space="preserve"> </w:t>
      </w:r>
      <w:r w:rsidRPr="0037513D">
        <w:rPr>
          <w:rFonts w:ascii="Garamond" w:hAnsi="Garamond"/>
          <w:sz w:val="18"/>
          <w:szCs w:val="18"/>
        </w:rPr>
        <w:t>A 2012 survey reported that forty-five percent of responding advertising agencies were concerned about the lack of transparency in celebrity-endorsed social media content</w:t>
      </w:r>
      <w:r w:rsidRPr="0037513D">
        <w:rPr>
          <w:rFonts w:ascii="Garamond" w:hAnsi="Garamond"/>
          <w:color w:val="252525"/>
          <w:sz w:val="18"/>
          <w:szCs w:val="18"/>
          <w:lang w:bidi="he-IL"/>
        </w:rPr>
        <w:t xml:space="preserve">. </w:t>
      </w:r>
      <w:r w:rsidRPr="0037513D">
        <w:rPr>
          <w:rFonts w:ascii="Garamond" w:hAnsi="Garamond"/>
          <w:i/>
          <w:iCs/>
          <w:sz w:val="18"/>
          <w:szCs w:val="18"/>
        </w:rPr>
        <w:t>See</w:t>
      </w:r>
      <w:r w:rsidRPr="0037513D">
        <w:rPr>
          <w:rFonts w:ascii="Garamond" w:hAnsi="Garamond"/>
          <w:sz w:val="18"/>
          <w:szCs w:val="18"/>
        </w:rPr>
        <w:t xml:space="preserve"> David Cohen, </w:t>
      </w:r>
      <w:r w:rsidRPr="0037513D">
        <w:rPr>
          <w:rFonts w:ascii="Garamond" w:hAnsi="Garamond"/>
          <w:i/>
          <w:iCs/>
          <w:sz w:val="18"/>
          <w:szCs w:val="18"/>
        </w:rPr>
        <w:t xml:space="preserve">Native Advertising Dominates Facebook Audience Network (Study), </w:t>
      </w:r>
      <w:proofErr w:type="spellStart"/>
      <w:r w:rsidRPr="0037513D">
        <w:rPr>
          <w:rFonts w:ascii="Garamond" w:hAnsi="Garamond"/>
          <w:i/>
          <w:iCs/>
          <w:smallCaps/>
          <w:color w:val="221E1F"/>
          <w:sz w:val="18"/>
          <w:szCs w:val="18"/>
        </w:rPr>
        <w:t>ADWeek</w:t>
      </w:r>
      <w:proofErr w:type="spellEnd"/>
      <w:r w:rsidRPr="0037513D">
        <w:rPr>
          <w:rFonts w:ascii="Garamond" w:hAnsi="Garamond"/>
          <w:sz w:val="18"/>
          <w:szCs w:val="18"/>
        </w:rPr>
        <w:t xml:space="preserve"> (Apr. 5, 2016),</w:t>
      </w:r>
      <w:r w:rsidRPr="0037513D">
        <w:rPr>
          <w:rFonts w:ascii="Garamond" w:eastAsia="Times New Roman" w:hAnsi="Garamond"/>
          <w:sz w:val="18"/>
          <w:szCs w:val="18"/>
        </w:rPr>
        <w:t xml:space="preserve"> </w:t>
      </w:r>
      <w:hyperlink r:id="rId5" w:history="1">
        <w:r w:rsidRPr="0037513D">
          <w:rPr>
            <w:rStyle w:val="Hyperlink"/>
            <w:rFonts w:ascii="Garamond" w:hAnsi="Garamond"/>
            <w:sz w:val="18"/>
            <w:szCs w:val="18"/>
          </w:rPr>
          <w:t>https://perma.cc/EX3Y-7PPL</w:t>
        </w:r>
      </w:hyperlink>
      <w:r w:rsidRPr="0037513D">
        <w:rPr>
          <w:rFonts w:ascii="Garamond" w:hAnsi="Garamond"/>
          <w:sz w:val="18"/>
          <w:szCs w:val="18"/>
        </w:rPr>
        <w:t xml:space="preserve">. </w:t>
      </w:r>
      <w:r w:rsidRPr="0037513D">
        <w:rPr>
          <w:rFonts w:ascii="Garamond" w:hAnsi="Garamond" w:cstheme="majorBidi"/>
          <w:sz w:val="18"/>
          <w:szCs w:val="18"/>
        </w:rPr>
        <w:t>At Facebook, for example, 83% of the ads are native advertising, and 50% of Facebook advertisers use native advertising exclusively</w:t>
      </w:r>
      <w:r w:rsidRPr="0037513D">
        <w:rPr>
          <w:rFonts w:ascii="Garamond" w:eastAsiaTheme="minorHAnsi" w:hAnsi="Garamond" w:cstheme="majorBidi"/>
          <w:sz w:val="18"/>
          <w:szCs w:val="18"/>
        </w:rPr>
        <w:t xml:space="preserve">; </w:t>
      </w:r>
      <w:r w:rsidRPr="0037513D">
        <w:rPr>
          <w:rFonts w:ascii="Garamond" w:hAnsi="Garamond" w:cstheme="majorBidi"/>
          <w:color w:val="222222"/>
          <w:sz w:val="18"/>
          <w:szCs w:val="18"/>
          <w:shd w:val="clear" w:color="auto" w:fill="FFFFFF"/>
        </w:rPr>
        <w:t>David A. Hyman</w:t>
      </w:r>
      <w:r w:rsidRPr="0037513D">
        <w:rPr>
          <w:rFonts w:ascii="Garamond" w:hAnsi="Garamond" w:cstheme="majorBidi"/>
          <w:color w:val="222222"/>
          <w:sz w:val="18"/>
          <w:szCs w:val="18"/>
        </w:rPr>
        <w:t xml:space="preserve"> et al.</w:t>
      </w:r>
      <w:r w:rsidRPr="0037513D">
        <w:rPr>
          <w:rFonts w:ascii="Garamond" w:hAnsi="Garamond" w:cstheme="majorBidi"/>
          <w:color w:val="222222"/>
          <w:sz w:val="18"/>
          <w:szCs w:val="18"/>
          <w:shd w:val="clear" w:color="auto" w:fill="FFFFFF"/>
        </w:rPr>
        <w:t xml:space="preserve">, </w:t>
      </w:r>
      <w:r w:rsidRPr="0037513D">
        <w:rPr>
          <w:rFonts w:ascii="Garamond" w:hAnsi="Garamond" w:cstheme="majorBidi"/>
          <w:i/>
          <w:iCs/>
          <w:color w:val="222222"/>
          <w:sz w:val="18"/>
          <w:szCs w:val="18"/>
          <w:shd w:val="clear" w:color="auto" w:fill="FFFFFF"/>
        </w:rPr>
        <w:t>Going Native: Can Consumers Recognize Native Advertising?  Does it Matter?</w:t>
      </w:r>
      <w:r w:rsidRPr="0037513D">
        <w:rPr>
          <w:rFonts w:ascii="Garamond" w:hAnsi="Garamond" w:cstheme="majorBidi"/>
          <w:color w:val="222222"/>
          <w:sz w:val="18"/>
          <w:szCs w:val="18"/>
          <w:shd w:val="clear" w:color="auto" w:fill="FFFFFF"/>
        </w:rPr>
        <w:t xml:space="preserve">, 19 </w:t>
      </w:r>
      <w:r w:rsidRPr="0037513D">
        <w:rPr>
          <w:rFonts w:ascii="Garamond" w:hAnsi="Garamond"/>
          <w:smallCaps/>
          <w:color w:val="221E1F"/>
          <w:sz w:val="18"/>
          <w:szCs w:val="18"/>
        </w:rPr>
        <w:t>Yale Journal of Law and Technology</w:t>
      </w:r>
      <w:r w:rsidRPr="0037513D">
        <w:rPr>
          <w:rFonts w:ascii="Garamond" w:hAnsi="Garamond" w:cstheme="majorBidi"/>
          <w:color w:val="222222"/>
          <w:sz w:val="18"/>
          <w:szCs w:val="18"/>
          <w:shd w:val="clear" w:color="auto" w:fill="FFFFFF"/>
        </w:rPr>
        <w:t xml:space="preserve"> 79, 92 (2017) (finding that “only 37% of respondents thought that the tested examples of native advertising were paid content, compared to 81% for “regular” advertising.”)</w:t>
      </w:r>
      <w:r w:rsidRPr="0037513D">
        <w:rPr>
          <w:rFonts w:ascii="Garamond" w:hAnsi="Garamond" w:cstheme="majorBidi"/>
          <w:bCs/>
          <w:sz w:val="18"/>
          <w:szCs w:val="18"/>
        </w:rPr>
        <w:t xml:space="preserve">.  </w:t>
      </w:r>
      <w:r w:rsidRPr="0037513D">
        <w:rPr>
          <w:rFonts w:ascii="Garamond" w:hAnsi="Garamond" w:cstheme="majorBidi"/>
          <w:bCs/>
          <w:i/>
          <w:iCs/>
          <w:sz w:val="18"/>
          <w:szCs w:val="18"/>
        </w:rPr>
        <w:t xml:space="preserve">See also </w:t>
      </w:r>
      <w:r w:rsidRPr="0037513D">
        <w:rPr>
          <w:rFonts w:ascii="Garamond" w:hAnsi="Garamond"/>
          <w:color w:val="221E1F"/>
          <w:sz w:val="18"/>
          <w:szCs w:val="18"/>
        </w:rPr>
        <w:t xml:space="preserve">Lili Levi, </w:t>
      </w:r>
      <w:r w:rsidRPr="0037513D">
        <w:rPr>
          <w:rFonts w:ascii="Garamond" w:hAnsi="Garamond"/>
          <w:i/>
          <w:iCs/>
          <w:color w:val="221E1F"/>
          <w:sz w:val="18"/>
          <w:szCs w:val="18"/>
        </w:rPr>
        <w:t>A “Faustian Pact”?  Native Advertising and the Future of the Press</w:t>
      </w:r>
      <w:r w:rsidRPr="0037513D">
        <w:rPr>
          <w:rFonts w:ascii="Garamond" w:hAnsi="Garamond"/>
          <w:color w:val="221E1F"/>
          <w:sz w:val="18"/>
          <w:szCs w:val="18"/>
        </w:rPr>
        <w:t xml:space="preserve">, 57 </w:t>
      </w:r>
      <w:r w:rsidRPr="0037513D">
        <w:rPr>
          <w:rFonts w:ascii="Garamond" w:hAnsi="Garamond"/>
          <w:smallCaps/>
          <w:sz w:val="18"/>
          <w:szCs w:val="18"/>
        </w:rPr>
        <w:t>Ariz. L. Rev</w:t>
      </w:r>
      <w:r w:rsidRPr="0037513D">
        <w:rPr>
          <w:rFonts w:ascii="Garamond" w:hAnsi="Garamond"/>
          <w:color w:val="221E1F"/>
          <w:sz w:val="18"/>
          <w:szCs w:val="18"/>
        </w:rPr>
        <w:t>. 647, 666 (2015</w:t>
      </w:r>
      <w:r w:rsidRPr="0037513D">
        <w:rPr>
          <w:rFonts w:ascii="Garamond" w:hAnsi="Garamond"/>
          <w:color w:val="221E1F"/>
          <w:sz w:val="18"/>
          <w:szCs w:val="18"/>
          <w:lang w:bidi="he-IL"/>
        </w:rPr>
        <w:t>).</w:t>
      </w:r>
    </w:p>
  </w:footnote>
  <w:footnote w:id="47">
    <w:p w14:paraId="65968537" w14:textId="77777777" w:rsidR="00BB08B2" w:rsidRPr="0037513D" w:rsidRDefault="00BB08B2" w:rsidP="00BB08B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David Kirkpatrick, </w:t>
      </w:r>
      <w:r w:rsidRPr="0037513D">
        <w:rPr>
          <w:rFonts w:ascii="Garamond" w:hAnsi="Garamond"/>
          <w:i/>
          <w:iCs/>
          <w:sz w:val="18"/>
          <w:szCs w:val="18"/>
        </w:rPr>
        <w:t>Google rolls out AdSense Native ads</w:t>
      </w:r>
      <w:r w:rsidRPr="0037513D">
        <w:rPr>
          <w:rFonts w:ascii="Garamond" w:hAnsi="Garamond"/>
          <w:sz w:val="18"/>
          <w:szCs w:val="18"/>
        </w:rPr>
        <w:t xml:space="preserve">, </w:t>
      </w:r>
      <w:proofErr w:type="spellStart"/>
      <w:r w:rsidRPr="0037513D">
        <w:rPr>
          <w:rFonts w:ascii="Garamond" w:hAnsi="Garamond"/>
          <w:smallCaps/>
          <w:color w:val="221E1F"/>
          <w:sz w:val="18"/>
          <w:szCs w:val="18"/>
        </w:rPr>
        <w:t>MarketingDive</w:t>
      </w:r>
      <w:proofErr w:type="spellEnd"/>
      <w:r w:rsidRPr="0037513D">
        <w:rPr>
          <w:rFonts w:ascii="Garamond" w:hAnsi="Garamond"/>
          <w:smallCaps/>
          <w:color w:val="221E1F"/>
          <w:sz w:val="18"/>
          <w:szCs w:val="18"/>
        </w:rPr>
        <w:t xml:space="preserve"> (</w:t>
      </w:r>
      <w:r w:rsidRPr="0037513D">
        <w:rPr>
          <w:rFonts w:ascii="Garamond" w:hAnsi="Garamond"/>
          <w:sz w:val="18"/>
          <w:szCs w:val="18"/>
        </w:rPr>
        <w:t xml:space="preserve">Jul. 6, 2017), </w:t>
      </w:r>
      <w:hyperlink r:id="rId6" w:history="1">
        <w:r w:rsidRPr="0037513D">
          <w:rPr>
            <w:rStyle w:val="Hyperlink"/>
            <w:rFonts w:ascii="Garamond" w:hAnsi="Garamond"/>
            <w:sz w:val="18"/>
            <w:szCs w:val="18"/>
          </w:rPr>
          <w:t>https://www.marketingdive.com/news/google-rolls-out-adsense-native-ads/446451/?utm_source=chatgpt.com</w:t>
        </w:r>
      </w:hyperlink>
      <w:r w:rsidRPr="0037513D">
        <w:rPr>
          <w:rFonts w:ascii="Garamond" w:hAnsi="Garamond"/>
          <w:sz w:val="18"/>
          <w:szCs w:val="18"/>
        </w:rPr>
        <w:t>.</w:t>
      </w:r>
    </w:p>
  </w:footnote>
  <w:footnote w:id="48">
    <w:p w14:paraId="2781ADB7" w14:textId="77777777" w:rsidR="00E85229" w:rsidRPr="0037513D" w:rsidRDefault="00E85229" w:rsidP="00E85229">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Uri Y. Hacohen, </w:t>
      </w:r>
      <w:r w:rsidRPr="0037513D">
        <w:rPr>
          <w:rFonts w:ascii="Garamond" w:hAnsi="Garamond"/>
          <w:i/>
          <w:iCs/>
          <w:sz w:val="18"/>
          <w:szCs w:val="18"/>
        </w:rPr>
        <w:t xml:space="preserve">Unjust Endorsement </w:t>
      </w:r>
      <w:r w:rsidRPr="0037513D">
        <w:rPr>
          <w:rFonts w:ascii="Garamond" w:hAnsi="Garamond"/>
          <w:sz w:val="18"/>
          <w:szCs w:val="18"/>
        </w:rPr>
        <w:t xml:space="preserve">(forthcoming at the </w:t>
      </w:r>
      <w:r w:rsidRPr="0037513D">
        <w:rPr>
          <w:rFonts w:ascii="Garamond" w:hAnsi="Garamond"/>
          <w:smallCaps/>
          <w:sz w:val="18"/>
          <w:szCs w:val="18"/>
        </w:rPr>
        <w:t>University of Illinois Law Review</w:t>
      </w:r>
      <w:r w:rsidRPr="0037513D">
        <w:rPr>
          <w:rFonts w:ascii="Garamond" w:hAnsi="Garamond"/>
          <w:sz w:val="18"/>
          <w:szCs w:val="18"/>
        </w:rPr>
        <w:t>, 2025).</w:t>
      </w:r>
    </w:p>
  </w:footnote>
  <w:footnote w:id="49">
    <w:p w14:paraId="27F032CC" w14:textId="75E4B555" w:rsidR="00B9137B" w:rsidRPr="0037513D" w:rsidRDefault="00B9137B"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355CDC" w:rsidRPr="0037513D">
        <w:rPr>
          <w:rFonts w:ascii="Garamond" w:hAnsi="Garamond"/>
          <w:sz w:val="18"/>
          <w:szCs w:val="18"/>
        </w:rPr>
        <w:t xml:space="preserve">Josep Valor, </w:t>
      </w:r>
      <w:r w:rsidR="00355CDC" w:rsidRPr="0037513D">
        <w:rPr>
          <w:rFonts w:ascii="Garamond" w:hAnsi="Garamond"/>
          <w:i/>
          <w:iCs/>
          <w:sz w:val="18"/>
          <w:szCs w:val="18"/>
        </w:rPr>
        <w:t>Sponsored Stories at Facebook</w:t>
      </w:r>
      <w:r w:rsidR="00355CDC" w:rsidRPr="0037513D">
        <w:rPr>
          <w:rFonts w:ascii="Garamond" w:hAnsi="Garamond"/>
          <w:sz w:val="18"/>
          <w:szCs w:val="18"/>
        </w:rPr>
        <w:t xml:space="preserve">, </w:t>
      </w:r>
      <w:r w:rsidR="00355CDC" w:rsidRPr="0037513D">
        <w:rPr>
          <w:rStyle w:val="Emphasis"/>
          <w:rFonts w:ascii="Garamond" w:hAnsi="Garamond"/>
          <w:sz w:val="18"/>
          <w:szCs w:val="18"/>
        </w:rPr>
        <w:t>Face IT Blog (IESE Business School)</w:t>
      </w:r>
      <w:r w:rsidR="00355CDC" w:rsidRPr="0037513D">
        <w:rPr>
          <w:rFonts w:ascii="Garamond" w:hAnsi="Garamond"/>
          <w:b/>
          <w:bCs/>
          <w:sz w:val="18"/>
          <w:szCs w:val="18"/>
        </w:rPr>
        <w:t xml:space="preserve"> </w:t>
      </w:r>
      <w:r w:rsidR="00355CDC" w:rsidRPr="0037513D">
        <w:rPr>
          <w:rFonts w:ascii="Garamond" w:hAnsi="Garamond"/>
          <w:sz w:val="18"/>
          <w:szCs w:val="18"/>
        </w:rPr>
        <w:t xml:space="preserve">(Mar 1, 2011), </w:t>
      </w:r>
      <w:hyperlink r:id="rId7" w:history="1">
        <w:r w:rsidR="00355CDC" w:rsidRPr="0037513D">
          <w:rPr>
            <w:rStyle w:val="Hyperlink"/>
            <w:rFonts w:ascii="Garamond" w:hAnsi="Garamond"/>
            <w:sz w:val="18"/>
            <w:szCs w:val="18"/>
          </w:rPr>
          <w:t>https://blog.iese.edu/faceit/2011/sponsored-stories-at-facebook/?utm_source=chatgpt.com</w:t>
        </w:r>
      </w:hyperlink>
    </w:p>
  </w:footnote>
  <w:footnote w:id="50">
    <w:p w14:paraId="5E3DF689" w14:textId="476CB6FA" w:rsidR="0021330D" w:rsidRPr="0037513D" w:rsidRDefault="0021330D"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E45141" w:rsidRPr="0037513D">
        <w:rPr>
          <w:rStyle w:val="Strong"/>
          <w:rFonts w:ascii="Garamond" w:hAnsi="Garamond"/>
          <w:b w:val="0"/>
          <w:bCs w:val="0"/>
          <w:sz w:val="18"/>
          <w:szCs w:val="18"/>
        </w:rPr>
        <w:t>Brock Munro</w:t>
      </w:r>
      <w:r w:rsidR="00E45141" w:rsidRPr="0037513D">
        <w:rPr>
          <w:rFonts w:ascii="Garamond" w:hAnsi="Garamond"/>
          <w:sz w:val="18"/>
          <w:szCs w:val="18"/>
        </w:rPr>
        <w:t xml:space="preserve">, </w:t>
      </w:r>
      <w:r w:rsidR="00E45141" w:rsidRPr="0037513D">
        <w:rPr>
          <w:rStyle w:val="Emphasis"/>
          <w:rFonts w:ascii="Garamond" w:hAnsi="Garamond"/>
          <w:sz w:val="18"/>
          <w:szCs w:val="18"/>
        </w:rPr>
        <w:t>Advertising in the US- Statistics and Facts</w:t>
      </w:r>
      <w:r w:rsidR="009E7FEE" w:rsidRPr="0037513D">
        <w:rPr>
          <w:rStyle w:val="Emphasis"/>
          <w:rFonts w:ascii="Garamond" w:hAnsi="Garamond"/>
          <w:sz w:val="18"/>
          <w:szCs w:val="18"/>
        </w:rPr>
        <w:t>,</w:t>
      </w:r>
      <w:r w:rsidR="00E45141" w:rsidRPr="0037513D">
        <w:rPr>
          <w:rFonts w:ascii="Garamond" w:hAnsi="Garamond"/>
          <w:b/>
          <w:bCs/>
          <w:sz w:val="18"/>
          <w:szCs w:val="18"/>
        </w:rPr>
        <w:t xml:space="preserve"> </w:t>
      </w:r>
      <w:proofErr w:type="spellStart"/>
      <w:r w:rsidR="00E45141" w:rsidRPr="0037513D">
        <w:rPr>
          <w:rStyle w:val="Strong"/>
          <w:rFonts w:ascii="Garamond" w:hAnsi="Garamond"/>
          <w:b w:val="0"/>
          <w:bCs w:val="0"/>
          <w:smallCaps/>
          <w:sz w:val="18"/>
          <w:szCs w:val="18"/>
        </w:rPr>
        <w:t>Publift</w:t>
      </w:r>
      <w:proofErr w:type="spellEnd"/>
      <w:r w:rsidR="00E45141" w:rsidRPr="0037513D">
        <w:rPr>
          <w:rFonts w:ascii="Garamond" w:hAnsi="Garamond"/>
          <w:smallCaps/>
          <w:sz w:val="18"/>
          <w:szCs w:val="18"/>
        </w:rPr>
        <w:t xml:space="preserve"> </w:t>
      </w:r>
      <w:r w:rsidR="00E45141" w:rsidRPr="0037513D">
        <w:rPr>
          <w:rFonts w:ascii="Garamond" w:hAnsi="Garamond"/>
          <w:sz w:val="18"/>
          <w:szCs w:val="18"/>
        </w:rPr>
        <w:t xml:space="preserve">(Sept. 10, 2025), </w:t>
      </w:r>
      <w:hyperlink r:id="rId8" w:history="1">
        <w:r w:rsidR="00E45141" w:rsidRPr="0037513D">
          <w:rPr>
            <w:rStyle w:val="Hyperlink"/>
            <w:rFonts w:ascii="Garamond" w:hAnsi="Garamond"/>
            <w:sz w:val="18"/>
            <w:szCs w:val="18"/>
          </w:rPr>
          <w:t>https://www.publift.com/blog/advertising-in-us?utm_source=chatgpt.com</w:t>
        </w:r>
      </w:hyperlink>
      <w:r w:rsidR="00E45141" w:rsidRPr="0037513D">
        <w:rPr>
          <w:rFonts w:ascii="Garamond" w:hAnsi="Garamond"/>
          <w:sz w:val="18"/>
          <w:szCs w:val="18"/>
        </w:rPr>
        <w:t>. (</w:t>
      </w:r>
      <w:r w:rsidR="00167312" w:rsidRPr="0037513D">
        <w:rPr>
          <w:rFonts w:ascii="Garamond" w:hAnsi="Garamond"/>
          <w:sz w:val="18"/>
          <w:szCs w:val="18"/>
        </w:rPr>
        <w:t>noting that a</w:t>
      </w:r>
      <w:r w:rsidR="00E45141" w:rsidRPr="0037513D">
        <w:rPr>
          <w:rFonts w:ascii="Garamond" w:hAnsi="Garamond"/>
          <w:sz w:val="18"/>
          <w:szCs w:val="18"/>
        </w:rPr>
        <w:t>s of 2022, 34% of American internet users use ad-blocking software)</w:t>
      </w:r>
      <w:r w:rsidR="00167312" w:rsidRPr="0037513D">
        <w:rPr>
          <w:rFonts w:ascii="Garamond" w:hAnsi="Garamond"/>
          <w:sz w:val="18"/>
          <w:szCs w:val="18"/>
        </w:rPr>
        <w:t>.</w:t>
      </w:r>
    </w:p>
  </w:footnote>
  <w:footnote w:id="51">
    <w:p w14:paraId="2C0FF4C0" w14:textId="77777777" w:rsidR="004B5444" w:rsidRPr="0037513D" w:rsidRDefault="004B5444" w:rsidP="004B544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And with some types of native ads, such as advertorials, also with journalistic ethics. </w:t>
      </w:r>
      <w:r w:rsidRPr="0037513D">
        <w:rPr>
          <w:rFonts w:ascii="Garamond" w:eastAsia="Times New Roman" w:hAnsi="Garamond" w:cs="Times New Roman"/>
          <w:i/>
          <w:iCs/>
          <w:color w:val="000000"/>
          <w:kern w:val="0"/>
          <w:sz w:val="18"/>
          <w:szCs w:val="18"/>
          <w14:ligatures w14:val="none"/>
        </w:rPr>
        <w:t>See e.g.,</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Carlson</w:t>
      </w:r>
      <w:r w:rsidRPr="0037513D">
        <w:rPr>
          <w:rFonts w:ascii="Garamond" w:eastAsia="Times New Roman" w:hAnsi="Garamond"/>
          <w:smallCaps/>
          <w:sz w:val="18"/>
          <w:szCs w:val="18"/>
        </w:rPr>
        <w:t>,</w:t>
      </w:r>
      <w:r w:rsidRPr="0037513D">
        <w:rPr>
          <w:rFonts w:ascii="Garamond" w:eastAsia="Times New Roman" w:hAnsi="Garamond"/>
          <w:smallCaps/>
          <w:sz w:val="18"/>
          <w:szCs w:val="18"/>
          <w:rtl/>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 xml:space="preserve">note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_Ref214373114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23</w:t>
      </w:r>
      <w:r w:rsidRPr="0037513D">
        <w:rPr>
          <w:rFonts w:ascii="Garamond" w:eastAsia="Times New Roman" w:hAnsi="Garamond" w:cs="Times New Roman"/>
          <w:color w:val="000000"/>
          <w:kern w:val="0"/>
          <w:sz w:val="18"/>
          <w:szCs w:val="18"/>
          <w14:ligatures w14:val="none"/>
        </w:rPr>
        <w:fldChar w:fldCharType="end"/>
      </w:r>
      <w:r w:rsidRPr="0037513D">
        <w:rPr>
          <w:rFonts w:ascii="Garamond" w:eastAsia="Times New Roman" w:hAnsi="Garamond" w:cs="Times New Roman"/>
          <w:color w:val="000000"/>
          <w:kern w:val="0"/>
          <w:sz w:val="18"/>
          <w:szCs w:val="18"/>
          <w14:ligatures w14:val="none"/>
        </w:rPr>
        <w:t>, at</w:t>
      </w:r>
      <w:r w:rsidRPr="0037513D">
        <w:rPr>
          <w:rFonts w:ascii="Garamond" w:hAnsi="Garamond"/>
          <w:color w:val="000000" w:themeColor="text1"/>
          <w:sz w:val="18"/>
          <w:szCs w:val="18"/>
        </w:rPr>
        <w:t xml:space="preserve"> 849–53;</w:t>
      </w:r>
      <w:r w:rsidRPr="0037513D">
        <w:rPr>
          <w:rFonts w:ascii="Garamond" w:hAnsi="Garamond"/>
          <w:sz w:val="18"/>
          <w:szCs w:val="18"/>
        </w:rPr>
        <w:t xml:space="preserve"> Amar C. Bakshi, </w:t>
      </w:r>
      <w:r w:rsidRPr="0037513D">
        <w:rPr>
          <w:rStyle w:val="Emphasis"/>
          <w:rFonts w:ascii="Garamond" w:hAnsi="Garamond"/>
          <w:sz w:val="18"/>
          <w:szCs w:val="18"/>
        </w:rPr>
        <w:t>Why and How to Regulate Native Advertising in Online News</w:t>
      </w:r>
      <w:r w:rsidRPr="0037513D">
        <w:rPr>
          <w:rFonts w:ascii="Garamond" w:hAnsi="Garamond"/>
          <w:sz w:val="18"/>
          <w:szCs w:val="18"/>
        </w:rPr>
        <w:t xml:space="preserve"> </w:t>
      </w:r>
      <w:r w:rsidRPr="0037513D">
        <w:rPr>
          <w:rStyle w:val="Emphasis"/>
          <w:rFonts w:ascii="Garamond" w:hAnsi="Garamond"/>
          <w:sz w:val="18"/>
          <w:szCs w:val="18"/>
        </w:rPr>
        <w:t>Publications</w:t>
      </w:r>
      <w:r w:rsidRPr="0037513D">
        <w:rPr>
          <w:rFonts w:ascii="Garamond" w:hAnsi="Garamond"/>
          <w:b/>
          <w:bCs/>
          <w:smallCaps/>
          <w:sz w:val="18"/>
          <w:szCs w:val="18"/>
        </w:rPr>
        <w:t xml:space="preserve">, </w:t>
      </w:r>
      <w:r w:rsidRPr="0037513D">
        <w:rPr>
          <w:rStyle w:val="Strong"/>
          <w:rFonts w:ascii="Garamond" w:hAnsi="Garamond"/>
          <w:b w:val="0"/>
          <w:bCs w:val="0"/>
          <w:smallCaps/>
          <w:sz w:val="18"/>
          <w:szCs w:val="18"/>
        </w:rPr>
        <w:t xml:space="preserve">U. Balt. J. Media L. &amp; Ethics </w:t>
      </w:r>
      <w:r w:rsidRPr="0037513D">
        <w:rPr>
          <w:rFonts w:ascii="Garamond" w:hAnsi="Garamond"/>
          <w:sz w:val="18"/>
          <w:szCs w:val="18"/>
        </w:rPr>
        <w:t>(2015)</w:t>
      </w:r>
      <w:r w:rsidRPr="0037513D">
        <w:rPr>
          <w:rFonts w:ascii="Garamond" w:hAnsi="Garamond"/>
          <w:sz w:val="18"/>
          <w:szCs w:val="18"/>
          <w:lang w:bidi="he-IL"/>
        </w:rPr>
        <w:t>.</w:t>
      </w:r>
      <w:r w:rsidRPr="0037513D">
        <w:rPr>
          <w:rFonts w:ascii="Garamond" w:hAnsi="Garamond"/>
          <w:i/>
          <w:iCs/>
          <w:sz w:val="18"/>
          <w:szCs w:val="18"/>
        </w:rPr>
        <w:t xml:space="preserve"> See</w:t>
      </w:r>
      <w:r w:rsidRPr="0037513D">
        <w:rPr>
          <w:rFonts w:ascii="Garamond" w:hAnsi="Garamond"/>
          <w:sz w:val="18"/>
          <w:szCs w:val="18"/>
        </w:rPr>
        <w:t xml:space="preserve"> </w:t>
      </w:r>
      <w:r w:rsidRPr="0037513D">
        <w:rPr>
          <w:rFonts w:ascii="Garamond" w:hAnsi="Garamond"/>
          <w:i/>
          <w:iCs/>
          <w:sz w:val="18"/>
          <w:szCs w:val="18"/>
        </w:rPr>
        <w:t>also</w:t>
      </w:r>
      <w:r w:rsidRPr="0037513D">
        <w:rPr>
          <w:rFonts w:ascii="Garamond" w:hAnsi="Garamond"/>
          <w:sz w:val="18"/>
          <w:szCs w:val="18"/>
        </w:rPr>
        <w:t xml:space="preserve"> Peter S. </w:t>
      </w:r>
      <w:proofErr w:type="spellStart"/>
      <w:r w:rsidRPr="0037513D">
        <w:rPr>
          <w:rFonts w:ascii="Garamond" w:hAnsi="Garamond"/>
          <w:sz w:val="18"/>
          <w:szCs w:val="18"/>
        </w:rPr>
        <w:t>Menell</w:t>
      </w:r>
      <w:proofErr w:type="spellEnd"/>
      <w:r w:rsidRPr="0037513D">
        <w:rPr>
          <w:rFonts w:ascii="Garamond" w:hAnsi="Garamond"/>
          <w:sz w:val="18"/>
          <w:szCs w:val="18"/>
        </w:rPr>
        <w:t xml:space="preserve">, </w:t>
      </w:r>
      <w:r w:rsidRPr="0037513D">
        <w:rPr>
          <w:rStyle w:val="Emphasis"/>
          <w:rFonts w:ascii="Garamond" w:hAnsi="Garamond"/>
          <w:sz w:val="18"/>
          <w:szCs w:val="18"/>
        </w:rPr>
        <w:t>Brand Totalitarianism</w:t>
      </w:r>
      <w:r w:rsidRPr="0037513D">
        <w:rPr>
          <w:rFonts w:ascii="Garamond" w:hAnsi="Garamond"/>
          <w:sz w:val="18"/>
          <w:szCs w:val="18"/>
        </w:rPr>
        <w:t xml:space="preserve">, 47 </w:t>
      </w:r>
      <w:r w:rsidRPr="0037513D">
        <w:rPr>
          <w:rFonts w:ascii="Garamond" w:hAnsi="Garamond"/>
          <w:smallCaps/>
          <w:sz w:val="18"/>
          <w:szCs w:val="18"/>
        </w:rPr>
        <w:t xml:space="preserve">U.C. Davis L. Rev. </w:t>
      </w:r>
      <w:r w:rsidRPr="0037513D">
        <w:rPr>
          <w:rFonts w:ascii="Garamond" w:hAnsi="Garamond"/>
          <w:sz w:val="18"/>
          <w:szCs w:val="18"/>
        </w:rPr>
        <w:t>787 (2014)</w:t>
      </w:r>
      <w:r w:rsidRPr="0037513D">
        <w:rPr>
          <w:rFonts w:ascii="Garamond" w:hAnsi="Garamond"/>
          <w:sz w:val="18"/>
          <w:szCs w:val="18"/>
          <w:lang w:bidi="he-IL"/>
        </w:rPr>
        <w:t xml:space="preserve">; </w:t>
      </w:r>
      <w:r w:rsidRPr="0037513D">
        <w:rPr>
          <w:rFonts w:ascii="Garamond" w:hAnsi="Garamond"/>
          <w:sz w:val="18"/>
          <w:szCs w:val="18"/>
        </w:rPr>
        <w:t xml:space="preserve">Bartosz W.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Nathaniel J. Evans, </w:t>
      </w:r>
      <w:r w:rsidRPr="0037513D">
        <w:rPr>
          <w:rStyle w:val="Emphasis"/>
          <w:rFonts w:ascii="Garamond" w:hAnsi="Garamond"/>
          <w:sz w:val="18"/>
          <w:szCs w:val="18"/>
        </w:rPr>
        <w:t>The Covert Advertising Recognition and Effects (CARE) Model: Processes of Persuasion in Native Advertising and Other Masked Formats</w:t>
      </w:r>
      <w:r w:rsidRPr="0037513D">
        <w:rPr>
          <w:rFonts w:ascii="Garamond" w:hAnsi="Garamond"/>
          <w:b/>
          <w:bCs/>
          <w:sz w:val="18"/>
          <w:szCs w:val="18"/>
        </w:rPr>
        <w:t xml:space="preserve">, </w:t>
      </w:r>
      <w:r w:rsidRPr="0037513D">
        <w:rPr>
          <w:rStyle w:val="Strong"/>
          <w:rFonts w:ascii="Garamond" w:hAnsi="Garamond"/>
          <w:b w:val="0"/>
          <w:bCs w:val="0"/>
          <w:sz w:val="18"/>
          <w:szCs w:val="18"/>
        </w:rPr>
        <w:t xml:space="preserve">39 </w:t>
      </w:r>
      <w:proofErr w:type="spellStart"/>
      <w:r w:rsidRPr="0037513D">
        <w:rPr>
          <w:rStyle w:val="Strong"/>
          <w:rFonts w:ascii="Garamond" w:hAnsi="Garamond"/>
          <w:b w:val="0"/>
          <w:bCs w:val="0"/>
          <w:smallCaps/>
          <w:sz w:val="18"/>
          <w:szCs w:val="18"/>
        </w:rPr>
        <w:t>I</w:t>
      </w:r>
      <w:r w:rsidRPr="0037513D">
        <w:rPr>
          <w:rStyle w:val="Strong"/>
          <w:rFonts w:ascii="Garamond" w:eastAsiaTheme="majorEastAsia" w:hAnsi="Garamond"/>
          <w:b w:val="0"/>
          <w:bCs w:val="0"/>
          <w:smallCaps/>
          <w:sz w:val="18"/>
          <w:szCs w:val="18"/>
        </w:rPr>
        <w:t>nte'l</w:t>
      </w:r>
      <w:proofErr w:type="spellEnd"/>
      <w:r w:rsidRPr="0037513D">
        <w:rPr>
          <w:rStyle w:val="Strong"/>
          <w:rFonts w:ascii="Garamond" w:hAnsi="Garamond"/>
          <w:b w:val="0"/>
          <w:bCs w:val="0"/>
          <w:smallCaps/>
          <w:sz w:val="18"/>
          <w:szCs w:val="18"/>
        </w:rPr>
        <w:t xml:space="preserve"> J. A</w:t>
      </w:r>
      <w:r w:rsidRPr="0037513D">
        <w:rPr>
          <w:rStyle w:val="Strong"/>
          <w:rFonts w:ascii="Garamond" w:eastAsiaTheme="majorEastAsia" w:hAnsi="Garamond"/>
          <w:b w:val="0"/>
          <w:bCs w:val="0"/>
          <w:smallCaps/>
          <w:sz w:val="18"/>
          <w:szCs w:val="18"/>
        </w:rPr>
        <w:t>dvert</w:t>
      </w:r>
      <w:r w:rsidRPr="0037513D">
        <w:rPr>
          <w:rStyle w:val="Strong"/>
          <w:rFonts w:ascii="Garamond" w:hAnsi="Garamond"/>
          <w:sz w:val="18"/>
          <w:szCs w:val="18"/>
        </w:rPr>
        <w:t>.</w:t>
      </w:r>
      <w:r w:rsidRPr="0037513D">
        <w:rPr>
          <w:rFonts w:ascii="Garamond" w:hAnsi="Garamond"/>
          <w:sz w:val="18"/>
          <w:szCs w:val="18"/>
        </w:rPr>
        <w:t xml:space="preserve"> 4, 4–31 (2020).</w:t>
      </w:r>
    </w:p>
  </w:footnote>
  <w:footnote w:id="52">
    <w:p w14:paraId="79ED10C1" w14:textId="77777777" w:rsidR="004B5444" w:rsidRPr="0037513D" w:rsidRDefault="004B5444" w:rsidP="004B544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Chris Jay Hoofnagle &amp; Eduard Meleshinsky</w:t>
      </w:r>
      <w:r w:rsidRPr="0037513D">
        <w:rPr>
          <w:rFonts w:ascii="Garamond" w:eastAsia="Times New Roman" w:hAnsi="Garamond"/>
          <w:i/>
          <w:iCs/>
          <w:sz w:val="18"/>
          <w:szCs w:val="18"/>
        </w:rPr>
        <w:t>, Native Advertising and Endorsement: Schema, Source-Based Misleadingness, and Omission of Material Facts</w:t>
      </w:r>
      <w:r w:rsidRPr="0037513D">
        <w:rPr>
          <w:rFonts w:ascii="Garamond" w:eastAsia="Times New Roman" w:hAnsi="Garamond"/>
          <w:smallCaps/>
          <w:sz w:val="18"/>
          <w:szCs w:val="18"/>
        </w:rPr>
        <w:t>, Tech. Sci. 1, 3</w:t>
      </w:r>
      <w:r w:rsidRPr="0037513D">
        <w:rPr>
          <w:rFonts w:ascii="Garamond" w:eastAsia="Times New Roman" w:hAnsi="Garamond"/>
          <w:sz w:val="18"/>
          <w:szCs w:val="18"/>
        </w:rPr>
        <w:t xml:space="preserve"> (2015).</w:t>
      </w:r>
    </w:p>
  </w:footnote>
  <w:footnote w:id="53">
    <w:p w14:paraId="50E62B79" w14:textId="183F971B" w:rsidR="00341B63" w:rsidRPr="0037513D" w:rsidRDefault="00341B63"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1513E9" w:rsidRPr="0037513D">
        <w:rPr>
          <w:rFonts w:ascii="Garamond" w:eastAsia="Times New Roman" w:hAnsi="Garamond" w:cs="Times New Roman"/>
          <w:i/>
          <w:iCs/>
          <w:color w:val="000000"/>
          <w:kern w:val="0"/>
          <w:sz w:val="18"/>
          <w:szCs w:val="18"/>
          <w14:ligatures w14:val="none"/>
        </w:rPr>
        <w:t xml:space="preserve">Id. </w:t>
      </w:r>
      <w:r w:rsidR="00003F76" w:rsidRPr="0037513D">
        <w:rPr>
          <w:rFonts w:ascii="Garamond" w:eastAsia="Times New Roman" w:hAnsi="Garamond" w:cs="Times New Roman"/>
          <w:color w:val="000000"/>
          <w:kern w:val="0"/>
          <w:sz w:val="18"/>
          <w:szCs w:val="18"/>
          <w14:ligatures w14:val="none"/>
        </w:rPr>
        <w:t>at</w:t>
      </w:r>
      <w:r w:rsidR="00003F76" w:rsidRPr="0037513D">
        <w:rPr>
          <w:rFonts w:ascii="Garamond" w:hAnsi="Garamond"/>
          <w:color w:val="000000" w:themeColor="text1"/>
          <w:sz w:val="18"/>
          <w:szCs w:val="18"/>
        </w:rPr>
        <w:t xml:space="preserve"> 3</w:t>
      </w:r>
      <w:r w:rsidR="001513E9" w:rsidRPr="0037513D">
        <w:rPr>
          <w:rFonts w:ascii="Garamond" w:hAnsi="Garamond"/>
          <w:color w:val="000000" w:themeColor="text1"/>
          <w:sz w:val="18"/>
          <w:szCs w:val="18"/>
        </w:rPr>
        <w:t>–</w:t>
      </w:r>
      <w:r w:rsidR="00003F76" w:rsidRPr="0037513D">
        <w:rPr>
          <w:rFonts w:ascii="Garamond" w:hAnsi="Garamond"/>
          <w:color w:val="000000" w:themeColor="text1"/>
          <w:sz w:val="18"/>
          <w:szCs w:val="18"/>
        </w:rPr>
        <w:t>4.</w:t>
      </w:r>
    </w:p>
  </w:footnote>
  <w:footnote w:id="54">
    <w:p w14:paraId="4366E921" w14:textId="77777777" w:rsidR="00887C73" w:rsidRPr="0037513D" w:rsidRDefault="00887C73" w:rsidP="00887C7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Anand Jhawar, Sanjeev Varshney, &amp; Prashant Kumar, S</w:t>
      </w:r>
      <w:r w:rsidRPr="0037513D">
        <w:rPr>
          <w:rFonts w:ascii="Garamond" w:hAnsi="Garamond"/>
          <w:i/>
          <w:iCs/>
          <w:sz w:val="18"/>
          <w:szCs w:val="18"/>
        </w:rPr>
        <w:t>ponsorship Disclosure on social media: literature review and future research agenda</w:t>
      </w:r>
      <w:r w:rsidRPr="0037513D">
        <w:rPr>
          <w:rFonts w:ascii="Garamond" w:hAnsi="Garamond"/>
          <w:sz w:val="18"/>
          <w:szCs w:val="18"/>
        </w:rPr>
        <w:t xml:space="preserve">, 74 </w:t>
      </w:r>
      <w:r w:rsidRPr="0037513D">
        <w:rPr>
          <w:rFonts w:ascii="Garamond" w:hAnsi="Garamond" w:cstheme="majorBidi"/>
          <w:smallCaps/>
          <w:sz w:val="18"/>
          <w:szCs w:val="18"/>
        </w:rPr>
        <w:t>Management</w:t>
      </w:r>
      <w:r w:rsidRPr="0037513D">
        <w:rPr>
          <w:rFonts w:ascii="Garamond" w:hAnsi="Garamond"/>
          <w:sz w:val="18"/>
          <w:szCs w:val="18"/>
        </w:rPr>
        <w:t xml:space="preserve"> R</w:t>
      </w:r>
      <w:r w:rsidRPr="0037513D">
        <w:rPr>
          <w:rFonts w:ascii="Garamond" w:hAnsi="Garamond" w:cstheme="majorBidi"/>
          <w:smallCaps/>
          <w:sz w:val="18"/>
          <w:szCs w:val="18"/>
        </w:rPr>
        <w:t>eview Quarterly</w:t>
      </w:r>
      <w:r w:rsidRPr="0037513D">
        <w:rPr>
          <w:rFonts w:ascii="Garamond" w:hAnsi="Garamond"/>
          <w:sz w:val="18"/>
          <w:szCs w:val="18"/>
        </w:rPr>
        <w:t xml:space="preserve"> 1589, 1599 (2024)</w:t>
      </w:r>
      <w:r w:rsidRPr="0037513D">
        <w:rPr>
          <w:rFonts w:ascii="Garamond" w:hAnsi="Garamond" w:cstheme="majorBidi"/>
          <w:sz w:val="18"/>
          <w:szCs w:val="18"/>
          <w:lang w:bidi="he-IL"/>
        </w:rPr>
        <w:t xml:space="preserve">. </w:t>
      </w:r>
      <w:r w:rsidRPr="0037513D">
        <w:rPr>
          <w:rFonts w:ascii="Garamond" w:hAnsi="Garamond" w:cstheme="majorBidi"/>
          <w:i/>
          <w:iCs/>
          <w:sz w:val="18"/>
          <w:szCs w:val="18"/>
          <w:lang w:bidi="he-IL"/>
        </w:rPr>
        <w:t xml:space="preserve">See also </w:t>
      </w:r>
      <w:r w:rsidRPr="0037513D">
        <w:rPr>
          <w:rFonts w:ascii="Garamond" w:hAnsi="Garamond" w:cstheme="majorBidi"/>
          <w:sz w:val="18"/>
          <w:szCs w:val="18"/>
        </w:rPr>
        <w:t xml:space="preserve">Marian Friestad &amp; Peter Wright, </w:t>
      </w:r>
      <w:r w:rsidRPr="0037513D">
        <w:rPr>
          <w:rFonts w:ascii="Garamond" w:hAnsi="Garamond" w:cstheme="majorBidi"/>
          <w:i/>
          <w:iCs/>
          <w:sz w:val="18"/>
          <w:szCs w:val="18"/>
        </w:rPr>
        <w:t xml:space="preserve">The Persuasion Knowledge Model: How People Cope with Persuasion Attempts, 21 </w:t>
      </w:r>
      <w:r w:rsidRPr="0037513D">
        <w:rPr>
          <w:rFonts w:ascii="Garamond" w:hAnsi="Garamond" w:cstheme="majorBidi"/>
          <w:sz w:val="18"/>
          <w:szCs w:val="18"/>
        </w:rPr>
        <w:t xml:space="preserve">J. </w:t>
      </w:r>
      <w:r w:rsidRPr="0037513D">
        <w:rPr>
          <w:rFonts w:ascii="Garamond" w:hAnsi="Garamond" w:cstheme="majorBidi"/>
          <w:smallCaps/>
          <w:sz w:val="18"/>
          <w:szCs w:val="18"/>
        </w:rPr>
        <w:t>Consumer Res.</w:t>
      </w:r>
      <w:r w:rsidRPr="0037513D">
        <w:rPr>
          <w:rFonts w:ascii="Garamond" w:hAnsi="Garamond" w:cstheme="majorBidi"/>
          <w:sz w:val="18"/>
          <w:szCs w:val="18"/>
        </w:rPr>
        <w:t xml:space="preserve"> 1, 3 (1994). Another influential model describing advertising’s hidden persuasive force, is Robert Heath’s Low Involvement Processing Model. </w:t>
      </w:r>
      <w:r w:rsidRPr="0037513D">
        <w:rPr>
          <w:rFonts w:ascii="Garamond" w:hAnsi="Garamond" w:cstheme="majorBidi"/>
          <w:i/>
          <w:iCs/>
          <w:sz w:val="18"/>
          <w:szCs w:val="18"/>
        </w:rPr>
        <w:t>See</w:t>
      </w:r>
      <w:r w:rsidRPr="0037513D">
        <w:rPr>
          <w:rFonts w:ascii="Garamond" w:hAnsi="Garamond" w:cstheme="majorBidi"/>
          <w:sz w:val="18"/>
          <w:szCs w:val="18"/>
        </w:rPr>
        <w:t xml:space="preserve"> </w:t>
      </w:r>
      <w:r w:rsidRPr="0037513D">
        <w:rPr>
          <w:rStyle w:val="Strong"/>
          <w:rFonts w:ascii="Garamond" w:hAnsi="Garamond"/>
          <w:b w:val="0"/>
          <w:bCs w:val="0"/>
          <w:sz w:val="18"/>
          <w:szCs w:val="18"/>
        </w:rPr>
        <w:t>Robert Heath</w:t>
      </w:r>
      <w:r w:rsidRPr="0037513D">
        <w:rPr>
          <w:rFonts w:ascii="Garamond" w:hAnsi="Garamond"/>
          <w:sz w:val="18"/>
          <w:szCs w:val="18"/>
        </w:rPr>
        <w:t xml:space="preserve">, </w:t>
      </w:r>
      <w:r w:rsidRPr="0037513D">
        <w:rPr>
          <w:rStyle w:val="Emphasis"/>
          <w:rFonts w:ascii="Garamond" w:hAnsi="Garamond"/>
          <w:sz w:val="18"/>
          <w:szCs w:val="18"/>
        </w:rPr>
        <w:t>The Hidden Power of Advertising: How Low Involvement Processing Influences the Way We Choose Brands</w:t>
      </w:r>
      <w:r w:rsidRPr="0037513D">
        <w:rPr>
          <w:rFonts w:ascii="Garamond" w:hAnsi="Garamond"/>
          <w:sz w:val="18"/>
          <w:szCs w:val="18"/>
        </w:rPr>
        <w:t xml:space="preserve"> 76, 77–79 (</w:t>
      </w:r>
      <w:proofErr w:type="spellStart"/>
      <w:r w:rsidRPr="0037513D">
        <w:rPr>
          <w:rStyle w:val="Strong"/>
          <w:rFonts w:ascii="Garamond" w:hAnsi="Garamond"/>
          <w:b w:val="0"/>
          <w:bCs w:val="0"/>
          <w:sz w:val="18"/>
          <w:szCs w:val="18"/>
        </w:rPr>
        <w:t>Admap</w:t>
      </w:r>
      <w:proofErr w:type="spellEnd"/>
      <w:r w:rsidRPr="0037513D">
        <w:rPr>
          <w:rStyle w:val="Strong"/>
          <w:rFonts w:ascii="Garamond" w:hAnsi="Garamond"/>
          <w:b w:val="0"/>
          <w:bCs w:val="0"/>
          <w:sz w:val="18"/>
          <w:szCs w:val="18"/>
        </w:rPr>
        <w:t xml:space="preserve"> Publications</w:t>
      </w:r>
      <w:r w:rsidRPr="0037513D">
        <w:rPr>
          <w:rFonts w:ascii="Garamond" w:hAnsi="Garamond"/>
          <w:sz w:val="18"/>
          <w:szCs w:val="18"/>
        </w:rPr>
        <w:t xml:space="preserve"> 2002). </w:t>
      </w:r>
      <w:r w:rsidRPr="0037513D">
        <w:rPr>
          <w:rFonts w:ascii="Garamond" w:hAnsi="Garamond" w:cstheme="majorBidi"/>
          <w:sz w:val="18"/>
          <w:szCs w:val="18"/>
        </w:rPr>
        <w:t xml:space="preserve">(Emphasizes that consumers tend to process media passively through an automatic or subconscious process). </w:t>
      </w:r>
      <w:r w:rsidRPr="0037513D">
        <w:rPr>
          <w:rStyle w:val="Strong"/>
          <w:rFonts w:ascii="Garamond" w:eastAsiaTheme="majorEastAsia" w:hAnsi="Garamond"/>
          <w:b w:val="0"/>
          <w:bCs w:val="0"/>
          <w:i/>
          <w:iCs/>
          <w:sz w:val="18"/>
          <w:szCs w:val="18"/>
        </w:rPr>
        <w:t>See also</w:t>
      </w:r>
      <w:r w:rsidRPr="0037513D">
        <w:rPr>
          <w:rFonts w:ascii="Garamond" w:hAnsi="Garamond"/>
          <w:sz w:val="18"/>
          <w:szCs w:val="18"/>
        </w:rPr>
        <w:t xml:space="preserve"> Nathaniel J. Evans et al., </w:t>
      </w:r>
      <w:r w:rsidRPr="0037513D">
        <w:rPr>
          <w:rStyle w:val="Emphasis"/>
          <w:rFonts w:ascii="Garamond" w:hAnsi="Garamond"/>
          <w:sz w:val="18"/>
          <w:szCs w:val="18"/>
        </w:rPr>
        <w:t>Disclosing Instagram Influencer Advertising: The Effects of Disclosure Language on Advertising Recognition, Attitudes, and Behavioral Intent</w:t>
      </w:r>
      <w:r w:rsidRPr="0037513D">
        <w:rPr>
          <w:rFonts w:ascii="Garamond" w:hAnsi="Garamond"/>
          <w:sz w:val="18"/>
          <w:szCs w:val="18"/>
        </w:rPr>
        <w:t xml:space="preserve">, </w:t>
      </w:r>
      <w:r w:rsidRPr="0037513D">
        <w:rPr>
          <w:rStyle w:val="Strong"/>
          <w:rFonts w:ascii="Garamond" w:hAnsi="Garamond"/>
          <w:b w:val="0"/>
          <w:bCs w:val="0"/>
          <w:smallCaps/>
          <w:sz w:val="18"/>
          <w:szCs w:val="18"/>
        </w:rPr>
        <w:t>45 J. I</w:t>
      </w:r>
      <w:r w:rsidRPr="0037513D">
        <w:rPr>
          <w:rStyle w:val="Strong"/>
          <w:rFonts w:ascii="Garamond" w:eastAsiaTheme="majorEastAsia" w:hAnsi="Garamond"/>
          <w:b w:val="0"/>
          <w:bCs w:val="0"/>
          <w:smallCaps/>
          <w:sz w:val="18"/>
          <w:szCs w:val="18"/>
        </w:rPr>
        <w:t>nteractive</w:t>
      </w:r>
      <w:r w:rsidRPr="0037513D">
        <w:rPr>
          <w:rStyle w:val="Strong"/>
          <w:rFonts w:ascii="Garamond" w:hAnsi="Garamond"/>
          <w:b w:val="0"/>
          <w:bCs w:val="0"/>
          <w:smallCaps/>
          <w:sz w:val="18"/>
          <w:szCs w:val="18"/>
        </w:rPr>
        <w:t xml:space="preserve"> A</w:t>
      </w:r>
      <w:r w:rsidRPr="0037513D">
        <w:rPr>
          <w:rStyle w:val="Strong"/>
          <w:rFonts w:ascii="Garamond" w:eastAsiaTheme="majorEastAsia" w:hAnsi="Garamond"/>
          <w:b w:val="0"/>
          <w:bCs w:val="0"/>
          <w:smallCaps/>
          <w:sz w:val="18"/>
          <w:szCs w:val="18"/>
        </w:rPr>
        <w:t>dvert</w:t>
      </w:r>
      <w:r w:rsidRPr="0037513D">
        <w:rPr>
          <w:rStyle w:val="Strong"/>
          <w:rFonts w:ascii="Garamond" w:hAnsi="Garamond"/>
          <w:b w:val="0"/>
          <w:bCs w:val="0"/>
          <w:sz w:val="18"/>
          <w:szCs w:val="18"/>
        </w:rPr>
        <w:t>.</w:t>
      </w:r>
      <w:r w:rsidRPr="0037513D">
        <w:rPr>
          <w:rFonts w:ascii="Garamond" w:hAnsi="Garamond"/>
          <w:sz w:val="18"/>
          <w:szCs w:val="18"/>
        </w:rPr>
        <w:t xml:space="preserve"> 138, 138–49 (2017);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Hoofnagle</w:t>
      </w:r>
      <w:r w:rsidRPr="0037513D">
        <w:rPr>
          <w:rFonts w:ascii="Garamond" w:eastAsia="Times New Roman" w:hAnsi="Garamond"/>
          <w:smallCaps/>
          <w:sz w:val="18"/>
          <w:szCs w:val="18"/>
        </w:rPr>
        <w:t xml:space="preserv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 xml:space="preserve">note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eastAsia="Times New Roman" w:hAnsi="Garamond" w:cs="Times New Roman"/>
          <w:color w:val="000000"/>
          <w:kern w:val="0"/>
          <w:sz w:val="18"/>
          <w:szCs w:val="18"/>
          <w14:ligatures w14:val="none"/>
        </w:rPr>
        <w:t>, at</w:t>
      </w:r>
      <w:r w:rsidRPr="0037513D">
        <w:rPr>
          <w:rFonts w:ascii="Garamond" w:hAnsi="Garamond"/>
          <w:color w:val="000000" w:themeColor="text1"/>
          <w:sz w:val="18"/>
          <w:szCs w:val="18"/>
        </w:rPr>
        <w:t xml:space="preserve"> 4 </w:t>
      </w:r>
      <w:r w:rsidRPr="0037513D">
        <w:rPr>
          <w:rFonts w:ascii="Garamond" w:hAnsi="Garamond"/>
          <w:sz w:val="18"/>
          <w:szCs w:val="18"/>
        </w:rPr>
        <w:t>(discussing schema theory).</w:t>
      </w:r>
    </w:p>
  </w:footnote>
  <w:footnote w:id="55">
    <w:p w14:paraId="47AE9BA2" w14:textId="329862A6" w:rsidR="00770E9E" w:rsidRPr="0037513D" w:rsidRDefault="00770E9E" w:rsidP="00982077">
      <w:pPr>
        <w:pStyle w:val="FootnoteText"/>
        <w:spacing w:after="0" w:line="240" w:lineRule="auto"/>
        <w:contextualSpacing/>
        <w:jc w:val="both"/>
        <w:rPr>
          <w:rFonts w:ascii="Garamond" w:eastAsiaTheme="minorHAnsi" w:hAnsi="Garamond" w:cstheme="majorBidi"/>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6C4E9C" w:rsidRPr="0037513D">
        <w:rPr>
          <w:rFonts w:ascii="Garamond" w:eastAsiaTheme="minorHAnsi" w:hAnsi="Garamond" w:cstheme="majorBidi"/>
          <w:i/>
          <w:iCs/>
          <w:sz w:val="18"/>
          <w:szCs w:val="18"/>
        </w:rPr>
        <w:t>See, e.g.,</w:t>
      </w:r>
      <w:r w:rsidR="006C4E9C" w:rsidRPr="0037513D">
        <w:rPr>
          <w:rFonts w:ascii="Garamond" w:hAnsi="Garamond"/>
          <w:sz w:val="18"/>
          <w:szCs w:val="18"/>
          <w:rtl/>
          <w:lang w:bidi="he-IL"/>
        </w:rPr>
        <w:t xml:space="preserve"> </w:t>
      </w:r>
      <w:r w:rsidR="006C4E9C" w:rsidRPr="0037513D">
        <w:rPr>
          <w:rFonts w:ascii="Garamond" w:hAnsi="Garamond"/>
          <w:sz w:val="18"/>
          <w:szCs w:val="18"/>
        </w:rPr>
        <w:t xml:space="preserve">Anthony G. Greenwald &amp; Clark Leavitt, </w:t>
      </w:r>
      <w:r w:rsidR="006C4E9C" w:rsidRPr="0037513D">
        <w:rPr>
          <w:rStyle w:val="Emphasis"/>
          <w:rFonts w:ascii="Garamond" w:hAnsi="Garamond"/>
          <w:sz w:val="18"/>
          <w:szCs w:val="18"/>
        </w:rPr>
        <w:t>Cognitive Theory and Audience Involvement</w:t>
      </w:r>
      <w:r w:rsidR="006C4E9C" w:rsidRPr="0037513D">
        <w:rPr>
          <w:rFonts w:ascii="Garamond" w:hAnsi="Garamond"/>
          <w:sz w:val="18"/>
          <w:szCs w:val="18"/>
        </w:rPr>
        <w:t xml:space="preserve">, in </w:t>
      </w:r>
      <w:r w:rsidR="006C4E9C" w:rsidRPr="0037513D">
        <w:rPr>
          <w:rStyle w:val="Emphasis"/>
          <w:rFonts w:ascii="Garamond" w:hAnsi="Garamond"/>
          <w:sz w:val="18"/>
          <w:szCs w:val="18"/>
        </w:rPr>
        <w:t>Psychological Processes and Advertising Effects: Theory, Research, and Applications</w:t>
      </w:r>
      <w:r w:rsidR="006C4E9C" w:rsidRPr="0037513D">
        <w:rPr>
          <w:rFonts w:ascii="Garamond" w:hAnsi="Garamond"/>
          <w:sz w:val="18"/>
          <w:szCs w:val="18"/>
        </w:rPr>
        <w:t xml:space="preserve"> 221, 221–26 (Linda F. </w:t>
      </w:r>
      <w:proofErr w:type="spellStart"/>
      <w:r w:rsidR="006C4E9C" w:rsidRPr="0037513D">
        <w:rPr>
          <w:rFonts w:ascii="Garamond" w:hAnsi="Garamond"/>
          <w:sz w:val="18"/>
          <w:szCs w:val="18"/>
        </w:rPr>
        <w:t>Alwitt</w:t>
      </w:r>
      <w:proofErr w:type="spellEnd"/>
      <w:r w:rsidR="006C4E9C" w:rsidRPr="0037513D">
        <w:rPr>
          <w:rFonts w:ascii="Garamond" w:hAnsi="Garamond"/>
          <w:sz w:val="18"/>
          <w:szCs w:val="18"/>
        </w:rPr>
        <w:t xml:space="preserve"> &amp; Andrew A. Mitchell eds., 1985)</w:t>
      </w:r>
      <w:r w:rsidR="006C4E9C" w:rsidRPr="0037513D">
        <w:rPr>
          <w:rFonts w:ascii="Garamond" w:hAnsi="Garamond"/>
          <w:sz w:val="18"/>
          <w:szCs w:val="18"/>
          <w:lang w:bidi="he-IL"/>
        </w:rPr>
        <w:t xml:space="preserve">; </w:t>
      </w:r>
      <w:r w:rsidR="006C4E9C" w:rsidRPr="0037513D">
        <w:rPr>
          <w:rStyle w:val="Strong"/>
          <w:rFonts w:ascii="Garamond" w:hAnsi="Garamond"/>
          <w:b w:val="0"/>
          <w:bCs w:val="0"/>
          <w:i/>
          <w:iCs/>
          <w:sz w:val="18"/>
          <w:szCs w:val="18"/>
        </w:rPr>
        <w:t>See</w:t>
      </w:r>
      <w:r w:rsidR="006C4E9C" w:rsidRPr="0037513D">
        <w:rPr>
          <w:rStyle w:val="Strong"/>
          <w:rFonts w:ascii="Garamond" w:hAnsi="Garamond"/>
          <w:b w:val="0"/>
          <w:bCs w:val="0"/>
          <w:sz w:val="18"/>
          <w:szCs w:val="18"/>
        </w:rPr>
        <w:t xml:space="preserve"> Heath, supra</w:t>
      </w:r>
      <w:r w:rsidR="006C4E9C" w:rsidRPr="0037513D">
        <w:rPr>
          <w:rFonts w:ascii="Garamond" w:hAnsi="Garamond"/>
          <w:b/>
          <w:bCs/>
          <w:sz w:val="18"/>
          <w:szCs w:val="18"/>
        </w:rPr>
        <w:t xml:space="preserve"> </w:t>
      </w:r>
      <w:r w:rsidR="006C4E9C" w:rsidRPr="0037513D">
        <w:rPr>
          <w:rFonts w:ascii="Garamond" w:hAnsi="Garamond"/>
          <w:sz w:val="18"/>
          <w:szCs w:val="18"/>
        </w:rPr>
        <w:t xml:space="preserve">note </w:t>
      </w:r>
      <w:r w:rsidR="006C4E9C" w:rsidRPr="0037513D">
        <w:rPr>
          <w:rFonts w:ascii="Garamond" w:hAnsi="Garamond"/>
          <w:sz w:val="18"/>
          <w:szCs w:val="18"/>
        </w:rPr>
        <w:fldChar w:fldCharType="begin"/>
      </w:r>
      <w:r w:rsidR="006C4E9C" w:rsidRPr="0037513D">
        <w:rPr>
          <w:rFonts w:ascii="Garamond" w:hAnsi="Garamond"/>
          <w:sz w:val="18"/>
          <w:szCs w:val="18"/>
        </w:rPr>
        <w:instrText xml:space="preserve"> NOTEREF _Ref214374427 \h  \* MERGEFORMAT </w:instrText>
      </w:r>
      <w:r w:rsidR="006C4E9C" w:rsidRPr="0037513D">
        <w:rPr>
          <w:rFonts w:ascii="Garamond" w:hAnsi="Garamond"/>
          <w:sz w:val="18"/>
          <w:szCs w:val="18"/>
        </w:rPr>
      </w:r>
      <w:r w:rsidR="006C4E9C" w:rsidRPr="0037513D">
        <w:rPr>
          <w:rFonts w:ascii="Garamond" w:hAnsi="Garamond"/>
          <w:sz w:val="18"/>
          <w:szCs w:val="18"/>
        </w:rPr>
        <w:fldChar w:fldCharType="separate"/>
      </w:r>
      <w:r w:rsidR="006C4E9C" w:rsidRPr="0037513D">
        <w:rPr>
          <w:rFonts w:ascii="Garamond" w:hAnsi="Garamond"/>
          <w:sz w:val="18"/>
          <w:szCs w:val="18"/>
        </w:rPr>
        <w:t>42</w:t>
      </w:r>
      <w:r w:rsidR="006C4E9C" w:rsidRPr="0037513D">
        <w:rPr>
          <w:rFonts w:ascii="Garamond" w:hAnsi="Garamond"/>
          <w:sz w:val="18"/>
          <w:szCs w:val="18"/>
        </w:rPr>
        <w:fldChar w:fldCharType="end"/>
      </w:r>
      <w:r w:rsidR="006C4E9C" w:rsidRPr="0037513D">
        <w:rPr>
          <w:rFonts w:ascii="Garamond" w:hAnsi="Garamond"/>
          <w:sz w:val="18"/>
          <w:szCs w:val="18"/>
        </w:rPr>
        <w:t>, at 77–79</w:t>
      </w:r>
      <w:r w:rsidR="006C4E9C" w:rsidRPr="0037513D">
        <w:rPr>
          <w:rFonts w:ascii="Garamond" w:hAnsi="Garamond" w:cs="Times New Roman"/>
          <w:color w:val="000000"/>
          <w:kern w:val="0"/>
          <w:sz w:val="18"/>
          <w:szCs w:val="18"/>
          <w14:ligatures w14:val="none"/>
        </w:rPr>
        <w:t xml:space="preserve">. </w:t>
      </w:r>
      <w:r w:rsidR="006C4E9C" w:rsidRPr="0037513D">
        <w:rPr>
          <w:rFonts w:ascii="Garamond" w:eastAsiaTheme="minorHAnsi" w:hAnsi="Garamond" w:cstheme="majorBidi"/>
          <w:i/>
          <w:iCs/>
          <w:sz w:val="18"/>
          <w:szCs w:val="18"/>
        </w:rPr>
        <w:t>See also</w:t>
      </w:r>
      <w:r w:rsidR="006C4E9C" w:rsidRPr="0037513D">
        <w:rPr>
          <w:rFonts w:ascii="Garamond" w:eastAsiaTheme="minorHAnsi" w:hAnsi="Garamond" w:cstheme="majorBidi"/>
          <w:sz w:val="18"/>
          <w:szCs w:val="18"/>
          <w:rtl/>
          <w:lang w:bidi="he-IL"/>
        </w:rPr>
        <w:t xml:space="preserve"> </w:t>
      </w:r>
      <w:r w:rsidR="006C4E9C" w:rsidRPr="0037513D">
        <w:rPr>
          <w:rFonts w:ascii="Garamond" w:eastAsiaTheme="minorHAnsi" w:hAnsi="Garamond" w:cstheme="majorBidi"/>
          <w:sz w:val="18"/>
          <w:szCs w:val="18"/>
        </w:rPr>
        <w:t xml:space="preserve">John A. McCarty &amp; Tina M. Lowrey, </w:t>
      </w:r>
      <w:r w:rsidR="006C4E9C" w:rsidRPr="0037513D">
        <w:rPr>
          <w:rFonts w:ascii="Garamond" w:eastAsiaTheme="minorHAnsi" w:hAnsi="Garamond" w:cstheme="majorBidi"/>
          <w:i/>
          <w:iCs/>
          <w:sz w:val="18"/>
          <w:szCs w:val="18"/>
        </w:rPr>
        <w:t xml:space="preserve">Product Integration: Current Practices and New Directions, </w:t>
      </w:r>
      <w:r w:rsidR="006C4E9C" w:rsidRPr="0037513D">
        <w:rPr>
          <w:rFonts w:ascii="Garamond" w:eastAsiaTheme="minorHAnsi" w:hAnsi="Garamond" w:cstheme="majorBidi"/>
          <w:sz w:val="18"/>
          <w:szCs w:val="18"/>
        </w:rPr>
        <w:t xml:space="preserve">in </w:t>
      </w:r>
      <w:r w:rsidR="006C4E9C" w:rsidRPr="0037513D">
        <w:rPr>
          <w:rStyle w:val="Strong"/>
          <w:rFonts w:ascii="Garamond" w:hAnsi="Garamond"/>
          <w:b w:val="0"/>
          <w:bCs w:val="0"/>
          <w:smallCaps/>
          <w:sz w:val="18"/>
          <w:szCs w:val="18"/>
        </w:rPr>
        <w:t>The Psychology of Entertainment Media: Blurring The Lines Between Entertainment and Persuasion</w:t>
      </w:r>
      <w:r w:rsidR="006C4E9C" w:rsidRPr="0037513D">
        <w:rPr>
          <w:rFonts w:ascii="Garamond" w:eastAsiaTheme="minorHAnsi" w:hAnsi="Garamond" w:cstheme="majorBidi"/>
          <w:b/>
          <w:bCs/>
          <w:smallCaps/>
          <w:sz w:val="18"/>
          <w:szCs w:val="18"/>
        </w:rPr>
        <w:t xml:space="preserve"> </w:t>
      </w:r>
      <w:r w:rsidR="006C4E9C" w:rsidRPr="0037513D">
        <w:rPr>
          <w:rFonts w:ascii="Garamond" w:eastAsiaTheme="minorHAnsi" w:hAnsi="Garamond" w:cstheme="majorBidi"/>
          <w:sz w:val="18"/>
          <w:szCs w:val="18"/>
        </w:rPr>
        <w:t>11, 19-20 (L.J. Shrum ed., 2</w:t>
      </w:r>
      <w:r w:rsidR="006C4E9C" w:rsidRPr="0037513D">
        <w:rPr>
          <w:rFonts w:ascii="Garamond" w:eastAsiaTheme="minorHAnsi" w:hAnsi="Garamond" w:cstheme="majorBidi"/>
          <w:sz w:val="18"/>
          <w:szCs w:val="18"/>
          <w:vertAlign w:val="superscript"/>
        </w:rPr>
        <w:t>d</w:t>
      </w:r>
      <w:r w:rsidR="006C4E9C" w:rsidRPr="0037513D">
        <w:rPr>
          <w:rFonts w:ascii="Garamond" w:eastAsiaTheme="minorHAnsi" w:hAnsi="Garamond" w:cstheme="majorBidi"/>
          <w:sz w:val="18"/>
          <w:szCs w:val="18"/>
        </w:rPr>
        <w:t xml:space="preserve"> ed.</w:t>
      </w:r>
      <w:r w:rsidR="006C4E9C" w:rsidRPr="0037513D">
        <w:rPr>
          <w:rFonts w:ascii="Garamond" w:eastAsiaTheme="minorHAnsi" w:hAnsi="Garamond" w:cstheme="majorBidi"/>
          <w:i/>
          <w:iCs/>
          <w:sz w:val="18"/>
          <w:szCs w:val="18"/>
        </w:rPr>
        <w:t xml:space="preserve"> </w:t>
      </w:r>
      <w:r w:rsidR="006C4E9C" w:rsidRPr="0037513D">
        <w:rPr>
          <w:rFonts w:ascii="Garamond" w:eastAsiaTheme="minorHAnsi" w:hAnsi="Garamond" w:cstheme="majorBidi"/>
          <w:sz w:val="18"/>
          <w:szCs w:val="18"/>
        </w:rPr>
        <w:t>2012);</w:t>
      </w:r>
      <w:r w:rsidR="006C4E9C" w:rsidRPr="0037513D">
        <w:rPr>
          <w:rFonts w:ascii="Garamond" w:eastAsiaTheme="minorHAnsi" w:hAnsi="Garamond" w:cstheme="majorBidi"/>
          <w:sz w:val="18"/>
          <w:szCs w:val="18"/>
          <w:rtl/>
        </w:rPr>
        <w:t xml:space="preserve"> </w:t>
      </w:r>
      <w:r w:rsidR="006C4E9C" w:rsidRPr="0037513D">
        <w:rPr>
          <w:rFonts w:ascii="Garamond" w:hAnsi="Garamond" w:cstheme="majorBidi"/>
          <w:sz w:val="18"/>
          <w:szCs w:val="18"/>
        </w:rPr>
        <w:t xml:space="preserve">Daniel Susser, Beate Roessler &amp; Helen Nissenbaum, </w:t>
      </w:r>
      <w:r w:rsidR="006C4E9C" w:rsidRPr="0037513D">
        <w:rPr>
          <w:rFonts w:ascii="Garamond" w:hAnsi="Garamond" w:cstheme="majorBidi"/>
          <w:i/>
          <w:iCs/>
          <w:sz w:val="18"/>
          <w:szCs w:val="18"/>
        </w:rPr>
        <w:t>Online manipulation: Hidden Influences in a Digital World</w:t>
      </w:r>
      <w:r w:rsidR="006C4E9C" w:rsidRPr="0037513D">
        <w:rPr>
          <w:rFonts w:ascii="Garamond" w:hAnsi="Garamond" w:cstheme="majorBidi"/>
          <w:sz w:val="18"/>
          <w:szCs w:val="18"/>
        </w:rPr>
        <w:t xml:space="preserve">, 4 </w:t>
      </w:r>
      <w:r w:rsidR="006C4E9C" w:rsidRPr="0037513D">
        <w:rPr>
          <w:rFonts w:ascii="Garamond" w:eastAsiaTheme="minorHAnsi" w:hAnsi="Garamond" w:cstheme="majorBidi"/>
          <w:smallCaps/>
          <w:sz w:val="18"/>
          <w:szCs w:val="18"/>
        </w:rPr>
        <w:t>Geo. L. Tech. Rev</w:t>
      </w:r>
      <w:r w:rsidR="006C4E9C" w:rsidRPr="0037513D">
        <w:rPr>
          <w:rFonts w:ascii="Garamond" w:hAnsi="Garamond" w:cstheme="majorBidi"/>
          <w:sz w:val="18"/>
          <w:szCs w:val="18"/>
        </w:rPr>
        <w:t xml:space="preserve">. 1, 13-15 (2019); </w:t>
      </w:r>
      <w:r w:rsidR="006C4E9C" w:rsidRPr="0037513D">
        <w:rPr>
          <w:rFonts w:ascii="Garamond" w:hAnsi="Garamond" w:cstheme="majorBidi"/>
          <w:sz w:val="18"/>
          <w:szCs w:val="18"/>
          <w:shd w:val="clear" w:color="auto" w:fill="FFFFFF"/>
        </w:rPr>
        <w:t xml:space="preserve">Jon D. Hanson &amp; Douglas A. Kysar, </w:t>
      </w:r>
      <w:r w:rsidR="006C4E9C" w:rsidRPr="0037513D">
        <w:rPr>
          <w:rFonts w:ascii="Garamond" w:hAnsi="Garamond" w:cstheme="majorBidi"/>
          <w:i/>
          <w:iCs/>
          <w:sz w:val="18"/>
          <w:szCs w:val="18"/>
          <w:shd w:val="clear" w:color="auto" w:fill="FFFFFF"/>
        </w:rPr>
        <w:t xml:space="preserve">Taking </w:t>
      </w:r>
      <w:proofErr w:type="spellStart"/>
      <w:r w:rsidR="006C4E9C" w:rsidRPr="0037513D">
        <w:rPr>
          <w:rFonts w:ascii="Garamond" w:hAnsi="Garamond" w:cstheme="majorBidi"/>
          <w:i/>
          <w:iCs/>
          <w:sz w:val="18"/>
          <w:szCs w:val="18"/>
          <w:shd w:val="clear" w:color="auto" w:fill="FFFFFF"/>
        </w:rPr>
        <w:t>Behavioralism</w:t>
      </w:r>
      <w:proofErr w:type="spellEnd"/>
      <w:r w:rsidR="006C4E9C" w:rsidRPr="0037513D">
        <w:rPr>
          <w:rFonts w:ascii="Garamond" w:hAnsi="Garamond" w:cstheme="majorBidi"/>
          <w:i/>
          <w:iCs/>
          <w:sz w:val="18"/>
          <w:szCs w:val="18"/>
          <w:shd w:val="clear" w:color="auto" w:fill="FFFFFF"/>
        </w:rPr>
        <w:t xml:space="preserve"> Seriously: Some Evidence of Market Manipulation</w:t>
      </w:r>
      <w:r w:rsidR="006C4E9C" w:rsidRPr="0037513D">
        <w:rPr>
          <w:rFonts w:ascii="Garamond" w:hAnsi="Garamond" w:cstheme="majorBidi"/>
          <w:sz w:val="18"/>
          <w:szCs w:val="18"/>
          <w:shd w:val="clear" w:color="auto" w:fill="FFFFFF"/>
        </w:rPr>
        <w:t xml:space="preserve">, 112 </w:t>
      </w:r>
      <w:r w:rsidR="006C4E9C" w:rsidRPr="0037513D">
        <w:rPr>
          <w:rFonts w:ascii="Garamond" w:hAnsi="Garamond" w:cstheme="majorBidi"/>
          <w:smallCaps/>
          <w:color w:val="000000"/>
          <w:sz w:val="18"/>
          <w:szCs w:val="18"/>
        </w:rPr>
        <w:t>Harv. L. Rev.</w:t>
      </w:r>
      <w:r w:rsidR="006C4E9C" w:rsidRPr="0037513D">
        <w:rPr>
          <w:rFonts w:ascii="Garamond" w:hAnsi="Garamond" w:cstheme="majorBidi"/>
          <w:sz w:val="18"/>
          <w:szCs w:val="18"/>
          <w:shd w:val="clear" w:color="auto" w:fill="FFFFFF"/>
        </w:rPr>
        <w:t xml:space="preserve"> 1420 (1999);</w:t>
      </w:r>
      <w:r w:rsidR="006C4E9C" w:rsidRPr="0037513D">
        <w:rPr>
          <w:rFonts w:ascii="Garamond" w:hAnsi="Garamond" w:cstheme="majorBidi"/>
          <w:sz w:val="18"/>
          <w:szCs w:val="18"/>
          <w:rtl/>
        </w:rPr>
        <w:t xml:space="preserve"> </w:t>
      </w:r>
      <w:r w:rsidR="006C4E9C" w:rsidRPr="0037513D">
        <w:rPr>
          <w:rFonts w:ascii="Garamond" w:hAnsi="Garamond" w:cstheme="majorBidi"/>
          <w:sz w:val="18"/>
          <w:szCs w:val="18"/>
        </w:rPr>
        <w:t xml:space="preserve">Ryan Calo, </w:t>
      </w:r>
      <w:r w:rsidR="006C4E9C" w:rsidRPr="0037513D">
        <w:rPr>
          <w:rFonts w:ascii="Garamond" w:hAnsi="Garamond" w:cstheme="majorBidi"/>
          <w:i/>
          <w:iCs/>
          <w:sz w:val="18"/>
          <w:szCs w:val="18"/>
        </w:rPr>
        <w:t>Digital Market Manipulation</w:t>
      </w:r>
      <w:r w:rsidR="006C4E9C" w:rsidRPr="0037513D">
        <w:rPr>
          <w:rFonts w:ascii="Garamond" w:hAnsi="Garamond" w:cstheme="majorBidi"/>
          <w:sz w:val="18"/>
          <w:szCs w:val="18"/>
        </w:rPr>
        <w:t xml:space="preserve">, 82 </w:t>
      </w:r>
      <w:r w:rsidR="006C4E9C" w:rsidRPr="0037513D">
        <w:rPr>
          <w:rFonts w:ascii="Garamond" w:hAnsi="Garamond" w:cstheme="majorBidi"/>
          <w:smallCaps/>
          <w:sz w:val="18"/>
          <w:szCs w:val="18"/>
        </w:rPr>
        <w:t xml:space="preserve">Geo. Wash. L. Rev. </w:t>
      </w:r>
      <w:r w:rsidR="006C4E9C" w:rsidRPr="0037513D">
        <w:rPr>
          <w:rFonts w:ascii="Garamond" w:hAnsi="Garamond" w:cstheme="majorBidi"/>
          <w:sz w:val="18"/>
          <w:szCs w:val="18"/>
        </w:rPr>
        <w:t xml:space="preserve">995 (2014); Kyle Bagwell, </w:t>
      </w:r>
      <w:r w:rsidR="006C4E9C" w:rsidRPr="0037513D">
        <w:rPr>
          <w:rFonts w:ascii="Garamond" w:hAnsi="Garamond" w:cstheme="majorBidi"/>
          <w:i/>
          <w:iCs/>
          <w:sz w:val="18"/>
          <w:szCs w:val="18"/>
        </w:rPr>
        <w:t>The Economic Analysis of Advertising</w:t>
      </w:r>
      <w:r w:rsidR="006C4E9C" w:rsidRPr="0037513D">
        <w:rPr>
          <w:rFonts w:ascii="Garamond" w:hAnsi="Garamond" w:cstheme="majorBidi"/>
          <w:sz w:val="18"/>
          <w:szCs w:val="18"/>
        </w:rPr>
        <w:t>,</w:t>
      </w:r>
      <w:r w:rsidR="006C4E9C" w:rsidRPr="0037513D">
        <w:rPr>
          <w:rFonts w:ascii="Garamond" w:hAnsi="Garamond" w:cstheme="majorBidi"/>
          <w:i/>
          <w:iCs/>
          <w:sz w:val="18"/>
          <w:szCs w:val="18"/>
        </w:rPr>
        <w:t xml:space="preserve"> in 3 </w:t>
      </w:r>
      <w:r w:rsidR="006C4E9C" w:rsidRPr="0037513D">
        <w:rPr>
          <w:rFonts w:ascii="Garamond" w:eastAsiaTheme="minorHAnsi" w:hAnsi="Garamond" w:cstheme="majorBidi"/>
          <w:i/>
          <w:iCs/>
          <w:sz w:val="18"/>
          <w:szCs w:val="18"/>
        </w:rPr>
        <w:t>Handbook of Industrial Organization</w:t>
      </w:r>
      <w:r w:rsidR="006C4E9C" w:rsidRPr="0037513D">
        <w:rPr>
          <w:rFonts w:ascii="Garamond" w:hAnsi="Garamond" w:cstheme="majorBidi"/>
          <w:sz w:val="18"/>
          <w:szCs w:val="18"/>
        </w:rPr>
        <w:t xml:space="preserve"> 1701, 1708-16. (M. Armstrong &amp; R. Porter eds., 2007);</w:t>
      </w:r>
      <w:r w:rsidR="006C4E9C" w:rsidRPr="0037513D">
        <w:rPr>
          <w:rFonts w:ascii="Garamond" w:hAnsi="Garamond"/>
          <w:sz w:val="18"/>
          <w:szCs w:val="18"/>
          <w:rtl/>
        </w:rPr>
        <w:t xml:space="preserve"> </w:t>
      </w:r>
      <w:r w:rsidR="006C4E9C" w:rsidRPr="0037513D">
        <w:rPr>
          <w:rFonts w:ascii="Garamond" w:hAnsi="Garamond"/>
          <w:sz w:val="18"/>
          <w:szCs w:val="18"/>
        </w:rPr>
        <w:t xml:space="preserve">Edward Hastings Chamberlin, </w:t>
      </w:r>
      <w:r w:rsidR="006C4E9C" w:rsidRPr="0037513D">
        <w:rPr>
          <w:rStyle w:val="Emphasis"/>
          <w:rFonts w:ascii="Garamond" w:hAnsi="Garamond"/>
          <w:sz w:val="18"/>
          <w:szCs w:val="18"/>
        </w:rPr>
        <w:t>The Theory of Monopolistic Competition: A Re</w:t>
      </w:r>
      <w:r w:rsidR="006C4E9C" w:rsidRPr="0037513D">
        <w:rPr>
          <w:rStyle w:val="Emphasis"/>
          <w:rFonts w:ascii="Garamond" w:hAnsi="Garamond"/>
          <w:sz w:val="18"/>
          <w:szCs w:val="18"/>
        </w:rPr>
        <w:noBreakHyphen/>
        <w:t>Orientation of the Theory of Value</w:t>
      </w:r>
      <w:r w:rsidR="006C4E9C" w:rsidRPr="0037513D">
        <w:rPr>
          <w:rFonts w:ascii="Garamond" w:hAnsi="Garamond"/>
          <w:i/>
          <w:iCs/>
          <w:sz w:val="18"/>
          <w:szCs w:val="18"/>
        </w:rPr>
        <w:t xml:space="preserve"> </w:t>
      </w:r>
      <w:r w:rsidR="006C4E9C" w:rsidRPr="0037513D">
        <w:rPr>
          <w:rFonts w:ascii="Garamond" w:hAnsi="Garamond"/>
          <w:sz w:val="18"/>
          <w:szCs w:val="18"/>
        </w:rPr>
        <w:t>120 (7th ed. 1956);</w:t>
      </w:r>
      <w:r w:rsidR="006C4E9C" w:rsidRPr="0037513D">
        <w:rPr>
          <w:rFonts w:ascii="Garamond" w:eastAsiaTheme="minorHAnsi" w:hAnsi="Garamond" w:cstheme="majorBidi"/>
          <w:sz w:val="18"/>
          <w:szCs w:val="18"/>
        </w:rPr>
        <w:t xml:space="preserve"> Ramsi A. Woodcock, </w:t>
      </w:r>
      <w:r w:rsidR="006C4E9C" w:rsidRPr="0037513D">
        <w:rPr>
          <w:rFonts w:ascii="Garamond" w:eastAsiaTheme="minorHAnsi" w:hAnsi="Garamond" w:cstheme="majorBidi"/>
          <w:i/>
          <w:iCs/>
          <w:sz w:val="18"/>
          <w:szCs w:val="18"/>
        </w:rPr>
        <w:t>The obsolescence of Advertising in the Information Age</w:t>
      </w:r>
      <w:r w:rsidR="006C4E9C" w:rsidRPr="0037513D">
        <w:rPr>
          <w:rFonts w:ascii="Garamond" w:eastAsiaTheme="minorHAnsi" w:hAnsi="Garamond" w:cstheme="majorBidi"/>
          <w:sz w:val="18"/>
          <w:szCs w:val="18"/>
        </w:rPr>
        <w:t xml:space="preserve">, 127 </w:t>
      </w:r>
      <w:r w:rsidR="006C4E9C" w:rsidRPr="0037513D">
        <w:rPr>
          <w:rFonts w:ascii="Garamond" w:eastAsiaTheme="minorHAnsi" w:hAnsi="Garamond" w:cstheme="majorBidi"/>
          <w:smallCaps/>
          <w:sz w:val="18"/>
          <w:szCs w:val="18"/>
        </w:rPr>
        <w:t>Yale L.J</w:t>
      </w:r>
      <w:r w:rsidR="006C4E9C" w:rsidRPr="0037513D">
        <w:rPr>
          <w:rFonts w:ascii="Garamond" w:eastAsiaTheme="minorHAnsi" w:hAnsi="Garamond" w:cstheme="majorBidi"/>
          <w:sz w:val="18"/>
          <w:szCs w:val="18"/>
        </w:rPr>
        <w:t xml:space="preserve">. 2270, 2274-2275 (2018); </w:t>
      </w:r>
      <w:r w:rsidR="006C4E9C" w:rsidRPr="0037513D">
        <w:rPr>
          <w:rFonts w:ascii="Garamond" w:hAnsi="Garamond"/>
          <w:sz w:val="18"/>
          <w:szCs w:val="18"/>
        </w:rPr>
        <w:t xml:space="preserve">Sharon S. Brehm &amp; Jack W. Brehm, </w:t>
      </w:r>
      <w:r w:rsidR="006C4E9C" w:rsidRPr="0037513D">
        <w:rPr>
          <w:rStyle w:val="Emphasis"/>
          <w:rFonts w:ascii="Garamond" w:hAnsi="Garamond"/>
          <w:sz w:val="18"/>
          <w:szCs w:val="18"/>
        </w:rPr>
        <w:t>Psychological Reactance: A Theory of Freedom and Control</w:t>
      </w:r>
      <w:r w:rsidR="006C4E9C" w:rsidRPr="0037513D">
        <w:rPr>
          <w:rFonts w:ascii="Garamond" w:hAnsi="Garamond"/>
          <w:sz w:val="18"/>
          <w:szCs w:val="18"/>
        </w:rPr>
        <w:t xml:space="preserve"> 63–71 (1981); </w:t>
      </w:r>
      <w:r w:rsidR="006C4E9C" w:rsidRPr="0037513D">
        <w:rPr>
          <w:rFonts w:ascii="Garamond" w:eastAsiaTheme="minorHAnsi" w:hAnsi="Garamond" w:cstheme="majorBidi"/>
          <w:sz w:val="18"/>
          <w:szCs w:val="18"/>
        </w:rPr>
        <w:t xml:space="preserve">Ronald Faber et al., </w:t>
      </w:r>
      <w:r w:rsidR="006C4E9C" w:rsidRPr="0037513D">
        <w:rPr>
          <w:rFonts w:ascii="Garamond" w:eastAsiaTheme="minorHAnsi" w:hAnsi="Garamond" w:cstheme="majorBidi"/>
          <w:i/>
          <w:iCs/>
          <w:sz w:val="18"/>
          <w:szCs w:val="18"/>
        </w:rPr>
        <w:t xml:space="preserve">Coloring Outside the Lines: Suggestions for Making Advertising Theory More Meaningful, in </w:t>
      </w:r>
      <w:r w:rsidR="006C4E9C" w:rsidRPr="0037513D">
        <w:rPr>
          <w:rFonts w:ascii="Garamond" w:eastAsiaTheme="minorHAnsi" w:hAnsi="Garamond" w:cstheme="majorBidi"/>
          <w:smallCaps/>
          <w:sz w:val="18"/>
          <w:szCs w:val="18"/>
        </w:rPr>
        <w:t>Advertising Theory</w:t>
      </w:r>
      <w:r w:rsidR="006C4E9C" w:rsidRPr="0037513D">
        <w:rPr>
          <w:rFonts w:ascii="Garamond" w:eastAsiaTheme="minorHAnsi" w:hAnsi="Garamond" w:cstheme="majorBidi"/>
          <w:sz w:val="18"/>
          <w:szCs w:val="18"/>
        </w:rPr>
        <w:t xml:space="preserve"> 18, 20 (Shelly Rodgers &amp; Esther Thorson eds., 2012); John E. Calfee &amp; Debra Jones Ringold, </w:t>
      </w:r>
      <w:r w:rsidR="006C4E9C" w:rsidRPr="0037513D">
        <w:rPr>
          <w:rFonts w:ascii="Garamond" w:eastAsiaTheme="minorHAnsi" w:hAnsi="Garamond" w:cstheme="majorBidi"/>
          <w:i/>
          <w:iCs/>
          <w:sz w:val="18"/>
          <w:szCs w:val="18"/>
        </w:rPr>
        <w:t xml:space="preserve">Consumer Skepticism and Advertising Regulation: What Do the Polls Show?, </w:t>
      </w:r>
      <w:r w:rsidR="006C4E9C" w:rsidRPr="0037513D">
        <w:rPr>
          <w:rFonts w:ascii="Garamond" w:eastAsiaTheme="minorHAnsi" w:hAnsi="Garamond" w:cstheme="majorBidi"/>
          <w:sz w:val="18"/>
          <w:szCs w:val="18"/>
        </w:rPr>
        <w:t xml:space="preserve">15 </w:t>
      </w:r>
      <w:r w:rsidR="006C4E9C" w:rsidRPr="0037513D">
        <w:rPr>
          <w:rFonts w:ascii="Garamond" w:eastAsiaTheme="minorHAnsi" w:hAnsi="Garamond" w:cstheme="majorBidi"/>
          <w:smallCaps/>
          <w:sz w:val="18"/>
          <w:szCs w:val="18"/>
        </w:rPr>
        <w:t>Advances Consumer Res</w:t>
      </w:r>
      <w:r w:rsidR="006C4E9C" w:rsidRPr="0037513D">
        <w:rPr>
          <w:rFonts w:ascii="Garamond" w:eastAsiaTheme="minorHAnsi" w:hAnsi="Garamond" w:cstheme="majorBidi"/>
          <w:sz w:val="18"/>
          <w:szCs w:val="18"/>
        </w:rPr>
        <w:t>. 244, 244</w:t>
      </w:r>
      <w:r w:rsidR="006C4E9C" w:rsidRPr="0037513D">
        <w:rPr>
          <w:rFonts w:ascii="Garamond" w:eastAsiaTheme="minorHAnsi" w:hAnsi="Garamond" w:cstheme="majorBidi"/>
          <w:sz w:val="18"/>
          <w:szCs w:val="18"/>
          <w:rtl/>
        </w:rPr>
        <w:t>-</w:t>
      </w:r>
      <w:r w:rsidR="006C4E9C" w:rsidRPr="0037513D">
        <w:rPr>
          <w:rFonts w:ascii="Garamond" w:eastAsiaTheme="minorHAnsi" w:hAnsi="Garamond" w:cstheme="majorBidi"/>
          <w:sz w:val="18"/>
          <w:szCs w:val="18"/>
        </w:rPr>
        <w:t>48 (1988).</w:t>
      </w:r>
    </w:p>
  </w:footnote>
  <w:footnote w:id="56">
    <w:p w14:paraId="015B149E" w14:textId="77777777" w:rsidR="00013A1D" w:rsidRPr="0037513D" w:rsidRDefault="00013A1D" w:rsidP="00013A1D">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e.g., In re</w:t>
      </w:r>
      <w:r w:rsidRPr="0037513D">
        <w:rPr>
          <w:rFonts w:ascii="Garamond" w:hAnsi="Garamond"/>
          <w:sz w:val="18"/>
          <w:szCs w:val="18"/>
        </w:rPr>
        <w:t xml:space="preserve"> Fyre Festival Litig., No. 1:17-CV-03296, at 6 (S.D.N.Y. Dec. 11, 2018) (discussing the promotion of the scandalous Fyre Festival by prominent influencers such as Kendall Jenner). </w:t>
      </w:r>
      <w:r w:rsidRPr="0037513D">
        <w:rPr>
          <w:rFonts w:ascii="Garamond" w:hAnsi="Garamond"/>
          <w:i/>
          <w:iCs/>
          <w:sz w:val="18"/>
          <w:szCs w:val="18"/>
        </w:rPr>
        <w:t>See also</w:t>
      </w:r>
      <w:r w:rsidRPr="0037513D">
        <w:rPr>
          <w:rFonts w:ascii="Garamond" w:hAnsi="Garamond"/>
          <w:sz w:val="18"/>
          <w:szCs w:val="18"/>
        </w:rPr>
        <w:t xml:space="preserve"> Gwen Aviles, </w:t>
      </w:r>
      <w:r w:rsidRPr="0037513D">
        <w:rPr>
          <w:rFonts w:ascii="Garamond" w:hAnsi="Garamond"/>
          <w:i/>
          <w:iCs/>
          <w:sz w:val="18"/>
          <w:szCs w:val="18"/>
        </w:rPr>
        <w:t>Kendall Jenner to pay $90,000 settlement for promoting Fyre Festival,</w:t>
      </w:r>
      <w:r w:rsidRPr="0037513D">
        <w:rPr>
          <w:rFonts w:ascii="Garamond" w:hAnsi="Garamond"/>
          <w:sz w:val="18"/>
          <w:szCs w:val="18"/>
        </w:rPr>
        <w:t xml:space="preserve"> </w:t>
      </w:r>
      <w:r w:rsidRPr="0037513D">
        <w:rPr>
          <w:rFonts w:ascii="Garamond" w:eastAsiaTheme="minorHAnsi" w:hAnsi="Garamond" w:cstheme="majorBidi"/>
          <w:smallCaps/>
          <w:sz w:val="18"/>
          <w:szCs w:val="18"/>
        </w:rPr>
        <w:t xml:space="preserve">NBC News </w:t>
      </w:r>
      <w:r w:rsidRPr="0037513D">
        <w:rPr>
          <w:rFonts w:ascii="Garamond" w:hAnsi="Garamond"/>
          <w:sz w:val="18"/>
          <w:szCs w:val="18"/>
        </w:rPr>
        <w:t>(May 21, 2020).</w:t>
      </w:r>
    </w:p>
  </w:footnote>
  <w:footnote w:id="57">
    <w:p w14:paraId="70249F81" w14:textId="77777777" w:rsidR="00013A1D" w:rsidRPr="0037513D" w:rsidRDefault="00013A1D" w:rsidP="00013A1D">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e.g.</w:t>
      </w:r>
      <w:r w:rsidRPr="0037513D">
        <w:rPr>
          <w:rFonts w:ascii="Garamond" w:hAnsi="Garamond"/>
          <w:sz w:val="18"/>
          <w:szCs w:val="18"/>
        </w:rPr>
        <w:t xml:space="preserve">, </w:t>
      </w:r>
      <w:r w:rsidRPr="0037513D">
        <w:rPr>
          <w:rFonts w:ascii="Garamond" w:eastAsiaTheme="minorHAnsi" w:hAnsi="Garamond"/>
          <w:color w:val="000000"/>
          <w:sz w:val="18"/>
          <w:szCs w:val="18"/>
        </w:rPr>
        <w:t xml:space="preserve">Robert K. </w:t>
      </w:r>
      <w:proofErr w:type="spellStart"/>
      <w:r w:rsidRPr="0037513D">
        <w:rPr>
          <w:rFonts w:ascii="Garamond" w:eastAsiaTheme="minorHAnsi" w:hAnsi="Garamond"/>
          <w:color w:val="000000"/>
          <w:sz w:val="18"/>
          <w:szCs w:val="18"/>
        </w:rPr>
        <w:t>Jackler</w:t>
      </w:r>
      <w:proofErr w:type="spellEnd"/>
      <w:r w:rsidRPr="0037513D">
        <w:rPr>
          <w:rFonts w:ascii="Garamond" w:eastAsiaTheme="minorHAnsi" w:hAnsi="Garamond"/>
          <w:color w:val="000000"/>
          <w:sz w:val="18"/>
          <w:szCs w:val="18"/>
        </w:rPr>
        <w:t xml:space="preserve"> et al., </w:t>
      </w:r>
      <w:r w:rsidRPr="0037513D">
        <w:rPr>
          <w:rFonts w:ascii="Garamond" w:eastAsiaTheme="minorHAnsi" w:hAnsi="Garamond"/>
          <w:i/>
          <w:iCs/>
          <w:color w:val="000000"/>
          <w:sz w:val="18"/>
          <w:szCs w:val="18"/>
        </w:rPr>
        <w:t>JUUL Advertising over Its First Three Years on the Market</w:t>
      </w:r>
      <w:r w:rsidRPr="0037513D">
        <w:rPr>
          <w:rFonts w:ascii="Garamond" w:eastAsiaTheme="minorHAnsi" w:hAnsi="Garamond"/>
          <w:color w:val="000000"/>
          <w:sz w:val="18"/>
          <w:szCs w:val="18"/>
        </w:rPr>
        <w:t xml:space="preserve">, </w:t>
      </w:r>
      <w:r w:rsidRPr="0037513D">
        <w:rPr>
          <w:rFonts w:ascii="Garamond" w:hAnsi="Garamond"/>
          <w:smallCaps/>
          <w:color w:val="231F20"/>
          <w:sz w:val="18"/>
          <w:szCs w:val="18"/>
        </w:rPr>
        <w:t>Stanford Research into the Impact of Tobacco Advertising</w:t>
      </w:r>
      <w:r w:rsidRPr="0037513D">
        <w:rPr>
          <w:rFonts w:ascii="Garamond" w:eastAsiaTheme="minorHAnsi" w:hAnsi="Garamond"/>
          <w:color w:val="000000"/>
          <w:sz w:val="18"/>
          <w:szCs w:val="18"/>
        </w:rPr>
        <w:t xml:space="preserve"> 1, 19 (2019) (discussing how native advertising by </w:t>
      </w:r>
      <w:r w:rsidRPr="0037513D">
        <w:rPr>
          <w:rFonts w:ascii="Garamond" w:hAnsi="Garamond"/>
          <w:sz w:val="18"/>
          <w:szCs w:val="18"/>
        </w:rPr>
        <w:t xml:space="preserve">teen influencers helped fuel the vaping pandemic). </w:t>
      </w:r>
    </w:p>
  </w:footnote>
  <w:footnote w:id="58">
    <w:p w14:paraId="4FB4D67F" w14:textId="77777777" w:rsidR="00E92197" w:rsidRPr="0037513D" w:rsidRDefault="00E92197" w:rsidP="00E921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e.g. </w:t>
      </w:r>
      <w:r w:rsidRPr="0037513D">
        <w:rPr>
          <w:rFonts w:ascii="Garamond" w:hAnsi="Garamond"/>
          <w:sz w:val="18"/>
          <w:szCs w:val="18"/>
        </w:rPr>
        <w:t xml:space="preserve">Amanda Perelli, </w:t>
      </w:r>
      <w:r w:rsidRPr="0037513D">
        <w:rPr>
          <w:rFonts w:ascii="Garamond" w:hAnsi="Garamond"/>
          <w:i/>
          <w:iCs/>
          <w:sz w:val="18"/>
          <w:szCs w:val="18"/>
        </w:rPr>
        <w:t>Finance influencers are apologizing to fans after making money promoting FTX — and some say they'll make changes</w:t>
      </w:r>
      <w:r w:rsidRPr="0037513D">
        <w:rPr>
          <w:rFonts w:ascii="Garamond" w:hAnsi="Garamond"/>
          <w:sz w:val="18"/>
          <w:szCs w:val="18"/>
        </w:rPr>
        <w:t xml:space="preserve">, </w:t>
      </w:r>
      <w:r w:rsidRPr="0037513D">
        <w:rPr>
          <w:rFonts w:ascii="Garamond" w:hAnsi="Garamond"/>
          <w:smallCaps/>
          <w:color w:val="231F20"/>
          <w:sz w:val="18"/>
          <w:szCs w:val="18"/>
        </w:rPr>
        <w:t xml:space="preserve">Business Insider </w:t>
      </w:r>
      <w:r w:rsidRPr="0037513D">
        <w:rPr>
          <w:rFonts w:ascii="Garamond" w:hAnsi="Garamond"/>
          <w:sz w:val="18"/>
          <w:szCs w:val="18"/>
        </w:rPr>
        <w:t xml:space="preserve">(Nov. 14, 2022) (discussing influencers to natively </w:t>
      </w:r>
      <w:proofErr w:type="gramStart"/>
      <w:r w:rsidRPr="0037513D">
        <w:rPr>
          <w:rFonts w:ascii="Garamond" w:hAnsi="Garamond"/>
          <w:sz w:val="18"/>
          <w:szCs w:val="18"/>
        </w:rPr>
        <w:t>promoted</w:t>
      </w:r>
      <w:proofErr w:type="gramEnd"/>
      <w:r w:rsidRPr="0037513D">
        <w:rPr>
          <w:rFonts w:ascii="Garamond" w:hAnsi="Garamond"/>
          <w:sz w:val="18"/>
          <w:szCs w:val="18"/>
        </w:rPr>
        <w:t xml:space="preserve"> the fraudulent cryptocurrency exchange FTX). </w:t>
      </w:r>
      <w:r w:rsidRPr="0037513D">
        <w:rPr>
          <w:rFonts w:ascii="Garamond" w:hAnsi="Garamond"/>
          <w:i/>
          <w:iCs/>
          <w:sz w:val="18"/>
          <w:szCs w:val="18"/>
        </w:rPr>
        <w:t xml:space="preserve">See also </w:t>
      </w:r>
      <w:r w:rsidRPr="0037513D">
        <w:rPr>
          <w:rFonts w:ascii="Garamond" w:hAnsi="Garamond"/>
          <w:sz w:val="18"/>
          <w:szCs w:val="18"/>
        </w:rPr>
        <w:t xml:space="preserve">Kate Rooney &amp; Jessi Joseph, </w:t>
      </w:r>
      <w:r w:rsidRPr="0037513D">
        <w:rPr>
          <w:rFonts w:ascii="Garamond" w:hAnsi="Garamond"/>
          <w:i/>
          <w:iCs/>
          <w:sz w:val="18"/>
          <w:szCs w:val="18"/>
        </w:rPr>
        <w:t>FTX Customers Who Lost a Fortune on the Bankrupt Exchange Are Doubling Down on Crypto</w:t>
      </w:r>
      <w:r w:rsidRPr="0037513D">
        <w:rPr>
          <w:rFonts w:ascii="Garamond" w:hAnsi="Garamond"/>
          <w:sz w:val="18"/>
          <w:szCs w:val="18"/>
        </w:rPr>
        <w:t>, CNBC (Oct. 2, 2023, at 15:34 ET), https://www.cnbc.com/2023/10/02/ftx-customers-who-lost-fortune-are-doubling-down-on-crypto-.html.</w:t>
      </w:r>
    </w:p>
  </w:footnote>
  <w:footnote w:id="59">
    <w:p w14:paraId="6CD407E8" w14:textId="77777777" w:rsidR="00E92197" w:rsidRPr="0037513D" w:rsidRDefault="00E92197" w:rsidP="00E921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Hoofnagle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note</w:t>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eastAsia="Times New Roman" w:hAnsi="Garamond" w:cs="Times New Roman"/>
          <w:color w:val="000000"/>
          <w:kern w:val="0"/>
          <w:sz w:val="18"/>
          <w:szCs w:val="18"/>
          <w:shd w:val="clear" w:color="auto" w:fill="FFFF00"/>
          <w:lang w:bidi="he-IL"/>
          <w14:ligatures w14:val="none"/>
        </w:rPr>
        <w:t xml:space="preserve">, </w:t>
      </w:r>
      <w:r w:rsidRPr="0037513D">
        <w:rPr>
          <w:rFonts w:ascii="Garamond" w:eastAsia="Times New Roman" w:hAnsi="Garamond" w:cs="Times New Roman"/>
          <w:color w:val="000000"/>
          <w:kern w:val="0"/>
          <w:sz w:val="18"/>
          <w:szCs w:val="18"/>
          <w14:ligatures w14:val="none"/>
        </w:rPr>
        <w:t>at</w:t>
      </w:r>
      <w:r w:rsidRPr="0037513D">
        <w:rPr>
          <w:rFonts w:ascii="Garamond" w:hAnsi="Garamond"/>
          <w:color w:val="000000" w:themeColor="text1"/>
          <w:sz w:val="18"/>
          <w:szCs w:val="18"/>
        </w:rPr>
        <w:t xml:space="preserve"> 5.</w:t>
      </w:r>
    </w:p>
  </w:footnote>
  <w:footnote w:id="60">
    <w:p w14:paraId="107BEFA9" w14:textId="77777777" w:rsidR="00E92197" w:rsidRPr="0037513D" w:rsidRDefault="00E92197" w:rsidP="00E921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Id</w:t>
      </w:r>
      <w:r w:rsidRPr="0037513D">
        <w:rPr>
          <w:rFonts w:ascii="Garamond" w:hAnsi="Garamond"/>
          <w:i/>
          <w:iCs/>
          <w:sz w:val="18"/>
          <w:szCs w:val="18"/>
          <w:rtl/>
          <w:lang w:bidi="he-IL"/>
        </w:rPr>
        <w:t>.</w:t>
      </w:r>
    </w:p>
  </w:footnote>
  <w:footnote w:id="61">
    <w:p w14:paraId="5039C98B" w14:textId="77777777" w:rsidR="00E92197" w:rsidRPr="0037513D" w:rsidRDefault="00E92197" w:rsidP="00E921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Manoj Hastak &amp; Michael B. </w:t>
      </w:r>
      <w:proofErr w:type="spellStart"/>
      <w:r w:rsidRPr="0037513D">
        <w:rPr>
          <w:rFonts w:ascii="Garamond" w:hAnsi="Garamond"/>
          <w:sz w:val="18"/>
          <w:szCs w:val="18"/>
        </w:rPr>
        <w:t>Mazis</w:t>
      </w:r>
      <w:proofErr w:type="spellEnd"/>
      <w:r w:rsidRPr="0037513D">
        <w:rPr>
          <w:rFonts w:ascii="Garamond" w:hAnsi="Garamond"/>
          <w:i/>
          <w:iCs/>
          <w:sz w:val="18"/>
          <w:szCs w:val="18"/>
        </w:rPr>
        <w:t>, Deception by Implication: A Typology of Truthful but Misleading Advertising and Labeling Claims</w:t>
      </w:r>
      <w:r w:rsidRPr="0037513D">
        <w:rPr>
          <w:rFonts w:ascii="Garamond" w:hAnsi="Garamond"/>
          <w:sz w:val="18"/>
          <w:szCs w:val="18"/>
        </w:rPr>
        <w:t xml:space="preserve">, </w:t>
      </w:r>
      <w:r w:rsidRPr="0037513D">
        <w:rPr>
          <w:rFonts w:ascii="Garamond" w:hAnsi="Garamond"/>
          <w:smallCaps/>
          <w:sz w:val="18"/>
          <w:szCs w:val="18"/>
        </w:rPr>
        <w:t xml:space="preserve">30 J. Pub. </w:t>
      </w:r>
      <w:proofErr w:type="spellStart"/>
      <w:r w:rsidRPr="0037513D">
        <w:rPr>
          <w:rFonts w:ascii="Garamond" w:hAnsi="Garamond"/>
          <w:smallCaps/>
          <w:sz w:val="18"/>
          <w:szCs w:val="18"/>
        </w:rPr>
        <w:t>Pol'y</w:t>
      </w:r>
      <w:proofErr w:type="spellEnd"/>
      <w:r w:rsidRPr="0037513D">
        <w:rPr>
          <w:rFonts w:ascii="Garamond" w:hAnsi="Garamond"/>
          <w:smallCaps/>
          <w:sz w:val="18"/>
          <w:szCs w:val="18"/>
        </w:rPr>
        <w:t xml:space="preserve"> &amp; Mktg. </w:t>
      </w:r>
      <w:r w:rsidRPr="0037513D">
        <w:rPr>
          <w:rFonts w:ascii="Garamond" w:hAnsi="Garamond"/>
          <w:sz w:val="18"/>
          <w:szCs w:val="18"/>
        </w:rPr>
        <w:t xml:space="preserve">157, </w:t>
      </w:r>
      <w:r w:rsidRPr="0037513D">
        <w:rPr>
          <w:rFonts w:ascii="Garamond" w:hAnsi="Garamond"/>
          <w:sz w:val="18"/>
          <w:szCs w:val="18"/>
          <w:rtl/>
        </w:rPr>
        <w:t>182</w:t>
      </w:r>
      <w:r w:rsidRPr="0037513D">
        <w:rPr>
          <w:rFonts w:ascii="Garamond" w:hAnsi="Garamond"/>
          <w:sz w:val="18"/>
          <w:szCs w:val="18"/>
        </w:rPr>
        <w:t xml:space="preserve"> (2011)</w:t>
      </w:r>
      <w:r w:rsidRPr="0037513D">
        <w:rPr>
          <w:rFonts w:ascii="Garamond" w:eastAsia="Times New Roman" w:hAnsi="Garamond"/>
          <w:sz w:val="18"/>
          <w:szCs w:val="18"/>
        </w:rPr>
        <w:t xml:space="preserve">; </w:t>
      </w:r>
      <w:r w:rsidRPr="0037513D">
        <w:rPr>
          <w:rFonts w:ascii="Garamond" w:hAnsi="Garamond" w:cs="Times New Roman"/>
          <w:i/>
          <w:iCs/>
          <w:color w:val="000000"/>
          <w:kern w:val="0"/>
          <w:sz w:val="18"/>
          <w:szCs w:val="18"/>
          <w14:ligatures w14:val="none"/>
        </w:rPr>
        <w:t>See</w:t>
      </w:r>
      <w:r w:rsidRPr="0037513D">
        <w:rPr>
          <w:rFonts w:ascii="Garamond" w:hAnsi="Garamond" w:cs="Times New Roman"/>
          <w:i/>
          <w:iCs/>
          <w:color w:val="000000"/>
          <w:kern w:val="0"/>
          <w:sz w:val="18"/>
          <w:szCs w:val="18"/>
          <w:rtl/>
          <w14:ligatures w14:val="none"/>
        </w:rPr>
        <w:t> </w:t>
      </w:r>
      <w:r w:rsidRPr="0037513D">
        <w:rPr>
          <w:rFonts w:ascii="Garamond" w:hAnsi="Garamond"/>
          <w:sz w:val="18"/>
          <w:szCs w:val="18"/>
        </w:rPr>
        <w:t xml:space="preserve">Hoofnagle &amp; </w:t>
      </w:r>
      <w:proofErr w:type="spellStart"/>
      <w:r w:rsidRPr="0037513D">
        <w:rPr>
          <w:rFonts w:ascii="Garamond" w:hAnsi="Garamond"/>
          <w:sz w:val="18"/>
          <w:szCs w:val="18"/>
        </w:rPr>
        <w:t>Meleshinsky</w:t>
      </w:r>
      <w:proofErr w:type="spellEnd"/>
      <w:r w:rsidRPr="0037513D">
        <w:rPr>
          <w:rFonts w:ascii="Garamond" w:hAnsi="Garamond"/>
          <w:sz w:val="18"/>
          <w:szCs w:val="18"/>
        </w:rPr>
        <w:t xml:space="preserve">, </w:t>
      </w:r>
      <w:r w:rsidRPr="0037513D">
        <w:rPr>
          <w:rFonts w:ascii="Garamond" w:hAnsi="Garamond" w:cs="Times New Roman"/>
          <w:i/>
          <w:iCs/>
          <w:color w:val="000000"/>
          <w:kern w:val="0"/>
          <w:sz w:val="18"/>
          <w:szCs w:val="18"/>
          <w14:ligatures w14:val="none"/>
        </w:rPr>
        <w:t>supra</w:t>
      </w:r>
      <w:r w:rsidRPr="0037513D">
        <w:rPr>
          <w:rFonts w:ascii="Garamond" w:hAnsi="Garamond" w:cs="Times New Roman"/>
          <w:i/>
          <w:iCs/>
          <w:color w:val="000000"/>
          <w:kern w:val="0"/>
          <w:sz w:val="18"/>
          <w:szCs w:val="18"/>
          <w:rtl/>
          <w14:ligatures w14:val="none"/>
        </w:rPr>
        <w:t> </w:t>
      </w:r>
      <w:r w:rsidRPr="0037513D">
        <w:rPr>
          <w:rFonts w:ascii="Garamond" w:hAnsi="Garamond" w:cs="Times New Roman"/>
          <w:color w:val="000000"/>
          <w:kern w:val="0"/>
          <w:sz w:val="18"/>
          <w:szCs w:val="18"/>
          <w14:ligatures w14:val="none"/>
        </w:rPr>
        <w:t>note</w:t>
      </w:r>
      <w:r w:rsidRPr="0037513D">
        <w:rPr>
          <w:rFonts w:ascii="Garamond"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hAnsi="Garamond"/>
          <w:color w:val="000000"/>
          <w:sz w:val="18"/>
          <w:szCs w:val="18"/>
          <w:shd w:val="clear" w:color="auto" w:fill="FFFF00"/>
        </w:rPr>
        <w:t xml:space="preserve">, </w:t>
      </w:r>
      <w:r w:rsidRPr="0037513D">
        <w:rPr>
          <w:rFonts w:ascii="Garamond" w:hAnsi="Garamond" w:cs="Times New Roman"/>
          <w:color w:val="000000"/>
          <w:kern w:val="0"/>
          <w:sz w:val="18"/>
          <w:szCs w:val="18"/>
          <w14:ligatures w14:val="none"/>
        </w:rPr>
        <w:t>at</w:t>
      </w:r>
      <w:r w:rsidRPr="0037513D">
        <w:rPr>
          <w:rFonts w:ascii="Garamond" w:hAnsi="Garamond"/>
          <w:color w:val="000000" w:themeColor="text1"/>
          <w:sz w:val="18"/>
          <w:szCs w:val="18"/>
        </w:rPr>
        <w:t xml:space="preserve"> 5.</w:t>
      </w:r>
      <w:r w:rsidRPr="0037513D">
        <w:rPr>
          <w:rFonts w:ascii="Garamond" w:eastAsia="Times New Roman" w:hAnsi="Garamond"/>
          <w:sz w:val="18"/>
          <w:szCs w:val="18"/>
        </w:rPr>
        <w:t xml:space="preserve"> </w:t>
      </w:r>
      <w:r w:rsidRPr="0037513D">
        <w:rPr>
          <w:rFonts w:ascii="Garamond" w:eastAsia="Times New Roman" w:hAnsi="Garamond"/>
          <w:i/>
          <w:iCs/>
          <w:sz w:val="18"/>
          <w:szCs w:val="18"/>
        </w:rPr>
        <w:t>See generally</w:t>
      </w:r>
      <w:r w:rsidRPr="0037513D">
        <w:rPr>
          <w:rFonts w:ascii="Garamond" w:eastAsia="Times New Roman" w:hAnsi="Garamond"/>
          <w:sz w:val="18"/>
          <w:szCs w:val="18"/>
        </w:rPr>
        <w:t xml:space="preserve"> </w:t>
      </w:r>
      <w:r w:rsidRPr="0037513D">
        <w:rPr>
          <w:rFonts w:ascii="Garamond" w:hAnsi="Garamond"/>
          <w:smallCaps/>
          <w:sz w:val="18"/>
          <w:szCs w:val="18"/>
        </w:rPr>
        <w:t>Uri Y. Hacohen, Duty of Publicity: Influencer and Platform Responsibility in the Social Media Age (</w:t>
      </w:r>
      <w:r w:rsidRPr="0037513D">
        <w:rPr>
          <w:rFonts w:ascii="Garamond" w:eastAsia="Times New Roman" w:hAnsi="Garamond"/>
          <w:sz w:val="18"/>
          <w:szCs w:val="18"/>
        </w:rPr>
        <w:t>forthcoming Cambridge, 2026).</w:t>
      </w:r>
    </w:p>
  </w:footnote>
  <w:footnote w:id="62">
    <w:p w14:paraId="0B3F1341" w14:textId="77777777" w:rsidR="00E92197" w:rsidRPr="0037513D" w:rsidRDefault="00E92197" w:rsidP="00E921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John T. Chen, </w:t>
      </w:r>
      <w:r w:rsidRPr="0037513D">
        <w:rPr>
          <w:rFonts w:ascii="Garamond" w:hAnsi="Garamond"/>
          <w:i/>
          <w:iCs/>
          <w:sz w:val="18"/>
          <w:szCs w:val="18"/>
        </w:rPr>
        <w:t>Mathematics and advertising</w:t>
      </w:r>
      <w:r w:rsidRPr="0037513D">
        <w:rPr>
          <w:rFonts w:ascii="Garamond" w:hAnsi="Garamond"/>
          <w:sz w:val="18"/>
          <w:szCs w:val="18"/>
        </w:rPr>
        <w:t>, E</w:t>
      </w:r>
      <w:r w:rsidRPr="0037513D">
        <w:rPr>
          <w:rFonts w:ascii="Garamond" w:hAnsi="Garamond"/>
          <w:smallCaps/>
          <w:sz w:val="18"/>
          <w:szCs w:val="18"/>
        </w:rPr>
        <w:t>BSCO Knowledge Advantage</w:t>
      </w:r>
      <w:r w:rsidRPr="0037513D">
        <w:rPr>
          <w:rFonts w:ascii="Garamond" w:hAnsi="Garamond"/>
          <w:sz w:val="18"/>
          <w:szCs w:val="18"/>
        </w:rPr>
        <w:t xml:space="preserve"> (2022), </w:t>
      </w:r>
      <w:hyperlink r:id="rId9" w:anchor="full-article" w:history="1">
        <w:r w:rsidRPr="0037513D">
          <w:rPr>
            <w:rStyle w:val="Hyperlink"/>
            <w:rFonts w:ascii="Garamond" w:hAnsi="Garamond"/>
            <w:sz w:val="18"/>
            <w:szCs w:val="18"/>
          </w:rPr>
          <w:t>https://www.ebsco.com/research-starters/marketing/mathematics-and-advertising?utm_source=chatgpt.com#full-article</w:t>
        </w:r>
      </w:hyperlink>
      <w:r w:rsidRPr="0037513D">
        <w:rPr>
          <w:rFonts w:ascii="Garamond" w:hAnsi="Garamond"/>
          <w:sz w:val="18"/>
          <w:szCs w:val="18"/>
        </w:rPr>
        <w:t xml:space="preserve"> (“Many will remember Trident Gum’s 1960s slogan, “Four out of five dentists surveyed would recommend sugarless gum to their patients who chew gum.” Although the statement was popular at the time, its legitimacy was later questioned, since it came from a survey whose details have never been released.”).</w:t>
      </w:r>
    </w:p>
  </w:footnote>
  <w:footnote w:id="63">
    <w:p w14:paraId="3BA913A2" w14:textId="6EAD0C33" w:rsidR="009C1270" w:rsidRPr="0037513D" w:rsidRDefault="009C1270"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00184871" w:rsidRPr="0037513D">
        <w:rPr>
          <w:rFonts w:ascii="Garamond" w:hAnsi="Garamond"/>
          <w:sz w:val="18"/>
          <w:szCs w:val="18"/>
        </w:rPr>
        <w:t xml:space="preserve"> </w:t>
      </w:r>
      <w:r w:rsidR="0065443D" w:rsidRPr="0037513D">
        <w:rPr>
          <w:rFonts w:ascii="Garamond" w:hAnsi="Garamond"/>
          <w:sz w:val="18"/>
          <w:szCs w:val="18"/>
        </w:rPr>
        <w:t xml:space="preserve">Micael Dahlén &amp; Maria Edenius, </w:t>
      </w:r>
      <w:r w:rsidR="0065443D" w:rsidRPr="0037513D">
        <w:rPr>
          <w:rStyle w:val="Emphasis"/>
          <w:rFonts w:ascii="Garamond" w:hAnsi="Garamond"/>
          <w:sz w:val="18"/>
          <w:szCs w:val="18"/>
        </w:rPr>
        <w:t xml:space="preserve">When Is Advertising </w:t>
      </w:r>
      <w:proofErr w:type="spellStart"/>
      <w:r w:rsidR="0065443D" w:rsidRPr="0037513D">
        <w:rPr>
          <w:rStyle w:val="Emphasis"/>
          <w:rFonts w:ascii="Garamond" w:hAnsi="Garamond"/>
          <w:sz w:val="18"/>
          <w:szCs w:val="18"/>
        </w:rPr>
        <w:t>Advertising</w:t>
      </w:r>
      <w:proofErr w:type="spellEnd"/>
      <w:r w:rsidR="0065443D" w:rsidRPr="0037513D">
        <w:rPr>
          <w:rStyle w:val="Emphasis"/>
          <w:rFonts w:ascii="Garamond" w:hAnsi="Garamond"/>
          <w:sz w:val="18"/>
          <w:szCs w:val="18"/>
        </w:rPr>
        <w:t>? Comparing Responses to Non-Traditional and Traditional Advertising Media</w:t>
      </w:r>
      <w:r w:rsidR="0065443D" w:rsidRPr="0037513D">
        <w:rPr>
          <w:rFonts w:ascii="Garamond" w:hAnsi="Garamond"/>
          <w:sz w:val="18"/>
          <w:szCs w:val="18"/>
        </w:rPr>
        <w:t xml:space="preserve">, </w:t>
      </w:r>
      <w:r w:rsidR="0065443D" w:rsidRPr="0037513D">
        <w:rPr>
          <w:rStyle w:val="Strong"/>
          <w:rFonts w:ascii="Garamond" w:hAnsi="Garamond"/>
          <w:b w:val="0"/>
          <w:bCs w:val="0"/>
          <w:smallCaps/>
          <w:sz w:val="18"/>
          <w:szCs w:val="18"/>
        </w:rPr>
        <w:t>29 J. Current Issues &amp; Res. In Advert.</w:t>
      </w:r>
      <w:r w:rsidR="0065443D" w:rsidRPr="0037513D">
        <w:rPr>
          <w:rFonts w:ascii="Garamond" w:hAnsi="Garamond"/>
          <w:sz w:val="18"/>
          <w:szCs w:val="18"/>
        </w:rPr>
        <w:t xml:space="preserve"> 33, 34 (2007)</w:t>
      </w:r>
      <w:r w:rsidR="0065443D" w:rsidRPr="0037513D">
        <w:rPr>
          <w:rFonts w:ascii="Garamond" w:hAnsi="Garamond" w:cstheme="majorBidi"/>
          <w:sz w:val="18"/>
          <w:szCs w:val="18"/>
        </w:rPr>
        <w:t xml:space="preserve"> </w:t>
      </w:r>
      <w:r w:rsidR="0065443D" w:rsidRPr="0037513D">
        <w:rPr>
          <w:rFonts w:ascii="Garamond" w:hAnsi="Garamond" w:cs="Calibri"/>
          <w:sz w:val="18"/>
          <w:szCs w:val="18"/>
        </w:rPr>
        <w:t xml:space="preserve">noting that consumers might </w:t>
      </w:r>
      <w:r w:rsidR="0065443D" w:rsidRPr="0037513D">
        <w:rPr>
          <w:rFonts w:ascii="Garamond" w:hAnsi="Garamond" w:cs="Calibri"/>
          <w:sz w:val="18"/>
          <w:szCs w:val="18"/>
          <w:lang w:bidi="he-IL"/>
        </w:rPr>
        <w:t>perceive the editorial content “as a (co-)sender of the advertised message,”</w:t>
      </w:r>
      <w:r w:rsidR="0065443D" w:rsidRPr="0037513D">
        <w:rPr>
          <w:rFonts w:ascii="Garamond" w:hAnsi="Garamond" w:cs="Calibri"/>
          <w:sz w:val="18"/>
          <w:szCs w:val="18"/>
        </w:rPr>
        <w:t>);</w:t>
      </w:r>
      <w:r w:rsidR="0065443D" w:rsidRPr="0037513D">
        <w:rPr>
          <w:rFonts w:ascii="Garamond" w:hAnsi="Garamond"/>
          <w:sz w:val="18"/>
          <w:szCs w:val="18"/>
        </w:rPr>
        <w:t xml:space="preserve"> Eva A. van </w:t>
      </w:r>
      <w:proofErr w:type="spellStart"/>
      <w:r w:rsidR="0065443D" w:rsidRPr="0037513D">
        <w:rPr>
          <w:rFonts w:ascii="Garamond" w:hAnsi="Garamond"/>
          <w:sz w:val="18"/>
          <w:szCs w:val="18"/>
        </w:rPr>
        <w:t>Reijmersdal</w:t>
      </w:r>
      <w:proofErr w:type="spellEnd"/>
      <w:r w:rsidR="0065443D" w:rsidRPr="0037513D">
        <w:rPr>
          <w:rFonts w:ascii="Garamond" w:hAnsi="Garamond"/>
          <w:sz w:val="18"/>
          <w:szCs w:val="18"/>
        </w:rPr>
        <w:t xml:space="preserve"> et al., </w:t>
      </w:r>
      <w:r w:rsidR="0065443D" w:rsidRPr="0037513D">
        <w:rPr>
          <w:rStyle w:val="Emphasis"/>
          <w:rFonts w:ascii="Garamond" w:hAnsi="Garamond"/>
          <w:sz w:val="18"/>
          <w:szCs w:val="18"/>
        </w:rPr>
        <w:t>Readers’ Reactions to Mixtures of Advertising and Editorial Content in Magazines</w:t>
      </w:r>
      <w:r w:rsidR="0065443D" w:rsidRPr="0037513D">
        <w:rPr>
          <w:rFonts w:ascii="Garamond" w:hAnsi="Garamond"/>
          <w:smallCaps/>
          <w:sz w:val="18"/>
          <w:szCs w:val="18"/>
        </w:rPr>
        <w:t xml:space="preserve">, </w:t>
      </w:r>
      <w:r w:rsidR="0065443D" w:rsidRPr="0037513D">
        <w:rPr>
          <w:rStyle w:val="Strong"/>
          <w:rFonts w:ascii="Garamond" w:hAnsi="Garamond"/>
          <w:b w:val="0"/>
          <w:bCs w:val="0"/>
          <w:smallCaps/>
          <w:sz w:val="18"/>
          <w:szCs w:val="18"/>
        </w:rPr>
        <w:t>27 J. Current Issuer &amp; Res. In Advert</w:t>
      </w:r>
      <w:r w:rsidR="0065443D" w:rsidRPr="0037513D">
        <w:rPr>
          <w:rStyle w:val="Strong"/>
          <w:rFonts w:ascii="Garamond" w:hAnsi="Garamond"/>
          <w:sz w:val="18"/>
          <w:szCs w:val="18"/>
        </w:rPr>
        <w:t>.</w:t>
      </w:r>
      <w:r w:rsidR="0065443D" w:rsidRPr="0037513D">
        <w:rPr>
          <w:rFonts w:ascii="Garamond" w:hAnsi="Garamond"/>
          <w:sz w:val="18"/>
          <w:szCs w:val="18"/>
        </w:rPr>
        <w:t xml:space="preserve"> 39, 47 (2005). (“The authority of the magazine seems to be transferred to the mixtures, resulting in increased attention, appreciation and acceptance”.);</w:t>
      </w:r>
      <w:r w:rsidR="0065443D" w:rsidRPr="0037513D">
        <w:rPr>
          <w:rFonts w:ascii="Garamond" w:hAnsi="Garamond"/>
          <w:sz w:val="18"/>
          <w:szCs w:val="18"/>
          <w:rtl/>
        </w:rPr>
        <w:t xml:space="preserve"> </w:t>
      </w:r>
      <w:r w:rsidR="0065443D" w:rsidRPr="0037513D">
        <w:rPr>
          <w:rFonts w:ascii="Garamond" w:hAnsi="Garamond"/>
          <w:i/>
          <w:iCs/>
          <w:sz w:val="18"/>
          <w:szCs w:val="18"/>
        </w:rPr>
        <w:t>See generally</w:t>
      </w:r>
      <w:r w:rsidR="0065443D" w:rsidRPr="0037513D">
        <w:rPr>
          <w:rFonts w:ascii="Garamond" w:hAnsi="Garamond"/>
          <w:sz w:val="18"/>
          <w:szCs w:val="18"/>
        </w:rPr>
        <w:t xml:space="preserve"> Helen Burkhalter, </w:t>
      </w:r>
      <w:r w:rsidR="0065443D" w:rsidRPr="0037513D">
        <w:rPr>
          <w:rStyle w:val="Emphasis"/>
          <w:rFonts w:ascii="Garamond" w:hAnsi="Garamond"/>
          <w:sz w:val="18"/>
          <w:szCs w:val="18"/>
        </w:rPr>
        <w:t>Advertorial Advertising and the Commercial Speech Doctrine</w:t>
      </w:r>
      <w:r w:rsidR="0065443D" w:rsidRPr="0037513D">
        <w:rPr>
          <w:rFonts w:ascii="Garamond" w:hAnsi="Garamond"/>
          <w:sz w:val="18"/>
          <w:szCs w:val="18"/>
        </w:rPr>
        <w:t xml:space="preserve">, </w:t>
      </w:r>
      <w:r w:rsidR="0065443D" w:rsidRPr="0037513D">
        <w:rPr>
          <w:rStyle w:val="Strong"/>
          <w:rFonts w:ascii="Garamond" w:hAnsi="Garamond"/>
          <w:b w:val="0"/>
          <w:bCs w:val="0"/>
          <w:smallCaps/>
          <w:sz w:val="18"/>
          <w:szCs w:val="18"/>
        </w:rPr>
        <w:t>25 Wake Forest L. Rev.</w:t>
      </w:r>
      <w:r w:rsidR="0065443D" w:rsidRPr="0037513D">
        <w:rPr>
          <w:rFonts w:ascii="Garamond" w:hAnsi="Garamond"/>
          <w:b/>
          <w:bCs/>
          <w:smallCaps/>
          <w:sz w:val="18"/>
          <w:szCs w:val="18"/>
        </w:rPr>
        <w:t xml:space="preserve"> </w:t>
      </w:r>
      <w:r w:rsidR="0065443D" w:rsidRPr="0037513D">
        <w:rPr>
          <w:rFonts w:ascii="Garamond" w:hAnsi="Garamond"/>
          <w:sz w:val="18"/>
          <w:szCs w:val="18"/>
        </w:rPr>
        <w:t xml:space="preserve">977 (1990). </w:t>
      </w:r>
    </w:p>
  </w:footnote>
  <w:footnote w:id="64">
    <w:p w14:paraId="26450969" w14:textId="77777777" w:rsidR="00DD14DA" w:rsidRPr="0037513D" w:rsidRDefault="00DD14DA" w:rsidP="00DD14D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Hoofnagle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 xml:space="preserve">note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t>at</w:t>
      </w:r>
      <w:r w:rsidRPr="0037513D">
        <w:rPr>
          <w:rFonts w:ascii="Garamond" w:hAnsi="Garamond"/>
          <w:color w:val="000000" w:themeColor="text1"/>
          <w:sz w:val="18"/>
          <w:szCs w:val="18"/>
        </w:rPr>
        <w:t xml:space="preserve"> </w:t>
      </w:r>
      <w:r w:rsidRPr="0037513D">
        <w:rPr>
          <w:rFonts w:ascii="Garamond" w:hAnsi="Garamond"/>
          <w:color w:val="000000" w:themeColor="text1"/>
          <w:sz w:val="18"/>
          <w:szCs w:val="18"/>
          <w:lang w:bidi="he-IL"/>
        </w:rPr>
        <w:t>13</w:t>
      </w:r>
      <w:r w:rsidRPr="0037513D">
        <w:rPr>
          <w:rFonts w:ascii="Garamond" w:hAnsi="Garamond"/>
          <w:color w:val="000000" w:themeColor="text1"/>
          <w:sz w:val="18"/>
          <w:szCs w:val="18"/>
        </w:rPr>
        <w:t>.</w:t>
      </w:r>
    </w:p>
  </w:footnote>
  <w:footnote w:id="65">
    <w:p w14:paraId="7C8D8C59" w14:textId="4E6B1CA2" w:rsidR="00567F81" w:rsidRPr="0037513D" w:rsidRDefault="00567F81"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1F7E0E" w:rsidRPr="0037513D">
        <w:rPr>
          <w:rFonts w:ascii="Garamond" w:eastAsia="Times New Roman" w:hAnsi="Garamond" w:cs="Times New Roman"/>
          <w:i/>
          <w:iCs/>
          <w:color w:val="000000"/>
          <w:kern w:val="0"/>
          <w:sz w:val="18"/>
          <w:szCs w:val="18"/>
          <w14:ligatures w14:val="none"/>
        </w:rPr>
        <w:t>See</w:t>
      </w:r>
      <w:r w:rsidR="001F7E0E" w:rsidRPr="0037513D">
        <w:rPr>
          <w:rFonts w:ascii="Garamond" w:eastAsia="Times New Roman" w:hAnsi="Garamond" w:cs="Times New Roman"/>
          <w:i/>
          <w:iCs/>
          <w:color w:val="000000"/>
          <w:kern w:val="0"/>
          <w:sz w:val="18"/>
          <w:szCs w:val="18"/>
          <w:rtl/>
          <w14:ligatures w14:val="none"/>
        </w:rPr>
        <w:t> </w:t>
      </w:r>
      <w:r w:rsidR="001F7E0E" w:rsidRPr="0037513D">
        <w:rPr>
          <w:rFonts w:ascii="Garamond" w:eastAsia="Times New Roman" w:hAnsi="Garamond"/>
          <w:sz w:val="18"/>
          <w:szCs w:val="18"/>
        </w:rPr>
        <w:t>Hoofnagle &amp;</w:t>
      </w:r>
      <w:r w:rsidR="001F7E0E" w:rsidRPr="0037513D">
        <w:rPr>
          <w:rFonts w:ascii="Garamond" w:hAnsi="Garamond"/>
          <w:sz w:val="18"/>
          <w:szCs w:val="18"/>
        </w:rPr>
        <w:t xml:space="preserve"> </w:t>
      </w:r>
      <w:proofErr w:type="spellStart"/>
      <w:r w:rsidR="001F7E0E" w:rsidRPr="0037513D">
        <w:rPr>
          <w:rFonts w:ascii="Garamond" w:eastAsia="Times New Roman" w:hAnsi="Garamond"/>
          <w:sz w:val="18"/>
          <w:szCs w:val="18"/>
        </w:rPr>
        <w:t>Meleshinsky</w:t>
      </w:r>
      <w:proofErr w:type="spellEnd"/>
      <w:r w:rsidR="001F7E0E" w:rsidRPr="0037513D">
        <w:rPr>
          <w:rFonts w:ascii="Garamond" w:hAnsi="Garamond"/>
          <w:sz w:val="18"/>
          <w:szCs w:val="18"/>
        </w:rPr>
        <w:t xml:space="preserve">, </w:t>
      </w:r>
      <w:r w:rsidR="001F7E0E" w:rsidRPr="0037513D">
        <w:rPr>
          <w:rFonts w:ascii="Garamond" w:eastAsia="Times New Roman" w:hAnsi="Garamond" w:cs="Times New Roman"/>
          <w:i/>
          <w:iCs/>
          <w:color w:val="000000"/>
          <w:kern w:val="0"/>
          <w:sz w:val="18"/>
          <w:szCs w:val="18"/>
          <w14:ligatures w14:val="none"/>
        </w:rPr>
        <w:t>supra</w:t>
      </w:r>
      <w:r w:rsidR="001F7E0E" w:rsidRPr="0037513D">
        <w:rPr>
          <w:rFonts w:ascii="Garamond" w:eastAsia="Times New Roman" w:hAnsi="Garamond" w:cs="Times New Roman"/>
          <w:i/>
          <w:iCs/>
          <w:color w:val="000000"/>
          <w:kern w:val="0"/>
          <w:sz w:val="18"/>
          <w:szCs w:val="18"/>
          <w:rtl/>
          <w14:ligatures w14:val="none"/>
        </w:rPr>
        <w:t> </w:t>
      </w:r>
      <w:r w:rsidR="001F7E0E" w:rsidRPr="0037513D">
        <w:rPr>
          <w:rFonts w:ascii="Garamond" w:eastAsia="Times New Roman" w:hAnsi="Garamond" w:cs="Times New Roman"/>
          <w:color w:val="000000"/>
          <w:kern w:val="0"/>
          <w:sz w:val="18"/>
          <w:szCs w:val="18"/>
          <w14:ligatures w14:val="none"/>
        </w:rPr>
        <w:t>note</w:t>
      </w:r>
      <w:r w:rsidR="001F7E0E" w:rsidRPr="0037513D">
        <w:rPr>
          <w:rFonts w:ascii="Garamond" w:eastAsia="Times New Roman" w:hAnsi="Garamond" w:cs="Times New Roman"/>
          <w:color w:val="000000"/>
          <w:kern w:val="0"/>
          <w:sz w:val="18"/>
          <w:szCs w:val="18"/>
          <w:shd w:val="clear" w:color="auto" w:fill="FFFF00"/>
          <w14:ligatures w14:val="none"/>
        </w:rPr>
        <w:t xml:space="preserve"> </w:t>
      </w:r>
      <w:r w:rsidR="00852D7D" w:rsidRPr="0037513D">
        <w:rPr>
          <w:rFonts w:ascii="Garamond" w:eastAsia="Times New Roman" w:hAnsi="Garamond" w:cs="Times New Roman"/>
          <w:color w:val="000000"/>
          <w:kern w:val="0"/>
          <w:sz w:val="18"/>
          <w:szCs w:val="18"/>
          <w14:ligatures w14:val="none"/>
        </w:rPr>
        <w:fldChar w:fldCharType="begin"/>
      </w:r>
      <w:r w:rsidR="00852D7D" w:rsidRPr="0037513D">
        <w:rPr>
          <w:rFonts w:ascii="Garamond" w:eastAsia="Times New Roman" w:hAnsi="Garamond" w:cs="Times New Roman"/>
          <w:color w:val="000000"/>
          <w:kern w:val="0"/>
          <w:sz w:val="18"/>
          <w:szCs w:val="18"/>
          <w14:ligatures w14:val="none"/>
        </w:rPr>
        <w:instrText xml:space="preserve"> NOTEREF _Ref214374373 \h  \* MERGEFORMAT </w:instrText>
      </w:r>
      <w:r w:rsidR="00852D7D" w:rsidRPr="0037513D">
        <w:rPr>
          <w:rFonts w:ascii="Garamond" w:eastAsia="Times New Roman" w:hAnsi="Garamond" w:cs="Times New Roman"/>
          <w:color w:val="000000"/>
          <w:kern w:val="0"/>
          <w:sz w:val="18"/>
          <w:szCs w:val="18"/>
          <w14:ligatures w14:val="none"/>
        </w:rPr>
      </w:r>
      <w:r w:rsidR="00852D7D" w:rsidRPr="0037513D">
        <w:rPr>
          <w:rFonts w:ascii="Garamond" w:eastAsia="Times New Roman" w:hAnsi="Garamond" w:cs="Times New Roman"/>
          <w:color w:val="000000"/>
          <w:kern w:val="0"/>
          <w:sz w:val="18"/>
          <w:szCs w:val="18"/>
          <w14:ligatures w14:val="none"/>
        </w:rPr>
        <w:fldChar w:fldCharType="separate"/>
      </w:r>
      <w:r w:rsidR="00852D7D" w:rsidRPr="0037513D">
        <w:rPr>
          <w:rFonts w:ascii="Garamond" w:eastAsia="Times New Roman" w:hAnsi="Garamond" w:cs="Times New Roman"/>
          <w:color w:val="000000"/>
          <w:kern w:val="0"/>
          <w:sz w:val="18"/>
          <w:szCs w:val="18"/>
          <w14:ligatures w14:val="none"/>
        </w:rPr>
        <w:t>40</w:t>
      </w:r>
      <w:r w:rsidR="00852D7D" w:rsidRPr="0037513D">
        <w:rPr>
          <w:rFonts w:ascii="Garamond" w:eastAsia="Times New Roman" w:hAnsi="Garamond" w:cs="Times New Roman"/>
          <w:color w:val="000000"/>
          <w:kern w:val="0"/>
          <w:sz w:val="18"/>
          <w:szCs w:val="18"/>
          <w14:ligatures w14:val="none"/>
        </w:rPr>
        <w:fldChar w:fldCharType="end"/>
      </w:r>
      <w:r w:rsidR="001F7E0E" w:rsidRPr="0037513D">
        <w:rPr>
          <w:rFonts w:ascii="Garamond" w:eastAsia="Times New Roman" w:hAnsi="Garamond" w:cs="Times New Roman"/>
          <w:color w:val="000000"/>
          <w:kern w:val="0"/>
          <w:sz w:val="18"/>
          <w:szCs w:val="18"/>
          <w:shd w:val="clear" w:color="auto" w:fill="FFFF00"/>
          <w14:ligatures w14:val="none"/>
        </w:rPr>
        <w:t xml:space="preserve"> </w:t>
      </w:r>
      <w:r w:rsidR="001F7E0E" w:rsidRPr="0037513D">
        <w:rPr>
          <w:rFonts w:ascii="Garamond" w:eastAsia="Times New Roman" w:hAnsi="Garamond" w:cs="Times New Roman"/>
          <w:color w:val="000000"/>
          <w:kern w:val="0"/>
          <w:sz w:val="18"/>
          <w:szCs w:val="18"/>
          <w14:ligatures w14:val="none"/>
        </w:rPr>
        <w:t>at</w:t>
      </w:r>
      <w:r w:rsidR="001F7E0E" w:rsidRPr="0037513D">
        <w:rPr>
          <w:rFonts w:ascii="Garamond" w:hAnsi="Garamond"/>
          <w:color w:val="000000" w:themeColor="text1"/>
          <w:sz w:val="18"/>
          <w:szCs w:val="18"/>
        </w:rPr>
        <w:t xml:space="preserve"> </w:t>
      </w:r>
      <w:r w:rsidR="001F7E0E" w:rsidRPr="0037513D">
        <w:rPr>
          <w:rFonts w:ascii="Garamond" w:hAnsi="Garamond"/>
          <w:color w:val="000000" w:themeColor="text1"/>
          <w:sz w:val="18"/>
          <w:szCs w:val="18"/>
          <w:lang w:bidi="he-IL"/>
        </w:rPr>
        <w:t>13</w:t>
      </w:r>
      <w:r w:rsidR="00852D7D" w:rsidRPr="0037513D">
        <w:rPr>
          <w:rFonts w:ascii="Garamond" w:hAnsi="Garamond"/>
          <w:color w:val="000000" w:themeColor="text1"/>
          <w:sz w:val="18"/>
          <w:szCs w:val="18"/>
        </w:rPr>
        <w:t xml:space="preserve">; Hacohen, </w:t>
      </w:r>
      <w:r w:rsidR="00852D7D" w:rsidRPr="0037513D">
        <w:rPr>
          <w:rFonts w:ascii="Garamond" w:hAnsi="Garamond"/>
          <w:i/>
          <w:iCs/>
          <w:color w:val="000000" w:themeColor="text1"/>
          <w:sz w:val="18"/>
          <w:szCs w:val="18"/>
        </w:rPr>
        <w:t xml:space="preserve">supra </w:t>
      </w:r>
      <w:r w:rsidR="00852D7D" w:rsidRPr="0037513D">
        <w:rPr>
          <w:rFonts w:ascii="Garamond" w:hAnsi="Garamond"/>
          <w:color w:val="000000" w:themeColor="text1"/>
          <w:sz w:val="18"/>
          <w:szCs w:val="18"/>
        </w:rPr>
        <w:t xml:space="preserve">note </w:t>
      </w:r>
      <w:r w:rsidR="00852D7D" w:rsidRPr="0037513D">
        <w:rPr>
          <w:rFonts w:ascii="Garamond" w:hAnsi="Garamond"/>
          <w:color w:val="000000" w:themeColor="text1"/>
          <w:sz w:val="18"/>
          <w:szCs w:val="18"/>
        </w:rPr>
        <w:fldChar w:fldCharType="begin"/>
      </w:r>
      <w:r w:rsidR="00852D7D" w:rsidRPr="0037513D">
        <w:rPr>
          <w:rFonts w:ascii="Garamond" w:hAnsi="Garamond"/>
          <w:color w:val="000000" w:themeColor="text1"/>
          <w:sz w:val="18"/>
          <w:szCs w:val="18"/>
        </w:rPr>
        <w:instrText xml:space="preserve"> NOTEREF _Ref214382481 \h  \* MERGEFORMAT </w:instrText>
      </w:r>
      <w:r w:rsidR="00852D7D" w:rsidRPr="0037513D">
        <w:rPr>
          <w:rFonts w:ascii="Garamond" w:hAnsi="Garamond"/>
          <w:color w:val="000000" w:themeColor="text1"/>
          <w:sz w:val="18"/>
          <w:szCs w:val="18"/>
        </w:rPr>
      </w:r>
      <w:r w:rsidR="00852D7D" w:rsidRPr="0037513D">
        <w:rPr>
          <w:rFonts w:ascii="Garamond" w:hAnsi="Garamond"/>
          <w:color w:val="000000" w:themeColor="text1"/>
          <w:sz w:val="18"/>
          <w:szCs w:val="18"/>
        </w:rPr>
        <w:fldChar w:fldCharType="separate"/>
      </w:r>
      <w:r w:rsidR="00852D7D" w:rsidRPr="0037513D">
        <w:rPr>
          <w:rFonts w:ascii="Garamond" w:hAnsi="Garamond"/>
          <w:color w:val="000000" w:themeColor="text1"/>
          <w:sz w:val="18"/>
          <w:szCs w:val="18"/>
        </w:rPr>
        <w:t>36</w:t>
      </w:r>
      <w:r w:rsidR="00852D7D" w:rsidRPr="0037513D">
        <w:rPr>
          <w:rFonts w:ascii="Garamond" w:hAnsi="Garamond"/>
          <w:color w:val="000000" w:themeColor="text1"/>
          <w:sz w:val="18"/>
          <w:szCs w:val="18"/>
        </w:rPr>
        <w:fldChar w:fldCharType="end"/>
      </w:r>
      <w:r w:rsidR="00852D7D" w:rsidRPr="0037513D">
        <w:rPr>
          <w:rFonts w:ascii="Garamond" w:hAnsi="Garamond"/>
          <w:color w:val="000000" w:themeColor="text1"/>
          <w:sz w:val="18"/>
          <w:szCs w:val="18"/>
        </w:rPr>
        <w:t>.</w:t>
      </w:r>
      <w:r w:rsidR="001F7E0E" w:rsidRPr="0037513D">
        <w:rPr>
          <w:rFonts w:ascii="Garamond" w:hAnsi="Garamond"/>
          <w:color w:val="000000" w:themeColor="text1"/>
          <w:sz w:val="18"/>
          <w:szCs w:val="18"/>
        </w:rPr>
        <w:t xml:space="preserve"> </w:t>
      </w:r>
    </w:p>
  </w:footnote>
  <w:footnote w:id="66">
    <w:p w14:paraId="73FC124F" w14:textId="77777777" w:rsidR="00B6720A" w:rsidRPr="0037513D" w:rsidRDefault="00B6720A" w:rsidP="00B6720A">
      <w:pPr>
        <w:pStyle w:val="FootnoteText"/>
        <w:spacing w:after="0" w:line="240" w:lineRule="auto"/>
        <w:contextualSpacing/>
        <w:jc w:val="both"/>
        <w:rPr>
          <w:rFonts w:ascii="Garamond" w:hAnsi="Garamond"/>
          <w:i/>
          <w:iCs/>
          <w:color w:val="000000" w:themeColor="text1"/>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There are also more extreme regulatory measures to deal with native advertising rather than disclosures, such as behavioral nudges and even complete advertising bans.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Hoofnagle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note</w:t>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eastAsia="Times New Roman" w:hAnsi="Garamond" w:cs="Times New Roman"/>
          <w:color w:val="000000"/>
          <w:kern w:val="0"/>
          <w:sz w:val="18"/>
          <w:szCs w:val="18"/>
          <w14:ligatures w14:val="none"/>
        </w:rPr>
        <w:t xml:space="preserve"> at</w:t>
      </w:r>
      <w:r w:rsidRPr="0037513D">
        <w:rPr>
          <w:rFonts w:ascii="Garamond" w:hAnsi="Garamond"/>
          <w:color w:val="000000" w:themeColor="text1"/>
          <w:sz w:val="18"/>
          <w:szCs w:val="18"/>
        </w:rPr>
        <w:t xml:space="preserve"> 5 (discussing </w:t>
      </w:r>
      <w:r w:rsidRPr="0037513D">
        <w:rPr>
          <w:rFonts w:ascii="Garamond" w:hAnsi="Garamond"/>
          <w:sz w:val="18"/>
          <w:szCs w:val="18"/>
        </w:rPr>
        <w:t xml:space="preserve">advertising </w:t>
      </w:r>
      <w:r w:rsidRPr="0037513D">
        <w:rPr>
          <w:rFonts w:ascii="Garamond" w:hAnsi="Garamond"/>
          <w:color w:val="000000" w:themeColor="text1"/>
          <w:sz w:val="18"/>
          <w:szCs w:val="18"/>
        </w:rPr>
        <w:t xml:space="preserve">bans); Calo, </w:t>
      </w:r>
      <w:r w:rsidRPr="0037513D">
        <w:rPr>
          <w:rFonts w:ascii="Garamond" w:hAnsi="Garamond"/>
          <w:i/>
          <w:iCs/>
          <w:color w:val="000000" w:themeColor="text1"/>
          <w:sz w:val="18"/>
          <w:szCs w:val="18"/>
        </w:rPr>
        <w:t xml:space="preserve">supra </w:t>
      </w:r>
      <w:r w:rsidRPr="0037513D">
        <w:rPr>
          <w:rFonts w:ascii="Garamond" w:hAnsi="Garamond"/>
          <w:color w:val="000000" w:themeColor="text1"/>
          <w:sz w:val="18"/>
          <w:szCs w:val="18"/>
        </w:rPr>
        <w:t xml:space="preserve">note </w:t>
      </w:r>
      <w:r w:rsidRPr="0037513D">
        <w:rPr>
          <w:rFonts w:ascii="Garamond" w:hAnsi="Garamond"/>
          <w:color w:val="000000" w:themeColor="text1"/>
          <w:sz w:val="18"/>
          <w:szCs w:val="18"/>
        </w:rPr>
        <w:fldChar w:fldCharType="begin"/>
      </w:r>
      <w:r w:rsidRPr="0037513D">
        <w:rPr>
          <w:rFonts w:ascii="Garamond" w:hAnsi="Garamond"/>
          <w:color w:val="000000" w:themeColor="text1"/>
          <w:sz w:val="18"/>
          <w:szCs w:val="18"/>
        </w:rPr>
        <w:instrText xml:space="preserve"> NOTEREF _Ref214382616 \h  \* MERGEFORMAT </w:instrText>
      </w:r>
      <w:r w:rsidRPr="0037513D">
        <w:rPr>
          <w:rFonts w:ascii="Garamond" w:hAnsi="Garamond"/>
          <w:color w:val="000000" w:themeColor="text1"/>
          <w:sz w:val="18"/>
          <w:szCs w:val="18"/>
        </w:rPr>
      </w:r>
      <w:r w:rsidRPr="0037513D">
        <w:rPr>
          <w:rFonts w:ascii="Garamond" w:hAnsi="Garamond"/>
          <w:color w:val="000000" w:themeColor="text1"/>
          <w:sz w:val="18"/>
          <w:szCs w:val="18"/>
        </w:rPr>
        <w:fldChar w:fldCharType="separate"/>
      </w:r>
      <w:r w:rsidRPr="0037513D">
        <w:rPr>
          <w:rFonts w:ascii="Garamond" w:hAnsi="Garamond"/>
          <w:color w:val="000000" w:themeColor="text1"/>
          <w:sz w:val="18"/>
          <w:szCs w:val="18"/>
        </w:rPr>
        <w:t>20</w:t>
      </w:r>
      <w:r w:rsidRPr="0037513D">
        <w:rPr>
          <w:rFonts w:ascii="Garamond" w:hAnsi="Garamond"/>
          <w:color w:val="000000" w:themeColor="text1"/>
          <w:sz w:val="18"/>
          <w:szCs w:val="18"/>
        </w:rPr>
        <w:fldChar w:fldCharType="end"/>
      </w:r>
      <w:r w:rsidRPr="0037513D">
        <w:rPr>
          <w:rFonts w:ascii="Garamond" w:hAnsi="Garamond"/>
          <w:color w:val="000000" w:themeColor="text1"/>
          <w:sz w:val="18"/>
          <w:szCs w:val="18"/>
        </w:rPr>
        <w:t xml:space="preserve">, at 1027 (discussing nudges); </w:t>
      </w:r>
      <w:r w:rsidRPr="0037513D">
        <w:rPr>
          <w:rFonts w:ascii="Garamond" w:hAnsi="Garamond" w:cs="NewBaskerville-Roman"/>
          <w:sz w:val="18"/>
          <w:szCs w:val="18"/>
        </w:rPr>
        <w:t xml:space="preserve">Omri Ben-Shahar &amp; Carl E. Schneider, </w:t>
      </w:r>
      <w:r w:rsidRPr="0037513D">
        <w:rPr>
          <w:rFonts w:ascii="Garamond" w:hAnsi="Garamond" w:cs="NewBaskerville-Italic"/>
          <w:i/>
          <w:iCs/>
          <w:sz w:val="18"/>
          <w:szCs w:val="18"/>
        </w:rPr>
        <w:t>The Failure of Mandated Disclosure</w:t>
      </w:r>
      <w:r w:rsidRPr="0037513D">
        <w:rPr>
          <w:rFonts w:ascii="Garamond" w:hAnsi="Garamond" w:cs="NewBaskerville-Roman"/>
          <w:sz w:val="18"/>
          <w:szCs w:val="18"/>
        </w:rPr>
        <w:t xml:space="preserve">, 159 U. </w:t>
      </w:r>
      <w:r w:rsidRPr="0037513D">
        <w:rPr>
          <w:rFonts w:ascii="Garamond" w:hAnsi="Garamond"/>
          <w:iCs/>
          <w:sz w:val="18"/>
          <w:szCs w:val="18"/>
        </w:rPr>
        <w:t>Pa. L. Re</w:t>
      </w:r>
      <w:r w:rsidRPr="0037513D">
        <w:rPr>
          <w:rFonts w:ascii="Garamond" w:hAnsi="Garamond"/>
          <w:smallCaps/>
          <w:sz w:val="18"/>
          <w:szCs w:val="18"/>
        </w:rPr>
        <w:t>v</w:t>
      </w:r>
      <w:r w:rsidRPr="0037513D">
        <w:rPr>
          <w:rFonts w:ascii="Garamond" w:hAnsi="Garamond" w:cs="NewBaskerville-Roman"/>
          <w:sz w:val="18"/>
          <w:szCs w:val="18"/>
        </w:rPr>
        <w:t xml:space="preserve">. 647 (2011) (same). </w:t>
      </w:r>
      <w:r w:rsidRPr="0037513D">
        <w:rPr>
          <w:rFonts w:ascii="Garamond" w:hAnsi="Garamond" w:cs="NewBaskerville-Roman"/>
          <w:i/>
          <w:iCs/>
          <w:sz w:val="18"/>
          <w:szCs w:val="18"/>
        </w:rPr>
        <w:t xml:space="preserve">See generally </w:t>
      </w:r>
      <w:r w:rsidRPr="0037513D">
        <w:rPr>
          <w:rFonts w:ascii="Garamond" w:hAnsi="Garamond"/>
          <w:smallCaps/>
          <w:sz w:val="18"/>
          <w:szCs w:val="18"/>
        </w:rPr>
        <w:t>Richard H. Thaler &amp; Cass R. Sunstein, Nudge: Improving Decisions About Health, Wealth, and Happines</w:t>
      </w:r>
      <w:r w:rsidRPr="0037513D">
        <w:rPr>
          <w:rFonts w:ascii="Garamond" w:hAnsi="Garamond"/>
          <w:sz w:val="18"/>
          <w:szCs w:val="18"/>
        </w:rPr>
        <w:t>s (Penguin, 2009).</w:t>
      </w:r>
    </w:p>
  </w:footnote>
  <w:footnote w:id="67">
    <w:p w14:paraId="3BA96E07" w14:textId="77777777" w:rsidR="00B6720A" w:rsidRPr="0037513D" w:rsidRDefault="00B6720A" w:rsidP="00B6720A">
      <w:pPr>
        <w:pStyle w:val="FootnoteText"/>
        <w:spacing w:after="0" w:line="240" w:lineRule="auto"/>
        <w:contextualSpacing/>
        <w:jc w:val="both"/>
        <w:rPr>
          <w:rFonts w:ascii="Garamond" w:hAnsi="Garamond"/>
          <w:sz w:val="18"/>
          <w:szCs w:val="18"/>
          <w:rtl/>
          <w:lang w:bidi="he-IL"/>
        </w:rPr>
      </w:pPr>
      <w:r w:rsidRPr="0037513D">
        <w:rPr>
          <w:rStyle w:val="FootnoteReference"/>
          <w:rFonts w:ascii="Garamond" w:hAnsi="Garamond"/>
          <w:sz w:val="18"/>
          <w:szCs w:val="18"/>
        </w:rPr>
        <w:footnoteRef/>
      </w:r>
      <w:r w:rsidRPr="0037513D">
        <w:rPr>
          <w:rFonts w:ascii="Garamond" w:hAnsi="Garamond"/>
          <w:sz w:val="18"/>
          <w:szCs w:val="18"/>
        </w:rPr>
        <w:t xml:space="preserve"> Fed. Trade Comm’n, </w:t>
      </w:r>
      <w:r w:rsidRPr="0037513D">
        <w:rPr>
          <w:rFonts w:ascii="Garamond" w:hAnsi="Garamond"/>
          <w:i/>
          <w:iCs/>
          <w:sz w:val="18"/>
          <w:szCs w:val="18"/>
        </w:rPr>
        <w:t>Enforcement Policy Statement on Deceptively Formatted Advertisements</w:t>
      </w:r>
      <w:r w:rsidRPr="0037513D">
        <w:rPr>
          <w:rFonts w:ascii="Garamond" w:hAnsi="Garamond"/>
          <w:sz w:val="18"/>
          <w:szCs w:val="18"/>
        </w:rPr>
        <w:t xml:space="preserve">, </w:t>
      </w:r>
      <w:r w:rsidRPr="0037513D">
        <w:rPr>
          <w:rStyle w:val="Strong"/>
          <w:rFonts w:ascii="Garamond" w:hAnsi="Garamond"/>
          <w:b w:val="0"/>
          <w:bCs w:val="0"/>
          <w:smallCaps/>
          <w:sz w:val="18"/>
          <w:szCs w:val="18"/>
        </w:rPr>
        <w:t>80 Fed. Reg. 53655</w:t>
      </w:r>
      <w:r w:rsidRPr="0037513D">
        <w:rPr>
          <w:rFonts w:ascii="Garamond" w:hAnsi="Garamond"/>
          <w:sz w:val="18"/>
          <w:szCs w:val="18"/>
        </w:rPr>
        <w:t xml:space="preserve"> (Jan. 9, 2015).</w:t>
      </w:r>
    </w:p>
  </w:footnote>
  <w:footnote w:id="68">
    <w:p w14:paraId="61D64068" w14:textId="77777777" w:rsidR="00B6720A" w:rsidRPr="0037513D" w:rsidRDefault="00B6720A" w:rsidP="00B6720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16 C.F.R. § 255.5 (1990). A connection becomes material and subject to these disclosure rules if “it would likely affect the consumer’s conduct or decisions with regard to a product or service.” </w:t>
      </w:r>
      <w:r w:rsidRPr="0037513D">
        <w:rPr>
          <w:rStyle w:val="Emphasis"/>
          <w:rFonts w:ascii="Garamond" w:hAnsi="Garamond"/>
          <w:sz w:val="18"/>
          <w:szCs w:val="18"/>
        </w:rPr>
        <w:t>FTC Statement on Deception</w:t>
      </w:r>
      <w:r w:rsidRPr="0037513D">
        <w:rPr>
          <w:rFonts w:ascii="Garamond" w:hAnsi="Garamond"/>
          <w:sz w:val="18"/>
          <w:szCs w:val="18"/>
        </w:rPr>
        <w:t xml:space="preserve">, 103 F.T.C. 174, 175 (1984) (appended to </w:t>
      </w:r>
      <w:proofErr w:type="spellStart"/>
      <w:r w:rsidRPr="0037513D">
        <w:rPr>
          <w:rFonts w:ascii="Garamond" w:hAnsi="Garamond"/>
          <w:sz w:val="18"/>
          <w:szCs w:val="18"/>
        </w:rPr>
        <w:t>Cliffdale</w:t>
      </w:r>
      <w:proofErr w:type="spellEnd"/>
      <w:r w:rsidRPr="0037513D">
        <w:rPr>
          <w:rFonts w:ascii="Garamond" w:hAnsi="Garamond"/>
          <w:sz w:val="18"/>
          <w:szCs w:val="18"/>
        </w:rPr>
        <w:t xml:space="preserve"> Assocs., Inc., 103 F.T.C. 110 (1984)); </w:t>
      </w:r>
      <w:r w:rsidRPr="0037513D">
        <w:rPr>
          <w:rStyle w:val="Strong"/>
          <w:rFonts w:ascii="Garamond" w:hAnsi="Garamond"/>
          <w:b w:val="0"/>
          <w:bCs w:val="0"/>
          <w:smallCaps/>
          <w:sz w:val="18"/>
          <w:szCs w:val="18"/>
        </w:rPr>
        <w:t>81 FED. REG</w:t>
      </w:r>
      <w:r w:rsidRPr="0037513D">
        <w:rPr>
          <w:rStyle w:val="Strong"/>
          <w:rFonts w:ascii="Garamond" w:hAnsi="Garamond"/>
          <w:sz w:val="18"/>
          <w:szCs w:val="18"/>
        </w:rPr>
        <w:t>.</w:t>
      </w:r>
      <w:r w:rsidRPr="0037513D">
        <w:rPr>
          <w:rFonts w:ascii="Garamond" w:hAnsi="Garamond"/>
          <w:sz w:val="18"/>
          <w:szCs w:val="18"/>
        </w:rPr>
        <w:t xml:space="preserve"> 22596 (2016). The Supreme Court endorsed the Commission’s position that “the misrepresentation of any fact” is material if it affects a consumer’s purchase decision</w:t>
      </w:r>
      <w:r w:rsidRPr="0037513D">
        <w:rPr>
          <w:rFonts w:ascii="Garamond" w:hAnsi="Garamond"/>
          <w:i/>
          <w:iCs/>
          <w:sz w:val="18"/>
          <w:szCs w:val="18"/>
        </w:rPr>
        <w:t xml:space="preserve">. See </w:t>
      </w:r>
      <w:r w:rsidRPr="0037513D">
        <w:rPr>
          <w:rStyle w:val="Emphasis"/>
          <w:rFonts w:ascii="Garamond" w:hAnsi="Garamond"/>
          <w:sz w:val="18"/>
          <w:szCs w:val="18"/>
        </w:rPr>
        <w:t>FTC v. Colgate-Palmolive Co.</w:t>
      </w:r>
      <w:r w:rsidRPr="0037513D">
        <w:rPr>
          <w:rFonts w:ascii="Garamond" w:hAnsi="Garamond"/>
          <w:sz w:val="18"/>
          <w:szCs w:val="18"/>
        </w:rPr>
        <w:t xml:space="preserve">, </w:t>
      </w:r>
      <w:r w:rsidRPr="0037513D">
        <w:rPr>
          <w:rStyle w:val="Strong"/>
          <w:rFonts w:ascii="Garamond" w:hAnsi="Garamond"/>
          <w:b w:val="0"/>
          <w:bCs w:val="0"/>
          <w:sz w:val="18"/>
          <w:szCs w:val="18"/>
        </w:rPr>
        <w:t>380 U.S. 374, 386–87</w:t>
      </w:r>
      <w:r w:rsidRPr="0037513D">
        <w:rPr>
          <w:rFonts w:ascii="Garamond" w:hAnsi="Garamond"/>
          <w:sz w:val="18"/>
          <w:szCs w:val="18"/>
        </w:rPr>
        <w:t xml:space="preserve"> (1965). It is also well settled that “[a]</w:t>
      </w:r>
      <w:proofErr w:type="spellStart"/>
      <w:r w:rsidRPr="0037513D">
        <w:rPr>
          <w:rFonts w:ascii="Garamond" w:hAnsi="Garamond"/>
          <w:sz w:val="18"/>
          <w:szCs w:val="18"/>
        </w:rPr>
        <w:t>ctual</w:t>
      </w:r>
      <w:proofErr w:type="spellEnd"/>
      <w:r w:rsidRPr="0037513D">
        <w:rPr>
          <w:rFonts w:ascii="Garamond" w:hAnsi="Garamond"/>
          <w:sz w:val="18"/>
          <w:szCs w:val="18"/>
        </w:rPr>
        <w:t xml:space="preserve"> injury is not required.” </w:t>
      </w:r>
      <w:r w:rsidRPr="0037513D">
        <w:rPr>
          <w:rStyle w:val="Emphasis"/>
          <w:rFonts w:ascii="Garamond" w:hAnsi="Garamond"/>
          <w:sz w:val="18"/>
          <w:szCs w:val="18"/>
        </w:rPr>
        <w:t xml:space="preserve">In re </w:t>
      </w:r>
      <w:proofErr w:type="spellStart"/>
      <w:r w:rsidRPr="0037513D">
        <w:rPr>
          <w:rStyle w:val="Emphasis"/>
          <w:rFonts w:ascii="Garamond" w:hAnsi="Garamond"/>
          <w:sz w:val="18"/>
          <w:szCs w:val="18"/>
        </w:rPr>
        <w:t>Cliffdale</w:t>
      </w:r>
      <w:proofErr w:type="spellEnd"/>
      <w:r w:rsidRPr="0037513D">
        <w:rPr>
          <w:rStyle w:val="Emphasis"/>
          <w:rFonts w:ascii="Garamond" w:hAnsi="Garamond"/>
          <w:sz w:val="18"/>
          <w:szCs w:val="18"/>
        </w:rPr>
        <w:t xml:space="preserve"> Assocs., Inc.</w:t>
      </w:r>
      <w:r w:rsidRPr="0037513D">
        <w:rPr>
          <w:rFonts w:ascii="Garamond" w:hAnsi="Garamond"/>
          <w:sz w:val="18"/>
          <w:szCs w:val="18"/>
        </w:rPr>
        <w:t xml:space="preserve">, </w:t>
      </w:r>
      <w:r w:rsidRPr="0037513D">
        <w:rPr>
          <w:rStyle w:val="Strong"/>
          <w:rFonts w:ascii="Garamond" w:hAnsi="Garamond"/>
          <w:b w:val="0"/>
          <w:bCs w:val="0"/>
          <w:smallCaps/>
          <w:sz w:val="18"/>
          <w:szCs w:val="18"/>
        </w:rPr>
        <w:t>103 F.T.C</w:t>
      </w:r>
      <w:r w:rsidRPr="0037513D">
        <w:rPr>
          <w:rStyle w:val="Strong"/>
          <w:rFonts w:ascii="Garamond" w:hAnsi="Garamond"/>
          <w:sz w:val="18"/>
          <w:szCs w:val="18"/>
        </w:rPr>
        <w:t>.</w:t>
      </w:r>
      <w:r w:rsidRPr="0037513D">
        <w:rPr>
          <w:rFonts w:ascii="Garamond" w:hAnsi="Garamond"/>
          <w:sz w:val="18"/>
          <w:szCs w:val="18"/>
        </w:rPr>
        <w:t xml:space="preserve"> 110, 107 n.11 (1984). On social media, for example, where the lines are inherently blurred, the disclosure requirement is inevitably more expensive. </w:t>
      </w:r>
      <w:r w:rsidRPr="0037513D">
        <w:rPr>
          <w:rFonts w:ascii="Garamond" w:hAnsi="Garamond"/>
          <w:i/>
          <w:iCs/>
          <w:sz w:val="18"/>
          <w:szCs w:val="18"/>
        </w:rPr>
        <w:t xml:space="preserve">See </w:t>
      </w:r>
      <w:r w:rsidRPr="0037513D">
        <w:rPr>
          <w:rFonts w:ascii="Garamond" w:hAnsi="Garamond"/>
          <w:smallCaps/>
          <w:sz w:val="18"/>
          <w:szCs w:val="18"/>
          <w:rtl/>
          <w:lang w:bidi="he-IL"/>
        </w:rPr>
        <w:t xml:space="preserve"> </w:t>
      </w:r>
      <w:r w:rsidRPr="0037513D">
        <w:rPr>
          <w:rFonts w:ascii="Garamond" w:hAnsi="Garamond"/>
          <w:smallCaps/>
          <w:sz w:val="18"/>
          <w:szCs w:val="18"/>
        </w:rPr>
        <w:t>Fed. Trade Comm’n</w:t>
      </w:r>
      <w:r w:rsidRPr="0037513D">
        <w:rPr>
          <w:rFonts w:ascii="Garamond" w:hAnsi="Garamond"/>
          <w:sz w:val="18"/>
          <w:szCs w:val="18"/>
        </w:rPr>
        <w:t xml:space="preserve">, </w:t>
      </w:r>
      <w:r w:rsidRPr="0037513D">
        <w:rPr>
          <w:rStyle w:val="Emphasis"/>
          <w:rFonts w:ascii="Garamond" w:hAnsi="Garamond"/>
          <w:sz w:val="18"/>
          <w:szCs w:val="18"/>
        </w:rPr>
        <w:t>FTC Publishes Final Guides Governing Endorsements, Testimonials: Changes Affect Testimonial Advertisements, Bloggers, Celebrity Endorsements</w:t>
      </w:r>
      <w:r w:rsidRPr="0037513D">
        <w:rPr>
          <w:rFonts w:ascii="Garamond" w:hAnsi="Garamond"/>
          <w:sz w:val="18"/>
          <w:szCs w:val="18"/>
        </w:rPr>
        <w:t xml:space="preserve"> (Oct. 5, 2009</w:t>
      </w:r>
      <w:r w:rsidRPr="0037513D">
        <w:rPr>
          <w:rFonts w:ascii="Garamond" w:hAnsi="Garamond"/>
          <w:sz w:val="18"/>
          <w:szCs w:val="18"/>
          <w:rtl/>
        </w:rPr>
        <w:t>.</w:t>
      </w:r>
      <w:r w:rsidRPr="0037513D">
        <w:rPr>
          <w:rFonts w:ascii="Garamond" w:hAnsi="Garamond"/>
          <w:sz w:val="18"/>
          <w:szCs w:val="18"/>
        </w:rPr>
        <w:t xml:space="preserve"> </w:t>
      </w:r>
      <w:hyperlink r:id="rId10" w:history="1">
        <w:r w:rsidRPr="0037513D">
          <w:rPr>
            <w:rStyle w:val="Hyperlink"/>
            <w:rFonts w:ascii="Garamond" w:hAnsi="Garamond"/>
            <w:sz w:val="18"/>
            <w:szCs w:val="18"/>
          </w:rPr>
          <w:t>https://www.ftc.gov/news-events/press-releases/2009/10/ftc-publishes-final-guides-governing-endorsements-testimonials</w:t>
        </w:r>
      </w:hyperlink>
      <w:r w:rsidRPr="0037513D">
        <w:rPr>
          <w:rFonts w:ascii="Garamond" w:hAnsi="Garamond"/>
          <w:sz w:val="18"/>
          <w:szCs w:val="18"/>
        </w:rPr>
        <w:t xml:space="preserve">. Failure to comply with disclosure rules may trigger civil, and in some countries even criminal liability. </w:t>
      </w:r>
      <w:r w:rsidRPr="0037513D">
        <w:rPr>
          <w:rFonts w:ascii="Garamond" w:hAnsi="Garamond"/>
          <w:i/>
          <w:iCs/>
          <w:sz w:val="18"/>
          <w:szCs w:val="18"/>
        </w:rPr>
        <w:t xml:space="preserve">See e.g., </w:t>
      </w:r>
      <w:r w:rsidRPr="0037513D">
        <w:rPr>
          <w:rFonts w:ascii="Garamond" w:hAnsi="Garamond"/>
          <w:sz w:val="18"/>
          <w:szCs w:val="18"/>
          <w:rtl/>
          <w:lang w:bidi="he-IL"/>
        </w:rPr>
        <w:t xml:space="preserve"> </w:t>
      </w:r>
      <w:r w:rsidRPr="0037513D">
        <w:rPr>
          <w:rFonts w:ascii="Garamond" w:hAnsi="Garamond"/>
          <w:sz w:val="18"/>
          <w:szCs w:val="18"/>
        </w:rPr>
        <w:t xml:space="preserve">Claude-Étienne </w:t>
      </w:r>
      <w:proofErr w:type="spellStart"/>
      <w:r w:rsidRPr="0037513D">
        <w:rPr>
          <w:rFonts w:ascii="Garamond" w:hAnsi="Garamond"/>
          <w:sz w:val="18"/>
          <w:szCs w:val="18"/>
        </w:rPr>
        <w:t>Armingaud</w:t>
      </w:r>
      <w:proofErr w:type="spellEnd"/>
      <w:r w:rsidRPr="0037513D">
        <w:rPr>
          <w:rFonts w:ascii="Garamond" w:hAnsi="Garamond"/>
          <w:sz w:val="18"/>
          <w:szCs w:val="18"/>
        </w:rPr>
        <w:t xml:space="preserve"> &amp; Camille Scarparo, </w:t>
      </w:r>
      <w:r w:rsidRPr="0037513D">
        <w:rPr>
          <w:rStyle w:val="Emphasis"/>
          <w:rFonts w:ascii="Garamond" w:hAnsi="Garamond"/>
          <w:sz w:val="18"/>
          <w:szCs w:val="18"/>
        </w:rPr>
        <w:t>France’s Digital Influencer Regulation: Whether You Like It or Not, You’ll Need to Subscribe to Those Changes</w:t>
      </w:r>
      <w:r w:rsidRPr="0037513D">
        <w:rPr>
          <w:rStyle w:val="Emphasis"/>
          <w:rFonts w:ascii="Garamond" w:hAnsi="Garamond"/>
          <w:b/>
          <w:bCs/>
          <w:smallCaps/>
          <w:sz w:val="18"/>
          <w:szCs w:val="18"/>
        </w:rPr>
        <w:t>!</w:t>
      </w:r>
      <w:r w:rsidRPr="0037513D">
        <w:rPr>
          <w:rFonts w:ascii="Garamond" w:hAnsi="Garamond"/>
          <w:b/>
          <w:bCs/>
          <w:smallCaps/>
          <w:sz w:val="18"/>
          <w:szCs w:val="18"/>
        </w:rPr>
        <w:t xml:space="preserve">, </w:t>
      </w:r>
      <w:r w:rsidRPr="0037513D">
        <w:rPr>
          <w:rStyle w:val="Strong"/>
          <w:rFonts w:ascii="Garamond" w:hAnsi="Garamond"/>
          <w:b w:val="0"/>
          <w:bCs w:val="0"/>
          <w:smallCaps/>
          <w:sz w:val="18"/>
          <w:szCs w:val="18"/>
        </w:rPr>
        <w:t>K&amp;L Gates: Fashion Law Watch</w:t>
      </w:r>
      <w:r w:rsidRPr="0037513D">
        <w:rPr>
          <w:rFonts w:ascii="Garamond" w:hAnsi="Garamond"/>
          <w:b/>
          <w:bCs/>
          <w:smallCaps/>
          <w:sz w:val="18"/>
          <w:szCs w:val="18"/>
        </w:rPr>
        <w:t xml:space="preserve"> </w:t>
      </w:r>
      <w:r w:rsidRPr="0037513D">
        <w:rPr>
          <w:rFonts w:ascii="Garamond" w:hAnsi="Garamond"/>
          <w:sz w:val="18"/>
          <w:szCs w:val="18"/>
        </w:rPr>
        <w:t>(Oct. 18, 2023),</w:t>
      </w:r>
      <w:r w:rsidRPr="0037513D">
        <w:rPr>
          <w:rFonts w:ascii="Garamond" w:hAnsi="Garamond"/>
          <w:sz w:val="18"/>
          <w:szCs w:val="18"/>
          <w:rtl/>
        </w:rPr>
        <w:t xml:space="preserve"> </w:t>
      </w:r>
      <w:hyperlink r:id="rId11" w:tgtFrame="_new" w:history="1">
        <w:r w:rsidRPr="0037513D">
          <w:rPr>
            <w:rFonts w:ascii="Garamond" w:hAnsi="Garamond"/>
            <w:color w:val="0000FF"/>
            <w:sz w:val="18"/>
            <w:szCs w:val="18"/>
            <w:u w:val="single"/>
          </w:rPr>
          <w:t>https://www.fashionlawwatch.com/2023/10/18/frances-digital-influencer-regulation-whether-you-like-it-or-not-youll-need-to-subscribe-to-those-changes</w:t>
        </w:r>
      </w:hyperlink>
      <w:r w:rsidRPr="0037513D">
        <w:rPr>
          <w:rFonts w:ascii="Garamond" w:hAnsi="Garamond"/>
          <w:sz w:val="18"/>
          <w:szCs w:val="18"/>
        </w:rPr>
        <w:t xml:space="preserve">. (“Influencers failing to comply with this obligation [mandatory labeling] face up to 300,000 euros in fines and up to two years of imprisonment (Art. 5 Influencers Act)”).  </w:t>
      </w:r>
    </w:p>
  </w:footnote>
  <w:footnote w:id="69">
    <w:p w14:paraId="22BD5216" w14:textId="77777777" w:rsidR="00B6720A" w:rsidRPr="0037513D" w:rsidRDefault="00B6720A" w:rsidP="00B6720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 xml:space="preserve">See </w:t>
      </w:r>
      <w:proofErr w:type="spellStart"/>
      <w:r w:rsidRPr="0037513D">
        <w:rPr>
          <w:rFonts w:ascii="Garamond" w:hAnsi="Garamond"/>
          <w:sz w:val="18"/>
          <w:szCs w:val="18"/>
        </w:rPr>
        <w:t>Eyada</w:t>
      </w:r>
      <w:proofErr w:type="spellEnd"/>
      <w:r w:rsidRPr="0037513D">
        <w:rPr>
          <w:rFonts w:ascii="Garamond" w:hAnsi="Garamond"/>
          <w:sz w:val="18"/>
          <w:szCs w:val="18"/>
        </w:rPr>
        <w:t xml:space="preserve"> &amp; Cazorla Milla, </w:t>
      </w:r>
      <w:r w:rsidRPr="0037513D">
        <w:rPr>
          <w:rStyle w:val="Emphasis"/>
          <w:rFonts w:ascii="Garamond" w:hAnsi="Garamond"/>
          <w:sz w:val="18"/>
          <w:szCs w:val="18"/>
        </w:rPr>
        <w:t>supra</w:t>
      </w:r>
      <w:r w:rsidRPr="0037513D">
        <w:rPr>
          <w:rFonts w:ascii="Garamond" w:hAnsi="Garamond"/>
          <w:sz w:val="18"/>
          <w:szCs w:val="18"/>
        </w:rPr>
        <w:t xml:space="preserve"> note</w:t>
      </w:r>
      <w:r w:rsidRPr="0037513D">
        <w:rPr>
          <w:rFonts w:ascii="Garamond" w:hAnsi="Garamond"/>
          <w:sz w:val="18"/>
          <w:szCs w:val="18"/>
        </w:rPr>
        <w:fldChar w:fldCharType="begin"/>
      </w:r>
      <w:r w:rsidRPr="0037513D">
        <w:rPr>
          <w:rFonts w:ascii="Garamond" w:hAnsi="Garamond"/>
          <w:sz w:val="18"/>
          <w:szCs w:val="18"/>
        </w:rPr>
        <w:instrText xml:space="preserve"> NOTEREF _Ref214295989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hint="cs"/>
          <w:sz w:val="18"/>
          <w:szCs w:val="18"/>
          <w:rtl/>
          <w:lang w:bidi="he-IL"/>
        </w:rPr>
        <w:t xml:space="preserve"> </w:t>
      </w:r>
      <w:r w:rsidRPr="0037513D">
        <w:rPr>
          <w:rFonts w:ascii="Garamond" w:hAnsi="Garamond"/>
          <w:sz w:val="18"/>
          <w:szCs w:val="18"/>
        </w:rPr>
        <w:t>at 72.</w:t>
      </w:r>
    </w:p>
  </w:footnote>
  <w:footnote w:id="70">
    <w:p w14:paraId="1D62910D" w14:textId="77777777" w:rsidR="00B6720A" w:rsidRPr="0037513D" w:rsidRDefault="00B6720A" w:rsidP="00B6720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Ruvimbo Musiyiwa &amp; Jenna Jacobson, </w:t>
      </w:r>
      <w:r w:rsidRPr="0037513D">
        <w:rPr>
          <w:rFonts w:ascii="Garamond" w:hAnsi="Garamond"/>
          <w:i/>
          <w:iCs/>
          <w:sz w:val="18"/>
          <w:szCs w:val="18"/>
        </w:rPr>
        <w:t>Sponsorship Disclosure in Social Media Influencer Market-</w:t>
      </w:r>
      <w:proofErr w:type="spellStart"/>
      <w:r w:rsidRPr="0037513D">
        <w:rPr>
          <w:rFonts w:ascii="Garamond" w:hAnsi="Garamond"/>
          <w:i/>
          <w:iCs/>
          <w:sz w:val="18"/>
          <w:szCs w:val="18"/>
        </w:rPr>
        <w:t>ing</w:t>
      </w:r>
      <w:proofErr w:type="spellEnd"/>
      <w:r w:rsidRPr="0037513D">
        <w:rPr>
          <w:rFonts w:ascii="Garamond" w:hAnsi="Garamond"/>
          <w:i/>
          <w:iCs/>
          <w:sz w:val="18"/>
          <w:szCs w:val="18"/>
        </w:rPr>
        <w:t>: The Algorithmic and Non-Algorithmic Barriers</w:t>
      </w:r>
      <w:r w:rsidRPr="0037513D">
        <w:rPr>
          <w:rFonts w:ascii="Garamond" w:hAnsi="Garamond"/>
          <w:sz w:val="18"/>
          <w:szCs w:val="18"/>
        </w:rPr>
        <w:t>,</w:t>
      </w:r>
      <w:r w:rsidRPr="0037513D">
        <w:rPr>
          <w:rFonts w:ascii="Garamond" w:hAnsi="Garamond"/>
          <w:smallCaps/>
          <w:sz w:val="18"/>
          <w:szCs w:val="18"/>
        </w:rPr>
        <w:t xml:space="preserve"> 9 Soc. Media + Soc'y</w:t>
      </w:r>
      <w:r w:rsidRPr="0037513D">
        <w:rPr>
          <w:rFonts w:ascii="Garamond" w:hAnsi="Garamond"/>
          <w:sz w:val="18"/>
          <w:szCs w:val="18"/>
        </w:rPr>
        <w:t xml:space="preserve"> 1 (2023) (discussing sponsorship disclosure regulations throughout the globe); Daniel Ershov &amp; Matthew Mitchell, </w:t>
      </w:r>
      <w:r w:rsidRPr="0037513D">
        <w:rPr>
          <w:rFonts w:ascii="Garamond" w:hAnsi="Garamond"/>
          <w:i/>
          <w:iCs/>
          <w:sz w:val="18"/>
          <w:szCs w:val="18"/>
        </w:rPr>
        <w:t>The Effects of Advertising Disclosure Regulations on Social Media: Evidence From Instagram</w:t>
      </w:r>
      <w:r w:rsidRPr="0037513D">
        <w:rPr>
          <w:rFonts w:ascii="Garamond" w:hAnsi="Garamond"/>
          <w:smallCaps/>
          <w:sz w:val="18"/>
          <w:szCs w:val="18"/>
        </w:rPr>
        <w:t xml:space="preserve">, 56 Rand J.  Econ. </w:t>
      </w:r>
      <w:r w:rsidRPr="0037513D">
        <w:rPr>
          <w:rFonts w:ascii="Garamond" w:hAnsi="Garamond"/>
          <w:sz w:val="18"/>
          <w:szCs w:val="18"/>
        </w:rPr>
        <w:t xml:space="preserve">74 (2025). (same); Zofia Saternus, Cristina Mihale-Wil-son &amp; Oliver Hinz, </w:t>
      </w:r>
      <w:r w:rsidRPr="0037513D">
        <w:rPr>
          <w:rFonts w:ascii="Garamond" w:hAnsi="Garamond"/>
          <w:i/>
          <w:iCs/>
          <w:sz w:val="18"/>
          <w:szCs w:val="18"/>
        </w:rPr>
        <w:t>Influencer marketing on Instagram—The optimal disclosure strategy from influencers’ and marketers’ perspectives</w:t>
      </w:r>
      <w:r w:rsidRPr="0037513D">
        <w:rPr>
          <w:rFonts w:ascii="Garamond" w:hAnsi="Garamond"/>
          <w:sz w:val="18"/>
          <w:szCs w:val="18"/>
        </w:rPr>
        <w:t xml:space="preserve">, </w:t>
      </w:r>
      <w:r w:rsidRPr="0037513D">
        <w:rPr>
          <w:rFonts w:ascii="Garamond" w:hAnsi="Garamond"/>
          <w:smallCaps/>
          <w:sz w:val="18"/>
          <w:szCs w:val="18"/>
        </w:rPr>
        <w:t xml:space="preserve">34 Electronic </w:t>
      </w:r>
      <w:proofErr w:type="spellStart"/>
      <w:r w:rsidRPr="0037513D">
        <w:rPr>
          <w:rFonts w:ascii="Garamond" w:hAnsi="Garamond"/>
          <w:smallCaps/>
          <w:sz w:val="18"/>
          <w:szCs w:val="18"/>
        </w:rPr>
        <w:t>Markts</w:t>
      </w:r>
      <w:proofErr w:type="spellEnd"/>
      <w:r w:rsidRPr="0037513D">
        <w:rPr>
          <w:rFonts w:ascii="Garamond" w:hAnsi="Garamond"/>
          <w:sz w:val="18"/>
          <w:szCs w:val="18"/>
        </w:rPr>
        <w:t xml:space="preserve"> 60 (2024) (same)</w:t>
      </w:r>
      <w:r w:rsidRPr="0037513D">
        <w:rPr>
          <w:rFonts w:ascii="Garamond" w:hAnsi="Garamond"/>
          <w:sz w:val="18"/>
          <w:szCs w:val="18"/>
          <w:lang w:bidi="he-IL"/>
        </w:rPr>
        <w:t xml:space="preserve">; </w:t>
      </w:r>
      <w:r w:rsidRPr="0037513D">
        <w:rPr>
          <w:rFonts w:ascii="Garamond" w:hAnsi="Garamond"/>
          <w:sz w:val="18"/>
          <w:szCs w:val="18"/>
        </w:rPr>
        <w:t xml:space="preserve">Claude-Étienne </w:t>
      </w:r>
      <w:proofErr w:type="spellStart"/>
      <w:r w:rsidRPr="0037513D">
        <w:rPr>
          <w:rFonts w:ascii="Garamond" w:hAnsi="Garamond"/>
          <w:sz w:val="18"/>
          <w:szCs w:val="18"/>
        </w:rPr>
        <w:t>Armingaud</w:t>
      </w:r>
      <w:proofErr w:type="spellEnd"/>
      <w:r w:rsidRPr="0037513D">
        <w:rPr>
          <w:rFonts w:ascii="Garamond" w:hAnsi="Garamond"/>
          <w:sz w:val="18"/>
          <w:szCs w:val="18"/>
        </w:rPr>
        <w:t xml:space="preserve"> &amp; Camille Scarparo,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_Ref214383475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55</w:t>
      </w:r>
      <w:r w:rsidRPr="0037513D">
        <w:rPr>
          <w:rFonts w:ascii="Garamond" w:hAnsi="Garamond"/>
          <w:sz w:val="18"/>
          <w:szCs w:val="18"/>
        </w:rPr>
        <w:fldChar w:fldCharType="end"/>
      </w:r>
      <w:r w:rsidRPr="0037513D">
        <w:rPr>
          <w:rFonts w:ascii="Garamond" w:hAnsi="Garamond"/>
          <w:sz w:val="18"/>
          <w:szCs w:val="18"/>
        </w:rPr>
        <w:t xml:space="preserve"> (discusses the French rules); Al-Masry Al-Youm, </w:t>
      </w:r>
      <w:r w:rsidRPr="0037513D">
        <w:rPr>
          <w:rFonts w:ascii="Garamond" w:hAnsi="Garamond"/>
          <w:i/>
          <w:iCs/>
          <w:sz w:val="18"/>
          <w:szCs w:val="18"/>
        </w:rPr>
        <w:t>Parliament approves law regulating press and media</w:t>
      </w:r>
      <w:r w:rsidRPr="0037513D">
        <w:rPr>
          <w:rFonts w:ascii="Garamond" w:hAnsi="Garamond"/>
          <w:i/>
          <w:iCs/>
          <w:smallCaps/>
          <w:sz w:val="18"/>
          <w:szCs w:val="18"/>
        </w:rPr>
        <w:t xml:space="preserve">, </w:t>
      </w:r>
      <w:r w:rsidRPr="0037513D">
        <w:rPr>
          <w:rFonts w:ascii="Garamond" w:hAnsi="Garamond"/>
          <w:smallCaps/>
          <w:sz w:val="18"/>
          <w:szCs w:val="18"/>
        </w:rPr>
        <w:t xml:space="preserve">Egypt Independent </w:t>
      </w:r>
      <w:r w:rsidRPr="0037513D">
        <w:rPr>
          <w:rFonts w:ascii="Garamond" w:hAnsi="Garamond"/>
          <w:sz w:val="18"/>
          <w:szCs w:val="18"/>
        </w:rPr>
        <w:t xml:space="preserve"> (Jun. 11, 2018) (noting that “[t]he article also applies to personal blogs or social media accounts with more than 5,000 followers.”).  </w:t>
      </w:r>
      <w:hyperlink r:id="rId12" w:history="1">
        <w:r w:rsidRPr="0037513D">
          <w:rPr>
            <w:rStyle w:val="Hyperlink"/>
            <w:rFonts w:ascii="Garamond" w:hAnsi="Garamond"/>
            <w:sz w:val="18"/>
            <w:szCs w:val="18"/>
          </w:rPr>
          <w:t>https://www.jdsupra.com/legalnews/ftc-issues-guidance-on-claims-about-ai-9344256/?utm_source=chatgpt.com</w:t>
        </w:r>
      </w:hyperlink>
      <w:r w:rsidRPr="0037513D">
        <w:rPr>
          <w:rFonts w:ascii="Garamond" w:hAnsi="Garamond"/>
          <w:sz w:val="18"/>
          <w:szCs w:val="18"/>
        </w:rPr>
        <w:t xml:space="preserve"> </w:t>
      </w:r>
    </w:p>
  </w:footnote>
  <w:footnote w:id="71">
    <w:p w14:paraId="45511A3E" w14:textId="27D888FA" w:rsidR="00DA4B56" w:rsidRPr="0037513D" w:rsidRDefault="00DA4B56"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4C45C1" w:rsidRPr="0037513D">
        <w:rPr>
          <w:rFonts w:ascii="Garamond" w:hAnsi="Garamond"/>
          <w:sz w:val="18"/>
          <w:szCs w:val="18"/>
        </w:rPr>
        <w:t xml:space="preserve">Claude-Étienne </w:t>
      </w:r>
      <w:proofErr w:type="spellStart"/>
      <w:r w:rsidR="004C45C1" w:rsidRPr="0037513D">
        <w:rPr>
          <w:rFonts w:ascii="Garamond" w:hAnsi="Garamond"/>
          <w:sz w:val="18"/>
          <w:szCs w:val="18"/>
        </w:rPr>
        <w:t>Armingaud</w:t>
      </w:r>
      <w:proofErr w:type="spellEnd"/>
      <w:r w:rsidR="004C45C1" w:rsidRPr="0037513D">
        <w:rPr>
          <w:rFonts w:ascii="Garamond" w:hAnsi="Garamond"/>
          <w:sz w:val="18"/>
          <w:szCs w:val="18"/>
        </w:rPr>
        <w:t xml:space="preserve"> &amp; Camille Scarparo, </w:t>
      </w:r>
      <w:r w:rsidR="004C45C1" w:rsidRPr="0037513D">
        <w:rPr>
          <w:rFonts w:ascii="Garamond" w:hAnsi="Garamond"/>
          <w:i/>
          <w:iCs/>
          <w:sz w:val="18"/>
          <w:szCs w:val="18"/>
        </w:rPr>
        <w:t xml:space="preserve">supra </w:t>
      </w:r>
      <w:r w:rsidR="004C45C1" w:rsidRPr="0037513D">
        <w:rPr>
          <w:rFonts w:ascii="Garamond" w:hAnsi="Garamond"/>
          <w:sz w:val="18"/>
          <w:szCs w:val="18"/>
        </w:rPr>
        <w:t xml:space="preserve">note </w:t>
      </w:r>
      <w:r w:rsidR="004C45C1" w:rsidRPr="0037513D">
        <w:rPr>
          <w:rFonts w:ascii="Garamond" w:hAnsi="Garamond"/>
          <w:sz w:val="18"/>
          <w:szCs w:val="18"/>
        </w:rPr>
        <w:fldChar w:fldCharType="begin"/>
      </w:r>
      <w:r w:rsidR="004C45C1" w:rsidRPr="0037513D">
        <w:rPr>
          <w:rFonts w:ascii="Garamond" w:hAnsi="Garamond"/>
          <w:sz w:val="18"/>
          <w:szCs w:val="18"/>
        </w:rPr>
        <w:instrText xml:space="preserve"> NOTEREF _Ref214383475 \h  \* MERGEFORMAT </w:instrText>
      </w:r>
      <w:r w:rsidR="004C45C1" w:rsidRPr="0037513D">
        <w:rPr>
          <w:rFonts w:ascii="Garamond" w:hAnsi="Garamond"/>
          <w:sz w:val="18"/>
          <w:szCs w:val="18"/>
        </w:rPr>
      </w:r>
      <w:r w:rsidR="004C45C1" w:rsidRPr="0037513D">
        <w:rPr>
          <w:rFonts w:ascii="Garamond" w:hAnsi="Garamond"/>
          <w:sz w:val="18"/>
          <w:szCs w:val="18"/>
        </w:rPr>
        <w:fldChar w:fldCharType="separate"/>
      </w:r>
      <w:r w:rsidR="004C45C1" w:rsidRPr="0037513D">
        <w:rPr>
          <w:rFonts w:ascii="Garamond" w:hAnsi="Garamond"/>
          <w:sz w:val="18"/>
          <w:szCs w:val="18"/>
        </w:rPr>
        <w:t>55</w:t>
      </w:r>
      <w:r w:rsidR="004C45C1" w:rsidRPr="0037513D">
        <w:rPr>
          <w:rFonts w:ascii="Garamond" w:hAnsi="Garamond"/>
          <w:sz w:val="18"/>
          <w:szCs w:val="18"/>
        </w:rPr>
        <w:fldChar w:fldCharType="end"/>
      </w:r>
      <w:r w:rsidR="004C45C1" w:rsidRPr="0037513D">
        <w:rPr>
          <w:rFonts w:ascii="Garamond" w:hAnsi="Garamond"/>
          <w:sz w:val="18"/>
          <w:szCs w:val="18"/>
        </w:rPr>
        <w:t>.</w:t>
      </w:r>
    </w:p>
  </w:footnote>
  <w:footnote w:id="72">
    <w:p w14:paraId="431954C7" w14:textId="77777777" w:rsidR="00AA7297" w:rsidRPr="0037513D" w:rsidRDefault="00AA7297" w:rsidP="00AA729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sz w:val="18"/>
          <w:szCs w:val="18"/>
          <w:lang w:bidi="he-IL"/>
        </w:rPr>
        <w:t xml:space="preserve">As of September 2025, 41% of 18–34-year-olds and 24% of all consumers are reported to use generative AI chatbots to search for products and services instead of traditional search engines. </w:t>
      </w:r>
      <w:r w:rsidRPr="0037513D">
        <w:rPr>
          <w:rStyle w:val="Strong"/>
          <w:rFonts w:ascii="Garamond" w:hAnsi="Garamond"/>
          <w:b w:val="0"/>
          <w:bCs w:val="0"/>
          <w:i/>
          <w:iCs/>
          <w:sz w:val="18"/>
          <w:szCs w:val="18"/>
        </w:rPr>
        <w:t xml:space="preserve">See </w:t>
      </w:r>
      <w:r w:rsidRPr="0037513D">
        <w:rPr>
          <w:rStyle w:val="Strong"/>
          <w:rFonts w:ascii="Garamond" w:hAnsi="Garamond"/>
          <w:b w:val="0"/>
          <w:bCs w:val="0"/>
          <w:sz w:val="18"/>
          <w:szCs w:val="18"/>
        </w:rPr>
        <w:t xml:space="preserve">Maria Ray, </w:t>
      </w:r>
      <w:proofErr w:type="spellStart"/>
      <w:r w:rsidRPr="0037513D">
        <w:rPr>
          <w:rStyle w:val="Strong"/>
          <w:rFonts w:ascii="Garamond" w:hAnsi="Garamond"/>
          <w:b w:val="0"/>
          <w:bCs w:val="0"/>
          <w:i/>
          <w:iCs/>
          <w:sz w:val="18"/>
          <w:szCs w:val="18"/>
        </w:rPr>
        <w:t>Bazaarvoice</w:t>
      </w:r>
      <w:proofErr w:type="spellEnd"/>
      <w:r w:rsidRPr="0037513D">
        <w:rPr>
          <w:rStyle w:val="Strong"/>
          <w:rFonts w:ascii="Garamond" w:hAnsi="Garamond"/>
          <w:b w:val="0"/>
          <w:bCs w:val="0"/>
          <w:i/>
          <w:iCs/>
          <w:sz w:val="18"/>
          <w:szCs w:val="18"/>
        </w:rPr>
        <w:t xml:space="preserve"> Shopper Experience Index 2025: Why 75% of young shoppers trust AI?, </w:t>
      </w:r>
      <w:r w:rsidRPr="0037513D">
        <w:rPr>
          <w:rStyle w:val="Strong"/>
          <w:rFonts w:ascii="Garamond" w:hAnsi="Garamond"/>
          <w:b w:val="0"/>
          <w:bCs w:val="0"/>
          <w:smallCaps/>
          <w:sz w:val="18"/>
          <w:szCs w:val="18"/>
        </w:rPr>
        <w:t>The Bazaar Voice,</w:t>
      </w:r>
      <w:r w:rsidRPr="0037513D">
        <w:rPr>
          <w:rStyle w:val="Strong"/>
          <w:rFonts w:ascii="Garamond" w:hAnsi="Garamond"/>
          <w:b w:val="0"/>
          <w:bCs w:val="0"/>
          <w:sz w:val="18"/>
          <w:szCs w:val="18"/>
        </w:rPr>
        <w:t xml:space="preserve"> (Sep. 30, 2025). For a discussing of how GenAI disrupted traditional advertising paradigms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Pr>
        <w:t>, at 144</w:t>
      </w:r>
      <w:r w:rsidRPr="0037513D">
        <w:rPr>
          <w:rFonts w:ascii="Garamond" w:hAnsi="Garamond" w:cs="Times New Roman"/>
          <w:color w:val="000000"/>
          <w:kern w:val="0"/>
          <w:sz w:val="18"/>
          <w:szCs w:val="18"/>
          <w14:ligatures w14:val="none"/>
        </w:rPr>
        <w:t>;</w:t>
      </w:r>
      <w:r w:rsidRPr="0037513D">
        <w:rPr>
          <w:rFonts w:ascii="Garamond" w:eastAsia="Times New Roman" w:hAnsi="Garamond"/>
          <w:sz w:val="18"/>
          <w:szCs w:val="18"/>
        </w:rPr>
        <w:t xml:space="preserve"> </w:t>
      </w:r>
      <w:r w:rsidRPr="0037513D">
        <w:rPr>
          <w:rFonts w:ascii="Garamond" w:hAnsi="Garamond"/>
          <w:sz w:val="18"/>
          <w:szCs w:val="18"/>
        </w:rPr>
        <w:t xml:space="preserve">Meng &amp; Y. Yang, </w:t>
      </w:r>
      <w:r w:rsidRPr="0037513D">
        <w:rPr>
          <w:rStyle w:val="Emphasis"/>
          <w:rFonts w:ascii="Garamond" w:hAnsi="Garamond"/>
          <w:sz w:val="18"/>
          <w:szCs w:val="18"/>
        </w:rPr>
        <w:t>LLM Technologies and Information Search</w:t>
      </w:r>
      <w:r w:rsidRPr="0037513D">
        <w:rPr>
          <w:rFonts w:ascii="Garamond" w:hAnsi="Garamond"/>
          <w:b/>
          <w:bCs/>
          <w:sz w:val="18"/>
          <w:szCs w:val="18"/>
        </w:rPr>
        <w:t xml:space="preserve">, </w:t>
      </w:r>
      <w:r w:rsidRPr="0037513D">
        <w:rPr>
          <w:rStyle w:val="Strong"/>
          <w:rFonts w:ascii="Garamond" w:hAnsi="Garamond"/>
          <w:b w:val="0"/>
          <w:bCs w:val="0"/>
          <w:smallCaps/>
          <w:sz w:val="18"/>
          <w:szCs w:val="18"/>
        </w:rPr>
        <w:t>2 J. Econ. Technol</w:t>
      </w:r>
      <w:r w:rsidRPr="0037513D">
        <w:rPr>
          <w:rStyle w:val="Strong"/>
          <w:rFonts w:ascii="Garamond" w:hAnsi="Garamond"/>
          <w:smallCaps/>
          <w:sz w:val="18"/>
          <w:szCs w:val="18"/>
        </w:rPr>
        <w:t xml:space="preserve">. </w:t>
      </w:r>
      <w:r w:rsidRPr="0037513D">
        <w:rPr>
          <w:rFonts w:ascii="Garamond" w:hAnsi="Garamond"/>
          <w:sz w:val="18"/>
          <w:szCs w:val="18"/>
        </w:rPr>
        <w:t>269 (2024);</w:t>
      </w:r>
      <w:r w:rsidRPr="0037513D">
        <w:rPr>
          <w:rFonts w:ascii="Garamond" w:eastAsia="Times New Roman" w:hAnsi="Garamond"/>
          <w:sz w:val="18"/>
          <w:szCs w:val="18"/>
        </w:rPr>
        <w:t xml:space="preserve"> </w:t>
      </w:r>
      <w:r w:rsidRPr="0037513D">
        <w:rPr>
          <w:rFonts w:ascii="Garamond" w:hAnsi="Garamond"/>
          <w:sz w:val="18"/>
          <w:szCs w:val="18"/>
        </w:rPr>
        <w:t xml:space="preserve">C.L. Wang, </w:t>
      </w:r>
      <w:r w:rsidRPr="0037513D">
        <w:rPr>
          <w:rStyle w:val="Emphasis"/>
          <w:rFonts w:ascii="Garamond" w:hAnsi="Garamond"/>
          <w:sz w:val="18"/>
          <w:szCs w:val="18"/>
        </w:rPr>
        <w:t>Editorial – What Is an Interactive Marketing Perspective and What Are Emerging Research Areas</w:t>
      </w:r>
      <w:r w:rsidRPr="0037513D">
        <w:rPr>
          <w:rStyle w:val="Emphasis"/>
          <w:rFonts w:ascii="Garamond" w:hAnsi="Garamond"/>
          <w:smallCaps/>
          <w:sz w:val="18"/>
          <w:szCs w:val="18"/>
        </w:rPr>
        <w:t>?</w:t>
      </w:r>
      <w:r w:rsidRPr="0037513D">
        <w:rPr>
          <w:rFonts w:ascii="Garamond" w:hAnsi="Garamond"/>
          <w:smallCaps/>
          <w:sz w:val="18"/>
          <w:szCs w:val="18"/>
        </w:rPr>
        <w:t xml:space="preserve">, </w:t>
      </w:r>
      <w:r w:rsidRPr="0037513D">
        <w:rPr>
          <w:rStyle w:val="Strong"/>
          <w:rFonts w:ascii="Garamond" w:hAnsi="Garamond"/>
          <w:b w:val="0"/>
          <w:bCs w:val="0"/>
          <w:smallCaps/>
          <w:sz w:val="18"/>
          <w:szCs w:val="18"/>
        </w:rPr>
        <w:t>18 J. Res. Interact. Mark</w:t>
      </w:r>
      <w:r w:rsidRPr="0037513D">
        <w:rPr>
          <w:rStyle w:val="Strong"/>
          <w:rFonts w:ascii="Garamond" w:hAnsi="Garamond"/>
          <w:sz w:val="18"/>
          <w:szCs w:val="18"/>
        </w:rPr>
        <w:t>.</w:t>
      </w:r>
      <w:r w:rsidRPr="0037513D">
        <w:rPr>
          <w:rFonts w:ascii="Garamond" w:hAnsi="Garamond"/>
          <w:sz w:val="18"/>
          <w:szCs w:val="18"/>
        </w:rPr>
        <w:t xml:space="preserve"> 161-65 (2024)</w:t>
      </w:r>
      <w:r w:rsidRPr="0037513D">
        <w:rPr>
          <w:rFonts w:ascii="Garamond" w:eastAsia="Times New Roman" w:hAnsi="Garamond"/>
          <w:sz w:val="18"/>
          <w:szCs w:val="18"/>
        </w:rPr>
        <w:t xml:space="preserve">; </w:t>
      </w:r>
      <w:r w:rsidRPr="0037513D">
        <w:rPr>
          <w:rFonts w:ascii="Garamond" w:hAnsi="Garamond"/>
          <w:sz w:val="18"/>
          <w:szCs w:val="18"/>
        </w:rPr>
        <w:t xml:space="preserve">Soyoung Kim &amp; Randi </w:t>
      </w:r>
      <w:proofErr w:type="spellStart"/>
      <w:r w:rsidRPr="0037513D">
        <w:rPr>
          <w:rFonts w:ascii="Garamond" w:hAnsi="Garamond"/>
          <w:sz w:val="18"/>
          <w:szCs w:val="18"/>
        </w:rPr>
        <w:t>Priluck</w:t>
      </w:r>
      <w:proofErr w:type="spellEnd"/>
      <w:r w:rsidRPr="0037513D">
        <w:rPr>
          <w:rFonts w:ascii="Garamond" w:hAnsi="Garamond"/>
          <w:sz w:val="18"/>
          <w:szCs w:val="18"/>
        </w:rPr>
        <w:t xml:space="preserve">, </w:t>
      </w:r>
      <w:r w:rsidRPr="0037513D">
        <w:rPr>
          <w:rStyle w:val="Emphasis"/>
          <w:rFonts w:ascii="Garamond" w:hAnsi="Garamond"/>
          <w:sz w:val="18"/>
          <w:szCs w:val="18"/>
        </w:rPr>
        <w:t>Consumer Responses to Generative AI Chatbots Versus Search Engines for Product Evaluation</w:t>
      </w:r>
      <w:r w:rsidRPr="0037513D">
        <w:rPr>
          <w:rFonts w:ascii="Garamond" w:hAnsi="Garamond"/>
          <w:sz w:val="18"/>
          <w:szCs w:val="18"/>
        </w:rPr>
        <w:t>,</w:t>
      </w:r>
      <w:r w:rsidRPr="0037513D">
        <w:rPr>
          <w:rFonts w:ascii="Garamond" w:hAnsi="Garamond"/>
          <w:b/>
          <w:bCs/>
          <w:smallCaps/>
          <w:sz w:val="18"/>
          <w:szCs w:val="18"/>
        </w:rPr>
        <w:t xml:space="preserve"> </w:t>
      </w:r>
      <w:r w:rsidRPr="0037513D">
        <w:rPr>
          <w:rStyle w:val="Strong"/>
          <w:rFonts w:ascii="Garamond" w:hAnsi="Garamond"/>
          <w:b w:val="0"/>
          <w:bCs w:val="0"/>
          <w:smallCaps/>
          <w:sz w:val="18"/>
          <w:szCs w:val="18"/>
        </w:rPr>
        <w:t>20 J. T</w:t>
      </w:r>
      <w:r w:rsidRPr="0037513D">
        <w:rPr>
          <w:rStyle w:val="Strong"/>
          <w:rFonts w:ascii="Garamond" w:eastAsiaTheme="majorEastAsia" w:hAnsi="Garamond"/>
          <w:b w:val="0"/>
          <w:bCs w:val="0"/>
          <w:smallCaps/>
          <w:sz w:val="18"/>
          <w:szCs w:val="18"/>
        </w:rPr>
        <w:t>heoretical</w:t>
      </w:r>
      <w:r w:rsidRPr="0037513D">
        <w:rPr>
          <w:rStyle w:val="Strong"/>
          <w:rFonts w:ascii="Garamond" w:hAnsi="Garamond"/>
          <w:b w:val="0"/>
          <w:bCs w:val="0"/>
          <w:smallCaps/>
          <w:sz w:val="18"/>
          <w:szCs w:val="18"/>
        </w:rPr>
        <w:t xml:space="preserve"> &amp; A</w:t>
      </w:r>
      <w:r w:rsidRPr="0037513D">
        <w:rPr>
          <w:rStyle w:val="Strong"/>
          <w:rFonts w:ascii="Garamond" w:eastAsiaTheme="majorEastAsia" w:hAnsi="Garamond"/>
          <w:b w:val="0"/>
          <w:bCs w:val="0"/>
          <w:smallCaps/>
          <w:sz w:val="18"/>
          <w:szCs w:val="18"/>
        </w:rPr>
        <w:t xml:space="preserve">pplied </w:t>
      </w:r>
      <w:r w:rsidRPr="0037513D">
        <w:rPr>
          <w:rStyle w:val="Strong"/>
          <w:rFonts w:ascii="Garamond" w:hAnsi="Garamond"/>
          <w:b w:val="0"/>
          <w:bCs w:val="0"/>
          <w:smallCaps/>
          <w:sz w:val="18"/>
          <w:szCs w:val="18"/>
        </w:rPr>
        <w:t>E</w:t>
      </w:r>
      <w:r w:rsidRPr="0037513D">
        <w:rPr>
          <w:rStyle w:val="Strong"/>
          <w:rFonts w:ascii="Garamond" w:eastAsiaTheme="majorEastAsia" w:hAnsi="Garamond"/>
          <w:b w:val="0"/>
          <w:bCs w:val="0"/>
          <w:smallCaps/>
          <w:sz w:val="18"/>
          <w:szCs w:val="18"/>
        </w:rPr>
        <w:t>lec</w:t>
      </w:r>
      <w:r w:rsidRPr="0037513D">
        <w:rPr>
          <w:rStyle w:val="Strong"/>
          <w:rFonts w:ascii="Garamond" w:hAnsi="Garamond"/>
          <w:b w:val="0"/>
          <w:bCs w:val="0"/>
          <w:smallCaps/>
          <w:sz w:val="18"/>
          <w:szCs w:val="18"/>
        </w:rPr>
        <w:t>. C</w:t>
      </w:r>
      <w:r w:rsidRPr="0037513D">
        <w:rPr>
          <w:rStyle w:val="Strong"/>
          <w:rFonts w:ascii="Garamond" w:eastAsiaTheme="majorEastAsia" w:hAnsi="Garamond"/>
          <w:b w:val="0"/>
          <w:bCs w:val="0"/>
          <w:smallCaps/>
          <w:sz w:val="18"/>
          <w:szCs w:val="18"/>
        </w:rPr>
        <w:t>om</w:t>
      </w:r>
      <w:r w:rsidRPr="0037513D">
        <w:rPr>
          <w:rStyle w:val="Strong"/>
          <w:rFonts w:ascii="Garamond" w:hAnsi="Garamond"/>
          <w:b w:val="0"/>
          <w:bCs w:val="0"/>
          <w:smallCaps/>
          <w:sz w:val="18"/>
          <w:szCs w:val="18"/>
        </w:rPr>
        <w:t>. R</w:t>
      </w:r>
      <w:r w:rsidRPr="0037513D">
        <w:rPr>
          <w:rStyle w:val="Strong"/>
          <w:rFonts w:ascii="Garamond" w:eastAsiaTheme="majorEastAsia" w:hAnsi="Garamond"/>
          <w:b w:val="0"/>
          <w:bCs w:val="0"/>
          <w:smallCaps/>
          <w:sz w:val="18"/>
          <w:szCs w:val="18"/>
        </w:rPr>
        <w:t>es</w:t>
      </w:r>
      <w:r w:rsidRPr="0037513D">
        <w:rPr>
          <w:rStyle w:val="Strong"/>
          <w:rFonts w:ascii="Garamond" w:hAnsi="Garamond"/>
          <w:smallCaps/>
          <w:sz w:val="18"/>
          <w:szCs w:val="18"/>
        </w:rPr>
        <w:t>.</w:t>
      </w:r>
      <w:r w:rsidRPr="0037513D">
        <w:rPr>
          <w:rFonts w:ascii="Garamond" w:hAnsi="Garamond"/>
          <w:smallCaps/>
          <w:sz w:val="18"/>
          <w:szCs w:val="18"/>
        </w:rPr>
        <w:t xml:space="preserve"> </w:t>
      </w:r>
      <w:r w:rsidRPr="0037513D">
        <w:rPr>
          <w:rFonts w:ascii="Garamond" w:hAnsi="Garamond"/>
          <w:sz w:val="18"/>
          <w:szCs w:val="18"/>
        </w:rPr>
        <w:t>1, 4 (2025).</w:t>
      </w:r>
      <w:r w:rsidRPr="0037513D">
        <w:rPr>
          <w:rFonts w:ascii="Garamond" w:eastAsia="Times New Roman" w:hAnsi="Garamond"/>
          <w:sz w:val="18"/>
          <w:szCs w:val="18"/>
        </w:rPr>
        <w:t xml:space="preserve">(“The recent introduction of AI chatbots has shifted how consumers access and search information online”); </w:t>
      </w:r>
      <w:r w:rsidRPr="0037513D">
        <w:rPr>
          <w:rFonts w:ascii="Garamond" w:hAnsi="Garamond"/>
          <w:sz w:val="18"/>
          <w:szCs w:val="18"/>
        </w:rPr>
        <w:t xml:space="preserve">G. </w:t>
      </w:r>
      <w:proofErr w:type="spellStart"/>
      <w:r w:rsidRPr="0037513D">
        <w:rPr>
          <w:rFonts w:ascii="Garamond" w:hAnsi="Garamond"/>
          <w:sz w:val="18"/>
          <w:szCs w:val="18"/>
        </w:rPr>
        <w:t>Caldarini</w:t>
      </w:r>
      <w:proofErr w:type="spellEnd"/>
      <w:r w:rsidRPr="0037513D">
        <w:rPr>
          <w:rFonts w:ascii="Garamond" w:hAnsi="Garamond"/>
          <w:sz w:val="18"/>
          <w:szCs w:val="18"/>
        </w:rPr>
        <w:t xml:space="preserve">, S. </w:t>
      </w:r>
      <w:proofErr w:type="spellStart"/>
      <w:r w:rsidRPr="0037513D">
        <w:rPr>
          <w:rFonts w:ascii="Garamond" w:hAnsi="Garamond"/>
          <w:sz w:val="18"/>
          <w:szCs w:val="18"/>
        </w:rPr>
        <w:t>Jaf</w:t>
      </w:r>
      <w:proofErr w:type="spellEnd"/>
      <w:r w:rsidRPr="0037513D">
        <w:rPr>
          <w:rFonts w:ascii="Garamond" w:hAnsi="Garamond"/>
          <w:sz w:val="18"/>
          <w:szCs w:val="18"/>
        </w:rPr>
        <w:t xml:space="preserve"> &amp; K. McGarry, </w:t>
      </w:r>
      <w:r w:rsidRPr="0037513D">
        <w:rPr>
          <w:rStyle w:val="Emphasis"/>
          <w:rFonts w:ascii="Garamond" w:hAnsi="Garamond"/>
          <w:sz w:val="18"/>
          <w:szCs w:val="18"/>
        </w:rPr>
        <w:t>A Literature Survey of Recent Advances in Chatbots</w:t>
      </w:r>
      <w:r w:rsidRPr="0037513D">
        <w:rPr>
          <w:rFonts w:ascii="Garamond" w:hAnsi="Garamond"/>
          <w:sz w:val="18"/>
          <w:szCs w:val="18"/>
        </w:rPr>
        <w:t>,</w:t>
      </w:r>
      <w:r w:rsidRPr="0037513D">
        <w:rPr>
          <w:rFonts w:ascii="Garamond" w:hAnsi="Garamond"/>
          <w:b/>
          <w:bCs/>
          <w:sz w:val="18"/>
          <w:szCs w:val="18"/>
        </w:rPr>
        <w:t xml:space="preserve"> </w:t>
      </w:r>
      <w:r w:rsidRPr="0037513D">
        <w:rPr>
          <w:rStyle w:val="Strong"/>
          <w:rFonts w:ascii="Garamond" w:hAnsi="Garamond"/>
          <w:b w:val="0"/>
          <w:bCs w:val="0"/>
          <w:smallCaps/>
          <w:sz w:val="18"/>
          <w:szCs w:val="18"/>
        </w:rPr>
        <w:t>13 I</w:t>
      </w:r>
      <w:r w:rsidRPr="0037513D">
        <w:rPr>
          <w:rStyle w:val="Strong"/>
          <w:rFonts w:ascii="Garamond" w:eastAsiaTheme="majorEastAsia" w:hAnsi="Garamond"/>
          <w:b w:val="0"/>
          <w:bCs w:val="0"/>
          <w:smallCaps/>
          <w:sz w:val="18"/>
          <w:szCs w:val="18"/>
        </w:rPr>
        <w:t>nfo</w:t>
      </w:r>
      <w:r w:rsidRPr="0037513D">
        <w:rPr>
          <w:rStyle w:val="Strong"/>
          <w:rFonts w:ascii="Garamond" w:hAnsi="Garamond"/>
          <w:sz w:val="18"/>
          <w:szCs w:val="18"/>
        </w:rPr>
        <w:t>.</w:t>
      </w:r>
      <w:r w:rsidRPr="0037513D">
        <w:rPr>
          <w:rFonts w:ascii="Garamond" w:hAnsi="Garamond"/>
          <w:sz w:val="18"/>
          <w:szCs w:val="18"/>
        </w:rPr>
        <w:t xml:space="preserve"> 41 (2022).</w:t>
      </w:r>
    </w:p>
  </w:footnote>
  <w:footnote w:id="73">
    <w:p w14:paraId="34025B05" w14:textId="489C0A66" w:rsidR="00C8777A" w:rsidRPr="0037513D" w:rsidRDefault="00C8777A"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463C6B" w:rsidRPr="0037513D">
        <w:rPr>
          <w:rStyle w:val="Strong"/>
          <w:rFonts w:ascii="Garamond" w:hAnsi="Garamond"/>
          <w:b w:val="0"/>
          <w:bCs w:val="0"/>
          <w:i/>
          <w:iCs/>
          <w:sz w:val="18"/>
          <w:szCs w:val="18"/>
        </w:rPr>
        <w:t>See</w:t>
      </w:r>
      <w:r w:rsidR="00463C6B" w:rsidRPr="0037513D">
        <w:rPr>
          <w:rStyle w:val="Strong"/>
          <w:rFonts w:ascii="Garamond" w:hAnsi="Garamond"/>
          <w:b w:val="0"/>
          <w:bCs w:val="0"/>
          <w:sz w:val="18"/>
          <w:szCs w:val="18"/>
        </w:rPr>
        <w:t xml:space="preserve"> </w:t>
      </w:r>
      <w:r w:rsidR="00463C6B" w:rsidRPr="0037513D">
        <w:rPr>
          <w:rFonts w:ascii="Garamond" w:hAnsi="Garamond"/>
          <w:sz w:val="18"/>
          <w:szCs w:val="18"/>
        </w:rPr>
        <w:t>Zelch et al.,</w:t>
      </w:r>
      <w:r w:rsidR="00463C6B" w:rsidRPr="0037513D">
        <w:rPr>
          <w:rStyle w:val="Strong"/>
          <w:rFonts w:ascii="Garamond" w:hAnsi="Garamond"/>
          <w:b w:val="0"/>
          <w:bCs w:val="0"/>
          <w:sz w:val="18"/>
          <w:szCs w:val="18"/>
        </w:rPr>
        <w:t xml:space="preserve"> supra</w:t>
      </w:r>
      <w:r w:rsidR="005C4194" w:rsidRPr="0037513D">
        <w:rPr>
          <w:rStyle w:val="Strong"/>
          <w:rFonts w:ascii="Garamond" w:hAnsi="Garamond"/>
          <w:b w:val="0"/>
          <w:bCs w:val="0"/>
          <w:sz w:val="18"/>
          <w:szCs w:val="18"/>
        </w:rPr>
        <w:t xml:space="preserve"> </w:t>
      </w:r>
      <w:r w:rsidR="005C4194" w:rsidRPr="0037513D">
        <w:rPr>
          <w:rFonts w:ascii="Garamond" w:eastAsia="Times New Roman" w:hAnsi="Garamond"/>
          <w:sz w:val="18"/>
          <w:szCs w:val="18"/>
        </w:rPr>
        <w:t xml:space="preserve">note </w:t>
      </w:r>
      <w:r w:rsidR="005C4194" w:rsidRPr="0037513D">
        <w:rPr>
          <w:rFonts w:ascii="Garamond" w:eastAsia="Times New Roman" w:hAnsi="Garamond"/>
          <w:sz w:val="18"/>
          <w:szCs w:val="18"/>
        </w:rPr>
        <w:fldChar w:fldCharType="begin"/>
      </w:r>
      <w:r w:rsidR="005C4194" w:rsidRPr="0037513D">
        <w:rPr>
          <w:rFonts w:ascii="Garamond" w:eastAsia="Times New Roman" w:hAnsi="Garamond"/>
          <w:sz w:val="18"/>
          <w:szCs w:val="18"/>
        </w:rPr>
        <w:instrText xml:space="preserve"> NOTEREF _Ref212655002 \h  \* MERGEFORMAT </w:instrText>
      </w:r>
      <w:r w:rsidR="005C4194" w:rsidRPr="0037513D">
        <w:rPr>
          <w:rFonts w:ascii="Garamond" w:eastAsia="Times New Roman" w:hAnsi="Garamond"/>
          <w:sz w:val="18"/>
          <w:szCs w:val="18"/>
        </w:rPr>
      </w:r>
      <w:r w:rsidR="005C4194" w:rsidRPr="0037513D">
        <w:rPr>
          <w:rFonts w:ascii="Garamond" w:eastAsia="Times New Roman" w:hAnsi="Garamond"/>
          <w:sz w:val="18"/>
          <w:szCs w:val="18"/>
        </w:rPr>
        <w:fldChar w:fldCharType="separate"/>
      </w:r>
      <w:r w:rsidR="005C4194" w:rsidRPr="0037513D">
        <w:rPr>
          <w:rFonts w:ascii="Garamond" w:eastAsia="Times New Roman" w:hAnsi="Garamond"/>
          <w:sz w:val="18"/>
          <w:szCs w:val="18"/>
        </w:rPr>
        <w:t>3</w:t>
      </w:r>
      <w:r w:rsidR="005C4194" w:rsidRPr="0037513D">
        <w:rPr>
          <w:rFonts w:ascii="Garamond" w:eastAsia="Times New Roman" w:hAnsi="Garamond"/>
          <w:sz w:val="18"/>
          <w:szCs w:val="18"/>
        </w:rPr>
        <w:fldChar w:fldCharType="end"/>
      </w:r>
      <w:r w:rsidR="00463C6B" w:rsidRPr="0037513D">
        <w:rPr>
          <w:rFonts w:ascii="Garamond" w:hAnsi="Garamond"/>
          <w:sz w:val="18"/>
          <w:szCs w:val="18"/>
        </w:rPr>
        <w:t xml:space="preserve">, at </w:t>
      </w:r>
      <w:r w:rsidR="00463C6B" w:rsidRPr="0037513D">
        <w:rPr>
          <w:rFonts w:ascii="Garamond" w:hAnsi="Garamond"/>
          <w:color w:val="000000" w:themeColor="text1"/>
          <w:sz w:val="18"/>
          <w:szCs w:val="18"/>
        </w:rPr>
        <w:t>142</w:t>
      </w:r>
      <w:r w:rsidR="00463C6B" w:rsidRPr="0037513D">
        <w:rPr>
          <w:rFonts w:ascii="Garamond" w:hAnsi="Garamond"/>
          <w:color w:val="000000" w:themeColor="text1"/>
          <w:sz w:val="18"/>
          <w:szCs w:val="18"/>
          <w:lang w:bidi="he-IL"/>
        </w:rPr>
        <w:t>;</w:t>
      </w:r>
      <w:r w:rsidR="00463C6B" w:rsidRPr="0037513D">
        <w:rPr>
          <w:rFonts w:ascii="Garamond" w:eastAsia="Times New Roman" w:hAnsi="Garamond"/>
          <w:sz w:val="18"/>
          <w:szCs w:val="18"/>
        </w:rPr>
        <w:t xml:space="preserve"> </w:t>
      </w:r>
      <w:r w:rsidR="00463C6B" w:rsidRPr="0037513D">
        <w:rPr>
          <w:rFonts w:ascii="Garamond" w:hAnsi="Garamond"/>
          <w:sz w:val="18"/>
          <w:szCs w:val="18"/>
        </w:rPr>
        <w:t xml:space="preserve">Kim &amp; </w:t>
      </w:r>
      <w:proofErr w:type="spellStart"/>
      <w:r w:rsidR="00463C6B" w:rsidRPr="0037513D">
        <w:rPr>
          <w:rFonts w:ascii="Garamond" w:hAnsi="Garamond"/>
          <w:sz w:val="18"/>
          <w:szCs w:val="18"/>
        </w:rPr>
        <w:t>Priluck</w:t>
      </w:r>
      <w:proofErr w:type="spellEnd"/>
      <w:r w:rsidR="00463C6B" w:rsidRPr="0037513D">
        <w:rPr>
          <w:rFonts w:ascii="Garamond" w:hAnsi="Garamond"/>
          <w:sz w:val="18"/>
          <w:szCs w:val="18"/>
        </w:rPr>
        <w:t>,</w:t>
      </w:r>
      <w:r w:rsidR="00463C6B" w:rsidRPr="0037513D">
        <w:rPr>
          <w:rStyle w:val="Strong"/>
          <w:rFonts w:ascii="Garamond" w:hAnsi="Garamond"/>
          <w:b w:val="0"/>
          <w:bCs w:val="0"/>
          <w:sz w:val="18"/>
          <w:szCs w:val="18"/>
        </w:rPr>
        <w:t xml:space="preserve"> supra</w:t>
      </w:r>
      <w:r w:rsidR="00463C6B" w:rsidRPr="0037513D">
        <w:rPr>
          <w:rFonts w:ascii="Garamond" w:hAnsi="Garamond"/>
          <w:b/>
          <w:bCs/>
          <w:sz w:val="18"/>
          <w:szCs w:val="18"/>
        </w:rPr>
        <w:t xml:space="preserve"> </w:t>
      </w:r>
      <w:r w:rsidR="00463C6B" w:rsidRPr="0037513D">
        <w:rPr>
          <w:rFonts w:ascii="Garamond" w:hAnsi="Garamond"/>
          <w:sz w:val="18"/>
          <w:szCs w:val="18"/>
        </w:rPr>
        <w:t xml:space="preserve">note </w:t>
      </w:r>
      <w:r w:rsidR="006437F1" w:rsidRPr="0037513D">
        <w:rPr>
          <w:rFonts w:ascii="Garamond" w:hAnsi="Garamond"/>
          <w:sz w:val="18"/>
          <w:szCs w:val="18"/>
        </w:rPr>
        <w:fldChar w:fldCharType="begin"/>
      </w:r>
      <w:r w:rsidR="006437F1" w:rsidRPr="0037513D">
        <w:rPr>
          <w:rFonts w:ascii="Garamond" w:hAnsi="Garamond"/>
          <w:sz w:val="18"/>
          <w:szCs w:val="18"/>
        </w:rPr>
        <w:instrText xml:space="preserve"> NOTEREF _Ref214385512 \h  \* MERGEFORMAT </w:instrText>
      </w:r>
      <w:r w:rsidR="006437F1" w:rsidRPr="0037513D">
        <w:rPr>
          <w:rFonts w:ascii="Garamond" w:hAnsi="Garamond"/>
          <w:sz w:val="18"/>
          <w:szCs w:val="18"/>
        </w:rPr>
      </w:r>
      <w:r w:rsidR="006437F1" w:rsidRPr="0037513D">
        <w:rPr>
          <w:rFonts w:ascii="Garamond" w:hAnsi="Garamond"/>
          <w:sz w:val="18"/>
          <w:szCs w:val="18"/>
        </w:rPr>
        <w:fldChar w:fldCharType="separate"/>
      </w:r>
      <w:r w:rsidR="006437F1" w:rsidRPr="0037513D">
        <w:rPr>
          <w:rFonts w:ascii="Garamond" w:hAnsi="Garamond"/>
          <w:sz w:val="18"/>
          <w:szCs w:val="18"/>
        </w:rPr>
        <w:t>59</w:t>
      </w:r>
      <w:r w:rsidR="006437F1" w:rsidRPr="0037513D">
        <w:rPr>
          <w:rFonts w:ascii="Garamond" w:hAnsi="Garamond"/>
          <w:sz w:val="18"/>
          <w:szCs w:val="18"/>
        </w:rPr>
        <w:fldChar w:fldCharType="end"/>
      </w:r>
      <w:r w:rsidR="00463C6B" w:rsidRPr="0037513D">
        <w:rPr>
          <w:rFonts w:ascii="Garamond" w:hAnsi="Garamond"/>
          <w:sz w:val="18"/>
          <w:szCs w:val="18"/>
        </w:rPr>
        <w:t xml:space="preserve">, at </w:t>
      </w:r>
      <w:r w:rsidR="00463C6B" w:rsidRPr="0037513D">
        <w:rPr>
          <w:rFonts w:ascii="Garamond" w:hAnsi="Garamond"/>
          <w:color w:val="000000" w:themeColor="text1"/>
          <w:sz w:val="18"/>
          <w:szCs w:val="18"/>
        </w:rPr>
        <w:t>3;</w:t>
      </w:r>
      <w:r w:rsidR="00D14B5A" w:rsidRPr="0037513D">
        <w:rPr>
          <w:rFonts w:ascii="Garamond" w:hAnsi="Garamond"/>
          <w:color w:val="000000" w:themeColor="text1"/>
          <w:sz w:val="18"/>
          <w:szCs w:val="18"/>
        </w:rPr>
        <w:t xml:space="preserve"> </w:t>
      </w:r>
      <w:r w:rsidR="00463C6B" w:rsidRPr="0037513D">
        <w:rPr>
          <w:rFonts w:ascii="Garamond" w:hAnsi="Garamond"/>
          <w:sz w:val="18"/>
          <w:szCs w:val="18"/>
        </w:rPr>
        <w:t xml:space="preserve">Liu, Meng &amp; Yang, </w:t>
      </w:r>
      <w:r w:rsidR="00463C6B" w:rsidRPr="0037513D">
        <w:rPr>
          <w:rStyle w:val="Emphasis"/>
          <w:rFonts w:ascii="Garamond" w:hAnsi="Garamond"/>
          <w:sz w:val="18"/>
          <w:szCs w:val="18"/>
        </w:rPr>
        <w:t>supra</w:t>
      </w:r>
      <w:r w:rsidR="00463C6B" w:rsidRPr="0037513D">
        <w:rPr>
          <w:rFonts w:ascii="Garamond" w:hAnsi="Garamond"/>
          <w:sz w:val="18"/>
          <w:szCs w:val="18"/>
        </w:rPr>
        <w:t xml:space="preserve"> note</w:t>
      </w:r>
      <w:r w:rsidR="006437F1" w:rsidRPr="0037513D">
        <w:rPr>
          <w:rFonts w:ascii="Garamond" w:hAnsi="Garamond"/>
          <w:sz w:val="18"/>
          <w:szCs w:val="18"/>
        </w:rPr>
        <w:t xml:space="preserve"> </w:t>
      </w:r>
      <w:r w:rsidR="006437F1" w:rsidRPr="0037513D">
        <w:rPr>
          <w:rFonts w:ascii="Garamond" w:hAnsi="Garamond"/>
          <w:sz w:val="18"/>
          <w:szCs w:val="18"/>
        </w:rPr>
        <w:fldChar w:fldCharType="begin"/>
      </w:r>
      <w:r w:rsidR="006437F1" w:rsidRPr="0037513D">
        <w:rPr>
          <w:rFonts w:ascii="Garamond" w:hAnsi="Garamond"/>
          <w:sz w:val="18"/>
          <w:szCs w:val="18"/>
        </w:rPr>
        <w:instrText xml:space="preserve"> NOTEREF _Ref214385512 \h  \* MERGEFORMAT </w:instrText>
      </w:r>
      <w:r w:rsidR="006437F1" w:rsidRPr="0037513D">
        <w:rPr>
          <w:rFonts w:ascii="Garamond" w:hAnsi="Garamond"/>
          <w:sz w:val="18"/>
          <w:szCs w:val="18"/>
        </w:rPr>
      </w:r>
      <w:r w:rsidR="006437F1" w:rsidRPr="0037513D">
        <w:rPr>
          <w:rFonts w:ascii="Garamond" w:hAnsi="Garamond"/>
          <w:sz w:val="18"/>
          <w:szCs w:val="18"/>
        </w:rPr>
        <w:fldChar w:fldCharType="separate"/>
      </w:r>
      <w:r w:rsidR="006437F1" w:rsidRPr="0037513D">
        <w:rPr>
          <w:rFonts w:ascii="Garamond" w:hAnsi="Garamond"/>
          <w:sz w:val="18"/>
          <w:szCs w:val="18"/>
        </w:rPr>
        <w:t>59</w:t>
      </w:r>
      <w:r w:rsidR="006437F1" w:rsidRPr="0037513D">
        <w:rPr>
          <w:rFonts w:ascii="Garamond" w:hAnsi="Garamond"/>
          <w:sz w:val="18"/>
          <w:szCs w:val="18"/>
        </w:rPr>
        <w:fldChar w:fldCharType="end"/>
      </w:r>
      <w:r w:rsidR="00463C6B" w:rsidRPr="0037513D">
        <w:rPr>
          <w:rFonts w:ascii="Garamond" w:hAnsi="Garamond"/>
          <w:sz w:val="18"/>
          <w:szCs w:val="18"/>
        </w:rPr>
        <w:t xml:space="preserve">, at </w:t>
      </w:r>
      <w:r w:rsidR="00463C6B" w:rsidRPr="0037513D">
        <w:rPr>
          <w:rFonts w:ascii="Garamond" w:hAnsi="Garamond"/>
          <w:color w:val="000000" w:themeColor="text1"/>
          <w:sz w:val="18"/>
          <w:szCs w:val="18"/>
        </w:rPr>
        <w:t>270</w:t>
      </w:r>
      <w:r w:rsidR="006437F1" w:rsidRPr="0037513D">
        <w:rPr>
          <w:rFonts w:ascii="Garamond" w:hAnsi="Garamond"/>
          <w:color w:val="000000" w:themeColor="text1"/>
          <w:sz w:val="18"/>
          <w:szCs w:val="18"/>
        </w:rPr>
        <w:t xml:space="preserve"> –</w:t>
      </w:r>
      <w:r w:rsidR="00463C6B" w:rsidRPr="0037513D">
        <w:rPr>
          <w:rFonts w:ascii="Garamond" w:hAnsi="Garamond"/>
          <w:color w:val="000000" w:themeColor="text1"/>
          <w:sz w:val="18"/>
          <w:szCs w:val="18"/>
        </w:rPr>
        <w:t>71</w:t>
      </w:r>
      <w:r w:rsidR="00463C6B" w:rsidRPr="0037513D">
        <w:rPr>
          <w:rFonts w:ascii="Garamond" w:eastAsia="Times New Roman" w:hAnsi="Garamond"/>
          <w:sz w:val="18"/>
          <w:szCs w:val="18"/>
        </w:rPr>
        <w:t xml:space="preserve">; </w:t>
      </w:r>
      <w:proofErr w:type="spellStart"/>
      <w:r w:rsidR="00463C6B" w:rsidRPr="0037513D">
        <w:rPr>
          <w:rFonts w:ascii="Garamond" w:hAnsi="Garamond"/>
          <w:sz w:val="18"/>
          <w:szCs w:val="18"/>
        </w:rPr>
        <w:t>Jaf</w:t>
      </w:r>
      <w:proofErr w:type="spellEnd"/>
      <w:r w:rsidR="00463C6B" w:rsidRPr="0037513D">
        <w:rPr>
          <w:rFonts w:ascii="Garamond" w:hAnsi="Garamond"/>
          <w:sz w:val="18"/>
          <w:szCs w:val="18"/>
        </w:rPr>
        <w:t xml:space="preserve"> &amp;</w:t>
      </w:r>
      <w:r w:rsidR="004475B2" w:rsidRPr="0037513D">
        <w:rPr>
          <w:rFonts w:ascii="Garamond" w:hAnsi="Garamond"/>
          <w:sz w:val="18"/>
          <w:szCs w:val="18"/>
        </w:rPr>
        <w:t xml:space="preserve"> </w:t>
      </w:r>
      <w:r w:rsidR="00463C6B" w:rsidRPr="0037513D">
        <w:rPr>
          <w:rFonts w:ascii="Garamond" w:hAnsi="Garamond"/>
          <w:sz w:val="18"/>
          <w:szCs w:val="18"/>
        </w:rPr>
        <w:t>McGarry,</w:t>
      </w:r>
      <w:r w:rsidR="00463C6B" w:rsidRPr="0037513D">
        <w:rPr>
          <w:rStyle w:val="Strong"/>
          <w:rFonts w:ascii="Garamond" w:hAnsi="Garamond"/>
          <w:b w:val="0"/>
          <w:bCs w:val="0"/>
          <w:sz w:val="18"/>
          <w:szCs w:val="18"/>
        </w:rPr>
        <w:t xml:space="preserve"> supra</w:t>
      </w:r>
      <w:r w:rsidR="00463C6B" w:rsidRPr="0037513D">
        <w:rPr>
          <w:rFonts w:ascii="Garamond" w:hAnsi="Garamond"/>
          <w:b/>
          <w:bCs/>
          <w:sz w:val="18"/>
          <w:szCs w:val="18"/>
        </w:rPr>
        <w:t xml:space="preserve"> </w:t>
      </w:r>
      <w:r w:rsidR="00463C6B" w:rsidRPr="0037513D">
        <w:rPr>
          <w:rFonts w:ascii="Garamond" w:hAnsi="Garamond"/>
          <w:sz w:val="18"/>
          <w:szCs w:val="18"/>
        </w:rPr>
        <w:t xml:space="preserve">note </w:t>
      </w:r>
      <w:r w:rsidR="006437F1" w:rsidRPr="0037513D">
        <w:rPr>
          <w:rFonts w:ascii="Garamond" w:hAnsi="Garamond"/>
          <w:sz w:val="18"/>
          <w:szCs w:val="18"/>
        </w:rPr>
        <w:fldChar w:fldCharType="begin"/>
      </w:r>
      <w:r w:rsidR="006437F1" w:rsidRPr="0037513D">
        <w:rPr>
          <w:rFonts w:ascii="Garamond" w:hAnsi="Garamond"/>
          <w:sz w:val="18"/>
          <w:szCs w:val="18"/>
        </w:rPr>
        <w:instrText xml:space="preserve"> NOTEREF _Ref214385512 \h  \* MERGEFORMAT </w:instrText>
      </w:r>
      <w:r w:rsidR="006437F1" w:rsidRPr="0037513D">
        <w:rPr>
          <w:rFonts w:ascii="Garamond" w:hAnsi="Garamond"/>
          <w:sz w:val="18"/>
          <w:szCs w:val="18"/>
        </w:rPr>
      </w:r>
      <w:r w:rsidR="006437F1" w:rsidRPr="0037513D">
        <w:rPr>
          <w:rFonts w:ascii="Garamond" w:hAnsi="Garamond"/>
          <w:sz w:val="18"/>
          <w:szCs w:val="18"/>
        </w:rPr>
        <w:fldChar w:fldCharType="separate"/>
      </w:r>
      <w:r w:rsidR="006437F1" w:rsidRPr="0037513D">
        <w:rPr>
          <w:rFonts w:ascii="Garamond" w:hAnsi="Garamond"/>
          <w:sz w:val="18"/>
          <w:szCs w:val="18"/>
        </w:rPr>
        <w:t>59</w:t>
      </w:r>
      <w:r w:rsidR="006437F1" w:rsidRPr="0037513D">
        <w:rPr>
          <w:rFonts w:ascii="Garamond" w:hAnsi="Garamond"/>
          <w:sz w:val="18"/>
          <w:szCs w:val="18"/>
        </w:rPr>
        <w:fldChar w:fldCharType="end"/>
      </w:r>
      <w:r w:rsidR="00463C6B" w:rsidRPr="0037513D">
        <w:rPr>
          <w:rFonts w:ascii="Garamond" w:hAnsi="Garamond"/>
          <w:sz w:val="18"/>
          <w:szCs w:val="18"/>
        </w:rPr>
        <w:t>.</w:t>
      </w:r>
    </w:p>
  </w:footnote>
  <w:footnote w:id="74">
    <w:p w14:paraId="7C180BD2" w14:textId="77777777" w:rsidR="003C4728" w:rsidRPr="0037513D" w:rsidRDefault="003C4728" w:rsidP="003C4728">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142</w:t>
      </w:r>
      <w:r w:rsidRPr="0037513D">
        <w:rPr>
          <w:rFonts w:ascii="Garamond" w:eastAsia="Times New Roman" w:hAnsi="Garamond" w:cstheme="majorBidi"/>
          <w:sz w:val="18"/>
          <w:szCs w:val="18"/>
          <w:lang w:bidi="he-IL"/>
        </w:rPr>
        <w:t xml:space="preserve">; </w:t>
      </w:r>
      <w:r w:rsidRPr="0037513D">
        <w:rPr>
          <w:rFonts w:ascii="Garamond" w:hAnsi="Garamond"/>
          <w:sz w:val="18"/>
          <w:szCs w:val="18"/>
        </w:rPr>
        <w:t xml:space="preserve">E. </w:t>
      </w:r>
      <w:r w:rsidRPr="0037513D">
        <w:rPr>
          <w:rFonts w:ascii="Garamond" w:hAnsi="Garamond"/>
          <w:sz w:val="18"/>
          <w:szCs w:val="18"/>
          <w:lang w:bidi="he-IL"/>
        </w:rPr>
        <w:t xml:space="preserve">E. E. </w:t>
      </w:r>
      <w:proofErr w:type="spellStart"/>
      <w:r w:rsidRPr="0037513D">
        <w:rPr>
          <w:rFonts w:ascii="Garamond" w:hAnsi="Garamond"/>
          <w:sz w:val="18"/>
          <w:szCs w:val="18"/>
        </w:rPr>
        <w:t>Häglund</w:t>
      </w:r>
      <w:proofErr w:type="spellEnd"/>
      <w:r w:rsidRPr="0037513D">
        <w:rPr>
          <w:rFonts w:ascii="Garamond" w:hAnsi="Garamond"/>
          <w:sz w:val="18"/>
          <w:szCs w:val="18"/>
        </w:rPr>
        <w:t xml:space="preserve"> &amp; J. Björklund, </w:t>
      </w:r>
      <w:r w:rsidRPr="0037513D">
        <w:rPr>
          <w:rStyle w:val="Emphasis"/>
          <w:rFonts w:ascii="Garamond" w:hAnsi="Garamond"/>
          <w:sz w:val="18"/>
          <w:szCs w:val="18"/>
        </w:rPr>
        <w:t>AI-Driven Contextual Advertising: Toward Relevant Messaging Without Personal Data</w:t>
      </w:r>
      <w:r w:rsidRPr="0037513D">
        <w:rPr>
          <w:rFonts w:ascii="Garamond" w:hAnsi="Garamond"/>
          <w:sz w:val="18"/>
          <w:szCs w:val="18"/>
        </w:rPr>
        <w:t xml:space="preserve">, </w:t>
      </w:r>
      <w:r w:rsidRPr="0037513D">
        <w:rPr>
          <w:rFonts w:ascii="Garamond" w:hAnsi="Garamond"/>
          <w:smallCaps/>
          <w:sz w:val="18"/>
          <w:szCs w:val="18"/>
        </w:rPr>
        <w:t>45 J. Current Issues &amp; Res. In Advert.</w:t>
      </w:r>
      <w:r w:rsidRPr="0037513D">
        <w:rPr>
          <w:rFonts w:ascii="Garamond" w:hAnsi="Garamond"/>
          <w:sz w:val="18"/>
          <w:szCs w:val="18"/>
        </w:rPr>
        <w:t xml:space="preserve"> 301, 302–03 (2024); </w:t>
      </w:r>
      <w:r w:rsidRPr="0037513D">
        <w:rPr>
          <w:rFonts w:ascii="Garamond" w:eastAsia="Times New Roman" w:hAnsi="Garamond"/>
          <w:sz w:val="18"/>
          <w:szCs w:val="18"/>
        </w:rPr>
        <w:t xml:space="preserve"> </w:t>
      </w:r>
      <w:r w:rsidRPr="0037513D">
        <w:rPr>
          <w:rFonts w:ascii="Garamond" w:hAnsi="Garamond"/>
          <w:sz w:val="18"/>
          <w:szCs w:val="18"/>
        </w:rPr>
        <w:t xml:space="preserve">Kim &amp; </w:t>
      </w:r>
      <w:proofErr w:type="spellStart"/>
      <w:r w:rsidRPr="0037513D">
        <w:rPr>
          <w:rFonts w:ascii="Garamond" w:hAnsi="Garamond"/>
          <w:sz w:val="18"/>
          <w:szCs w:val="18"/>
        </w:rPr>
        <w:t>Priluck</w:t>
      </w:r>
      <w:proofErr w:type="spellEnd"/>
      <w:r w:rsidRPr="0037513D">
        <w:rPr>
          <w:rFonts w:ascii="Garamond" w:hAnsi="Garamond"/>
          <w:sz w:val="18"/>
          <w:szCs w:val="18"/>
        </w:rPr>
        <w:t>,</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_Ref214385512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59</w:t>
      </w:r>
      <w:r w:rsidRPr="0037513D">
        <w:rPr>
          <w:rFonts w:ascii="Garamond"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3.</w:t>
      </w:r>
    </w:p>
  </w:footnote>
  <w:footnote w:id="75">
    <w:p w14:paraId="2D61FB5D" w14:textId="77777777" w:rsidR="003C4728" w:rsidRPr="0037513D" w:rsidRDefault="003C4728" w:rsidP="003C472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 xml:space="preserve">A third type of marketing technique that could potentially be labeled as a form of native advertising is Search Engine Optimization (SEO), which is a process of improving both the quality and quantity of traffic to a website or webpage from search engines, primarily through organic (unpaid) search results. When SEO practices are applied to promote traffic to native advertisements, they essentially make these links more prominent. </w:t>
      </w:r>
      <w:r w:rsidRPr="0037513D">
        <w:rPr>
          <w:rFonts w:ascii="Garamond" w:hAnsi="Garamond"/>
          <w:i/>
          <w:iCs/>
          <w:sz w:val="18"/>
          <w:szCs w:val="18"/>
        </w:rPr>
        <w:t>See</w:t>
      </w:r>
      <w:r w:rsidRPr="0037513D">
        <w:rPr>
          <w:rFonts w:ascii="Garamond" w:hAnsi="Garamond"/>
          <w:sz w:val="18"/>
          <w:szCs w:val="18"/>
        </w:rPr>
        <w:t xml:space="preserve"> S. Bartlett Boughton, </w:t>
      </w:r>
      <w:r w:rsidRPr="0037513D">
        <w:rPr>
          <w:rStyle w:val="Emphasis"/>
          <w:rFonts w:ascii="Garamond" w:hAnsi="Garamond"/>
          <w:sz w:val="18"/>
          <w:szCs w:val="18"/>
        </w:rPr>
        <w:t>Search Engine Marketing</w:t>
      </w:r>
      <w:r w:rsidRPr="0037513D">
        <w:rPr>
          <w:rFonts w:ascii="Garamond" w:hAnsi="Garamond"/>
          <w:sz w:val="18"/>
          <w:szCs w:val="18"/>
        </w:rPr>
        <w:t xml:space="preserve">, </w:t>
      </w:r>
      <w:r w:rsidRPr="0037513D">
        <w:rPr>
          <w:rStyle w:val="Strong"/>
          <w:rFonts w:ascii="Garamond" w:hAnsi="Garamond"/>
          <w:b w:val="0"/>
          <w:bCs w:val="0"/>
          <w:smallCaps/>
          <w:sz w:val="18"/>
          <w:szCs w:val="18"/>
        </w:rPr>
        <w:t xml:space="preserve">2 </w:t>
      </w:r>
      <w:proofErr w:type="spellStart"/>
      <w:r w:rsidRPr="0037513D">
        <w:rPr>
          <w:rStyle w:val="Strong"/>
          <w:rFonts w:ascii="Garamond" w:hAnsi="Garamond"/>
          <w:b w:val="0"/>
          <w:bCs w:val="0"/>
          <w:smallCaps/>
          <w:sz w:val="18"/>
          <w:szCs w:val="18"/>
        </w:rPr>
        <w:t>P</w:t>
      </w:r>
      <w:r w:rsidRPr="0037513D">
        <w:rPr>
          <w:rStyle w:val="Strong"/>
          <w:rFonts w:ascii="Garamond" w:eastAsiaTheme="majorEastAsia" w:hAnsi="Garamond"/>
          <w:b w:val="0"/>
          <w:bCs w:val="0"/>
          <w:smallCaps/>
          <w:sz w:val="18"/>
          <w:szCs w:val="18"/>
        </w:rPr>
        <w:t>ersps</w:t>
      </w:r>
      <w:proofErr w:type="spellEnd"/>
      <w:r w:rsidRPr="0037513D">
        <w:rPr>
          <w:rStyle w:val="Strong"/>
          <w:rFonts w:ascii="Garamond" w:eastAsiaTheme="majorEastAsia" w:hAnsi="Garamond"/>
          <w:b w:val="0"/>
          <w:bCs w:val="0"/>
          <w:smallCaps/>
          <w:sz w:val="18"/>
          <w:szCs w:val="18"/>
        </w:rPr>
        <w:t xml:space="preserve">. Bus. </w:t>
      </w:r>
      <w:r w:rsidRPr="0037513D">
        <w:rPr>
          <w:rFonts w:ascii="Garamond" w:hAnsi="Garamond"/>
          <w:sz w:val="18"/>
          <w:szCs w:val="18"/>
        </w:rPr>
        <w:t xml:space="preserve">29, 29–33 (2005). </w:t>
      </w:r>
    </w:p>
  </w:footnote>
  <w:footnote w:id="76">
    <w:p w14:paraId="4CA833BB" w14:textId="77777777" w:rsidR="00FE2168" w:rsidRPr="0037513D" w:rsidRDefault="00FE2168" w:rsidP="00FE216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Search advertisements are commercial content for which the search engine is paid by the advertiser if a searcher clicks on the respective link. </w:t>
      </w:r>
      <w:r w:rsidRPr="0037513D">
        <w:rPr>
          <w:rFonts w:ascii="Garamond" w:hAnsi="Garamond"/>
          <w:i/>
          <w:iCs/>
          <w:sz w:val="18"/>
          <w:szCs w:val="18"/>
        </w:rPr>
        <w:t>See</w:t>
      </w:r>
      <w:r w:rsidRPr="0037513D">
        <w:rPr>
          <w:rFonts w:ascii="Garamond" w:hAnsi="Garamond"/>
          <w:sz w:val="18"/>
          <w:szCs w:val="18"/>
        </w:rPr>
        <w:t xml:space="preserve"> Jim Jansen, </w:t>
      </w:r>
      <w:r w:rsidRPr="0037513D">
        <w:rPr>
          <w:rStyle w:val="Emphasis"/>
          <w:rFonts w:ascii="Garamond" w:hAnsi="Garamond"/>
          <w:sz w:val="18"/>
          <w:szCs w:val="18"/>
        </w:rPr>
        <w:t>Understanding Sponsored Search: Core Elements of Keyword Advertising</w:t>
      </w:r>
      <w:r w:rsidRPr="0037513D">
        <w:rPr>
          <w:rFonts w:ascii="Garamond" w:hAnsi="Garamond"/>
          <w:sz w:val="18"/>
          <w:szCs w:val="18"/>
        </w:rPr>
        <w:t xml:space="preserve"> (Cambridge Univ. Press 2011); </w:t>
      </w:r>
      <w:r w:rsidRPr="0037513D">
        <w:rPr>
          <w:rFonts w:ascii="Garamond" w:hAnsi="Garamond"/>
          <w:i/>
          <w:iCs/>
          <w:sz w:val="18"/>
          <w:szCs w:val="18"/>
        </w:rPr>
        <w:t>See</w:t>
      </w:r>
      <w:r w:rsidRPr="0037513D">
        <w:rPr>
          <w:rFonts w:ascii="Garamond" w:hAnsi="Garamond"/>
          <w:sz w:val="18"/>
          <w:szCs w:val="18"/>
        </w:rPr>
        <w:t xml:space="preserve"> Ariel Fuxman, Panayiotis Tsaparas, Kannan Achan &amp; Rakesh Agrawal, </w:t>
      </w:r>
      <w:r w:rsidRPr="0037513D">
        <w:rPr>
          <w:rStyle w:val="Emphasis"/>
          <w:rFonts w:ascii="Garamond" w:hAnsi="Garamond"/>
          <w:sz w:val="18"/>
          <w:szCs w:val="18"/>
        </w:rPr>
        <w:t>Using the Wisdom of the Crowds for Keyword Generation</w:t>
      </w:r>
      <w:r w:rsidRPr="0037513D">
        <w:rPr>
          <w:rFonts w:ascii="Garamond" w:hAnsi="Garamond"/>
          <w:sz w:val="18"/>
          <w:szCs w:val="18"/>
        </w:rPr>
        <w:t xml:space="preserve">, in </w:t>
      </w:r>
      <w:r w:rsidRPr="0037513D">
        <w:rPr>
          <w:rStyle w:val="Strong"/>
          <w:rFonts w:ascii="Garamond" w:hAnsi="Garamond"/>
          <w:b w:val="0"/>
          <w:bCs w:val="0"/>
          <w:smallCaps/>
          <w:sz w:val="18"/>
          <w:szCs w:val="18"/>
        </w:rPr>
        <w:t>Proceedings Of The 17</w:t>
      </w:r>
      <w:r w:rsidRPr="0037513D">
        <w:rPr>
          <w:rStyle w:val="Strong"/>
          <w:rFonts w:ascii="Garamond" w:hAnsi="Garamond"/>
          <w:b w:val="0"/>
          <w:bCs w:val="0"/>
          <w:smallCaps/>
          <w:sz w:val="18"/>
          <w:szCs w:val="18"/>
          <w:vertAlign w:val="superscript"/>
        </w:rPr>
        <w:t>th</w:t>
      </w:r>
      <w:r w:rsidRPr="0037513D">
        <w:rPr>
          <w:rStyle w:val="Strong"/>
          <w:rFonts w:ascii="Garamond" w:hAnsi="Garamond"/>
          <w:b w:val="0"/>
          <w:bCs w:val="0"/>
          <w:smallCaps/>
          <w:sz w:val="18"/>
          <w:szCs w:val="18"/>
        </w:rPr>
        <w:t xml:space="preserve"> Int'l Conf. On World Wide Web (www 2008)</w:t>
      </w:r>
      <w:r w:rsidRPr="0037513D">
        <w:rPr>
          <w:rFonts w:ascii="Garamond" w:hAnsi="Garamond"/>
          <w:sz w:val="18"/>
          <w:szCs w:val="18"/>
        </w:rPr>
        <w:t xml:space="preserve"> 61-70 (2008); Dustin Hillard, Stefan Schroedl, Eren </w:t>
      </w:r>
      <w:proofErr w:type="spellStart"/>
      <w:r w:rsidRPr="0037513D">
        <w:rPr>
          <w:rFonts w:ascii="Garamond" w:hAnsi="Garamond"/>
          <w:sz w:val="18"/>
          <w:szCs w:val="18"/>
        </w:rPr>
        <w:t>Manavoglu</w:t>
      </w:r>
      <w:proofErr w:type="spellEnd"/>
      <w:r w:rsidRPr="0037513D">
        <w:rPr>
          <w:rFonts w:ascii="Garamond" w:hAnsi="Garamond"/>
          <w:sz w:val="18"/>
          <w:szCs w:val="18"/>
        </w:rPr>
        <w:t xml:space="preserve">, Hema Raghavan &amp; Chris Leggetter, </w:t>
      </w:r>
      <w:r w:rsidRPr="0037513D">
        <w:rPr>
          <w:rStyle w:val="Emphasis"/>
          <w:rFonts w:ascii="Garamond" w:hAnsi="Garamond"/>
          <w:sz w:val="18"/>
          <w:szCs w:val="18"/>
        </w:rPr>
        <w:t>Improving Ad Relevance in Sponsored Search</w:t>
      </w:r>
      <w:r w:rsidRPr="0037513D">
        <w:rPr>
          <w:rFonts w:ascii="Garamond" w:hAnsi="Garamond"/>
          <w:sz w:val="18"/>
          <w:szCs w:val="18"/>
        </w:rPr>
        <w:t>, in</w:t>
      </w:r>
      <w:r w:rsidRPr="0037513D">
        <w:rPr>
          <w:rStyle w:val="Strong"/>
          <w:rFonts w:ascii="Garamond" w:hAnsi="Garamond"/>
          <w:smallCaps/>
          <w:sz w:val="18"/>
          <w:szCs w:val="18"/>
        </w:rPr>
        <w:t xml:space="preserve"> </w:t>
      </w:r>
      <w:r w:rsidRPr="0037513D">
        <w:rPr>
          <w:rStyle w:val="Strong"/>
          <w:rFonts w:ascii="Garamond" w:hAnsi="Garamond"/>
          <w:b w:val="0"/>
          <w:bCs w:val="0"/>
          <w:smallCaps/>
          <w:sz w:val="18"/>
          <w:szCs w:val="18"/>
        </w:rPr>
        <w:t>Proceedings Of The</w:t>
      </w:r>
      <w:r w:rsidRPr="0037513D">
        <w:rPr>
          <w:rFonts w:ascii="Garamond" w:hAnsi="Garamond"/>
          <w:b/>
          <w:bCs/>
          <w:sz w:val="18"/>
          <w:szCs w:val="18"/>
        </w:rPr>
        <w:t xml:space="preserve"> </w:t>
      </w:r>
      <w:r w:rsidRPr="0037513D">
        <w:rPr>
          <w:rStyle w:val="Strong"/>
          <w:rFonts w:ascii="Garamond" w:hAnsi="Garamond"/>
          <w:b w:val="0"/>
          <w:bCs w:val="0"/>
          <w:smallCaps/>
          <w:sz w:val="18"/>
          <w:szCs w:val="18"/>
        </w:rPr>
        <w:t xml:space="preserve">3d </w:t>
      </w:r>
      <w:proofErr w:type="spellStart"/>
      <w:r w:rsidRPr="0037513D">
        <w:rPr>
          <w:rStyle w:val="Strong"/>
          <w:rFonts w:ascii="Garamond" w:hAnsi="Garamond"/>
          <w:b w:val="0"/>
          <w:bCs w:val="0"/>
          <w:smallCaps/>
          <w:sz w:val="18"/>
          <w:szCs w:val="18"/>
        </w:rPr>
        <w:t>Acm</w:t>
      </w:r>
      <w:proofErr w:type="spellEnd"/>
      <w:r w:rsidRPr="0037513D">
        <w:rPr>
          <w:rStyle w:val="Strong"/>
          <w:rFonts w:ascii="Garamond" w:hAnsi="Garamond"/>
          <w:b w:val="0"/>
          <w:bCs w:val="0"/>
          <w:smallCaps/>
          <w:sz w:val="18"/>
          <w:szCs w:val="18"/>
        </w:rPr>
        <w:t xml:space="preserve"> Int'l Conf. On Web Search &amp; Data </w:t>
      </w:r>
      <w:proofErr w:type="spellStart"/>
      <w:r w:rsidRPr="0037513D">
        <w:rPr>
          <w:rStyle w:val="Strong"/>
          <w:rFonts w:ascii="Garamond" w:hAnsi="Garamond"/>
          <w:b w:val="0"/>
          <w:bCs w:val="0"/>
          <w:smallCaps/>
          <w:sz w:val="18"/>
          <w:szCs w:val="18"/>
        </w:rPr>
        <w:t>Mininig</w:t>
      </w:r>
      <w:proofErr w:type="spellEnd"/>
      <w:r w:rsidRPr="0037513D">
        <w:rPr>
          <w:rStyle w:val="Strong"/>
          <w:rFonts w:ascii="Garamond" w:hAnsi="Garamond"/>
          <w:b w:val="0"/>
          <w:bCs w:val="0"/>
          <w:smallCaps/>
          <w:sz w:val="18"/>
          <w:szCs w:val="18"/>
        </w:rPr>
        <w:t xml:space="preserve"> (</w:t>
      </w:r>
      <w:proofErr w:type="spellStart"/>
      <w:r w:rsidRPr="0037513D">
        <w:rPr>
          <w:rStyle w:val="Strong"/>
          <w:rFonts w:ascii="Garamond" w:hAnsi="Garamond"/>
          <w:b w:val="0"/>
          <w:bCs w:val="0"/>
          <w:smallCaps/>
          <w:sz w:val="18"/>
          <w:szCs w:val="18"/>
        </w:rPr>
        <w:t>wsdm</w:t>
      </w:r>
      <w:proofErr w:type="spellEnd"/>
      <w:r w:rsidRPr="0037513D">
        <w:rPr>
          <w:rStyle w:val="Strong"/>
          <w:rFonts w:ascii="Garamond" w:hAnsi="Garamond"/>
          <w:b w:val="0"/>
          <w:bCs w:val="0"/>
          <w:smallCaps/>
          <w:sz w:val="18"/>
          <w:szCs w:val="18"/>
        </w:rPr>
        <w:t xml:space="preserve"> 2010)</w:t>
      </w:r>
      <w:r w:rsidRPr="0037513D">
        <w:rPr>
          <w:rStyle w:val="Strong"/>
          <w:rFonts w:ascii="Garamond" w:hAnsi="Garamond"/>
          <w:smallCaps/>
          <w:sz w:val="18"/>
          <w:szCs w:val="18"/>
        </w:rPr>
        <w:t xml:space="preserve"> </w:t>
      </w:r>
      <w:r w:rsidRPr="0037513D">
        <w:rPr>
          <w:rFonts w:ascii="Garamond" w:hAnsi="Garamond"/>
          <w:sz w:val="18"/>
          <w:szCs w:val="18"/>
        </w:rPr>
        <w:t xml:space="preserve">361- 370 (2010). Submitted queries are matched against the search engine’s ad index to identify the most relevant ads. </w:t>
      </w:r>
      <w:proofErr w:type="spellStart"/>
      <w:r w:rsidRPr="0037513D">
        <w:rPr>
          <w:rFonts w:ascii="Garamond" w:hAnsi="Garamond"/>
          <w:sz w:val="18"/>
          <w:szCs w:val="18"/>
        </w:rPr>
        <w:t>Weizhen</w:t>
      </w:r>
      <w:proofErr w:type="spellEnd"/>
      <w:r w:rsidRPr="0037513D">
        <w:rPr>
          <w:rFonts w:ascii="Garamond" w:hAnsi="Garamond"/>
          <w:sz w:val="18"/>
          <w:szCs w:val="18"/>
        </w:rPr>
        <w:t xml:space="preserve"> Qi et al., </w:t>
      </w:r>
      <w:proofErr w:type="spellStart"/>
      <w:r w:rsidRPr="0037513D">
        <w:rPr>
          <w:rStyle w:val="Emphasis"/>
          <w:rFonts w:ascii="Garamond" w:hAnsi="Garamond"/>
          <w:sz w:val="18"/>
          <w:szCs w:val="18"/>
        </w:rPr>
        <w:t>ProphetNet</w:t>
      </w:r>
      <w:proofErr w:type="spellEnd"/>
      <w:r w:rsidRPr="0037513D">
        <w:rPr>
          <w:rStyle w:val="Emphasis"/>
          <w:rFonts w:ascii="Garamond" w:hAnsi="Garamond"/>
          <w:sz w:val="18"/>
          <w:szCs w:val="18"/>
        </w:rPr>
        <w:t>-Ads: A Looking Ahead Strategy for Generative Retrieval Models in Sponsored Search Engine</w:t>
      </w:r>
      <w:r w:rsidRPr="0037513D">
        <w:rPr>
          <w:rFonts w:ascii="Garamond" w:hAnsi="Garamond"/>
          <w:sz w:val="18"/>
          <w:szCs w:val="18"/>
        </w:rPr>
        <w:t xml:space="preserve">, in </w:t>
      </w:r>
      <w:r w:rsidRPr="0037513D">
        <w:rPr>
          <w:rStyle w:val="Strong"/>
          <w:rFonts w:ascii="Garamond" w:hAnsi="Garamond"/>
          <w:b w:val="0"/>
          <w:bCs w:val="0"/>
          <w:smallCaps/>
          <w:sz w:val="18"/>
          <w:szCs w:val="18"/>
        </w:rPr>
        <w:t>Proceedings Of The</w:t>
      </w:r>
      <w:r w:rsidRPr="0037513D">
        <w:rPr>
          <w:rFonts w:ascii="Garamond" w:hAnsi="Garamond"/>
          <w:b/>
          <w:bCs/>
          <w:sz w:val="18"/>
          <w:szCs w:val="18"/>
        </w:rPr>
        <w:t xml:space="preserve"> </w:t>
      </w:r>
      <w:r w:rsidRPr="0037513D">
        <w:rPr>
          <w:rStyle w:val="Strong"/>
          <w:rFonts w:ascii="Garamond" w:hAnsi="Garamond"/>
          <w:b w:val="0"/>
          <w:bCs w:val="0"/>
          <w:smallCaps/>
          <w:sz w:val="18"/>
          <w:szCs w:val="18"/>
        </w:rPr>
        <w:t>9</w:t>
      </w:r>
      <w:r w:rsidRPr="0037513D">
        <w:rPr>
          <w:rStyle w:val="Strong"/>
          <w:rFonts w:ascii="Garamond" w:hAnsi="Garamond"/>
          <w:b w:val="0"/>
          <w:bCs w:val="0"/>
          <w:smallCaps/>
          <w:sz w:val="18"/>
          <w:szCs w:val="18"/>
          <w:vertAlign w:val="superscript"/>
        </w:rPr>
        <w:t>th</w:t>
      </w:r>
      <w:r w:rsidRPr="0037513D">
        <w:rPr>
          <w:rStyle w:val="Strong"/>
          <w:rFonts w:ascii="Garamond" w:hAnsi="Garamond"/>
          <w:b w:val="0"/>
          <w:bCs w:val="0"/>
          <w:smallCaps/>
          <w:sz w:val="18"/>
          <w:szCs w:val="18"/>
        </w:rPr>
        <w:t xml:space="preserve"> </w:t>
      </w:r>
      <w:proofErr w:type="spellStart"/>
      <w:r w:rsidRPr="0037513D">
        <w:rPr>
          <w:rStyle w:val="Strong"/>
          <w:rFonts w:ascii="Garamond" w:hAnsi="Garamond"/>
          <w:b w:val="0"/>
          <w:bCs w:val="0"/>
          <w:smallCaps/>
          <w:sz w:val="18"/>
          <w:szCs w:val="18"/>
        </w:rPr>
        <w:t>Ccf</w:t>
      </w:r>
      <w:proofErr w:type="spellEnd"/>
      <w:r w:rsidRPr="0037513D">
        <w:rPr>
          <w:rStyle w:val="Strong"/>
          <w:rFonts w:ascii="Garamond" w:hAnsi="Garamond"/>
          <w:b w:val="0"/>
          <w:bCs w:val="0"/>
          <w:smallCaps/>
          <w:sz w:val="18"/>
          <w:szCs w:val="18"/>
        </w:rPr>
        <w:t xml:space="preserve">  Int'l Conf. Natural Language Processing &amp; Chinese Computing (</w:t>
      </w:r>
      <w:proofErr w:type="spellStart"/>
      <w:r w:rsidRPr="0037513D">
        <w:rPr>
          <w:rStyle w:val="Strong"/>
          <w:rFonts w:ascii="Garamond" w:hAnsi="Garamond"/>
          <w:b w:val="0"/>
          <w:bCs w:val="0"/>
          <w:smallCaps/>
          <w:sz w:val="18"/>
          <w:szCs w:val="18"/>
        </w:rPr>
        <w:t>Nlpcc</w:t>
      </w:r>
      <w:proofErr w:type="spellEnd"/>
      <w:r w:rsidRPr="0037513D">
        <w:rPr>
          <w:rStyle w:val="Strong"/>
          <w:rFonts w:ascii="Garamond" w:hAnsi="Garamond"/>
          <w:b w:val="0"/>
          <w:bCs w:val="0"/>
          <w:smallCaps/>
          <w:sz w:val="18"/>
          <w:szCs w:val="18"/>
        </w:rPr>
        <w:t xml:space="preserve"> 2020</w:t>
      </w:r>
      <w:r w:rsidRPr="0037513D">
        <w:rPr>
          <w:rStyle w:val="Strong"/>
          <w:rFonts w:ascii="Garamond" w:hAnsi="Garamond"/>
          <w:smallCaps/>
          <w:sz w:val="18"/>
          <w:szCs w:val="18"/>
        </w:rPr>
        <w:t>)</w:t>
      </w:r>
      <w:r w:rsidRPr="0037513D">
        <w:rPr>
          <w:rFonts w:ascii="Garamond" w:hAnsi="Garamond"/>
          <w:sz w:val="18"/>
          <w:szCs w:val="18"/>
        </w:rPr>
        <w:t xml:space="preserve"> 305-317 (2020); Matthew Richardson, Ewa </w:t>
      </w:r>
      <w:proofErr w:type="spellStart"/>
      <w:r w:rsidRPr="0037513D">
        <w:rPr>
          <w:rFonts w:ascii="Garamond" w:hAnsi="Garamond"/>
          <w:sz w:val="18"/>
          <w:szCs w:val="18"/>
        </w:rPr>
        <w:t>Dominowska</w:t>
      </w:r>
      <w:proofErr w:type="spellEnd"/>
      <w:r w:rsidRPr="0037513D">
        <w:rPr>
          <w:rFonts w:ascii="Garamond" w:hAnsi="Garamond"/>
          <w:sz w:val="18"/>
          <w:szCs w:val="18"/>
        </w:rPr>
        <w:t xml:space="preserve"> &amp; Robert Ragno, </w:t>
      </w:r>
      <w:r w:rsidRPr="0037513D">
        <w:rPr>
          <w:rStyle w:val="Emphasis"/>
          <w:rFonts w:ascii="Garamond" w:hAnsi="Garamond"/>
          <w:sz w:val="18"/>
          <w:szCs w:val="18"/>
        </w:rPr>
        <w:t>Predicting Clicks: Estimating the Click-Through Rate for New Ads</w:t>
      </w:r>
      <w:r w:rsidRPr="0037513D">
        <w:rPr>
          <w:rFonts w:ascii="Garamond" w:hAnsi="Garamond"/>
          <w:sz w:val="18"/>
          <w:szCs w:val="18"/>
        </w:rPr>
        <w:t>, in in</w:t>
      </w:r>
      <w:r w:rsidRPr="0037513D">
        <w:rPr>
          <w:rStyle w:val="Strong"/>
          <w:rFonts w:ascii="Garamond" w:hAnsi="Garamond"/>
          <w:smallCaps/>
          <w:sz w:val="18"/>
          <w:szCs w:val="18"/>
        </w:rPr>
        <w:t xml:space="preserve"> </w:t>
      </w:r>
      <w:r w:rsidRPr="0037513D">
        <w:rPr>
          <w:rStyle w:val="Strong"/>
          <w:rFonts w:ascii="Garamond" w:hAnsi="Garamond"/>
          <w:b w:val="0"/>
          <w:bCs w:val="0"/>
          <w:smallCaps/>
          <w:sz w:val="18"/>
          <w:szCs w:val="18"/>
        </w:rPr>
        <w:t>Proceedings Of The</w:t>
      </w:r>
      <w:r w:rsidRPr="0037513D">
        <w:rPr>
          <w:rFonts w:ascii="Garamond" w:hAnsi="Garamond"/>
          <w:b/>
          <w:bCs/>
          <w:sz w:val="18"/>
          <w:szCs w:val="18"/>
        </w:rPr>
        <w:t xml:space="preserve"> </w:t>
      </w:r>
      <w:r w:rsidRPr="0037513D">
        <w:rPr>
          <w:rStyle w:val="Strong"/>
          <w:rFonts w:ascii="Garamond" w:hAnsi="Garamond"/>
          <w:b w:val="0"/>
          <w:bCs w:val="0"/>
          <w:smallCaps/>
          <w:sz w:val="18"/>
          <w:szCs w:val="18"/>
        </w:rPr>
        <w:t>16</w:t>
      </w:r>
      <w:r w:rsidRPr="0037513D">
        <w:rPr>
          <w:rStyle w:val="Strong"/>
          <w:rFonts w:ascii="Garamond" w:hAnsi="Garamond"/>
          <w:b w:val="0"/>
          <w:bCs w:val="0"/>
          <w:smallCaps/>
          <w:sz w:val="18"/>
          <w:szCs w:val="18"/>
          <w:vertAlign w:val="superscript"/>
        </w:rPr>
        <w:t>th</w:t>
      </w:r>
      <w:r w:rsidRPr="0037513D">
        <w:rPr>
          <w:rStyle w:val="Strong"/>
          <w:rFonts w:ascii="Garamond" w:hAnsi="Garamond"/>
          <w:b w:val="0"/>
          <w:bCs w:val="0"/>
          <w:smallCaps/>
          <w:sz w:val="18"/>
          <w:szCs w:val="18"/>
        </w:rPr>
        <w:t xml:space="preserve">  Int'l Conf. On World Wide Web (www 2007)</w:t>
      </w:r>
      <w:r w:rsidRPr="0037513D">
        <w:rPr>
          <w:rFonts w:ascii="Garamond" w:hAnsi="Garamond"/>
          <w:sz w:val="18"/>
          <w:szCs w:val="18"/>
        </w:rPr>
        <w:t xml:space="preserve"> 521- 530 (2007).The advertisers then are billed on a cost per click (CPC) basis, giving the click-through rate—the number of clicks divided by the number of times an ad has been displayed—a common ad effectiveness metric. Matthew Richardson, Ewa Dominowska, &amp; Robert Ragno, </w:t>
      </w:r>
      <w:r w:rsidRPr="0037513D">
        <w:rPr>
          <w:rFonts w:ascii="Garamond" w:hAnsi="Garamond"/>
          <w:i/>
          <w:iCs/>
          <w:sz w:val="18"/>
          <w:szCs w:val="18"/>
        </w:rPr>
        <w:t xml:space="preserve">Predicting Clicks: Estimating the Click-Through Rate for New Ads. </w:t>
      </w:r>
      <w:r w:rsidRPr="0037513D">
        <w:rPr>
          <w:rFonts w:ascii="Garamond" w:hAnsi="Garamond"/>
          <w:sz w:val="18"/>
          <w:szCs w:val="18"/>
        </w:rPr>
        <w:t>In Proceedings of WWW 2007. 521–530 (2007).</w:t>
      </w:r>
    </w:p>
  </w:footnote>
  <w:footnote w:id="77">
    <w:p w14:paraId="3384548E" w14:textId="77777777" w:rsidR="00FE2168" w:rsidRPr="0037513D" w:rsidRDefault="00FE2168" w:rsidP="00FE216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e.g.</w:t>
      </w:r>
      <w:r w:rsidRPr="0037513D">
        <w:rPr>
          <w:rFonts w:ascii="Garamond" w:hAnsi="Garamond"/>
          <w:sz w:val="18"/>
          <w:szCs w:val="18"/>
        </w:rPr>
        <w:t xml:space="preserve">, Dirk Lewandowski, </w:t>
      </w:r>
      <w:r w:rsidRPr="0037513D">
        <w:rPr>
          <w:rStyle w:val="Emphasis"/>
          <w:rFonts w:ascii="Garamond" w:hAnsi="Garamond"/>
          <w:sz w:val="18"/>
          <w:szCs w:val="18"/>
        </w:rPr>
        <w:t>Users’ Understanding of Search Engine Advertisements</w:t>
      </w:r>
      <w:r w:rsidRPr="0037513D">
        <w:rPr>
          <w:rFonts w:ascii="Garamond" w:hAnsi="Garamond"/>
          <w:smallCaps/>
          <w:sz w:val="18"/>
          <w:szCs w:val="18"/>
        </w:rPr>
        <w:t xml:space="preserve">, </w:t>
      </w:r>
      <w:r w:rsidRPr="0037513D">
        <w:rPr>
          <w:rStyle w:val="Strong"/>
          <w:rFonts w:ascii="Garamond" w:hAnsi="Garamond"/>
          <w:b w:val="0"/>
          <w:bCs w:val="0"/>
          <w:smallCaps/>
          <w:sz w:val="18"/>
          <w:szCs w:val="18"/>
        </w:rPr>
        <w:t xml:space="preserve">5 J. Info. Sci. Theory &amp; </w:t>
      </w:r>
      <w:proofErr w:type="spellStart"/>
      <w:r w:rsidRPr="0037513D">
        <w:rPr>
          <w:rStyle w:val="Strong"/>
          <w:rFonts w:ascii="Garamond" w:hAnsi="Garamond"/>
          <w:b w:val="0"/>
          <w:bCs w:val="0"/>
          <w:smallCaps/>
          <w:sz w:val="18"/>
          <w:szCs w:val="18"/>
        </w:rPr>
        <w:t>Prac</w:t>
      </w:r>
      <w:proofErr w:type="spellEnd"/>
      <w:r w:rsidRPr="0037513D">
        <w:rPr>
          <w:rStyle w:val="Strong"/>
          <w:rFonts w:ascii="Garamond" w:hAnsi="Garamond"/>
          <w:b w:val="0"/>
          <w:bCs w:val="0"/>
          <w:smallCaps/>
          <w:sz w:val="18"/>
          <w:szCs w:val="18"/>
        </w:rPr>
        <w:t>.</w:t>
      </w:r>
      <w:r w:rsidRPr="0037513D">
        <w:rPr>
          <w:rFonts w:ascii="Garamond" w:hAnsi="Garamond"/>
          <w:sz w:val="18"/>
          <w:szCs w:val="18"/>
        </w:rPr>
        <w:t xml:space="preserve"> 6 (2017).</w:t>
      </w:r>
    </w:p>
  </w:footnote>
  <w:footnote w:id="78">
    <w:p w14:paraId="2FD319D4" w14:textId="77777777" w:rsidR="00FE2168" w:rsidRPr="0037513D" w:rsidRDefault="00FE2168" w:rsidP="00FE216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e.g., Abhisek Dash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Sponsored Is the New Organic: Implications of Sponsored Results on Quality of Search Results in the Amazon Marketplace</w:t>
      </w:r>
      <w:r w:rsidRPr="0037513D">
        <w:rPr>
          <w:rFonts w:ascii="Garamond" w:hAnsi="Garamond"/>
          <w:sz w:val="18"/>
          <w:szCs w:val="18"/>
        </w:rPr>
        <w:t xml:space="preserve">, in </w:t>
      </w:r>
      <w:r w:rsidRPr="0037513D">
        <w:rPr>
          <w:rStyle w:val="Strong"/>
          <w:rFonts w:ascii="Garamond" w:hAnsi="Garamond"/>
          <w:b w:val="0"/>
          <w:bCs w:val="0"/>
          <w:smallCaps/>
          <w:sz w:val="18"/>
          <w:szCs w:val="18"/>
        </w:rPr>
        <w:t xml:space="preserve">Proceedings Of The </w:t>
      </w:r>
      <w:proofErr w:type="spellStart"/>
      <w:r w:rsidRPr="0037513D">
        <w:rPr>
          <w:rStyle w:val="Strong"/>
          <w:rFonts w:ascii="Garamond" w:hAnsi="Garamond"/>
          <w:b w:val="0"/>
          <w:bCs w:val="0"/>
          <w:smallCaps/>
          <w:sz w:val="18"/>
          <w:szCs w:val="18"/>
        </w:rPr>
        <w:t>Acm</w:t>
      </w:r>
      <w:proofErr w:type="spellEnd"/>
      <w:r w:rsidRPr="0037513D">
        <w:rPr>
          <w:rStyle w:val="Strong"/>
          <w:rFonts w:ascii="Garamond" w:hAnsi="Garamond"/>
          <w:b w:val="0"/>
          <w:bCs w:val="0"/>
          <w:smallCaps/>
          <w:sz w:val="18"/>
          <w:szCs w:val="18"/>
        </w:rPr>
        <w:t xml:space="preserve"> Web Conf. (www '22)</w:t>
      </w:r>
      <w:r w:rsidRPr="0037513D">
        <w:rPr>
          <w:rFonts w:ascii="Garamond" w:hAnsi="Garamond"/>
          <w:sz w:val="18"/>
          <w:szCs w:val="18"/>
        </w:rPr>
        <w:t xml:space="preserve"> 1250 (2024) (“Interleaving sponsored results (advertisements) amongst organic results on search engine result pages (SERP) has become a common practice across multiple digital platforms.”); Justin Pot, </w:t>
      </w:r>
      <w:r w:rsidRPr="0037513D">
        <w:rPr>
          <w:rStyle w:val="Emphasis"/>
          <w:rFonts w:ascii="Garamond" w:hAnsi="Garamond"/>
          <w:sz w:val="18"/>
          <w:szCs w:val="18"/>
        </w:rPr>
        <w:t>How to Spot Content Marketing in Search Results</w:t>
      </w:r>
      <w:r w:rsidRPr="0037513D">
        <w:rPr>
          <w:rFonts w:ascii="Garamond" w:hAnsi="Garamond"/>
          <w:sz w:val="18"/>
          <w:szCs w:val="18"/>
        </w:rPr>
        <w:t xml:space="preserve">, </w:t>
      </w:r>
      <w:r w:rsidRPr="0037513D">
        <w:rPr>
          <w:rStyle w:val="Strong"/>
          <w:rFonts w:ascii="Garamond" w:hAnsi="Garamond"/>
          <w:b w:val="0"/>
          <w:bCs w:val="0"/>
          <w:smallCaps/>
          <w:sz w:val="18"/>
          <w:szCs w:val="18"/>
        </w:rPr>
        <w:t>Wired</w:t>
      </w:r>
      <w:r w:rsidRPr="0037513D">
        <w:rPr>
          <w:rStyle w:val="Strong"/>
          <w:rFonts w:ascii="Garamond" w:hAnsi="Garamond"/>
          <w:smallCaps/>
          <w:sz w:val="18"/>
          <w:szCs w:val="18"/>
        </w:rPr>
        <w:t xml:space="preserve"> </w:t>
      </w:r>
      <w:r w:rsidRPr="0037513D">
        <w:rPr>
          <w:rFonts w:ascii="Garamond" w:hAnsi="Garamond"/>
          <w:sz w:val="18"/>
          <w:szCs w:val="18"/>
        </w:rPr>
        <w:t>(Apr. 9, 2022).</w:t>
      </w:r>
    </w:p>
  </w:footnote>
  <w:footnote w:id="79">
    <w:p w14:paraId="19CF94F0" w14:textId="77777777" w:rsidR="00FE2168" w:rsidRPr="0037513D" w:rsidRDefault="00FE2168" w:rsidP="00FE216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tl/>
        </w:rPr>
        <w:t xml:space="preserve"> </w:t>
      </w:r>
      <w:r w:rsidRPr="0037513D">
        <w:rPr>
          <w:rFonts w:ascii="Garamond" w:hAnsi="Garamond"/>
          <w:sz w:val="18"/>
          <w:szCs w:val="18"/>
        </w:rPr>
        <w:t xml:space="preserve">Bartosz W.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Nathaniel J. Evans,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_Ref214385915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39</w:t>
      </w:r>
      <w:r w:rsidRPr="0037513D">
        <w:rPr>
          <w:rFonts w:ascii="Garamond" w:hAnsi="Garamond"/>
          <w:sz w:val="18"/>
          <w:szCs w:val="18"/>
        </w:rPr>
        <w:fldChar w:fldCharType="end"/>
      </w:r>
      <w:r w:rsidRPr="0037513D">
        <w:rPr>
          <w:rFonts w:ascii="Garamond" w:hAnsi="Garamond"/>
          <w:sz w:val="18"/>
          <w:szCs w:val="18"/>
        </w:rPr>
        <w:t xml:space="preserve">, at 9. (calling them top-down and bottom-up cues); Erwin Lammenett, </w:t>
      </w:r>
      <w:proofErr w:type="spellStart"/>
      <w:r w:rsidRPr="0037513D">
        <w:rPr>
          <w:rStyle w:val="Emphasis"/>
          <w:rFonts w:ascii="Garamond" w:hAnsi="Garamond"/>
          <w:sz w:val="18"/>
          <w:szCs w:val="18"/>
        </w:rPr>
        <w:t>Praxiswissen</w:t>
      </w:r>
      <w:proofErr w:type="spellEnd"/>
      <w:r w:rsidRPr="0037513D">
        <w:rPr>
          <w:rStyle w:val="Emphasis"/>
          <w:rFonts w:ascii="Garamond" w:hAnsi="Garamond"/>
          <w:sz w:val="18"/>
          <w:szCs w:val="18"/>
        </w:rPr>
        <w:t xml:space="preserve"> Online-Marketing: Affiliate-, Influencer-, Content-, Social-Media-, Amazon-, Voice-, B2B-, </w:t>
      </w:r>
      <w:proofErr w:type="spellStart"/>
      <w:r w:rsidRPr="0037513D">
        <w:rPr>
          <w:rStyle w:val="Emphasis"/>
          <w:rFonts w:ascii="Garamond" w:hAnsi="Garamond"/>
          <w:sz w:val="18"/>
          <w:szCs w:val="18"/>
        </w:rPr>
        <w:t>Sprachassistenten</w:t>
      </w:r>
      <w:proofErr w:type="spellEnd"/>
      <w:r w:rsidRPr="0037513D">
        <w:rPr>
          <w:rStyle w:val="Emphasis"/>
          <w:rFonts w:ascii="Garamond" w:hAnsi="Garamond"/>
          <w:sz w:val="18"/>
          <w:szCs w:val="18"/>
        </w:rPr>
        <w:t xml:space="preserve">- und E-Mail-Marketing, Google Ads, </w:t>
      </w:r>
      <w:r w:rsidRPr="0037513D">
        <w:rPr>
          <w:rStyle w:val="Emphasis"/>
          <w:rFonts w:ascii="Garamond" w:hAnsi="Garamond"/>
          <w:i w:val="0"/>
          <w:iCs w:val="0"/>
          <w:sz w:val="18"/>
          <w:szCs w:val="18"/>
        </w:rPr>
        <w:t>SEO</w:t>
      </w:r>
      <w:r w:rsidRPr="0037513D">
        <w:rPr>
          <w:rFonts w:ascii="Garamond" w:hAnsi="Garamond"/>
          <w:sz w:val="18"/>
          <w:szCs w:val="18"/>
        </w:rPr>
        <w:t xml:space="preserve"> (Springer 2021).</w:t>
      </w:r>
    </w:p>
  </w:footnote>
  <w:footnote w:id="80">
    <w:p w14:paraId="0680B309" w14:textId="77777777" w:rsidR="00EE718B" w:rsidRPr="0037513D" w:rsidRDefault="00EE718B" w:rsidP="00EE718B">
      <w:pPr>
        <w:pStyle w:val="FootnoteText"/>
        <w:spacing w:after="0" w:line="240" w:lineRule="auto"/>
        <w:contextualSpacing/>
        <w:jc w:val="both"/>
        <w:rPr>
          <w:rFonts w:ascii="Garamond" w:hAnsi="Garamond"/>
          <w:i/>
          <w:iCs/>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Available product documentation and industry overviews indicate that many leading stand-alone GenAI chatbots (e.g., ChatGPT, Claude, Gemini, DeepSeek) are at present monetized through subscription and API fees, with no or limited ad integration in the consumer chat interface. </w:t>
      </w:r>
      <w:r w:rsidRPr="0037513D">
        <w:rPr>
          <w:rFonts w:ascii="Garamond" w:hAnsi="Garamond"/>
          <w:i/>
          <w:iCs/>
          <w:sz w:val="18"/>
          <w:szCs w:val="18"/>
        </w:rPr>
        <w:t>See e.g.,</w:t>
      </w:r>
      <w:r w:rsidRPr="0037513D">
        <w:rPr>
          <w:rFonts w:ascii="Garamond" w:hAnsi="Garamond"/>
          <w:sz w:val="18"/>
          <w:szCs w:val="18"/>
        </w:rPr>
        <w:t xml:space="preserve"> Ryan Deffenbaugh, </w:t>
      </w:r>
      <w:r w:rsidRPr="0037513D">
        <w:rPr>
          <w:rFonts w:ascii="Garamond" w:hAnsi="Garamond"/>
          <w:i/>
          <w:iCs/>
          <w:sz w:val="18"/>
          <w:szCs w:val="18"/>
        </w:rPr>
        <w:t xml:space="preserve">Meta Will Target Ads Based On AI Chatbot Conversations, </w:t>
      </w:r>
      <w:r w:rsidRPr="0037513D">
        <w:rPr>
          <w:rStyle w:val="Strong"/>
          <w:rFonts w:ascii="Garamond" w:hAnsi="Garamond"/>
          <w:b w:val="0"/>
          <w:bCs w:val="0"/>
          <w:smallCaps/>
          <w:sz w:val="18"/>
          <w:szCs w:val="18"/>
        </w:rPr>
        <w:t xml:space="preserve">Investor’s Business Daily </w:t>
      </w:r>
      <w:r w:rsidRPr="0037513D">
        <w:rPr>
          <w:rFonts w:ascii="Garamond" w:hAnsi="Garamond"/>
          <w:sz w:val="18"/>
          <w:szCs w:val="18"/>
        </w:rPr>
        <w:t>(Oct. 10, 2025) (notes that OpenAI's ChatGPT and Google's Gemini currently do not incorporate paid ads in their stand-alone Chatbots’ outputs).</w:t>
      </w:r>
    </w:p>
  </w:footnote>
  <w:footnote w:id="81">
    <w:p w14:paraId="2945E33D" w14:textId="77777777" w:rsidR="00EE718B" w:rsidRPr="0037513D" w:rsidRDefault="00EE718B" w:rsidP="00EE718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Angela Palumbo, </w:t>
      </w:r>
      <w:r w:rsidRPr="0037513D">
        <w:rPr>
          <w:rStyle w:val="Emphasis"/>
          <w:rFonts w:ascii="Garamond" w:hAnsi="Garamond"/>
          <w:sz w:val="18"/>
          <w:szCs w:val="18"/>
        </w:rPr>
        <w:t>Advertising Could Be AI’s Next Frontier. Get Ready for Ads in Chatbots.</w:t>
      </w:r>
      <w:r w:rsidRPr="0037513D">
        <w:rPr>
          <w:rFonts w:ascii="Garamond" w:hAnsi="Garamond"/>
          <w:sz w:val="18"/>
          <w:szCs w:val="18"/>
        </w:rPr>
        <w:t xml:space="preserve">, </w:t>
      </w:r>
      <w:r w:rsidRPr="0037513D">
        <w:rPr>
          <w:rStyle w:val="Strong"/>
          <w:rFonts w:ascii="Garamond" w:hAnsi="Garamond"/>
          <w:b w:val="0"/>
          <w:bCs w:val="0"/>
          <w:smallCaps/>
          <w:sz w:val="18"/>
          <w:szCs w:val="18"/>
        </w:rPr>
        <w:t>Barron’s</w:t>
      </w:r>
      <w:r w:rsidRPr="0037513D">
        <w:rPr>
          <w:rFonts w:ascii="Garamond" w:hAnsi="Garamond"/>
          <w:sz w:val="18"/>
          <w:szCs w:val="18"/>
        </w:rPr>
        <w:t xml:space="preserve"> (June 18, 2025), </w:t>
      </w:r>
      <w:hyperlink r:id="rId13" w:history="1">
        <w:r w:rsidRPr="0037513D">
          <w:rPr>
            <w:rStyle w:val="Hyperlink"/>
            <w:rFonts w:ascii="Garamond" w:hAnsi="Garamond"/>
            <w:sz w:val="18"/>
            <w:szCs w:val="18"/>
          </w:rPr>
          <w:t>https://www.barrons.com/articles/advertising-ai-chatbots-search-9622719b?utm_source=chatgpt.com</w:t>
        </w:r>
      </w:hyperlink>
      <w:r w:rsidRPr="0037513D">
        <w:rPr>
          <w:rFonts w:ascii="Garamond" w:hAnsi="Garamond"/>
          <w:sz w:val="18"/>
          <w:szCs w:val="18"/>
        </w:rPr>
        <w:t xml:space="preserve">; </w:t>
      </w:r>
      <w:r w:rsidRPr="0037513D">
        <w:rPr>
          <w:rStyle w:val="Emphasis"/>
          <w:rFonts w:ascii="Garamond" w:hAnsi="Garamond"/>
          <w:sz w:val="18"/>
          <w:szCs w:val="18"/>
        </w:rPr>
        <w:t>Elon Musk Says X to Add Ads in Grok AI Chatbot as Company Aims to Boost Revenue</w:t>
      </w:r>
      <w:r w:rsidRPr="0037513D">
        <w:rPr>
          <w:rFonts w:ascii="Garamond" w:hAnsi="Garamond"/>
          <w:smallCaps/>
          <w:sz w:val="18"/>
          <w:szCs w:val="18"/>
        </w:rPr>
        <w:t xml:space="preserve">, </w:t>
      </w:r>
      <w:r w:rsidRPr="0037513D">
        <w:rPr>
          <w:rStyle w:val="Strong"/>
          <w:rFonts w:ascii="Garamond" w:hAnsi="Garamond"/>
          <w:b w:val="0"/>
          <w:bCs w:val="0"/>
          <w:smallCaps/>
          <w:sz w:val="18"/>
          <w:szCs w:val="18"/>
        </w:rPr>
        <w:t xml:space="preserve">Times Of India </w:t>
      </w:r>
      <w:r w:rsidRPr="0037513D">
        <w:rPr>
          <w:rFonts w:ascii="Garamond" w:hAnsi="Garamond"/>
          <w:sz w:val="18"/>
          <w:szCs w:val="18"/>
        </w:rPr>
        <w:t>(Aug. 7, 2025, 8:57 PM</w:t>
      </w:r>
      <w:r w:rsidRPr="0037513D">
        <w:rPr>
          <w:rFonts w:ascii="Garamond" w:hAnsi="Garamond"/>
          <w:sz w:val="18"/>
          <w:szCs w:val="18"/>
          <w:rtl/>
        </w:rPr>
        <w:t xml:space="preserve"> </w:t>
      </w:r>
      <w:r w:rsidRPr="0037513D">
        <w:rPr>
          <w:rFonts w:ascii="Garamond" w:hAnsi="Garamond"/>
          <w:sz w:val="18"/>
          <w:szCs w:val="18"/>
        </w:rPr>
        <w:t xml:space="preserve">IST), </w:t>
      </w:r>
      <w:hyperlink r:id="rId14" w:history="1">
        <w:r w:rsidRPr="0037513D">
          <w:rPr>
            <w:rStyle w:val="Hyperlink"/>
            <w:rFonts w:ascii="Garamond" w:hAnsi="Garamond"/>
            <w:sz w:val="18"/>
            <w:szCs w:val="18"/>
          </w:rPr>
          <w:t>https://timesofindia.indiatimes.com/technology/tech-news/elon-musk-says-x-to-add-ads-in-grok-ai-chatbot-as-company-aims-to-boost-revenue/articleshow/123169654.cms?utm_source=chatgpt.com</w:t>
        </w:r>
      </w:hyperlink>
      <w:r w:rsidRPr="0037513D">
        <w:rPr>
          <w:rFonts w:ascii="Garamond" w:hAnsi="Garamond"/>
          <w:sz w:val="18"/>
          <w:szCs w:val="18"/>
        </w:rPr>
        <w:t>;</w:t>
      </w:r>
      <w:r w:rsidRPr="0037513D">
        <w:rPr>
          <w:rFonts w:ascii="Garamond" w:hAnsi="Garamond"/>
          <w:i/>
          <w:iCs/>
          <w:sz w:val="18"/>
          <w:szCs w:val="18"/>
          <w:lang w:bidi="he-IL"/>
        </w:rPr>
        <w:t xml:space="preserve"> </w:t>
      </w:r>
      <w:r w:rsidRPr="0037513D">
        <w:rPr>
          <w:rStyle w:val="Emphasis"/>
          <w:rFonts w:ascii="Garamond" w:hAnsi="Garamond"/>
          <w:sz w:val="18"/>
          <w:szCs w:val="18"/>
        </w:rPr>
        <w:t>Microsoft Privacy Statement</w:t>
      </w:r>
      <w:r w:rsidRPr="0037513D">
        <w:rPr>
          <w:rFonts w:ascii="Garamond" w:hAnsi="Garamond"/>
          <w:sz w:val="18"/>
          <w:szCs w:val="18"/>
        </w:rPr>
        <w:t xml:space="preserve">, </w:t>
      </w:r>
      <w:r w:rsidRPr="0037513D">
        <w:rPr>
          <w:rStyle w:val="Strong"/>
          <w:rFonts w:ascii="Garamond" w:hAnsi="Garamond"/>
          <w:b w:val="0"/>
          <w:bCs w:val="0"/>
          <w:smallCaps/>
          <w:sz w:val="18"/>
          <w:szCs w:val="18"/>
        </w:rPr>
        <w:t>Microsoft</w:t>
      </w:r>
      <w:r w:rsidRPr="0037513D">
        <w:rPr>
          <w:rStyle w:val="Strong"/>
          <w:rFonts w:ascii="Garamond" w:hAnsi="Garamond"/>
          <w:smallCaps/>
          <w:sz w:val="18"/>
          <w:szCs w:val="18"/>
        </w:rPr>
        <w:t xml:space="preserve"> </w:t>
      </w:r>
      <w:r w:rsidRPr="0037513D">
        <w:rPr>
          <w:rFonts w:ascii="Garamond" w:hAnsi="Garamond"/>
          <w:sz w:val="18"/>
          <w:szCs w:val="18"/>
        </w:rPr>
        <w:t xml:space="preserve">(Sept. 2025), </w:t>
      </w:r>
      <w:hyperlink r:id="rId15" w:tgtFrame="_new" w:history="1">
        <w:r w:rsidRPr="0037513D">
          <w:rPr>
            <w:rStyle w:val="Hyperlink"/>
            <w:rFonts w:ascii="Garamond" w:hAnsi="Garamond"/>
            <w:sz w:val="18"/>
            <w:szCs w:val="18"/>
          </w:rPr>
          <w:t>https://privacy.microsoft.com/en-us/privacystatement</w:t>
        </w:r>
      </w:hyperlink>
      <w:r w:rsidRPr="0037513D">
        <w:rPr>
          <w:rFonts w:ascii="Garamond" w:hAnsi="Garamond"/>
          <w:sz w:val="18"/>
          <w:szCs w:val="18"/>
        </w:rPr>
        <w:t xml:space="preserve">; </w:t>
      </w:r>
      <w:r w:rsidRPr="0037513D">
        <w:rPr>
          <w:rFonts w:ascii="Garamond" w:hAnsi="Garamond"/>
          <w:i/>
          <w:iCs/>
          <w:sz w:val="18"/>
          <w:szCs w:val="18"/>
        </w:rPr>
        <w:t>See also</w:t>
      </w:r>
      <w:r w:rsidRPr="0037513D">
        <w:rPr>
          <w:rFonts w:ascii="Garamond" w:hAnsi="Garamond"/>
          <w:sz w:val="18"/>
          <w:szCs w:val="18"/>
        </w:rPr>
        <w:t xml:space="preserve"> Brian Jay 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GenAI Advertising: Risks of Personalizing Ads with LLMs</w:t>
      </w:r>
      <w:r w:rsidRPr="0037513D">
        <w:rPr>
          <w:rFonts w:ascii="Garamond" w:hAnsi="Garamond"/>
          <w:sz w:val="18"/>
          <w:szCs w:val="18"/>
        </w:rPr>
        <w:t xml:space="preserve"> (Sept. 23, 2024), </w:t>
      </w:r>
      <w:hyperlink r:id="rId16" w:history="1">
        <w:r w:rsidRPr="0037513D">
          <w:rPr>
            <w:rStyle w:val="Hyperlink"/>
            <w:rFonts w:ascii="Garamond" w:hAnsi="Garamond"/>
            <w:sz w:val="18"/>
            <w:szCs w:val="18"/>
          </w:rPr>
          <w:t>https://doi.org/10.48550/arXiv.2409.15436</w:t>
        </w:r>
      </w:hyperlink>
      <w:r w:rsidRPr="0037513D">
        <w:rPr>
          <w:rFonts w:ascii="Garamond" w:hAnsi="Garamond"/>
          <w:sz w:val="18"/>
          <w:szCs w:val="18"/>
          <w:rtl/>
        </w:rPr>
        <w:t xml:space="preserve"> </w:t>
      </w:r>
    </w:p>
  </w:footnote>
  <w:footnote w:id="82">
    <w:p w14:paraId="4AC403AC" w14:textId="77777777" w:rsidR="00EE718B" w:rsidRPr="0037513D" w:rsidRDefault="00EE718B" w:rsidP="00EE718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e.g.</w:t>
      </w:r>
      <w:r w:rsidRPr="0037513D">
        <w:rPr>
          <w:rFonts w:ascii="Garamond" w:hAnsi="Garamond"/>
          <w:sz w:val="18"/>
          <w:szCs w:val="18"/>
        </w:rPr>
        <w:t xml:space="preserve">, </w:t>
      </w:r>
      <w:r w:rsidRPr="0037513D">
        <w:rPr>
          <w:rStyle w:val="Emphasis"/>
          <w:rFonts w:ascii="Garamond" w:hAnsi="Garamond"/>
          <w:sz w:val="18"/>
          <w:szCs w:val="18"/>
        </w:rPr>
        <w:t>From Chatbots to Adbots: Sharing Your Thoughts with Advertisers</w:t>
      </w:r>
      <w:r w:rsidRPr="0037513D">
        <w:rPr>
          <w:rFonts w:ascii="Garamond" w:hAnsi="Garamond"/>
          <w:sz w:val="18"/>
          <w:szCs w:val="18"/>
        </w:rPr>
        <w:t xml:space="preserve">, </w:t>
      </w:r>
      <w:r w:rsidRPr="0037513D">
        <w:rPr>
          <w:rStyle w:val="Strong"/>
          <w:rFonts w:ascii="Garamond" w:hAnsi="Garamond"/>
          <w:b w:val="0"/>
          <w:bCs w:val="0"/>
          <w:smallCaps/>
          <w:sz w:val="18"/>
          <w:szCs w:val="18"/>
        </w:rPr>
        <w:t>P</w:t>
      </w:r>
      <w:r w:rsidRPr="0037513D">
        <w:rPr>
          <w:rStyle w:val="Strong"/>
          <w:rFonts w:ascii="Garamond" w:eastAsiaTheme="majorEastAsia" w:hAnsi="Garamond"/>
          <w:b w:val="0"/>
          <w:bCs w:val="0"/>
          <w:smallCaps/>
          <w:sz w:val="18"/>
          <w:szCs w:val="18"/>
        </w:rPr>
        <w:t>rivacy</w:t>
      </w:r>
      <w:r w:rsidRPr="0037513D">
        <w:rPr>
          <w:rStyle w:val="Strong"/>
          <w:rFonts w:ascii="Garamond" w:hAnsi="Garamond"/>
          <w:b w:val="0"/>
          <w:bCs w:val="0"/>
          <w:smallCaps/>
          <w:sz w:val="18"/>
          <w:szCs w:val="18"/>
        </w:rPr>
        <w:t xml:space="preserve"> I</w:t>
      </w:r>
      <w:r w:rsidRPr="0037513D">
        <w:rPr>
          <w:rStyle w:val="Strong"/>
          <w:rFonts w:ascii="Garamond" w:eastAsiaTheme="majorEastAsia" w:hAnsi="Garamond"/>
          <w:b w:val="0"/>
          <w:bCs w:val="0"/>
          <w:smallCaps/>
          <w:sz w:val="18"/>
          <w:szCs w:val="18"/>
        </w:rPr>
        <w:t>nt'l</w:t>
      </w:r>
      <w:r w:rsidRPr="0037513D">
        <w:rPr>
          <w:rFonts w:ascii="Garamond" w:hAnsi="Garamond"/>
          <w:sz w:val="18"/>
          <w:szCs w:val="18"/>
        </w:rPr>
        <w:t xml:space="preserve"> (Nov. 18, 2024),</w:t>
      </w:r>
      <w:r w:rsidRPr="0037513D">
        <w:rPr>
          <w:rStyle w:val="Emphasis"/>
          <w:rFonts w:ascii="Garamond" w:eastAsiaTheme="majorEastAsia" w:hAnsi="Garamond"/>
          <w:sz w:val="18"/>
          <w:szCs w:val="18"/>
        </w:rPr>
        <w:t xml:space="preserve"> </w:t>
      </w:r>
      <w:hyperlink r:id="rId17" w:history="1">
        <w:r w:rsidRPr="0037513D">
          <w:rPr>
            <w:rStyle w:val="Hyperlink"/>
            <w:rFonts w:ascii="Garamond" w:eastAsiaTheme="majorEastAsia" w:hAnsi="Garamond"/>
            <w:sz w:val="18"/>
            <w:szCs w:val="18"/>
          </w:rPr>
          <w:t>https://privacyinternational.org/long-read/5472/chatbots-adbots-sharing-your-thoughts-advertisers</w:t>
        </w:r>
      </w:hyperlink>
      <w:r w:rsidRPr="0037513D">
        <w:rPr>
          <w:rFonts w:ascii="Garamond" w:hAnsi="Garamond" w:cstheme="majorBidi"/>
          <w:sz w:val="18"/>
          <w:szCs w:val="18"/>
          <w:lang w:bidi="he-IL"/>
        </w:rPr>
        <w:t xml:space="preserve">; </w:t>
      </w:r>
      <w:r w:rsidRPr="0037513D">
        <w:rPr>
          <w:rFonts w:ascii="Garamond" w:hAnsi="Garamond"/>
          <w:sz w:val="18"/>
          <w:szCs w:val="18"/>
        </w:rPr>
        <w:t xml:space="preserve">Abdo Riani, </w:t>
      </w:r>
      <w:r w:rsidRPr="0037513D">
        <w:rPr>
          <w:rStyle w:val="Emphasis"/>
          <w:rFonts w:ascii="Garamond" w:hAnsi="Garamond"/>
          <w:sz w:val="18"/>
          <w:szCs w:val="18"/>
        </w:rPr>
        <w:t>Advertising in AI Chatbots: Disruption in Digital Marketing</w:t>
      </w:r>
      <w:r w:rsidRPr="0037513D">
        <w:rPr>
          <w:rFonts w:ascii="Garamond" w:hAnsi="Garamond"/>
          <w:sz w:val="18"/>
          <w:szCs w:val="18"/>
        </w:rPr>
        <w:t xml:space="preserve">, </w:t>
      </w:r>
      <w:r w:rsidRPr="0037513D">
        <w:rPr>
          <w:rStyle w:val="Strong"/>
          <w:rFonts w:ascii="Garamond" w:hAnsi="Garamond"/>
          <w:b w:val="0"/>
          <w:bCs w:val="0"/>
          <w:smallCaps/>
          <w:sz w:val="18"/>
          <w:szCs w:val="18"/>
        </w:rPr>
        <w:t>Forbes</w:t>
      </w:r>
      <w:r w:rsidRPr="0037513D">
        <w:rPr>
          <w:rStyle w:val="Strong"/>
          <w:rFonts w:ascii="Garamond" w:hAnsi="Garamond"/>
          <w:smallCaps/>
          <w:sz w:val="18"/>
          <w:szCs w:val="18"/>
        </w:rPr>
        <w:t xml:space="preserve"> </w:t>
      </w:r>
      <w:r w:rsidRPr="0037513D">
        <w:rPr>
          <w:rFonts w:ascii="Garamond" w:hAnsi="Garamond"/>
          <w:sz w:val="18"/>
          <w:szCs w:val="18"/>
        </w:rPr>
        <w:t xml:space="preserve">(Apr. 27, 2025), </w:t>
      </w:r>
      <w:hyperlink r:id="rId18" w:history="1">
        <w:r w:rsidRPr="0037513D">
          <w:rPr>
            <w:rStyle w:val="Hyperlink"/>
            <w:rFonts w:ascii="Garamond" w:hAnsi="Garamond" w:cstheme="majorBidi"/>
            <w:sz w:val="18"/>
            <w:szCs w:val="18"/>
          </w:rPr>
          <w:t>https://www.forbes.com/sites/abdoriani/2025/04/27/advertising-in-ai-chatbots-disruption-digital-marketing</w:t>
        </w:r>
      </w:hyperlink>
      <w:r w:rsidRPr="0037513D">
        <w:rPr>
          <w:rFonts w:ascii="Garamond" w:hAnsi="Garamond" w:cstheme="majorBidi"/>
          <w:sz w:val="18"/>
          <w:szCs w:val="18"/>
        </w:rPr>
        <w:t>.</w:t>
      </w:r>
    </w:p>
  </w:footnote>
  <w:footnote w:id="83">
    <w:p w14:paraId="5344B0D3" w14:textId="77777777" w:rsidR="00EE718B" w:rsidRPr="0037513D" w:rsidRDefault="00EE718B" w:rsidP="00EE718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In June 2024, the FTC published a “five don’ts” list for AI chatbot deployments. Crucially, the third don’t says: “Don’t insert ads into a chat interface without clarifying that it’s paid content.” This is directly extending native advertising transparency principles into chatbot interactions, urging that any sponsored content must be clearly identified as paid. Kimberly Culp, Zach Harned &amp; Kristen Rovai, </w:t>
      </w:r>
      <w:r w:rsidRPr="0037513D">
        <w:rPr>
          <w:rStyle w:val="Emphasis"/>
          <w:rFonts w:ascii="Garamond" w:hAnsi="Garamond"/>
          <w:sz w:val="18"/>
          <w:szCs w:val="18"/>
        </w:rPr>
        <w:t>FTC Outlines Five Don’ts for AI Chatbots</w:t>
      </w:r>
      <w:r w:rsidRPr="0037513D">
        <w:rPr>
          <w:rFonts w:ascii="Garamond" w:hAnsi="Garamond"/>
          <w:sz w:val="18"/>
          <w:szCs w:val="18"/>
        </w:rPr>
        <w:t xml:space="preserve">, </w:t>
      </w:r>
      <w:r w:rsidRPr="0037513D">
        <w:rPr>
          <w:rStyle w:val="Strong"/>
          <w:rFonts w:ascii="Garamond" w:hAnsi="Garamond"/>
          <w:b w:val="0"/>
          <w:bCs w:val="0"/>
          <w:smallCaps/>
          <w:sz w:val="18"/>
          <w:szCs w:val="18"/>
        </w:rPr>
        <w:t xml:space="preserve">Fenwick &amp; West </w:t>
      </w:r>
      <w:proofErr w:type="spellStart"/>
      <w:r w:rsidRPr="0037513D">
        <w:rPr>
          <w:rStyle w:val="Strong"/>
          <w:rFonts w:ascii="Garamond" w:hAnsi="Garamond"/>
          <w:b w:val="0"/>
          <w:bCs w:val="0"/>
          <w:smallCaps/>
          <w:sz w:val="18"/>
          <w:szCs w:val="18"/>
        </w:rPr>
        <w:t>Llp</w:t>
      </w:r>
      <w:proofErr w:type="spellEnd"/>
      <w:r w:rsidRPr="0037513D">
        <w:rPr>
          <w:rFonts w:ascii="Garamond" w:hAnsi="Garamond"/>
          <w:smallCaps/>
          <w:sz w:val="18"/>
          <w:szCs w:val="18"/>
        </w:rPr>
        <w:t xml:space="preserve"> </w:t>
      </w:r>
      <w:r w:rsidRPr="0037513D">
        <w:rPr>
          <w:rFonts w:ascii="Garamond" w:hAnsi="Garamond"/>
          <w:sz w:val="18"/>
          <w:szCs w:val="18"/>
        </w:rPr>
        <w:t xml:space="preserve">(July 11, 2024), </w:t>
      </w:r>
      <w:hyperlink r:id="rId19" w:history="1">
        <w:r w:rsidRPr="0037513D">
          <w:rPr>
            <w:rStyle w:val="Hyperlink"/>
            <w:rFonts w:ascii="Garamond" w:hAnsi="Garamond"/>
            <w:sz w:val="18"/>
            <w:szCs w:val="18"/>
          </w:rPr>
          <w:t>https://www.fenwick.com/insights/publications/ftc-outlines-five-donts-for-ai-chatbots</w:t>
        </w:r>
      </w:hyperlink>
      <w:r w:rsidRPr="0037513D">
        <w:rPr>
          <w:rFonts w:ascii="Garamond" w:hAnsi="Garamond"/>
          <w:sz w:val="18"/>
          <w:szCs w:val="18"/>
          <w:lang w:bidi="he-IL"/>
        </w:rPr>
        <w:t>;</w:t>
      </w:r>
      <w:r w:rsidRPr="0037513D">
        <w:rPr>
          <w:rFonts w:ascii="Garamond" w:hAnsi="Garamond"/>
          <w:sz w:val="18"/>
          <w:szCs w:val="18"/>
        </w:rPr>
        <w:t xml:space="preserve"> </w:t>
      </w:r>
      <w:r w:rsidRPr="0037513D">
        <w:rPr>
          <w:rStyle w:val="Emphasis"/>
          <w:rFonts w:ascii="Garamond" w:hAnsi="Garamond"/>
          <w:sz w:val="18"/>
          <w:szCs w:val="18"/>
        </w:rPr>
        <w:t>FTC Guidance on AI Chatbot Use: Key Pitfalls and Compliance Strategies</w:t>
      </w:r>
      <w:r w:rsidRPr="0037513D">
        <w:rPr>
          <w:rFonts w:ascii="Garamond" w:hAnsi="Garamond"/>
          <w:b/>
          <w:bCs/>
          <w:sz w:val="18"/>
          <w:szCs w:val="18"/>
        </w:rPr>
        <w:t xml:space="preserve">, </w:t>
      </w:r>
      <w:r w:rsidRPr="0037513D">
        <w:rPr>
          <w:rStyle w:val="Strong"/>
          <w:rFonts w:ascii="Garamond" w:hAnsi="Garamond"/>
          <w:b w:val="0"/>
          <w:bCs w:val="0"/>
          <w:smallCaps/>
          <w:sz w:val="18"/>
          <w:szCs w:val="18"/>
        </w:rPr>
        <w:t>T</w:t>
      </w:r>
      <w:r w:rsidRPr="0037513D">
        <w:rPr>
          <w:rStyle w:val="Strong"/>
          <w:rFonts w:ascii="Garamond" w:eastAsiaTheme="majorEastAsia" w:hAnsi="Garamond"/>
          <w:b w:val="0"/>
          <w:bCs w:val="0"/>
          <w:smallCaps/>
          <w:sz w:val="18"/>
          <w:szCs w:val="18"/>
        </w:rPr>
        <w:t xml:space="preserve">oda's </w:t>
      </w:r>
      <w:r w:rsidRPr="0037513D">
        <w:rPr>
          <w:rStyle w:val="Strong"/>
          <w:rFonts w:ascii="Garamond" w:hAnsi="Garamond"/>
          <w:b w:val="0"/>
          <w:bCs w:val="0"/>
          <w:smallCaps/>
          <w:sz w:val="18"/>
          <w:szCs w:val="18"/>
        </w:rPr>
        <w:t>R</w:t>
      </w:r>
      <w:r w:rsidRPr="0037513D">
        <w:rPr>
          <w:rStyle w:val="Strong"/>
          <w:rFonts w:ascii="Garamond" w:eastAsiaTheme="majorEastAsia" w:hAnsi="Garamond"/>
          <w:b w:val="0"/>
          <w:bCs w:val="0"/>
          <w:smallCaps/>
          <w:sz w:val="18"/>
          <w:szCs w:val="18"/>
        </w:rPr>
        <w:t>isk</w:t>
      </w:r>
      <w:r w:rsidRPr="0037513D">
        <w:rPr>
          <w:rStyle w:val="Strong"/>
          <w:rFonts w:ascii="Garamond" w:hAnsi="Garamond"/>
          <w:b w:val="0"/>
          <w:bCs w:val="0"/>
          <w:smallCaps/>
          <w:sz w:val="18"/>
          <w:szCs w:val="18"/>
        </w:rPr>
        <w:t xml:space="preserve"> M</w:t>
      </w:r>
      <w:r w:rsidRPr="0037513D">
        <w:rPr>
          <w:rStyle w:val="Strong"/>
          <w:rFonts w:ascii="Garamond" w:eastAsiaTheme="majorEastAsia" w:hAnsi="Garamond"/>
          <w:b w:val="0"/>
          <w:bCs w:val="0"/>
          <w:smallCaps/>
          <w:sz w:val="18"/>
          <w:szCs w:val="18"/>
        </w:rPr>
        <w:t xml:space="preserve">anager </w:t>
      </w:r>
      <w:r w:rsidRPr="0037513D">
        <w:rPr>
          <w:rFonts w:ascii="Garamond" w:hAnsi="Garamond"/>
          <w:sz w:val="18"/>
          <w:szCs w:val="18"/>
        </w:rPr>
        <w:t xml:space="preserve">(July 25, 2024), </w:t>
      </w:r>
      <w:hyperlink r:id="rId20" w:history="1">
        <w:r w:rsidRPr="0037513D">
          <w:rPr>
            <w:rStyle w:val="Hyperlink"/>
            <w:rFonts w:ascii="Garamond" w:hAnsi="Garamond"/>
            <w:sz w:val="18"/>
            <w:szCs w:val="18"/>
          </w:rPr>
          <w:t>https://www.todaysriskmanager.com/ftc-guidance-on-ai-chatbot-use-key-pitfalls-and-compliance-strategies/?utm_source=chatgpt.com</w:t>
        </w:r>
      </w:hyperlink>
      <w:r w:rsidRPr="0037513D">
        <w:rPr>
          <w:rFonts w:ascii="Garamond" w:hAnsi="Garamond"/>
          <w:sz w:val="18"/>
          <w:szCs w:val="18"/>
        </w:rPr>
        <w:t>.</w:t>
      </w:r>
    </w:p>
  </w:footnote>
  <w:footnote w:id="84">
    <w:p w14:paraId="47A369D7" w14:textId="77777777" w:rsidR="006C5A7C" w:rsidRPr="0037513D" w:rsidRDefault="006C5A7C" w:rsidP="006C5A7C">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tl/>
        </w:rPr>
        <w:t xml:space="preserve"> </w:t>
      </w:r>
      <w:r w:rsidRPr="0037513D">
        <w:rPr>
          <w:rFonts w:ascii="Garamond" w:hAnsi="Garamond"/>
          <w:sz w:val="18"/>
          <w:szCs w:val="18"/>
        </w:rPr>
        <w:t xml:space="preserve">at 143 (noting that in GenAI text, “a user could only recognize the ads from the references below the text—a situation probably much worse compared to traditional list SERPs [namely traditional search engine advertising. UYH], where already only few users can reliably distinguish between ads and organic results.”); </w:t>
      </w:r>
      <w:r w:rsidRPr="0037513D">
        <w:rPr>
          <w:rFonts w:ascii="Garamond" w:hAnsi="Garamond"/>
          <w:i/>
          <w:iCs/>
          <w:sz w:val="18"/>
          <w:szCs w:val="18"/>
        </w:rPr>
        <w:t>See also</w:t>
      </w:r>
      <w:r w:rsidRPr="0037513D">
        <w:rPr>
          <w:rFonts w:ascii="Garamond" w:hAnsi="Garamond"/>
          <w:sz w:val="18"/>
          <w:szCs w:val="18"/>
        </w:rPr>
        <w:t xml:space="preserve"> 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at 2. (finding that “[e]</w:t>
      </w:r>
      <w:proofErr w:type="spellStart"/>
      <w:r w:rsidRPr="0037513D">
        <w:rPr>
          <w:rFonts w:ascii="Garamond" w:hAnsi="Garamond"/>
          <w:sz w:val="18"/>
          <w:szCs w:val="18"/>
        </w:rPr>
        <w:t>ven</w:t>
      </w:r>
      <w:proofErr w:type="spellEnd"/>
      <w:r w:rsidRPr="0037513D">
        <w:rPr>
          <w:rFonts w:ascii="Garamond" w:hAnsi="Garamond"/>
          <w:sz w:val="18"/>
          <w:szCs w:val="18"/>
        </w:rPr>
        <w:t xml:space="preserve"> with the inclusion of an advertising disclosure, 49.15% of participants did not notice any ads.”). </w:t>
      </w:r>
      <w:r w:rsidRPr="0037513D">
        <w:rPr>
          <w:rFonts w:ascii="Garamond" w:hAnsi="Garamond"/>
          <w:i/>
          <w:sz w:val="18"/>
          <w:szCs w:val="18"/>
        </w:rPr>
        <w:t>Cf.</w:t>
      </w:r>
      <w:r w:rsidRPr="0037513D">
        <w:rPr>
          <w:rFonts w:ascii="Garamond" w:hAnsi="Garamond"/>
          <w:sz w:val="18"/>
          <w:szCs w:val="18"/>
          <w:lang w:bidi="he-IL"/>
        </w:rPr>
        <w:t xml:space="preserve"> </w:t>
      </w:r>
      <w:r w:rsidRPr="0037513D">
        <w:rPr>
          <w:rFonts w:ascii="Garamond" w:hAnsi="Garamond"/>
          <w:sz w:val="18"/>
          <w:szCs w:val="18"/>
        </w:rPr>
        <w:t xml:space="preserve">Navdeep S. Sahni &amp; Harikesh S. Nair, </w:t>
      </w:r>
      <w:r w:rsidRPr="0037513D">
        <w:rPr>
          <w:rStyle w:val="Emphasis"/>
          <w:rFonts w:ascii="Garamond" w:hAnsi="Garamond"/>
          <w:sz w:val="18"/>
          <w:szCs w:val="18"/>
        </w:rPr>
        <w:t>Sponsorship Disclosure and Consumer Deception: Experimental Evidence from Native Advertising in Mobile Search</w:t>
      </w:r>
      <w:r w:rsidRPr="0037513D">
        <w:rPr>
          <w:rFonts w:ascii="Garamond" w:hAnsi="Garamond"/>
          <w:sz w:val="18"/>
          <w:szCs w:val="18"/>
        </w:rPr>
        <w:t xml:space="preserve">, 39(1) </w:t>
      </w:r>
      <w:r w:rsidRPr="0037513D">
        <w:rPr>
          <w:rStyle w:val="Strong"/>
          <w:rFonts w:ascii="Garamond" w:hAnsi="Garamond"/>
          <w:b w:val="0"/>
          <w:bCs w:val="0"/>
          <w:smallCaps/>
          <w:sz w:val="18"/>
          <w:szCs w:val="18"/>
        </w:rPr>
        <w:t>Marketing Science</w:t>
      </w:r>
      <w:r w:rsidRPr="0037513D">
        <w:rPr>
          <w:rFonts w:ascii="Garamond" w:hAnsi="Garamond"/>
          <w:sz w:val="18"/>
          <w:szCs w:val="18"/>
        </w:rPr>
        <w:t xml:space="preserve"> 5, 5 (2020). (“detect[</w:t>
      </w:r>
      <w:proofErr w:type="spellStart"/>
      <w:r w:rsidRPr="0037513D">
        <w:rPr>
          <w:rFonts w:ascii="Garamond" w:hAnsi="Garamond"/>
          <w:sz w:val="18"/>
          <w:szCs w:val="18"/>
        </w:rPr>
        <w:t>ing</w:t>
      </w:r>
      <w:proofErr w:type="spellEnd"/>
      <w:r w:rsidRPr="0037513D">
        <w:rPr>
          <w:rFonts w:ascii="Garamond" w:hAnsi="Garamond"/>
          <w:sz w:val="18"/>
          <w:szCs w:val="18"/>
        </w:rPr>
        <w:t>] no evidence of deception under typically used formats of disclosure currently used in the paid-search marketplace”).</w:t>
      </w:r>
    </w:p>
  </w:footnote>
  <w:footnote w:id="85">
    <w:p w14:paraId="2A11DE46" w14:textId="77777777" w:rsidR="006C5A7C" w:rsidRPr="0037513D" w:rsidRDefault="006C5A7C" w:rsidP="006C5A7C">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generally</w:t>
      </w:r>
      <w:r w:rsidRPr="0037513D">
        <w:rPr>
          <w:rFonts w:ascii="Garamond" w:hAnsi="Garamond"/>
          <w:sz w:val="18"/>
          <w:szCs w:val="18"/>
        </w:rPr>
        <w:t xml:space="preserve"> Uri Y. Hacohen, </w:t>
      </w:r>
      <w:r w:rsidRPr="0037513D">
        <w:rPr>
          <w:rFonts w:ascii="Garamond" w:hAnsi="Garamond"/>
          <w:i/>
          <w:iCs/>
          <w:sz w:val="18"/>
          <w:szCs w:val="18"/>
        </w:rPr>
        <w:t>The Shifting Economics of Influencer Sponsorship Disclosures</w:t>
      </w:r>
      <w:r w:rsidRPr="0037513D">
        <w:rPr>
          <w:rFonts w:ascii="Garamond" w:hAnsi="Garamond"/>
          <w:sz w:val="18"/>
          <w:szCs w:val="18"/>
        </w:rPr>
        <w:t xml:space="preserve">, (forthcoming at the </w:t>
      </w:r>
      <w:r w:rsidRPr="0037513D">
        <w:rPr>
          <w:rFonts w:ascii="Garamond" w:hAnsi="Garamond"/>
          <w:smallCaps/>
          <w:sz w:val="18"/>
          <w:szCs w:val="18"/>
        </w:rPr>
        <w:t>Cardozo Arts &amp; Ent. L.J.,</w:t>
      </w:r>
      <w:r w:rsidRPr="0037513D">
        <w:rPr>
          <w:rFonts w:ascii="Garamond" w:hAnsi="Garamond"/>
          <w:sz w:val="18"/>
          <w:szCs w:val="18"/>
        </w:rPr>
        <w:t xml:space="preserve"> 2025).</w:t>
      </w:r>
    </w:p>
  </w:footnote>
  <w:footnote w:id="86">
    <w:p w14:paraId="693D482C" w14:textId="77777777" w:rsidR="003B0E49" w:rsidRPr="0037513D" w:rsidRDefault="003B0E49" w:rsidP="003B0E49">
      <w:pPr>
        <w:pStyle w:val="FootnoteText"/>
        <w:spacing w:after="0" w:line="240" w:lineRule="auto"/>
        <w:contextualSpacing/>
        <w:jc w:val="both"/>
        <w:rPr>
          <w:rFonts w:ascii="Garamond" w:hAnsi="Garamond"/>
          <w:sz w:val="18"/>
          <w:szCs w:val="18"/>
          <w:rt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tl/>
        </w:rPr>
        <w:t xml:space="preserve"> </w:t>
      </w:r>
      <w:r w:rsidRPr="0037513D">
        <w:rPr>
          <w:rFonts w:ascii="Garamond" w:hAnsi="Garamond"/>
          <w:sz w:val="18"/>
          <w:szCs w:val="18"/>
        </w:rPr>
        <w:t>at 149</w:t>
      </w:r>
      <w:r w:rsidRPr="0037513D">
        <w:rPr>
          <w:rFonts w:ascii="Garamond" w:hAnsi="Garamond"/>
          <w:sz w:val="18"/>
          <w:szCs w:val="18"/>
          <w:lang w:bidi="he-IL"/>
        </w:rPr>
        <w:t>;</w:t>
      </w:r>
      <w:r w:rsidRPr="0037513D">
        <w:rPr>
          <w:rFonts w:ascii="Garamond" w:hAnsi="Garamond"/>
          <w:sz w:val="18"/>
          <w:szCs w:val="18"/>
        </w:rPr>
        <w:t xml:space="preserve"> Kim &amp; </w:t>
      </w:r>
      <w:proofErr w:type="spellStart"/>
      <w:r w:rsidRPr="0037513D">
        <w:rPr>
          <w:rFonts w:ascii="Garamond" w:hAnsi="Garamond"/>
          <w:sz w:val="18"/>
          <w:szCs w:val="18"/>
        </w:rPr>
        <w:t>Priluck</w:t>
      </w:r>
      <w:proofErr w:type="spellEnd"/>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_Ref214385512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59</w:t>
      </w:r>
      <w:r w:rsidRPr="0037513D">
        <w:rPr>
          <w:rFonts w:ascii="Garamond" w:hAnsi="Garamond"/>
          <w:sz w:val="18"/>
          <w:szCs w:val="18"/>
        </w:rPr>
        <w:fldChar w:fldCharType="end"/>
      </w:r>
      <w:r w:rsidRPr="0037513D">
        <w:rPr>
          <w:rFonts w:ascii="Garamond" w:hAnsi="Garamond"/>
          <w:sz w:val="18"/>
          <w:szCs w:val="18"/>
        </w:rPr>
        <w:t>, at 2–3, 11,  (noting that users are likely to be far more familiar with search engines compared to GenAI chatbots).</w:t>
      </w:r>
    </w:p>
  </w:footnote>
  <w:footnote w:id="87">
    <w:p w14:paraId="652AED7C" w14:textId="77777777" w:rsidR="003B0E49" w:rsidRPr="0037513D" w:rsidRDefault="003B0E49" w:rsidP="003B0E49">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Less than 2% in a 2017 study. See Lewandowski,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_Ref214387461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64</w:t>
      </w:r>
      <w:r w:rsidRPr="0037513D">
        <w:rPr>
          <w:rFonts w:ascii="Garamond" w:hAnsi="Garamond"/>
          <w:sz w:val="18"/>
          <w:szCs w:val="18"/>
        </w:rPr>
        <w:fldChar w:fldCharType="end"/>
      </w:r>
      <w:r w:rsidRPr="0037513D">
        <w:rPr>
          <w:rFonts w:ascii="Garamond" w:hAnsi="Garamond"/>
          <w:sz w:val="18"/>
          <w:szCs w:val="18"/>
        </w:rPr>
        <w:t>, at 21.</w:t>
      </w:r>
    </w:p>
  </w:footnote>
  <w:footnote w:id="88">
    <w:p w14:paraId="7D6F0ED7" w14:textId="77777777" w:rsidR="004B058F" w:rsidRPr="0037513D" w:rsidRDefault="004B058F" w:rsidP="004B058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Clark</w:t>
      </w:r>
      <w:r w:rsidRPr="0037513D">
        <w:rPr>
          <w:rFonts w:ascii="Garamond" w:hAnsi="Garamond"/>
          <w:i/>
          <w:iCs/>
          <w:sz w:val="18"/>
          <w:szCs w:val="18"/>
        </w:rPr>
        <w:t xml:space="preserve">, 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_Ref214881658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w:t>
      </w:r>
      <w:r w:rsidRPr="0037513D">
        <w:rPr>
          <w:rFonts w:ascii="Garamond" w:hAnsi="Garamond"/>
          <w:sz w:val="18"/>
          <w:szCs w:val="18"/>
        </w:rPr>
        <w:fldChar w:fldCharType="end"/>
      </w:r>
      <w:r w:rsidRPr="0037513D">
        <w:rPr>
          <w:rFonts w:ascii="Garamond" w:hAnsi="Garamond"/>
          <w:sz w:val="18"/>
          <w:szCs w:val="18"/>
        </w:rPr>
        <w:t>.</w:t>
      </w:r>
    </w:p>
  </w:footnote>
  <w:footnote w:id="89">
    <w:p w14:paraId="1E9E9869" w14:textId="77777777" w:rsidR="004B058F" w:rsidRPr="0037513D" w:rsidRDefault="004B058F" w:rsidP="004B058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eastAsia="Times New Roman" w:hAnsi="Garamond"/>
          <w:sz w:val="18"/>
          <w:szCs w:val="18"/>
        </w:rPr>
        <w:t xml:space="preserve"> </w:t>
      </w:r>
      <w:r w:rsidRPr="0037513D">
        <w:rPr>
          <w:rFonts w:ascii="Garamond" w:hAnsi="Garamond"/>
          <w:sz w:val="18"/>
          <w:szCs w:val="18"/>
        </w:rPr>
        <w:t>at 143 (“studies showed that users mainly focus on the top results and that most clicks go to results reachable without scrolling”)</w:t>
      </w:r>
      <w:r w:rsidRPr="0037513D">
        <w:rPr>
          <w:rFonts w:ascii="Garamond" w:hAnsi="Garamond"/>
          <w:sz w:val="18"/>
          <w:szCs w:val="18"/>
          <w:lang w:bidi="he-IL"/>
        </w:rPr>
        <w:t xml:space="preserve">; </w:t>
      </w:r>
      <w:r w:rsidRPr="0037513D">
        <w:rPr>
          <w:rFonts w:ascii="Garamond" w:hAnsi="Garamond"/>
          <w:i/>
          <w:iCs/>
          <w:sz w:val="18"/>
          <w:szCs w:val="18"/>
        </w:rPr>
        <w:t>See</w:t>
      </w:r>
      <w:r w:rsidRPr="0037513D">
        <w:rPr>
          <w:rFonts w:ascii="Garamond" w:hAnsi="Garamond"/>
          <w:sz w:val="18"/>
          <w:szCs w:val="18"/>
        </w:rPr>
        <w:t xml:space="preserve"> Laura Granka, Helene </w:t>
      </w:r>
      <w:proofErr w:type="spellStart"/>
      <w:r w:rsidRPr="0037513D">
        <w:rPr>
          <w:rFonts w:ascii="Garamond" w:hAnsi="Garamond"/>
          <w:sz w:val="18"/>
          <w:szCs w:val="18"/>
        </w:rPr>
        <w:t>Hembrooke</w:t>
      </w:r>
      <w:proofErr w:type="spellEnd"/>
      <w:r w:rsidRPr="0037513D">
        <w:rPr>
          <w:rFonts w:ascii="Garamond" w:hAnsi="Garamond"/>
          <w:sz w:val="18"/>
          <w:szCs w:val="18"/>
        </w:rPr>
        <w:t xml:space="preserve"> &amp; Geri Gay, </w:t>
      </w:r>
      <w:r w:rsidRPr="0037513D">
        <w:rPr>
          <w:rStyle w:val="Emphasis"/>
          <w:rFonts w:ascii="Garamond" w:hAnsi="Garamond"/>
          <w:sz w:val="18"/>
          <w:szCs w:val="18"/>
        </w:rPr>
        <w:t xml:space="preserve">Location </w:t>
      </w:r>
      <w:proofErr w:type="spellStart"/>
      <w:r w:rsidRPr="0037513D">
        <w:rPr>
          <w:rStyle w:val="Emphasis"/>
          <w:rFonts w:ascii="Garamond" w:hAnsi="Garamond"/>
          <w:sz w:val="18"/>
          <w:szCs w:val="18"/>
        </w:rPr>
        <w:t>Location</w:t>
      </w:r>
      <w:proofErr w:type="spellEnd"/>
      <w:r w:rsidRPr="0037513D">
        <w:rPr>
          <w:rStyle w:val="Emphasis"/>
          <w:rFonts w:ascii="Garamond" w:hAnsi="Garamond"/>
          <w:sz w:val="18"/>
          <w:szCs w:val="18"/>
        </w:rPr>
        <w:t xml:space="preserve"> </w:t>
      </w:r>
      <w:proofErr w:type="spellStart"/>
      <w:r w:rsidRPr="0037513D">
        <w:rPr>
          <w:rStyle w:val="Emphasis"/>
          <w:rFonts w:ascii="Garamond" w:hAnsi="Garamond"/>
          <w:sz w:val="18"/>
          <w:szCs w:val="18"/>
        </w:rPr>
        <w:t>Location</w:t>
      </w:r>
      <w:proofErr w:type="spellEnd"/>
      <w:r w:rsidRPr="0037513D">
        <w:rPr>
          <w:rStyle w:val="Emphasis"/>
          <w:rFonts w:ascii="Garamond" w:hAnsi="Garamond"/>
          <w:sz w:val="18"/>
          <w:szCs w:val="18"/>
        </w:rPr>
        <w:t>: Viewing Patterns on WWW Pages</w:t>
      </w:r>
      <w:r w:rsidRPr="0037513D">
        <w:rPr>
          <w:rFonts w:ascii="Garamond" w:hAnsi="Garamond"/>
          <w:sz w:val="18"/>
          <w:szCs w:val="18"/>
        </w:rPr>
        <w:t xml:space="preserve">, in </w:t>
      </w:r>
      <w:r w:rsidRPr="0037513D">
        <w:rPr>
          <w:rFonts w:ascii="Garamond" w:hAnsi="Garamond"/>
          <w:smallCaps/>
          <w:sz w:val="18"/>
          <w:szCs w:val="18"/>
        </w:rPr>
        <w:t>Proceedings of the 2006 Symposium on Eye Tracking Research &amp; Applications</w:t>
      </w:r>
      <w:r w:rsidRPr="0037513D">
        <w:rPr>
          <w:rFonts w:ascii="Garamond" w:hAnsi="Garamond"/>
          <w:sz w:val="18"/>
          <w:szCs w:val="18"/>
        </w:rPr>
        <w:t xml:space="preserve"> (ETRA 2006) 43 (2006)</w:t>
      </w:r>
      <w:r w:rsidRPr="0037513D">
        <w:rPr>
          <w:rFonts w:ascii="Garamond" w:hAnsi="Garamond"/>
          <w:sz w:val="18"/>
          <w:szCs w:val="18"/>
          <w:lang w:bidi="he-IL"/>
        </w:rPr>
        <w:t xml:space="preserve">; </w:t>
      </w:r>
      <w:r w:rsidRPr="0037513D">
        <w:rPr>
          <w:rFonts w:ascii="Garamond" w:hAnsi="Garamond"/>
          <w:sz w:val="18"/>
          <w:szCs w:val="18"/>
        </w:rPr>
        <w:t xml:space="preserve">Thorsten Joachims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Accurately Interpreting Clickthrough Data as Implicit Feedback</w:t>
      </w:r>
      <w:r w:rsidRPr="0037513D">
        <w:rPr>
          <w:rFonts w:ascii="Garamond" w:hAnsi="Garamond"/>
          <w:sz w:val="18"/>
          <w:szCs w:val="18"/>
        </w:rPr>
        <w:t xml:space="preserve">, in </w:t>
      </w:r>
      <w:r w:rsidRPr="0037513D">
        <w:rPr>
          <w:rFonts w:ascii="Garamond" w:hAnsi="Garamond"/>
          <w:smallCaps/>
          <w:sz w:val="18"/>
          <w:szCs w:val="18"/>
        </w:rPr>
        <w:t xml:space="preserve">Proceedings of the 28th Annual International ACM SIGIR Conference on Research and Development in Information Retrieval </w:t>
      </w:r>
      <w:r w:rsidRPr="0037513D">
        <w:rPr>
          <w:rFonts w:ascii="Garamond" w:hAnsi="Garamond"/>
          <w:sz w:val="18"/>
          <w:szCs w:val="18"/>
        </w:rPr>
        <w:t>(SIGIR 2005) 4 (2005)</w:t>
      </w:r>
      <w:r w:rsidRPr="0037513D">
        <w:rPr>
          <w:rFonts w:ascii="Garamond" w:hAnsi="Garamond"/>
          <w:sz w:val="18"/>
          <w:szCs w:val="18"/>
          <w:lang w:bidi="he-IL"/>
        </w:rPr>
        <w:t xml:space="preserve">; </w:t>
      </w:r>
      <w:r w:rsidRPr="0037513D">
        <w:rPr>
          <w:rFonts w:ascii="Garamond" w:hAnsi="Garamond"/>
          <w:sz w:val="18"/>
          <w:szCs w:val="18"/>
        </w:rPr>
        <w:t xml:space="preserve">Diane Kelly &amp; Leif Azzopardi, </w:t>
      </w:r>
      <w:r w:rsidRPr="0037513D">
        <w:rPr>
          <w:rStyle w:val="Emphasis"/>
          <w:rFonts w:ascii="Garamond" w:hAnsi="Garamond"/>
          <w:sz w:val="18"/>
          <w:szCs w:val="18"/>
        </w:rPr>
        <w:t>How Many Results per Page? A Study of SERP Size, Search Behavior and User Experience</w:t>
      </w:r>
      <w:r w:rsidRPr="0037513D">
        <w:rPr>
          <w:rFonts w:ascii="Garamond" w:hAnsi="Garamond"/>
          <w:sz w:val="18"/>
          <w:szCs w:val="18"/>
        </w:rPr>
        <w:t xml:space="preserve">, in </w:t>
      </w:r>
      <w:r w:rsidRPr="0037513D">
        <w:rPr>
          <w:rFonts w:ascii="Garamond" w:hAnsi="Garamond"/>
          <w:smallCaps/>
          <w:sz w:val="18"/>
          <w:szCs w:val="18"/>
        </w:rPr>
        <w:t xml:space="preserve">Proceedings of the 38th International ACM SIGIR Conference on Research and Development in Information Retrieval </w:t>
      </w:r>
      <w:r w:rsidRPr="0037513D">
        <w:rPr>
          <w:rFonts w:ascii="Garamond" w:hAnsi="Garamond"/>
          <w:sz w:val="18"/>
          <w:szCs w:val="18"/>
        </w:rPr>
        <w:t>(SIGIR 2015) 183 (2015)</w:t>
      </w:r>
      <w:r w:rsidRPr="0037513D">
        <w:rPr>
          <w:rFonts w:ascii="Garamond" w:hAnsi="Garamond"/>
          <w:sz w:val="18"/>
          <w:szCs w:val="18"/>
          <w:lang w:bidi="he-IL"/>
        </w:rPr>
        <w:t xml:space="preserve">; </w:t>
      </w:r>
      <w:r w:rsidRPr="0037513D">
        <w:rPr>
          <w:rFonts w:ascii="Garamond" w:hAnsi="Garamond"/>
          <w:i/>
          <w:iCs/>
          <w:sz w:val="18"/>
          <w:szCs w:val="18"/>
        </w:rPr>
        <w:t>See</w:t>
      </w:r>
      <w:r w:rsidRPr="0037513D">
        <w:rPr>
          <w:rFonts w:ascii="Garamond" w:hAnsi="Garamond"/>
          <w:sz w:val="18"/>
          <w:szCs w:val="18"/>
        </w:rPr>
        <w:t xml:space="preserve"> </w:t>
      </w:r>
      <w:r w:rsidRPr="0037513D">
        <w:rPr>
          <w:rFonts w:ascii="Garamond" w:hAnsi="Garamond"/>
          <w:i/>
          <w:iCs/>
          <w:sz w:val="18"/>
          <w:szCs w:val="18"/>
        </w:rPr>
        <w:t>also</w:t>
      </w:r>
      <w:r w:rsidRPr="0037513D">
        <w:rPr>
          <w:rFonts w:ascii="Garamond" w:hAnsi="Garamond"/>
          <w:sz w:val="18"/>
          <w:szCs w:val="18"/>
        </w:rPr>
        <w:t xml:space="preserve"> Lewandowski,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_Ref214387461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64</w:t>
      </w:r>
      <w:r w:rsidRPr="0037513D">
        <w:rPr>
          <w:rFonts w:ascii="Garamond"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8</w:t>
      </w:r>
      <w:r w:rsidRPr="0037513D">
        <w:rPr>
          <w:rFonts w:ascii="Garamond" w:hAnsi="Garamond"/>
          <w:sz w:val="18"/>
          <w:szCs w:val="18"/>
        </w:rPr>
        <w:t>–</w:t>
      </w:r>
      <w:r w:rsidRPr="0037513D">
        <w:rPr>
          <w:rFonts w:ascii="Garamond" w:hAnsi="Garamond"/>
          <w:color w:val="000000" w:themeColor="text1"/>
          <w:sz w:val="18"/>
          <w:szCs w:val="18"/>
        </w:rPr>
        <w:t>9.</w:t>
      </w:r>
    </w:p>
  </w:footnote>
  <w:footnote w:id="90">
    <w:p w14:paraId="1E6C9A2F" w14:textId="77777777" w:rsidR="004B058F" w:rsidRPr="0037513D" w:rsidRDefault="004B058F" w:rsidP="004B058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supra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at 1 (noting that there are several important benefits to traditional search engines, such as that “traditional search allows rather direct access to source material through hyperlinks.”).</w:t>
      </w:r>
    </w:p>
  </w:footnote>
  <w:footnote w:id="91">
    <w:p w14:paraId="18F9E772" w14:textId="77777777" w:rsidR="004B058F" w:rsidRPr="0037513D" w:rsidRDefault="004B058F" w:rsidP="004B058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at 2</w:t>
      </w:r>
      <w:r w:rsidRPr="0037513D">
        <w:rPr>
          <w:rFonts w:ascii="Garamond" w:hAnsi="Garamond"/>
          <w:sz w:val="18"/>
          <w:szCs w:val="18"/>
        </w:rPr>
        <w:t xml:space="preserve"> (“we observed overreliance on incorrect information when the LLM erred.”). </w:t>
      </w:r>
    </w:p>
  </w:footnote>
  <w:footnote w:id="92">
    <w:p w14:paraId="7CE556A9" w14:textId="0ADD48B3" w:rsidR="00B44EA6" w:rsidRPr="0037513D" w:rsidRDefault="00B44EA6"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E63179" w:rsidRPr="0037513D">
        <w:rPr>
          <w:rFonts w:ascii="Garamond" w:hAnsi="Garamond"/>
          <w:i/>
          <w:iCs/>
          <w:sz w:val="18"/>
          <w:szCs w:val="18"/>
        </w:rPr>
        <w:t xml:space="preserve">See </w:t>
      </w:r>
      <w:r w:rsidR="00E63179" w:rsidRPr="0037513D">
        <w:rPr>
          <w:rFonts w:ascii="Garamond" w:hAnsi="Garamond"/>
          <w:sz w:val="18"/>
          <w:szCs w:val="18"/>
        </w:rPr>
        <w:t xml:space="preserve">Tang </w:t>
      </w:r>
      <w:r w:rsidR="00E63179" w:rsidRPr="0037513D">
        <w:rPr>
          <w:rStyle w:val="Emphasis"/>
          <w:rFonts w:ascii="Garamond" w:hAnsi="Garamond"/>
          <w:sz w:val="18"/>
          <w:szCs w:val="18"/>
        </w:rPr>
        <w:t>et al.</w:t>
      </w:r>
      <w:r w:rsidR="00E63179" w:rsidRPr="0037513D">
        <w:rPr>
          <w:rFonts w:ascii="Garamond" w:hAnsi="Garamond"/>
          <w:sz w:val="18"/>
          <w:szCs w:val="18"/>
        </w:rPr>
        <w:t xml:space="preserve">, </w:t>
      </w:r>
      <w:r w:rsidR="00E63179" w:rsidRPr="0037513D">
        <w:rPr>
          <w:rStyle w:val="Emphasis"/>
          <w:rFonts w:ascii="Garamond" w:hAnsi="Garamond"/>
          <w:sz w:val="18"/>
          <w:szCs w:val="18"/>
        </w:rPr>
        <w:t>supra</w:t>
      </w:r>
      <w:r w:rsidR="00E63179" w:rsidRPr="0037513D">
        <w:rPr>
          <w:rFonts w:ascii="Garamond" w:hAnsi="Garamond"/>
          <w:sz w:val="18"/>
          <w:szCs w:val="18"/>
        </w:rPr>
        <w:t xml:space="preserve"> note </w:t>
      </w:r>
      <w:r w:rsidR="00A4320B" w:rsidRPr="0037513D">
        <w:rPr>
          <w:rFonts w:ascii="Garamond" w:hAnsi="Garamond"/>
          <w:sz w:val="18"/>
          <w:szCs w:val="18"/>
        </w:rPr>
        <w:fldChar w:fldCharType="begin"/>
      </w:r>
      <w:r w:rsidR="00A4320B" w:rsidRPr="0037513D">
        <w:rPr>
          <w:rFonts w:ascii="Garamond" w:hAnsi="Garamond"/>
          <w:sz w:val="18"/>
          <w:szCs w:val="18"/>
        </w:rPr>
        <w:instrText xml:space="preserve"> NOTEREF _Ref214387167 \h </w:instrText>
      </w:r>
      <w:r w:rsidR="00A21E3E" w:rsidRPr="0037513D">
        <w:rPr>
          <w:rFonts w:ascii="Garamond" w:hAnsi="Garamond"/>
          <w:sz w:val="18"/>
          <w:szCs w:val="18"/>
        </w:rPr>
        <w:instrText xml:space="preserve"> \* MERGEFORMAT </w:instrText>
      </w:r>
      <w:r w:rsidR="00A4320B" w:rsidRPr="0037513D">
        <w:rPr>
          <w:rFonts w:ascii="Garamond" w:hAnsi="Garamond"/>
          <w:sz w:val="18"/>
          <w:szCs w:val="18"/>
        </w:rPr>
      </w:r>
      <w:r w:rsidR="00A4320B" w:rsidRPr="0037513D">
        <w:rPr>
          <w:rFonts w:ascii="Garamond" w:hAnsi="Garamond"/>
          <w:sz w:val="18"/>
          <w:szCs w:val="18"/>
        </w:rPr>
        <w:fldChar w:fldCharType="separate"/>
      </w:r>
      <w:r w:rsidR="00A4320B" w:rsidRPr="0037513D">
        <w:rPr>
          <w:rFonts w:ascii="Garamond" w:hAnsi="Garamond"/>
          <w:sz w:val="18"/>
          <w:szCs w:val="18"/>
        </w:rPr>
        <w:t>69</w:t>
      </w:r>
      <w:r w:rsidR="00A4320B" w:rsidRPr="0037513D">
        <w:rPr>
          <w:rFonts w:ascii="Garamond" w:hAnsi="Garamond"/>
          <w:sz w:val="18"/>
          <w:szCs w:val="18"/>
        </w:rPr>
        <w:fldChar w:fldCharType="end"/>
      </w:r>
      <w:r w:rsidR="00E63179" w:rsidRPr="0037513D">
        <w:rPr>
          <w:rFonts w:ascii="Garamond" w:hAnsi="Garamond"/>
          <w:sz w:val="18"/>
          <w:szCs w:val="18"/>
        </w:rPr>
        <w:t xml:space="preserve">, </w:t>
      </w:r>
      <w:r w:rsidR="00E63179" w:rsidRPr="0037513D">
        <w:rPr>
          <w:rFonts w:ascii="Garamond" w:hAnsi="Garamond"/>
          <w:color w:val="000000" w:themeColor="text1"/>
          <w:sz w:val="18"/>
          <w:szCs w:val="18"/>
        </w:rPr>
        <w:t>at 2.</w:t>
      </w:r>
    </w:p>
  </w:footnote>
  <w:footnote w:id="93">
    <w:p w14:paraId="74F60B32" w14:textId="77777777" w:rsidR="00CE0488" w:rsidRPr="0037513D" w:rsidRDefault="00CE0488" w:rsidP="00CE0488">
      <w:pPr>
        <w:pStyle w:val="FootnoteText"/>
        <w:spacing w:after="0" w:line="240" w:lineRule="auto"/>
        <w:contextualSpacing/>
        <w:jc w:val="both"/>
        <w:rPr>
          <w:rFonts w:ascii="Garamond" w:hAnsi="Garamond" w:cstheme="majorBidi"/>
          <w:i/>
          <w:iCs/>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 e.g.,</w:t>
      </w:r>
      <w:r w:rsidRPr="0037513D">
        <w:rPr>
          <w:rFonts w:ascii="Garamond" w:hAnsi="Garamond" w:cstheme="majorBidi"/>
          <w:sz w:val="18"/>
          <w:szCs w:val="18"/>
          <w:rtl/>
          <w:lang w:bidi="he-IL"/>
        </w:rPr>
        <w:t xml:space="preserve"> </w:t>
      </w:r>
      <w:r w:rsidRPr="0037513D">
        <w:rPr>
          <w:rFonts w:ascii="Garamond" w:hAnsi="Garamond"/>
          <w:sz w:val="18"/>
          <w:szCs w:val="18"/>
        </w:rPr>
        <w:t xml:space="preserve">Juran Kim, </w:t>
      </w:r>
      <w:proofErr w:type="spellStart"/>
      <w:r w:rsidRPr="0037513D">
        <w:rPr>
          <w:rFonts w:ascii="Garamond" w:hAnsi="Garamond"/>
          <w:sz w:val="18"/>
          <w:szCs w:val="18"/>
        </w:rPr>
        <w:t>Seungmook</w:t>
      </w:r>
      <w:proofErr w:type="spellEnd"/>
      <w:r w:rsidRPr="0037513D">
        <w:rPr>
          <w:rFonts w:ascii="Garamond" w:hAnsi="Garamond"/>
          <w:sz w:val="18"/>
          <w:szCs w:val="18"/>
        </w:rPr>
        <w:t xml:space="preserve"> Kang &amp; </w:t>
      </w:r>
      <w:proofErr w:type="spellStart"/>
      <w:r w:rsidRPr="0037513D">
        <w:rPr>
          <w:rFonts w:ascii="Garamond" w:hAnsi="Garamond"/>
          <w:sz w:val="18"/>
          <w:szCs w:val="18"/>
        </w:rPr>
        <w:t>Joonheui</w:t>
      </w:r>
      <w:proofErr w:type="spellEnd"/>
      <w:r w:rsidRPr="0037513D">
        <w:rPr>
          <w:rFonts w:ascii="Garamond" w:hAnsi="Garamond"/>
          <w:sz w:val="18"/>
          <w:szCs w:val="18"/>
        </w:rPr>
        <w:t xml:space="preserve"> Bae, </w:t>
      </w:r>
      <w:r w:rsidRPr="0037513D">
        <w:rPr>
          <w:rStyle w:val="Emphasis"/>
          <w:rFonts w:ascii="Garamond" w:hAnsi="Garamond"/>
          <w:sz w:val="18"/>
          <w:szCs w:val="18"/>
        </w:rPr>
        <w:t>Anthropomorphism in AI Interfaces: Effect on User Engagement and Brand Attitude</w:t>
      </w:r>
      <w:r w:rsidRPr="0037513D">
        <w:rPr>
          <w:rFonts w:ascii="Garamond" w:hAnsi="Garamond"/>
          <w:sz w:val="18"/>
          <w:szCs w:val="18"/>
        </w:rPr>
        <w:t xml:space="preserve">, </w:t>
      </w:r>
      <w:r w:rsidRPr="0037513D">
        <w:rPr>
          <w:rStyle w:val="Strong"/>
          <w:rFonts w:ascii="Garamond" w:hAnsi="Garamond"/>
          <w:b w:val="0"/>
          <w:bCs w:val="0"/>
          <w:smallCaps/>
          <w:sz w:val="18"/>
          <w:szCs w:val="18"/>
        </w:rPr>
        <w:t>64 J. Retailing &amp; Consumer Serv, 6 (2022) (</w:t>
      </w:r>
      <w:r w:rsidRPr="0037513D">
        <w:rPr>
          <w:rFonts w:ascii="Garamond" w:hAnsi="Garamond" w:cstheme="majorBidi"/>
          <w:sz w:val="18"/>
          <w:szCs w:val="18"/>
          <w:lang w:bidi="he-IL"/>
        </w:rPr>
        <w:t xml:space="preserve">noting that anthropomorphic AI interfaces induced favorable attachments and purchase intentions, as well as perceived by users as more credible, trustworthy, and deserving of more favorable attitudes); </w:t>
      </w:r>
      <w:r w:rsidRPr="0037513D">
        <w:rPr>
          <w:rFonts w:ascii="Garamond" w:hAnsi="Garamond"/>
          <w:sz w:val="18"/>
          <w:szCs w:val="18"/>
        </w:rPr>
        <w:t xml:space="preserve">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xml:space="preserve">, at 14 (noting that “with highly personalized LLM generated ads that feel more like authentic recommendations/responses than traditional marketing, users may be more inclined to follow the suggestions or believing that they are making informed and independent decisions, without realizing that but their choices are shaped by LLMs exploiting subconscious biases and emotional triggers.”); Yuan Sun, Jin Chen, &amp; S. Shyam Sundar, </w:t>
      </w:r>
      <w:r w:rsidRPr="0037513D">
        <w:rPr>
          <w:rFonts w:ascii="Garamond" w:hAnsi="Garamond"/>
          <w:i/>
          <w:iCs/>
          <w:sz w:val="18"/>
          <w:szCs w:val="18"/>
        </w:rPr>
        <w:t>Chatbot ads with a human touch: A test of anthropomorphism, interactivity, and narrativity</w:t>
      </w:r>
      <w:r w:rsidRPr="0037513D">
        <w:rPr>
          <w:rFonts w:ascii="Garamond" w:hAnsi="Garamond"/>
          <w:sz w:val="18"/>
          <w:szCs w:val="18"/>
        </w:rPr>
        <w:t xml:space="preserve">, 172 </w:t>
      </w:r>
      <w:r w:rsidRPr="0037513D">
        <w:rPr>
          <w:rStyle w:val="Strong"/>
          <w:rFonts w:ascii="Garamond" w:hAnsi="Garamond"/>
          <w:b w:val="0"/>
          <w:bCs w:val="0"/>
          <w:smallCaps/>
          <w:sz w:val="18"/>
          <w:szCs w:val="18"/>
        </w:rPr>
        <w:t>Journal of Business Research</w:t>
      </w:r>
      <w:r w:rsidRPr="0037513D">
        <w:rPr>
          <w:rFonts w:ascii="Garamond" w:hAnsi="Garamond"/>
          <w:sz w:val="18"/>
          <w:szCs w:val="18"/>
        </w:rPr>
        <w:t xml:space="preserve"> 1, 8 (2024). </w:t>
      </w:r>
      <w:r w:rsidRPr="0037513D">
        <w:rPr>
          <w:rFonts w:ascii="Garamond" w:hAnsi="Garamond"/>
          <w:i/>
          <w:iCs/>
          <w:sz w:val="18"/>
          <w:szCs w:val="18"/>
        </w:rPr>
        <w:t xml:space="preserve">See also </w:t>
      </w:r>
      <w:r w:rsidRPr="0037513D">
        <w:rPr>
          <w:rStyle w:val="Strong"/>
          <w:rFonts w:ascii="Garamond" w:hAnsi="Garamond"/>
          <w:b w:val="0"/>
          <w:bCs w:val="0"/>
          <w:sz w:val="18"/>
          <w:szCs w:val="18"/>
        </w:rPr>
        <w:t xml:space="preserve">Tae Hyun Baek, </w:t>
      </w:r>
      <w:proofErr w:type="spellStart"/>
      <w:r w:rsidRPr="0037513D">
        <w:rPr>
          <w:rStyle w:val="Strong"/>
          <w:rFonts w:ascii="Garamond" w:hAnsi="Garamond"/>
          <w:b w:val="0"/>
          <w:bCs w:val="0"/>
          <w:sz w:val="18"/>
          <w:szCs w:val="18"/>
        </w:rPr>
        <w:t>Jungkeun</w:t>
      </w:r>
      <w:proofErr w:type="spellEnd"/>
      <w:r w:rsidRPr="0037513D">
        <w:rPr>
          <w:rStyle w:val="Strong"/>
          <w:rFonts w:ascii="Garamond" w:hAnsi="Garamond"/>
          <w:b w:val="0"/>
          <w:bCs w:val="0"/>
          <w:sz w:val="18"/>
          <w:szCs w:val="18"/>
        </w:rPr>
        <w:t xml:space="preserve"> Kim &amp; Jeong Hyun Kim,</w:t>
      </w:r>
      <w:r w:rsidRPr="0037513D">
        <w:rPr>
          <w:rFonts w:ascii="Garamond" w:hAnsi="Garamond"/>
          <w:sz w:val="18"/>
          <w:szCs w:val="18"/>
        </w:rPr>
        <w:t xml:space="preserve"> </w:t>
      </w:r>
      <w:r w:rsidRPr="0037513D">
        <w:rPr>
          <w:rStyle w:val="Emphasis"/>
          <w:rFonts w:ascii="Garamond" w:hAnsi="Garamond"/>
          <w:sz w:val="18"/>
          <w:szCs w:val="18"/>
        </w:rPr>
        <w:t>Effect of Disclosing AI-Generated Content on Prosocial Advertising Evaluation</w:t>
      </w:r>
      <w:r w:rsidRPr="0037513D">
        <w:rPr>
          <w:rFonts w:ascii="Garamond" w:hAnsi="Garamond"/>
          <w:sz w:val="18"/>
          <w:szCs w:val="18"/>
        </w:rPr>
        <w:t xml:space="preserve">, </w:t>
      </w:r>
      <w:r w:rsidRPr="0037513D">
        <w:rPr>
          <w:rStyle w:val="Strong"/>
          <w:rFonts w:ascii="Garamond" w:hAnsi="Garamond"/>
          <w:b w:val="0"/>
          <w:bCs w:val="0"/>
          <w:smallCaps/>
          <w:sz w:val="18"/>
          <w:szCs w:val="18"/>
        </w:rPr>
        <w:t>Int’l J. Advert.</w:t>
      </w:r>
      <w:r w:rsidRPr="0037513D">
        <w:rPr>
          <w:rFonts w:ascii="Garamond" w:hAnsi="Garamond"/>
          <w:sz w:val="18"/>
          <w:szCs w:val="18"/>
        </w:rPr>
        <w:t xml:space="preserve"> (forthcoming 2024) (manuscript at 6)</w:t>
      </w:r>
      <w:r w:rsidRPr="0037513D">
        <w:rPr>
          <w:rFonts w:ascii="Garamond" w:hAnsi="Garamond" w:cstheme="majorBidi"/>
          <w:sz w:val="18"/>
          <w:szCs w:val="18"/>
          <w:lang w:bidi="he-IL"/>
        </w:rPr>
        <w:t>.</w:t>
      </w:r>
    </w:p>
  </w:footnote>
  <w:footnote w:id="94">
    <w:p w14:paraId="16A299F2" w14:textId="77777777" w:rsidR="00CE0488" w:rsidRPr="0037513D" w:rsidRDefault="00CE0488" w:rsidP="00CE0488">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sz w:val="18"/>
          <w:szCs w:val="18"/>
        </w:rPr>
        <w:t xml:space="preserve">Sun et al., </w:t>
      </w:r>
      <w:r w:rsidRPr="0037513D">
        <w:rPr>
          <w:rFonts w:ascii="Garamond" w:eastAsia="Times New Roman" w:hAnsi="Garamond"/>
          <w:i/>
          <w:iCs/>
          <w:sz w:val="18"/>
          <w:szCs w:val="18"/>
        </w:rPr>
        <w:t xml:space="preserve">supra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_Ref214388286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80</w:t>
      </w:r>
      <w:r w:rsidRPr="0037513D">
        <w:rPr>
          <w:rFonts w:ascii="Garamond" w:eastAsia="Times New Roman" w:hAnsi="Garamond"/>
          <w:sz w:val="18"/>
          <w:szCs w:val="18"/>
        </w:rPr>
        <w:fldChar w:fldCharType="end"/>
      </w:r>
      <w:r w:rsidRPr="0037513D">
        <w:rPr>
          <w:rFonts w:ascii="Garamond" w:eastAsia="Times New Roman" w:hAnsi="Garamond"/>
          <w:sz w:val="18"/>
          <w:szCs w:val="18"/>
        </w:rPr>
        <w:t xml:space="preserve">, at 8 (“High message interactivity promoted positive attitudes toward the ad and behavioral intention toward the advertised product compared to low message interactivity, by reducing expectancy violations. Narrative ads led to the same positive outcomes by promoting narrative transportation.”); </w:t>
      </w:r>
      <w:r w:rsidRPr="0037513D">
        <w:rPr>
          <w:rFonts w:ascii="Garamond" w:hAnsi="Garamond"/>
          <w:sz w:val="18"/>
          <w:szCs w:val="18"/>
        </w:rPr>
        <w:t xml:space="preserve">Lea Reis, Christian Maier &amp; Tim Weitzel, </w:t>
      </w:r>
      <w:r w:rsidRPr="0037513D">
        <w:rPr>
          <w:rStyle w:val="Emphasis"/>
          <w:rFonts w:ascii="Garamond" w:hAnsi="Garamond"/>
          <w:sz w:val="18"/>
          <w:szCs w:val="18"/>
        </w:rPr>
        <w:t>Chatbots in Marketing: An In-Deep Case Study Capturing Future Perspectives of AI in Advertising</w:t>
      </w:r>
      <w:r w:rsidRPr="0037513D">
        <w:rPr>
          <w:rFonts w:ascii="Garamond" w:hAnsi="Garamond"/>
          <w:sz w:val="18"/>
          <w:szCs w:val="18"/>
        </w:rPr>
        <w:t xml:space="preserve">, in </w:t>
      </w:r>
      <w:r w:rsidRPr="0037513D">
        <w:rPr>
          <w:rStyle w:val="Emphasis"/>
          <w:rFonts w:ascii="Garamond" w:hAnsi="Garamond"/>
          <w:sz w:val="18"/>
          <w:szCs w:val="18"/>
        </w:rPr>
        <w:t xml:space="preserve">PROCEEDINGS OF THE 2022 </w:t>
      </w:r>
      <w:r w:rsidRPr="0037513D">
        <w:rPr>
          <w:rStyle w:val="Emphasis"/>
          <w:rFonts w:ascii="Garamond" w:hAnsi="Garamond"/>
          <w:smallCaps/>
          <w:sz w:val="18"/>
          <w:szCs w:val="18"/>
        </w:rPr>
        <w:t>C</w:t>
      </w:r>
      <w:r w:rsidRPr="0037513D">
        <w:rPr>
          <w:rStyle w:val="Emphasis"/>
          <w:rFonts w:ascii="Garamond" w:eastAsiaTheme="majorEastAsia" w:hAnsi="Garamond"/>
          <w:smallCaps/>
          <w:sz w:val="18"/>
          <w:szCs w:val="18"/>
        </w:rPr>
        <w:t xml:space="preserve">omputers </w:t>
      </w:r>
      <w:r w:rsidRPr="0037513D">
        <w:rPr>
          <w:rStyle w:val="Emphasis"/>
          <w:rFonts w:ascii="Garamond" w:hAnsi="Garamond"/>
          <w:smallCaps/>
          <w:sz w:val="18"/>
          <w:szCs w:val="18"/>
        </w:rPr>
        <w:t>A</w:t>
      </w:r>
      <w:r w:rsidRPr="0037513D">
        <w:rPr>
          <w:rStyle w:val="Emphasis"/>
          <w:rFonts w:ascii="Garamond" w:eastAsiaTheme="majorEastAsia" w:hAnsi="Garamond"/>
          <w:smallCaps/>
          <w:sz w:val="18"/>
          <w:szCs w:val="18"/>
        </w:rPr>
        <w:t>nd</w:t>
      </w:r>
      <w:r w:rsidRPr="0037513D">
        <w:rPr>
          <w:rStyle w:val="Emphasis"/>
          <w:rFonts w:ascii="Garamond" w:hAnsi="Garamond"/>
          <w:smallCaps/>
          <w:sz w:val="18"/>
          <w:szCs w:val="18"/>
        </w:rPr>
        <w:t xml:space="preserve"> P</w:t>
      </w:r>
      <w:r w:rsidRPr="0037513D">
        <w:rPr>
          <w:rStyle w:val="Emphasis"/>
          <w:rFonts w:ascii="Garamond" w:eastAsiaTheme="majorEastAsia" w:hAnsi="Garamond"/>
          <w:smallCaps/>
          <w:sz w:val="18"/>
          <w:szCs w:val="18"/>
        </w:rPr>
        <w:t xml:space="preserve">eople </w:t>
      </w:r>
      <w:r w:rsidRPr="0037513D">
        <w:rPr>
          <w:rStyle w:val="Emphasis"/>
          <w:rFonts w:ascii="Garamond" w:hAnsi="Garamond"/>
          <w:smallCaps/>
          <w:sz w:val="18"/>
          <w:szCs w:val="18"/>
        </w:rPr>
        <w:t>R</w:t>
      </w:r>
      <w:r w:rsidRPr="0037513D">
        <w:rPr>
          <w:rStyle w:val="Emphasis"/>
          <w:rFonts w:ascii="Garamond" w:eastAsiaTheme="majorEastAsia" w:hAnsi="Garamond"/>
          <w:smallCaps/>
          <w:sz w:val="18"/>
          <w:szCs w:val="18"/>
        </w:rPr>
        <w:t xml:space="preserve">esearch </w:t>
      </w:r>
      <w:r w:rsidRPr="0037513D">
        <w:rPr>
          <w:rStyle w:val="Emphasis"/>
          <w:rFonts w:ascii="Garamond" w:hAnsi="Garamond"/>
          <w:smallCaps/>
          <w:sz w:val="18"/>
          <w:szCs w:val="18"/>
        </w:rPr>
        <w:t xml:space="preserve"> C</w:t>
      </w:r>
      <w:r w:rsidRPr="0037513D">
        <w:rPr>
          <w:rStyle w:val="Emphasis"/>
          <w:rFonts w:ascii="Garamond" w:eastAsiaTheme="majorEastAsia" w:hAnsi="Garamond"/>
          <w:smallCaps/>
          <w:sz w:val="18"/>
          <w:szCs w:val="18"/>
        </w:rPr>
        <w:t xml:space="preserve">onference </w:t>
      </w:r>
      <w:r w:rsidRPr="0037513D">
        <w:rPr>
          <w:rStyle w:val="Emphasis"/>
          <w:rFonts w:ascii="Garamond" w:hAnsi="Garamond"/>
          <w:smallCaps/>
          <w:sz w:val="18"/>
          <w:szCs w:val="18"/>
        </w:rPr>
        <w:t>(</w:t>
      </w:r>
      <w:proofErr w:type="spellStart"/>
      <w:r w:rsidRPr="0037513D">
        <w:rPr>
          <w:rStyle w:val="Emphasis"/>
          <w:rFonts w:ascii="Garamond" w:hAnsi="Garamond"/>
          <w:smallCaps/>
          <w:sz w:val="18"/>
          <w:szCs w:val="18"/>
        </w:rPr>
        <w:t>S</w:t>
      </w:r>
      <w:r w:rsidRPr="0037513D">
        <w:rPr>
          <w:rStyle w:val="Emphasis"/>
          <w:rFonts w:ascii="Garamond" w:eastAsiaTheme="majorEastAsia" w:hAnsi="Garamond"/>
          <w:smallCaps/>
          <w:sz w:val="18"/>
          <w:szCs w:val="18"/>
        </w:rPr>
        <w:t>igmis</w:t>
      </w:r>
      <w:proofErr w:type="spellEnd"/>
      <w:r w:rsidRPr="0037513D">
        <w:rPr>
          <w:rStyle w:val="Emphasis"/>
          <w:rFonts w:ascii="Garamond" w:eastAsiaTheme="majorEastAsia" w:hAnsi="Garamond"/>
          <w:smallCaps/>
          <w:sz w:val="18"/>
          <w:szCs w:val="18"/>
        </w:rPr>
        <w:t xml:space="preserve"> </w:t>
      </w:r>
      <w:proofErr w:type="spellStart"/>
      <w:r w:rsidRPr="0037513D">
        <w:rPr>
          <w:rStyle w:val="Emphasis"/>
          <w:rFonts w:ascii="Garamond" w:hAnsi="Garamond"/>
          <w:smallCaps/>
          <w:sz w:val="18"/>
          <w:szCs w:val="18"/>
        </w:rPr>
        <w:t>C</w:t>
      </w:r>
      <w:r w:rsidRPr="0037513D">
        <w:rPr>
          <w:rStyle w:val="Emphasis"/>
          <w:rFonts w:ascii="Garamond" w:eastAsiaTheme="majorEastAsia" w:hAnsi="Garamond"/>
          <w:smallCaps/>
          <w:sz w:val="18"/>
          <w:szCs w:val="18"/>
        </w:rPr>
        <w:t>pr</w:t>
      </w:r>
      <w:proofErr w:type="spellEnd"/>
      <w:r w:rsidRPr="0037513D">
        <w:rPr>
          <w:rStyle w:val="Emphasis"/>
          <w:rFonts w:ascii="Garamond" w:hAnsi="Garamond"/>
          <w:smallCaps/>
          <w:sz w:val="18"/>
          <w:szCs w:val="18"/>
        </w:rPr>
        <w:t xml:space="preserve"> ’22)</w:t>
      </w:r>
      <w:r w:rsidRPr="0037513D">
        <w:rPr>
          <w:rFonts w:ascii="Garamond" w:hAnsi="Garamond"/>
          <w:sz w:val="18"/>
          <w:szCs w:val="18"/>
        </w:rPr>
        <w:t xml:space="preserve"> 1, 5 (2022)</w:t>
      </w:r>
      <w:r w:rsidRPr="0037513D">
        <w:rPr>
          <w:rFonts w:ascii="Garamond" w:eastAsia="Times New Roman" w:hAnsi="Garamond"/>
          <w:sz w:val="18"/>
          <w:szCs w:val="18"/>
        </w:rPr>
        <w:t xml:space="preserve"> (“</w:t>
      </w:r>
      <w:r w:rsidRPr="0037513D">
        <w:rPr>
          <w:rFonts w:ascii="Garamond" w:eastAsia="Times New Roman" w:hAnsi="Garamond" w:cstheme="majorBidi"/>
          <w:sz w:val="18"/>
          <w:szCs w:val="18"/>
          <w:lang w:bidi="he-IL"/>
        </w:rPr>
        <w:t xml:space="preserve">Besides click rates and conversation counts, the chatbot can analyze the quality of conversation to better estimate the customers’ satisfaction with the advertising. . . This advances the understanding of advertising success in terms of avoidance, acceptance, and effectiveness and delivers the potential for more precise forecasts.”); </w:t>
      </w:r>
      <w:r w:rsidRPr="0037513D">
        <w:rPr>
          <w:rFonts w:ascii="Garamond" w:hAnsi="Garamond"/>
          <w:sz w:val="18"/>
          <w:szCs w:val="18"/>
        </w:rPr>
        <w:t xml:space="preserve">Colin M. Gray et al., </w:t>
      </w:r>
      <w:r w:rsidRPr="0037513D">
        <w:rPr>
          <w:rStyle w:val="Emphasis"/>
          <w:rFonts w:ascii="Garamond" w:hAnsi="Garamond"/>
          <w:sz w:val="18"/>
          <w:szCs w:val="18"/>
        </w:rPr>
        <w:t>The Dark (Patterns) Side of UX Design: The End-User Perspective on Privacy-Oriented Dialogues in Chatbot Advertising</w:t>
      </w:r>
      <w:r w:rsidRPr="0037513D">
        <w:rPr>
          <w:rFonts w:ascii="Garamond" w:hAnsi="Garamond"/>
          <w:smallCaps/>
          <w:sz w:val="18"/>
          <w:szCs w:val="18"/>
        </w:rPr>
        <w:t xml:space="preserve">, </w:t>
      </w:r>
      <w:r w:rsidRPr="0037513D">
        <w:rPr>
          <w:rStyle w:val="Strong"/>
          <w:rFonts w:ascii="Garamond" w:hAnsi="Garamond"/>
          <w:b w:val="0"/>
          <w:bCs w:val="0"/>
          <w:smallCaps/>
          <w:sz w:val="18"/>
          <w:szCs w:val="18"/>
        </w:rPr>
        <w:t xml:space="preserve">6 Proc. </w:t>
      </w:r>
      <w:proofErr w:type="spellStart"/>
      <w:r w:rsidRPr="0037513D">
        <w:rPr>
          <w:rStyle w:val="Strong"/>
          <w:rFonts w:ascii="Garamond" w:hAnsi="Garamond"/>
          <w:b w:val="0"/>
          <w:bCs w:val="0"/>
          <w:smallCaps/>
          <w:sz w:val="18"/>
          <w:szCs w:val="18"/>
        </w:rPr>
        <w:t>Acm</w:t>
      </w:r>
      <w:proofErr w:type="spellEnd"/>
      <w:r w:rsidRPr="0037513D">
        <w:rPr>
          <w:rStyle w:val="Strong"/>
          <w:rFonts w:ascii="Garamond" w:hAnsi="Garamond"/>
          <w:b w:val="0"/>
          <w:bCs w:val="0"/>
          <w:smallCaps/>
          <w:sz w:val="18"/>
          <w:szCs w:val="18"/>
        </w:rPr>
        <w:t xml:space="preserve"> Hum. -</w:t>
      </w:r>
      <w:proofErr w:type="spellStart"/>
      <w:r w:rsidRPr="0037513D">
        <w:rPr>
          <w:rStyle w:val="Strong"/>
          <w:rFonts w:ascii="Garamond" w:hAnsi="Garamond"/>
          <w:b w:val="0"/>
          <w:bCs w:val="0"/>
          <w:smallCaps/>
          <w:sz w:val="18"/>
          <w:szCs w:val="18"/>
        </w:rPr>
        <w:t>Comput</w:t>
      </w:r>
      <w:proofErr w:type="spellEnd"/>
      <w:r w:rsidRPr="0037513D">
        <w:rPr>
          <w:rStyle w:val="Strong"/>
          <w:rFonts w:ascii="Garamond" w:hAnsi="Garamond"/>
          <w:b w:val="0"/>
          <w:bCs w:val="0"/>
          <w:smallCaps/>
          <w:sz w:val="18"/>
          <w:szCs w:val="18"/>
        </w:rPr>
        <w:t>. Interact</w:t>
      </w:r>
      <w:r w:rsidRPr="0037513D">
        <w:rPr>
          <w:rStyle w:val="Strong"/>
          <w:rFonts w:ascii="Garamond" w:hAnsi="Garamond"/>
          <w:smallCaps/>
          <w:sz w:val="18"/>
          <w:szCs w:val="18"/>
        </w:rPr>
        <w:t xml:space="preserve">. </w:t>
      </w:r>
      <w:r w:rsidRPr="0037513D">
        <w:rPr>
          <w:rFonts w:ascii="Garamond" w:hAnsi="Garamond"/>
          <w:sz w:val="18"/>
          <w:szCs w:val="18"/>
        </w:rPr>
        <w:t>art. no. 258, at 85 (2022).</w:t>
      </w:r>
      <w:r w:rsidRPr="0037513D">
        <w:rPr>
          <w:rFonts w:ascii="Garamond" w:eastAsia="Times New Roman" w:hAnsi="Garamond" w:cstheme="majorBidi"/>
          <w:sz w:val="18"/>
          <w:szCs w:val="18"/>
          <w:lang w:bidi="he-IL"/>
        </w:rPr>
        <w:t>(“This new form of communication between businesses and consumers (called conversational commerce). . . can transform the customer experience by offering convenience, customization and decision support.”);</w:t>
      </w:r>
      <w:r w:rsidRPr="0037513D">
        <w:rPr>
          <w:rFonts w:ascii="Garamond" w:eastAsia="Times New Roman" w:hAnsi="Garamond"/>
          <w:sz w:val="18"/>
          <w:szCs w:val="18"/>
        </w:rPr>
        <w:t xml:space="preserve"> Jisu Huh, Jiyeon Kim &amp; Jooyoung Kim, </w:t>
      </w:r>
      <w:r w:rsidRPr="0037513D">
        <w:rPr>
          <w:rStyle w:val="Emphasis"/>
          <w:rFonts w:ascii="Garamond" w:eastAsia="Times New Roman" w:hAnsi="Garamond"/>
          <w:sz w:val="18"/>
          <w:szCs w:val="18"/>
        </w:rPr>
        <w:t>Investigating the Effects of Perceived Autonomy in Chatbot Advertising</w:t>
      </w:r>
      <w:r w:rsidRPr="0037513D">
        <w:rPr>
          <w:rFonts w:ascii="Garamond" w:eastAsia="Times New Roman" w:hAnsi="Garamond"/>
          <w:sz w:val="18"/>
          <w:szCs w:val="18"/>
        </w:rPr>
        <w:t xml:space="preserve">, </w:t>
      </w:r>
      <w:r w:rsidRPr="0037513D">
        <w:rPr>
          <w:rStyle w:val="Strong"/>
          <w:rFonts w:ascii="Garamond" w:eastAsia="Times New Roman" w:hAnsi="Garamond"/>
          <w:b w:val="0"/>
          <w:bCs w:val="0"/>
          <w:smallCaps/>
          <w:sz w:val="18"/>
          <w:szCs w:val="18"/>
        </w:rPr>
        <w:t>42 J. A</w:t>
      </w:r>
      <w:r w:rsidRPr="0037513D">
        <w:rPr>
          <w:rStyle w:val="Strong"/>
          <w:rFonts w:ascii="Garamond" w:eastAsiaTheme="majorEastAsia" w:hAnsi="Garamond"/>
          <w:b w:val="0"/>
          <w:bCs w:val="0"/>
          <w:smallCaps/>
          <w:sz w:val="18"/>
          <w:szCs w:val="18"/>
        </w:rPr>
        <w:t>dvert</w:t>
      </w:r>
      <w:r w:rsidRPr="0037513D">
        <w:rPr>
          <w:rStyle w:val="Strong"/>
          <w:rFonts w:ascii="Garamond" w:eastAsia="Times New Roman" w:hAnsi="Garamond"/>
          <w:b w:val="0"/>
          <w:bCs w:val="0"/>
          <w:smallCaps/>
          <w:sz w:val="18"/>
          <w:szCs w:val="18"/>
        </w:rPr>
        <w:t>.</w:t>
      </w:r>
      <w:r w:rsidRPr="0037513D">
        <w:rPr>
          <w:rFonts w:ascii="Garamond" w:eastAsia="Times New Roman" w:hAnsi="Garamond"/>
          <w:sz w:val="18"/>
          <w:szCs w:val="18"/>
        </w:rPr>
        <w:t xml:space="preserve"> 324, 334 (2013) </w:t>
      </w:r>
      <w:r w:rsidRPr="0037513D">
        <w:rPr>
          <w:rFonts w:ascii="Garamond" w:eastAsia="Times New Roman" w:hAnsi="Garamond" w:cstheme="majorBidi"/>
          <w:sz w:val="18"/>
          <w:szCs w:val="18"/>
          <w:lang w:bidi="he-IL"/>
        </w:rPr>
        <w:t xml:space="preserve">(“chatbots have provided new opportunities for engaging consumers and guiding them through their decision making.”); </w:t>
      </w:r>
      <w:r w:rsidRPr="0037513D">
        <w:rPr>
          <w:rFonts w:ascii="Garamond" w:hAnsi="Garamond"/>
          <w:sz w:val="18"/>
          <w:szCs w:val="18"/>
        </w:rPr>
        <w:t xml:space="preserve">Baek, Kim &amp; Kim,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_Ref214388286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80</w:t>
      </w:r>
      <w:r w:rsidRPr="0037513D">
        <w:rPr>
          <w:rFonts w:ascii="Garamond" w:hAnsi="Garamond"/>
          <w:sz w:val="18"/>
          <w:szCs w:val="18"/>
        </w:rPr>
        <w:fldChar w:fldCharType="end"/>
      </w:r>
      <w:r w:rsidRPr="0037513D">
        <w:rPr>
          <w:rFonts w:ascii="Garamond" w:hAnsi="Garamond"/>
          <w:sz w:val="18"/>
          <w:szCs w:val="18"/>
        </w:rPr>
        <w:t xml:space="preserve">, at 7 </w:t>
      </w:r>
      <w:r w:rsidRPr="0037513D">
        <w:rPr>
          <w:rFonts w:ascii="Garamond" w:eastAsia="Times New Roman" w:hAnsi="Garamond" w:cstheme="majorBidi"/>
          <w:sz w:val="18"/>
          <w:szCs w:val="18"/>
          <w:lang w:bidi="he-IL"/>
        </w:rPr>
        <w:t>(“although AI disclosure may negatively affect AI-generated advertising persuasion, these negative effects should be attenuated for participants who perceive AI as more human.”).</w:t>
      </w:r>
    </w:p>
  </w:footnote>
  <w:footnote w:id="95">
    <w:p w14:paraId="395D3892" w14:textId="77777777" w:rsidR="00CE0488" w:rsidRPr="0037513D" w:rsidRDefault="00CE0488" w:rsidP="00CE048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 xml:space="preserve">Kim &amp; </w:t>
      </w:r>
      <w:proofErr w:type="spellStart"/>
      <w:r w:rsidRPr="0037513D">
        <w:rPr>
          <w:rFonts w:ascii="Garamond" w:hAnsi="Garamond"/>
          <w:sz w:val="18"/>
          <w:szCs w:val="18"/>
        </w:rPr>
        <w:t>Priluck</w:t>
      </w:r>
      <w:proofErr w:type="spellEnd"/>
      <w:r w:rsidRPr="0037513D">
        <w:rPr>
          <w:rFonts w:ascii="Garamond" w:hAnsi="Garamond"/>
          <w:sz w:val="18"/>
          <w:szCs w:val="18"/>
        </w:rPr>
        <w:t>,</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_Ref214385512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59</w:t>
      </w:r>
      <w:r w:rsidRPr="0037513D">
        <w:rPr>
          <w:rFonts w:ascii="Garamond"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 xml:space="preserve">1 </w:t>
      </w:r>
      <w:r w:rsidRPr="0037513D">
        <w:rPr>
          <w:rFonts w:ascii="Garamond" w:hAnsi="Garamond"/>
          <w:sz w:val="18"/>
          <w:szCs w:val="18"/>
        </w:rPr>
        <w:t xml:space="preserve">(“Whereas traditional search engines such as Google provide lists of links, AI chatbots such as ChatGPT have a natural conversational interface, which allows for detailed and direct interactive results in response to complex queries”);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supra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xml:space="preserve"> at 1;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S.E., Rothschild, D.M., Goldstein, D.G. &amp; Hofman, J.M., </w:t>
      </w:r>
      <w:r w:rsidRPr="0037513D">
        <w:rPr>
          <w:rFonts w:ascii="Garamond" w:hAnsi="Garamond"/>
          <w:i/>
          <w:iCs/>
          <w:sz w:val="18"/>
          <w:szCs w:val="18"/>
        </w:rPr>
        <w:t>Comparing Traditional and LLM-Based Search for Consumer Choice: A Randomized Experiment</w:t>
      </w:r>
      <w:r w:rsidRPr="0037513D">
        <w:rPr>
          <w:rFonts w:ascii="Garamond" w:hAnsi="Garamond"/>
          <w:sz w:val="18"/>
          <w:szCs w:val="18"/>
        </w:rPr>
        <w:t xml:space="preserve">. </w:t>
      </w:r>
      <w:proofErr w:type="spellStart"/>
      <w:r w:rsidRPr="0037513D">
        <w:rPr>
          <w:rStyle w:val="Strong"/>
          <w:rFonts w:ascii="Garamond" w:eastAsia="Times New Roman" w:hAnsi="Garamond"/>
          <w:b w:val="0"/>
          <w:bCs w:val="0"/>
          <w:smallCaps/>
          <w:sz w:val="18"/>
          <w:szCs w:val="18"/>
        </w:rPr>
        <w:t>arXiv</w:t>
      </w:r>
      <w:proofErr w:type="spellEnd"/>
      <w:r w:rsidRPr="0037513D">
        <w:rPr>
          <w:rFonts w:ascii="Garamond" w:hAnsi="Garamond"/>
          <w:sz w:val="18"/>
          <w:szCs w:val="18"/>
        </w:rPr>
        <w:t xml:space="preserve"> 2023. </w:t>
      </w:r>
    </w:p>
  </w:footnote>
  <w:footnote w:id="96">
    <w:p w14:paraId="39B550CC" w14:textId="3B5230A4" w:rsidR="002951C2" w:rsidRPr="0037513D" w:rsidRDefault="002951C2"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2B0EEC" w:rsidRPr="0037513D">
        <w:rPr>
          <w:rFonts w:ascii="Garamond" w:hAnsi="Garamond"/>
          <w:sz w:val="18"/>
          <w:szCs w:val="18"/>
        </w:rPr>
        <w:t xml:space="preserve">Lila Shroff, </w:t>
      </w:r>
      <w:r w:rsidR="002B0EEC" w:rsidRPr="0037513D">
        <w:rPr>
          <w:rStyle w:val="Emphasis"/>
          <w:rFonts w:ascii="Garamond" w:hAnsi="Garamond"/>
          <w:sz w:val="18"/>
          <w:szCs w:val="18"/>
        </w:rPr>
        <w:t>Shh, ChatGPT. That’s a Secret.</w:t>
      </w:r>
      <w:r w:rsidR="002B0EEC" w:rsidRPr="0037513D">
        <w:rPr>
          <w:rFonts w:ascii="Garamond" w:hAnsi="Garamond"/>
          <w:sz w:val="18"/>
          <w:szCs w:val="18"/>
        </w:rPr>
        <w:t>,</w:t>
      </w:r>
      <w:r w:rsidR="002B0EEC" w:rsidRPr="0037513D">
        <w:rPr>
          <w:rFonts w:ascii="Garamond" w:hAnsi="Garamond"/>
          <w:b/>
          <w:bCs/>
          <w:sz w:val="18"/>
          <w:szCs w:val="18"/>
        </w:rPr>
        <w:t xml:space="preserve"> </w:t>
      </w:r>
      <w:r w:rsidR="002B0EEC" w:rsidRPr="0037513D">
        <w:rPr>
          <w:rStyle w:val="Strong"/>
          <w:rFonts w:ascii="Garamond" w:hAnsi="Garamond"/>
          <w:b w:val="0"/>
          <w:bCs w:val="0"/>
          <w:smallCaps/>
          <w:sz w:val="18"/>
          <w:szCs w:val="18"/>
        </w:rPr>
        <w:t>T</w:t>
      </w:r>
      <w:r w:rsidR="002B0EEC" w:rsidRPr="0037513D">
        <w:rPr>
          <w:rStyle w:val="Strong"/>
          <w:rFonts w:ascii="Garamond" w:eastAsiaTheme="majorEastAsia" w:hAnsi="Garamond"/>
          <w:b w:val="0"/>
          <w:bCs w:val="0"/>
          <w:smallCaps/>
          <w:sz w:val="18"/>
          <w:szCs w:val="18"/>
        </w:rPr>
        <w:t>he</w:t>
      </w:r>
      <w:r w:rsidR="002B0EEC" w:rsidRPr="0037513D">
        <w:rPr>
          <w:rStyle w:val="Strong"/>
          <w:rFonts w:ascii="Garamond" w:hAnsi="Garamond"/>
          <w:b w:val="0"/>
          <w:bCs w:val="0"/>
          <w:smallCaps/>
          <w:sz w:val="18"/>
          <w:szCs w:val="18"/>
        </w:rPr>
        <w:t xml:space="preserve"> A</w:t>
      </w:r>
      <w:r w:rsidR="002B0EEC" w:rsidRPr="0037513D">
        <w:rPr>
          <w:rStyle w:val="Strong"/>
          <w:rFonts w:ascii="Garamond" w:eastAsiaTheme="majorEastAsia" w:hAnsi="Garamond"/>
          <w:b w:val="0"/>
          <w:bCs w:val="0"/>
          <w:smallCaps/>
          <w:sz w:val="18"/>
          <w:szCs w:val="18"/>
        </w:rPr>
        <w:t>tlantic</w:t>
      </w:r>
      <w:r w:rsidR="002B0EEC" w:rsidRPr="0037513D">
        <w:rPr>
          <w:rStyle w:val="Strong"/>
          <w:rFonts w:ascii="Garamond" w:eastAsiaTheme="majorEastAsia" w:hAnsi="Garamond"/>
          <w:smallCaps/>
          <w:sz w:val="18"/>
          <w:szCs w:val="18"/>
        </w:rPr>
        <w:t xml:space="preserve"> </w:t>
      </w:r>
      <w:r w:rsidR="002B0EEC" w:rsidRPr="0037513D">
        <w:rPr>
          <w:rFonts w:ascii="Garamond" w:hAnsi="Garamond"/>
          <w:sz w:val="18"/>
          <w:szCs w:val="18"/>
        </w:rPr>
        <w:t xml:space="preserve">(Oct. 2, 2024), </w:t>
      </w:r>
      <w:hyperlink r:id="rId21" w:history="1">
        <w:r w:rsidR="002B0EEC" w:rsidRPr="0037513D">
          <w:rPr>
            <w:rStyle w:val="Hyperlink"/>
            <w:rFonts w:ascii="Garamond" w:hAnsi="Garamond"/>
            <w:sz w:val="18"/>
            <w:szCs w:val="18"/>
          </w:rPr>
          <w:t>https://www.theatlantic.com/technology/archive/2024/10/chatbot-transcript-data-advertising/680112/?utm_source=chatgpt.com</w:t>
        </w:r>
      </w:hyperlink>
      <w:r w:rsidR="002B0EEC" w:rsidRPr="0037513D">
        <w:rPr>
          <w:rFonts w:ascii="Garamond" w:hAnsi="Garamond"/>
          <w:sz w:val="18"/>
          <w:szCs w:val="18"/>
        </w:rPr>
        <w:t xml:space="preserve"> (“Early versions of AI advertising may continue to look much like the sponsored links that sometimes accompany Google Search results. But because generative AI has access to such intimate information, ads could take on completely new forms.”)</w:t>
      </w:r>
      <w:r w:rsidR="00F35BC4" w:rsidRPr="0037513D">
        <w:rPr>
          <w:rFonts w:ascii="Garamond" w:hAnsi="Garamond"/>
          <w:sz w:val="18"/>
          <w:szCs w:val="18"/>
        </w:rPr>
        <w:t xml:space="preserve">; Marco A. Moreno-Armendáriz et al., </w:t>
      </w:r>
      <w:r w:rsidR="00F35BC4" w:rsidRPr="0037513D">
        <w:rPr>
          <w:rStyle w:val="Emphasis"/>
          <w:rFonts w:ascii="Garamond" w:hAnsi="Garamond"/>
          <w:sz w:val="18"/>
          <w:szCs w:val="18"/>
        </w:rPr>
        <w:t>Personalized Advertising Design Based on Automatic Analysis of an Individual’s Appearance</w:t>
      </w:r>
      <w:r w:rsidR="00F35BC4" w:rsidRPr="0037513D">
        <w:rPr>
          <w:rFonts w:ascii="Garamond" w:hAnsi="Garamond"/>
          <w:sz w:val="18"/>
          <w:szCs w:val="18"/>
        </w:rPr>
        <w:t xml:space="preserve">, </w:t>
      </w:r>
      <w:r w:rsidR="00F35BC4" w:rsidRPr="0037513D">
        <w:rPr>
          <w:rStyle w:val="Strong"/>
          <w:rFonts w:ascii="Garamond" w:hAnsi="Garamond"/>
          <w:b w:val="0"/>
          <w:bCs w:val="0"/>
          <w:smallCaps/>
          <w:sz w:val="18"/>
          <w:szCs w:val="18"/>
        </w:rPr>
        <w:t>Applied. Sci.</w:t>
      </w:r>
      <w:r w:rsidR="00F35BC4" w:rsidRPr="0037513D">
        <w:rPr>
          <w:rStyle w:val="Strong"/>
          <w:rFonts w:ascii="Garamond" w:hAnsi="Garamond"/>
          <w:sz w:val="18"/>
          <w:szCs w:val="18"/>
        </w:rPr>
        <w:t xml:space="preserve"> </w:t>
      </w:r>
      <w:r w:rsidR="00F35BC4" w:rsidRPr="0037513D">
        <w:rPr>
          <w:rStyle w:val="Strong"/>
          <w:rFonts w:ascii="Garamond" w:hAnsi="Garamond"/>
          <w:b w:val="0"/>
          <w:bCs w:val="0"/>
          <w:sz w:val="18"/>
          <w:szCs w:val="18"/>
        </w:rPr>
        <w:t>13, 17</w:t>
      </w:r>
      <w:r w:rsidR="00F35BC4" w:rsidRPr="0037513D">
        <w:rPr>
          <w:rFonts w:ascii="Garamond" w:hAnsi="Garamond"/>
          <w:sz w:val="18"/>
          <w:szCs w:val="18"/>
        </w:rPr>
        <w:t xml:space="preserve"> (2023). (In AI chatbot interactions, targeted advertising can be achieved by leveraging conversation data to infer a users’ interests, demographics, and personality, and in turn, this can be used to advertise specific products in chatbot responses); </w:t>
      </w:r>
      <w:r w:rsidR="00F35BC4" w:rsidRPr="0037513D">
        <w:rPr>
          <w:rFonts w:ascii="Garamond" w:hAnsi="Garamond"/>
          <w:i/>
          <w:iCs/>
          <w:sz w:val="18"/>
          <w:szCs w:val="18"/>
        </w:rPr>
        <w:t xml:space="preserve">See </w:t>
      </w:r>
      <w:r w:rsidR="00F35BC4" w:rsidRPr="0037513D">
        <w:rPr>
          <w:rFonts w:ascii="Garamond" w:hAnsi="Garamond"/>
          <w:sz w:val="18"/>
          <w:szCs w:val="18"/>
        </w:rPr>
        <w:t xml:space="preserve">Tang </w:t>
      </w:r>
      <w:r w:rsidR="00F35BC4" w:rsidRPr="0037513D">
        <w:rPr>
          <w:rStyle w:val="Emphasis"/>
          <w:rFonts w:ascii="Garamond" w:hAnsi="Garamond"/>
          <w:sz w:val="18"/>
          <w:szCs w:val="18"/>
        </w:rPr>
        <w:t>et al.</w:t>
      </w:r>
      <w:r w:rsidR="00F35BC4" w:rsidRPr="0037513D">
        <w:rPr>
          <w:rFonts w:ascii="Garamond" w:hAnsi="Garamond"/>
          <w:sz w:val="18"/>
          <w:szCs w:val="18"/>
        </w:rPr>
        <w:t xml:space="preserve">, </w:t>
      </w:r>
      <w:r w:rsidR="00F35BC4" w:rsidRPr="0037513D">
        <w:rPr>
          <w:rStyle w:val="Emphasis"/>
          <w:rFonts w:ascii="Garamond" w:hAnsi="Garamond"/>
          <w:sz w:val="18"/>
          <w:szCs w:val="18"/>
        </w:rPr>
        <w:t>supra</w:t>
      </w:r>
      <w:r w:rsidR="00F35BC4" w:rsidRPr="0037513D">
        <w:rPr>
          <w:rFonts w:ascii="Garamond" w:hAnsi="Garamond"/>
          <w:sz w:val="18"/>
          <w:szCs w:val="18"/>
        </w:rPr>
        <w:t xml:space="preserve"> note </w:t>
      </w:r>
      <w:r w:rsidR="00F35BC4" w:rsidRPr="0037513D">
        <w:rPr>
          <w:rFonts w:ascii="Garamond" w:hAnsi="Garamond"/>
          <w:sz w:val="18"/>
          <w:szCs w:val="18"/>
        </w:rPr>
        <w:fldChar w:fldCharType="begin"/>
      </w:r>
      <w:r w:rsidR="00F35BC4" w:rsidRPr="0037513D">
        <w:rPr>
          <w:rFonts w:ascii="Garamond" w:hAnsi="Garamond"/>
          <w:sz w:val="18"/>
          <w:szCs w:val="18"/>
        </w:rPr>
        <w:instrText xml:space="preserve"> NOTEREF _Ref214387167 \h  \* MERGEFORMAT </w:instrText>
      </w:r>
      <w:r w:rsidR="00F35BC4" w:rsidRPr="0037513D">
        <w:rPr>
          <w:rFonts w:ascii="Garamond" w:hAnsi="Garamond"/>
          <w:sz w:val="18"/>
          <w:szCs w:val="18"/>
        </w:rPr>
      </w:r>
      <w:r w:rsidR="00F35BC4" w:rsidRPr="0037513D">
        <w:rPr>
          <w:rFonts w:ascii="Garamond" w:hAnsi="Garamond"/>
          <w:sz w:val="18"/>
          <w:szCs w:val="18"/>
        </w:rPr>
        <w:fldChar w:fldCharType="separate"/>
      </w:r>
      <w:r w:rsidR="00F35BC4" w:rsidRPr="0037513D">
        <w:rPr>
          <w:rFonts w:ascii="Garamond" w:hAnsi="Garamond"/>
          <w:sz w:val="18"/>
          <w:szCs w:val="18"/>
        </w:rPr>
        <w:t>69</w:t>
      </w:r>
      <w:r w:rsidR="00F35BC4" w:rsidRPr="0037513D">
        <w:rPr>
          <w:rFonts w:ascii="Garamond" w:hAnsi="Garamond"/>
          <w:sz w:val="18"/>
          <w:szCs w:val="18"/>
        </w:rPr>
        <w:fldChar w:fldCharType="end"/>
      </w:r>
      <w:r w:rsidR="00F35BC4" w:rsidRPr="0037513D">
        <w:rPr>
          <w:rFonts w:ascii="Garamond" w:hAnsi="Garamond"/>
          <w:sz w:val="18"/>
          <w:szCs w:val="18"/>
        </w:rPr>
        <w:t xml:space="preserve">, at 2.(“LLMs can allow for more convincing or personalized content delivery, similar to how content creators and influencers market their sponsorships”). </w:t>
      </w:r>
      <w:r w:rsidR="00FF4412" w:rsidRPr="0037513D">
        <w:rPr>
          <w:rFonts w:ascii="Garamond" w:hAnsi="Garamond"/>
          <w:sz w:val="18"/>
          <w:szCs w:val="18"/>
        </w:rPr>
        <w:t xml:space="preserve">For discussion </w:t>
      </w:r>
      <w:r w:rsidR="002B0EEC" w:rsidRPr="0037513D">
        <w:rPr>
          <w:rFonts w:ascii="Garamond" w:hAnsi="Garamond"/>
          <w:sz w:val="18"/>
          <w:szCs w:val="18"/>
        </w:rPr>
        <w:t>on the manipulative harms of personalized targeting</w:t>
      </w:r>
      <w:r w:rsidR="00FF4412" w:rsidRPr="0037513D">
        <w:rPr>
          <w:rFonts w:ascii="Garamond" w:hAnsi="Garamond"/>
          <w:sz w:val="18"/>
          <w:szCs w:val="18"/>
        </w:rPr>
        <w:t>,</w:t>
      </w:r>
      <w:r w:rsidR="002B0EEC" w:rsidRPr="0037513D">
        <w:rPr>
          <w:rFonts w:ascii="Garamond" w:hAnsi="Garamond"/>
          <w:sz w:val="18"/>
          <w:szCs w:val="18"/>
        </w:rPr>
        <w:t xml:space="preserve"> </w:t>
      </w:r>
      <w:r w:rsidR="002B0EEC" w:rsidRPr="0037513D">
        <w:rPr>
          <w:rFonts w:ascii="Garamond" w:hAnsi="Garamond"/>
          <w:i/>
          <w:iCs/>
          <w:sz w:val="18"/>
          <w:szCs w:val="18"/>
        </w:rPr>
        <w:t>see generally</w:t>
      </w:r>
      <w:r w:rsidR="002B0EEC" w:rsidRPr="0037513D">
        <w:rPr>
          <w:rFonts w:ascii="Garamond" w:hAnsi="Garamond"/>
          <w:sz w:val="18"/>
          <w:szCs w:val="18"/>
        </w:rPr>
        <w:t xml:space="preserve"> </w:t>
      </w:r>
      <w:r w:rsidR="007956C2" w:rsidRPr="0037513D">
        <w:rPr>
          <w:rFonts w:ascii="Garamond" w:hAnsi="Garamond"/>
          <w:sz w:val="18"/>
          <w:szCs w:val="18"/>
        </w:rPr>
        <w:t xml:space="preserve">Uri Y. Hacohen, </w:t>
      </w:r>
      <w:r w:rsidR="007956C2" w:rsidRPr="0037513D">
        <w:rPr>
          <w:rFonts w:ascii="Garamond" w:hAnsi="Garamond"/>
          <w:i/>
          <w:iCs/>
          <w:sz w:val="18"/>
          <w:szCs w:val="18"/>
        </w:rPr>
        <w:t>User-Generated-Data Network Effects and Market Competition</w:t>
      </w:r>
      <w:r w:rsidR="007956C2" w:rsidRPr="0037513D">
        <w:rPr>
          <w:rFonts w:ascii="Garamond" w:hAnsi="Garamond"/>
          <w:sz w:val="18"/>
          <w:szCs w:val="18"/>
        </w:rPr>
        <w:t xml:space="preserve"> </w:t>
      </w:r>
      <w:r w:rsidR="007956C2" w:rsidRPr="0037513D">
        <w:rPr>
          <w:rFonts w:ascii="Garamond" w:hAnsi="Garamond"/>
          <w:i/>
          <w:iCs/>
          <w:sz w:val="18"/>
          <w:szCs w:val="18"/>
        </w:rPr>
        <w:t>Dynamics</w:t>
      </w:r>
      <w:r w:rsidR="007956C2" w:rsidRPr="0037513D">
        <w:rPr>
          <w:rFonts w:ascii="Garamond" w:hAnsi="Garamond"/>
          <w:sz w:val="18"/>
          <w:szCs w:val="18"/>
        </w:rPr>
        <w:t xml:space="preserve">, 34 </w:t>
      </w:r>
      <w:r w:rsidR="007956C2" w:rsidRPr="0037513D">
        <w:rPr>
          <w:rFonts w:ascii="Garamond" w:eastAsia="Calibri" w:hAnsi="Garamond"/>
          <w:smallCaps/>
          <w:sz w:val="18"/>
          <w:szCs w:val="18"/>
        </w:rPr>
        <w:t>Fordham</w:t>
      </w:r>
      <w:r w:rsidR="007956C2" w:rsidRPr="0037513D">
        <w:rPr>
          <w:rFonts w:ascii="Garamond" w:hAnsi="Garamond"/>
          <w:sz w:val="18"/>
          <w:szCs w:val="18"/>
        </w:rPr>
        <w:t xml:space="preserve"> </w:t>
      </w:r>
      <w:r w:rsidR="007956C2" w:rsidRPr="0037513D">
        <w:rPr>
          <w:rFonts w:ascii="Garamond" w:eastAsia="Calibri" w:hAnsi="Garamond"/>
          <w:smallCaps/>
          <w:sz w:val="18"/>
          <w:szCs w:val="18"/>
        </w:rPr>
        <w:t>Intell. Prop. Media &amp; Ent. L</w:t>
      </w:r>
      <w:r w:rsidR="007956C2" w:rsidRPr="0037513D">
        <w:rPr>
          <w:rFonts w:ascii="Garamond" w:hAnsi="Garamond"/>
          <w:sz w:val="18"/>
          <w:szCs w:val="18"/>
        </w:rPr>
        <w:t>.J. 1, 63 (2023).</w:t>
      </w:r>
    </w:p>
  </w:footnote>
  <w:footnote w:id="97">
    <w:p w14:paraId="1A336565" w14:textId="77777777" w:rsidR="00BF0224" w:rsidRPr="0037513D" w:rsidRDefault="00BF0224" w:rsidP="00BF0224">
      <w:pPr>
        <w:pStyle w:val="FootnoteText"/>
        <w:spacing w:after="0" w:line="240" w:lineRule="auto"/>
        <w:contextualSpacing/>
        <w:jc w:val="both"/>
        <w:rPr>
          <w:rFonts w:ascii="Garamond" w:hAnsi="Garamond"/>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sources in 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_Ref214878507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15</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i/>
          <w:iCs/>
          <w:sz w:val="18"/>
          <w:szCs w:val="18"/>
          <w:lang w:bidi="he-IL"/>
        </w:rPr>
        <w:t xml:space="preserve"> </w:t>
      </w:r>
    </w:p>
  </w:footnote>
  <w:footnote w:id="98">
    <w:p w14:paraId="4C6C6C70" w14:textId="77777777" w:rsidR="00BF0224" w:rsidRPr="0037513D" w:rsidRDefault="00BF0224" w:rsidP="00BF022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tl/>
        </w:rPr>
        <w:t xml:space="preserve">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Evans,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_Ref214385915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39</w:t>
      </w:r>
      <w:r w:rsidRPr="0037513D">
        <w:rPr>
          <w:rFonts w:ascii="Garamond"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9</w:t>
      </w:r>
      <w:r w:rsidRPr="0037513D">
        <w:rPr>
          <w:rFonts w:ascii="Garamond" w:eastAsia="Times New Roman" w:hAnsi="Garamond"/>
          <w:sz w:val="18"/>
          <w:szCs w:val="18"/>
        </w:rPr>
        <w:t xml:space="preserve"> (calling them top-down and bottom-up cues);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 xml:space="preserve">Kim &amp; </w:t>
      </w:r>
      <w:proofErr w:type="spellStart"/>
      <w:r w:rsidRPr="0037513D">
        <w:rPr>
          <w:rFonts w:ascii="Garamond" w:hAnsi="Garamond"/>
          <w:sz w:val="18"/>
          <w:szCs w:val="18"/>
        </w:rPr>
        <w:t>Priluck</w:t>
      </w:r>
      <w:proofErr w:type="spellEnd"/>
      <w:r w:rsidRPr="0037513D">
        <w:rPr>
          <w:rFonts w:ascii="Garamond" w:hAnsi="Garamond"/>
          <w:sz w:val="18"/>
          <w:szCs w:val="18"/>
        </w:rPr>
        <w:t>,</w:t>
      </w:r>
      <w:r w:rsidRPr="0037513D">
        <w:rPr>
          <w:rStyle w:val="Strong"/>
          <w:rFonts w:ascii="Garamond" w:hAnsi="Garamond"/>
          <w:b w:val="0"/>
          <w:bCs w:val="0"/>
          <w:sz w:val="18"/>
          <w:szCs w:val="18"/>
        </w:rPr>
        <w:t xml:space="preserve"> </w:t>
      </w:r>
      <w:r w:rsidRPr="0037513D">
        <w:rPr>
          <w:rStyle w:val="Strong"/>
          <w:rFonts w:ascii="Garamond" w:hAnsi="Garamond"/>
          <w:b w:val="0"/>
          <w:bCs w:val="0"/>
          <w:i/>
          <w:iCs/>
          <w:sz w:val="18"/>
          <w:szCs w:val="18"/>
        </w:rPr>
        <w:t>supra</w:t>
      </w:r>
      <w:r w:rsidRPr="0037513D">
        <w:rPr>
          <w:rFonts w:ascii="Garamond" w:hAnsi="Garamond"/>
          <w:b/>
          <w:bCs/>
          <w:sz w:val="18"/>
          <w:szCs w:val="18"/>
        </w:rPr>
        <w:t xml:space="preserve">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_Ref214385512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59</w:t>
      </w:r>
      <w:r w:rsidRPr="0037513D">
        <w:rPr>
          <w:rFonts w:ascii="Garamond" w:hAnsi="Garamond"/>
          <w:sz w:val="18"/>
          <w:szCs w:val="18"/>
        </w:rPr>
        <w:fldChar w:fldCharType="end"/>
      </w:r>
      <w:r w:rsidRPr="0037513D">
        <w:rPr>
          <w:rFonts w:ascii="Garamond" w:hAnsi="Garamond"/>
          <w:sz w:val="18"/>
          <w:szCs w:val="18"/>
        </w:rPr>
        <w:t xml:space="preserve">, at </w:t>
      </w:r>
      <w:r w:rsidRPr="0037513D">
        <w:rPr>
          <w:rFonts w:ascii="Garamond" w:hAnsi="Garamond"/>
          <w:color w:val="000000" w:themeColor="text1"/>
          <w:sz w:val="18"/>
          <w:szCs w:val="18"/>
        </w:rPr>
        <w:t xml:space="preserve">3 </w:t>
      </w:r>
      <w:r w:rsidRPr="0037513D">
        <w:rPr>
          <w:rFonts w:ascii="Garamond" w:eastAsia="Times New Roman" w:hAnsi="Garamond"/>
          <w:sz w:val="18"/>
          <w:szCs w:val="18"/>
        </w:rPr>
        <w:t xml:space="preserve">(“consumers must often click through several different web results and read these various web pages to find relevant information,”);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 xml:space="preserve">at 1 </w:t>
      </w:r>
      <w:r w:rsidRPr="0037513D">
        <w:rPr>
          <w:rFonts w:ascii="Garamond" w:eastAsia="Times New Roman" w:hAnsi="Garamond"/>
          <w:sz w:val="18"/>
          <w:szCs w:val="18"/>
        </w:rPr>
        <w:t>(“traditional search. . . provides additional cues about the reliability of information, for example through the domains and publishers of different results.”).</w:t>
      </w:r>
    </w:p>
  </w:footnote>
  <w:footnote w:id="99">
    <w:p w14:paraId="5BC8B82E" w14:textId="77777777" w:rsidR="00BF0224" w:rsidRPr="0037513D" w:rsidRDefault="00BF0224" w:rsidP="00BF0224">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cstheme="majorBidi"/>
          <w:sz w:val="18"/>
          <w:szCs w:val="18"/>
        </w:rPr>
        <w:t xml:space="preserve"> For example, one study has found that the presence of banner advertisements for the same advertiser alongside a sponsored news article has been shown to increase recognition that the article itself was sponsored, even absent an explicit sponsor disclosure.</w:t>
      </w:r>
      <w:r w:rsidRPr="0037513D">
        <w:rPr>
          <w:rFonts w:ascii="Garamond" w:hAnsi="Garamond"/>
          <w:i/>
          <w:iCs/>
          <w:sz w:val="18"/>
          <w:szCs w:val="18"/>
        </w:rPr>
        <w:t xml:space="preserve"> See</w:t>
      </w:r>
      <w:r w:rsidRPr="0037513D">
        <w:rPr>
          <w:rFonts w:ascii="Garamond" w:hAnsi="Garamond"/>
          <w:sz w:val="18"/>
          <w:szCs w:val="18"/>
        </w:rPr>
        <w:t xml:space="preserve"> Colin Campbell &amp; Nathaniel J. Evans, </w:t>
      </w:r>
      <w:r w:rsidRPr="0037513D">
        <w:rPr>
          <w:rStyle w:val="Emphasis"/>
          <w:rFonts w:ascii="Garamond" w:hAnsi="Garamond"/>
          <w:sz w:val="18"/>
          <w:szCs w:val="18"/>
        </w:rPr>
        <w:t>The Role of a Companion Banner Ad and Sponsorship Transparency in Recognizing and Evaluating Article-Style Native Advertising</w:t>
      </w:r>
      <w:r w:rsidRPr="0037513D">
        <w:rPr>
          <w:rFonts w:ascii="Garamond" w:hAnsi="Garamond"/>
          <w:sz w:val="18"/>
          <w:szCs w:val="18"/>
        </w:rPr>
        <w:t xml:space="preserve">, </w:t>
      </w:r>
      <w:r w:rsidRPr="0037513D">
        <w:rPr>
          <w:rStyle w:val="Strong"/>
          <w:rFonts w:ascii="Garamond" w:hAnsi="Garamond"/>
          <w:b w:val="0"/>
          <w:bCs w:val="0"/>
          <w:smallCaps/>
          <w:sz w:val="18"/>
          <w:szCs w:val="18"/>
        </w:rPr>
        <w:t>43 J. Interactive Marketing</w:t>
      </w:r>
      <w:r w:rsidRPr="0037513D">
        <w:rPr>
          <w:rStyle w:val="Strong"/>
          <w:rFonts w:ascii="Garamond" w:hAnsi="Garamond"/>
          <w:smallCaps/>
          <w:sz w:val="18"/>
          <w:szCs w:val="18"/>
        </w:rPr>
        <w:t xml:space="preserve"> </w:t>
      </w:r>
      <w:r w:rsidRPr="0037513D">
        <w:rPr>
          <w:rFonts w:ascii="Garamond" w:hAnsi="Garamond"/>
          <w:sz w:val="18"/>
          <w:szCs w:val="18"/>
        </w:rPr>
        <w:t>17 (2018).</w:t>
      </w:r>
      <w:r w:rsidRPr="0037513D">
        <w:rPr>
          <w:rStyle w:val="FootnoteReference"/>
          <w:rFonts w:ascii="Garamond" w:hAnsi="Garamond" w:cstheme="majorBidi"/>
          <w:sz w:val="18"/>
          <w:szCs w:val="18"/>
        </w:rPr>
        <w:t xml:space="preserve"> </w:t>
      </w:r>
      <w:r w:rsidRPr="0037513D">
        <w:rPr>
          <w:rFonts w:ascii="Garamond" w:hAnsi="Garamond" w:cstheme="majorBidi"/>
          <w:sz w:val="18"/>
          <w:szCs w:val="18"/>
        </w:rPr>
        <w:t xml:space="preserve">Another study similarly showed that a small minority of participants noticed differences in background color and picture formatting for in-feed native advertisements,  triggering recognition and salience in consumers’ minds. </w:t>
      </w:r>
      <w:r w:rsidRPr="0037513D">
        <w:rPr>
          <w:rFonts w:ascii="Garamond" w:hAnsi="Garamond" w:cstheme="majorBidi"/>
          <w:i/>
          <w:iCs/>
          <w:sz w:val="18"/>
          <w:szCs w:val="18"/>
        </w:rPr>
        <w:t>See</w:t>
      </w:r>
      <w:r w:rsidRPr="0037513D">
        <w:rPr>
          <w:rFonts w:ascii="Garamond" w:hAnsi="Garamond"/>
          <w:sz w:val="18"/>
          <w:szCs w:val="18"/>
        </w:rPr>
        <w:t xml:space="preserve"> Min Jiang et al., </w:t>
      </w:r>
      <w:r w:rsidRPr="0037513D">
        <w:rPr>
          <w:rStyle w:val="Emphasis"/>
          <w:rFonts w:ascii="Garamond" w:hAnsi="Garamond"/>
          <w:sz w:val="18"/>
          <w:szCs w:val="18"/>
        </w:rPr>
        <w:t>Now You See Me, but You Don’t Know: Consumer Processing of Native Advertisements in Online News Sites</w:t>
      </w:r>
      <w:r w:rsidRPr="0037513D">
        <w:rPr>
          <w:rFonts w:ascii="Garamond" w:hAnsi="Garamond"/>
          <w:sz w:val="18"/>
          <w:szCs w:val="18"/>
        </w:rPr>
        <w:t xml:space="preserve">, </w:t>
      </w:r>
      <w:r w:rsidRPr="0037513D">
        <w:rPr>
          <w:rStyle w:val="Strong"/>
          <w:rFonts w:ascii="Garamond" w:hAnsi="Garamond"/>
          <w:b w:val="0"/>
          <w:bCs w:val="0"/>
          <w:smallCaps/>
          <w:sz w:val="18"/>
          <w:szCs w:val="18"/>
        </w:rPr>
        <w:t>17 J. Interactive Advert.</w:t>
      </w:r>
      <w:r w:rsidRPr="0037513D">
        <w:rPr>
          <w:rStyle w:val="Strong"/>
          <w:rFonts w:ascii="Garamond" w:hAnsi="Garamond"/>
          <w:smallCaps/>
          <w:sz w:val="18"/>
          <w:szCs w:val="18"/>
        </w:rPr>
        <w:t xml:space="preserve"> </w:t>
      </w:r>
      <w:r w:rsidRPr="0037513D">
        <w:rPr>
          <w:rFonts w:ascii="Garamond" w:hAnsi="Garamond"/>
          <w:sz w:val="18"/>
          <w:szCs w:val="18"/>
        </w:rPr>
        <w:t>92 (2017).</w:t>
      </w:r>
    </w:p>
  </w:footnote>
  <w:footnote w:id="100">
    <w:p w14:paraId="50D34F46" w14:textId="77777777" w:rsidR="00E60318" w:rsidRPr="0037513D" w:rsidRDefault="00E60318" w:rsidP="00E60318">
      <w:pPr>
        <w:pStyle w:val="FootnoteText"/>
        <w:spacing w:after="0" w:line="240" w:lineRule="auto"/>
        <w:contextualSpacing/>
        <w:jc w:val="both"/>
        <w:rPr>
          <w:rFonts w:ascii="Garamond" w:hAnsi="Garamond" w:cstheme="majorBidi"/>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at 143</w:t>
      </w:r>
      <w:r w:rsidRPr="0037513D">
        <w:rPr>
          <w:rFonts w:ascii="Garamond" w:hAnsi="Garamond"/>
          <w:sz w:val="18"/>
          <w:szCs w:val="18"/>
        </w:rPr>
        <w:t xml:space="preserve"> (Unlike on the traditional list SERPs. . .  LLMs powering conversational search systems have the capacity to blend ads and generated search results in the form of native advertising, e.g., for (subtle) brand or product placement.”);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supra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 xml:space="preserve">at 2. </w:t>
      </w:r>
      <w:r w:rsidRPr="0037513D">
        <w:rPr>
          <w:rFonts w:ascii="Garamond" w:hAnsi="Garamond" w:cstheme="majorBidi"/>
          <w:sz w:val="18"/>
          <w:szCs w:val="18"/>
        </w:rPr>
        <w:t xml:space="preserve">(“LLM-based search offers fewer reliable cues for users to gauge the accuracy of information.”). </w:t>
      </w:r>
      <w:r w:rsidRPr="0037513D">
        <w:rPr>
          <w:rFonts w:ascii="Garamond" w:hAnsi="Garamond"/>
          <w:sz w:val="18"/>
          <w:szCs w:val="18"/>
        </w:rPr>
        <w:t xml:space="preserve">This problem is not entirely new. </w:t>
      </w:r>
      <w:r w:rsidRPr="0037513D">
        <w:rPr>
          <w:rFonts w:ascii="Garamond" w:hAnsi="Garamond" w:cstheme="majorBidi"/>
          <w:sz w:val="18"/>
          <w:szCs w:val="18"/>
        </w:rPr>
        <w:t xml:space="preserve">It resembles the pre-GenAI controversy surrounding the potential overreach of search engines’ products into the content of their website listings. For example, when Google’s insights draw on text from the content of websites, it diverts traffic from these websites and, thereby, drains them of advertising revenue because visitors should no longer interact with the website itself. </w:t>
      </w:r>
      <w:r w:rsidRPr="0037513D">
        <w:rPr>
          <w:rFonts w:ascii="Garamond" w:hAnsi="Garamond" w:cstheme="majorBidi"/>
          <w:i/>
          <w:iCs/>
          <w:sz w:val="18"/>
          <w:szCs w:val="18"/>
        </w:rPr>
        <w:t xml:space="preserve">See e.g., </w:t>
      </w:r>
      <w:r w:rsidRPr="0037513D">
        <w:rPr>
          <w:rFonts w:ascii="Garamond" w:hAnsi="Garamond" w:cstheme="majorBidi"/>
          <w:sz w:val="18"/>
          <w:szCs w:val="18"/>
        </w:rPr>
        <w:t>Rand Fishkin, L</w:t>
      </w:r>
      <w:r w:rsidRPr="0037513D">
        <w:rPr>
          <w:rFonts w:ascii="Garamond" w:hAnsi="Garamond" w:cstheme="majorBidi"/>
          <w:i/>
          <w:iCs/>
          <w:sz w:val="18"/>
          <w:szCs w:val="18"/>
        </w:rPr>
        <w:t>ess than Half of Google Searches Now Result in a Click,</w:t>
      </w:r>
      <w:r w:rsidRPr="0037513D">
        <w:rPr>
          <w:rFonts w:ascii="Garamond" w:hAnsi="Garamond" w:cstheme="majorBidi"/>
          <w:sz w:val="18"/>
          <w:szCs w:val="18"/>
        </w:rPr>
        <w:t xml:space="preserve"> </w:t>
      </w:r>
      <w:proofErr w:type="spellStart"/>
      <w:r w:rsidRPr="0037513D">
        <w:rPr>
          <w:rStyle w:val="Strong"/>
          <w:rFonts w:ascii="Garamond" w:hAnsi="Garamond"/>
          <w:b w:val="0"/>
          <w:bCs w:val="0"/>
          <w:smallCaps/>
          <w:sz w:val="18"/>
          <w:szCs w:val="18"/>
        </w:rPr>
        <w:t>SparkToro</w:t>
      </w:r>
      <w:proofErr w:type="spellEnd"/>
      <w:r w:rsidRPr="0037513D">
        <w:rPr>
          <w:rFonts w:ascii="Garamond" w:hAnsi="Garamond" w:cstheme="majorBidi"/>
          <w:sz w:val="18"/>
          <w:szCs w:val="18"/>
        </w:rPr>
        <w:t xml:space="preserve"> (Aug. 13, 2019); Sara Fischer, Google's </w:t>
      </w:r>
      <w:proofErr w:type="spellStart"/>
      <w:r w:rsidRPr="0037513D">
        <w:rPr>
          <w:rFonts w:ascii="Garamond" w:hAnsi="Garamond" w:cstheme="majorBidi"/>
          <w:sz w:val="18"/>
          <w:szCs w:val="18"/>
        </w:rPr>
        <w:t>clickless</w:t>
      </w:r>
      <w:proofErr w:type="spellEnd"/>
      <w:r w:rsidRPr="0037513D">
        <w:rPr>
          <w:rFonts w:ascii="Garamond" w:hAnsi="Garamond" w:cstheme="majorBidi"/>
          <w:sz w:val="18"/>
          <w:szCs w:val="18"/>
        </w:rPr>
        <w:t xml:space="preserve"> era, </w:t>
      </w:r>
      <w:r w:rsidRPr="0037513D">
        <w:rPr>
          <w:rStyle w:val="Strong"/>
          <w:rFonts w:ascii="Garamond" w:hAnsi="Garamond"/>
          <w:b w:val="0"/>
          <w:bCs w:val="0"/>
          <w:smallCaps/>
          <w:sz w:val="18"/>
          <w:szCs w:val="18"/>
        </w:rPr>
        <w:t>Axios</w:t>
      </w:r>
      <w:r w:rsidRPr="0037513D">
        <w:rPr>
          <w:rFonts w:ascii="Garamond" w:hAnsi="Garamond" w:cstheme="majorBidi"/>
          <w:sz w:val="18"/>
          <w:szCs w:val="18"/>
        </w:rPr>
        <w:t xml:space="preserve"> (Aug. 20, 2019).</w:t>
      </w:r>
    </w:p>
  </w:footnote>
  <w:footnote w:id="101">
    <w:p w14:paraId="64490139" w14:textId="77777777" w:rsidR="00E60318" w:rsidRPr="0037513D" w:rsidRDefault="00E60318" w:rsidP="00E6031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supra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at 2.</w:t>
      </w:r>
      <w:r w:rsidRPr="0037513D">
        <w:rPr>
          <w:rFonts w:ascii="Garamond" w:hAnsi="Garamond"/>
          <w:sz w:val="18"/>
          <w:szCs w:val="18"/>
        </w:rPr>
        <w:t xml:space="preserve">(“Responses may lack hyperlinks to source materials, which users rely on to verify statements.”). This problem is especially challenging because there might be discrepancies between the content of LLM-generated responses and the sources they cite Nelson F. Liu, Tianyi Zhang &amp; Percy Liang, </w:t>
      </w:r>
      <w:r w:rsidRPr="0037513D">
        <w:rPr>
          <w:rStyle w:val="Emphasis"/>
          <w:rFonts w:ascii="Garamond" w:hAnsi="Garamond"/>
          <w:sz w:val="18"/>
          <w:szCs w:val="18"/>
        </w:rPr>
        <w:t>Evaluating Verifiability in Generative Search Engines</w:t>
      </w:r>
      <w:r w:rsidRPr="0037513D">
        <w:rPr>
          <w:rFonts w:ascii="Garamond" w:hAnsi="Garamond"/>
          <w:sz w:val="18"/>
          <w:szCs w:val="18"/>
        </w:rPr>
        <w:t xml:space="preserve"> (2023).</w:t>
      </w:r>
    </w:p>
  </w:footnote>
  <w:footnote w:id="102">
    <w:p w14:paraId="17DA6D74" w14:textId="77777777" w:rsidR="00E60318" w:rsidRPr="0037513D" w:rsidRDefault="00E60318" w:rsidP="00E6031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xml:space="preserve"> at 2 (“users might not scrutinize these suggestions as they would with ads on other media such as webpages.”). For this reason, for example, the Federal Trade Commission usually requires advertising disclosures to appear before users are required to press on additional buttons and page extenders. </w:t>
      </w:r>
      <w:r w:rsidRPr="0037513D">
        <w:rPr>
          <w:rFonts w:ascii="Garamond" w:hAnsi="Garamond"/>
          <w:i/>
          <w:iCs/>
          <w:sz w:val="18"/>
          <w:szCs w:val="18"/>
        </w:rPr>
        <w:t xml:space="preserve">See e.g., </w:t>
      </w:r>
      <w:r w:rsidRPr="0037513D">
        <w:rPr>
          <w:rFonts w:ascii="Garamond" w:hAnsi="Garamond"/>
          <w:sz w:val="18"/>
          <w:szCs w:val="18"/>
        </w:rPr>
        <w:t>F</w:t>
      </w:r>
      <w:r w:rsidRPr="0037513D">
        <w:rPr>
          <w:rFonts w:ascii="Garamond" w:hAnsi="Garamond"/>
          <w:smallCaps/>
          <w:sz w:val="18"/>
          <w:szCs w:val="18"/>
        </w:rPr>
        <w:t xml:space="preserve">ederal Trade Commission, Disclosures 101 for Social Media Influencers </w:t>
      </w:r>
      <w:r w:rsidRPr="0037513D">
        <w:rPr>
          <w:rFonts w:ascii="Garamond" w:hAnsi="Garamond"/>
          <w:sz w:val="18"/>
          <w:szCs w:val="18"/>
        </w:rPr>
        <w:t>(noting that, “Disclosures are likely to be missed if they appear only on an ABOUT ME or profile page, at the end of posts or videos, or anywhere that requires a person to click MORE.”)</w:t>
      </w:r>
    </w:p>
  </w:footnote>
  <w:footnote w:id="103">
    <w:p w14:paraId="63930414" w14:textId="77777777" w:rsidR="00DA14FA" w:rsidRPr="0037513D" w:rsidRDefault="00DA14FA" w:rsidP="00DA14FA">
      <w:pPr>
        <w:pStyle w:val="FootnoteText"/>
        <w:spacing w:after="0" w:line="240" w:lineRule="auto"/>
        <w:contextualSpacing/>
        <w:jc w:val="both"/>
        <w:rPr>
          <w:rFonts w:ascii="Garamond" w:hAnsi="Garamond"/>
          <w:color w:val="000000" w:themeColor="text1"/>
          <w:sz w:val="18"/>
          <w:szCs w:val="18"/>
        </w:rPr>
      </w:pPr>
      <w:r w:rsidRPr="0037513D">
        <w:rPr>
          <w:rStyle w:val="FootnoteReference"/>
          <w:rFonts w:ascii="Garamond" w:hAnsi="Garamond"/>
          <w:sz w:val="18"/>
          <w:szCs w:val="18"/>
        </w:rPr>
        <w:footnoteRef/>
      </w:r>
      <w:r w:rsidRPr="0037513D">
        <w:rPr>
          <w:rFonts w:ascii="Garamond" w:hAnsi="Garamond" w:cstheme="majorBidi"/>
          <w:sz w:val="18"/>
          <w:szCs w:val="18"/>
        </w:rPr>
        <w:t xml:space="preserve"> </w:t>
      </w:r>
      <w:r w:rsidRPr="0037513D">
        <w:rPr>
          <w:rFonts w:ascii="Garamond" w:eastAsia="Times New Roman" w:hAnsi="Garamond" w:cstheme="majorBidi"/>
          <w:sz w:val="18"/>
          <w:szCs w:val="18"/>
        </w:rPr>
        <w:t xml:space="preserve">Research has long established that even in traditional digital media, when consumers had no choice but to engage with a webpage to extract the information within it, they often relied on reputational shortcuts as authority signals. </w:t>
      </w:r>
      <w:r w:rsidRPr="0037513D">
        <w:rPr>
          <w:rFonts w:ascii="Garamond" w:hAnsi="Garamond"/>
          <w:i/>
          <w:iCs/>
          <w:sz w:val="18"/>
          <w:szCs w:val="18"/>
        </w:rPr>
        <w:t>See</w:t>
      </w:r>
      <w:r w:rsidRPr="0037513D">
        <w:rPr>
          <w:rFonts w:ascii="Garamond" w:hAnsi="Garamond"/>
          <w:sz w:val="18"/>
          <w:szCs w:val="18"/>
        </w:rPr>
        <w:t xml:space="preserve"> Mu Wu et al., </w:t>
      </w:r>
      <w:r w:rsidRPr="0037513D">
        <w:rPr>
          <w:rStyle w:val="Emphasis"/>
          <w:rFonts w:ascii="Garamond" w:hAnsi="Garamond"/>
          <w:sz w:val="18"/>
          <w:szCs w:val="18"/>
        </w:rPr>
        <w:t>A Tale of Two Sources in Native Advertising: Examining the Effects of Source Credibility and Priming on Content, Organizations, and Media Evaluations</w:t>
      </w:r>
      <w:r w:rsidRPr="0037513D">
        <w:rPr>
          <w:rFonts w:ascii="Garamond" w:hAnsi="Garamond"/>
          <w:sz w:val="18"/>
          <w:szCs w:val="18"/>
        </w:rPr>
        <w:t xml:space="preserve">, 60 </w:t>
      </w:r>
      <w:r w:rsidRPr="0037513D">
        <w:rPr>
          <w:rFonts w:ascii="Garamond" w:hAnsi="Garamond"/>
          <w:smallCaps/>
          <w:sz w:val="18"/>
          <w:szCs w:val="18"/>
        </w:rPr>
        <w:t xml:space="preserve">Am. Behav. Scientist </w:t>
      </w:r>
      <w:r w:rsidRPr="0037513D">
        <w:rPr>
          <w:rFonts w:ascii="Garamond" w:hAnsi="Garamond"/>
          <w:sz w:val="18"/>
          <w:szCs w:val="18"/>
        </w:rPr>
        <w:t xml:space="preserve">1492 (2016) (noting that, </w:t>
      </w:r>
      <w:r w:rsidRPr="0037513D">
        <w:rPr>
          <w:rFonts w:ascii="Garamond" w:eastAsia="Times New Roman" w:hAnsi="Garamond" w:cstheme="majorBidi"/>
          <w:sz w:val="18"/>
          <w:szCs w:val="18"/>
        </w:rPr>
        <w:t xml:space="preserve">audiences often transfer the credibility of high-status media outlets (like the New York Times) to the sponsored content they host); </w:t>
      </w:r>
      <w:r w:rsidRPr="0037513D">
        <w:rPr>
          <w:rFonts w:ascii="Garamond" w:hAnsi="Garamond"/>
          <w:sz w:val="18"/>
          <w:szCs w:val="18"/>
        </w:rPr>
        <w:t xml:space="preserve">Amazeen &amp; Muddiman,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_Ref214457905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color w:val="EE0000"/>
          <w:sz w:val="18"/>
          <w:szCs w:val="18"/>
        </w:rPr>
        <w:t xml:space="preserve"> </w:t>
      </w:r>
      <w:r w:rsidRPr="0037513D">
        <w:rPr>
          <w:rFonts w:ascii="Garamond" w:hAnsi="Garamond"/>
          <w:color w:val="000000" w:themeColor="text1"/>
          <w:sz w:val="18"/>
          <w:szCs w:val="18"/>
        </w:rPr>
        <w:t>at 188 (</w:t>
      </w:r>
      <w:r w:rsidRPr="0037513D">
        <w:rPr>
          <w:rFonts w:ascii="Garamond" w:eastAsia="Times New Roman" w:hAnsi="Garamond" w:cstheme="majorBidi"/>
          <w:sz w:val="18"/>
          <w:szCs w:val="18"/>
        </w:rPr>
        <w:t xml:space="preserve">confirming that consumers rely on legacy publishers’ credibility when evaluating native content); </w:t>
      </w:r>
      <w:r w:rsidRPr="0037513D">
        <w:rPr>
          <w:rFonts w:ascii="Garamond" w:hAnsi="Garamond"/>
          <w:sz w:val="18"/>
          <w:szCs w:val="18"/>
        </w:rPr>
        <w:t xml:space="preserve">Michelle A. Amazeen &amp; Bartosz W. Wojdynski, </w:t>
      </w:r>
      <w:r w:rsidRPr="0037513D">
        <w:rPr>
          <w:rStyle w:val="Emphasis"/>
          <w:rFonts w:ascii="Garamond" w:hAnsi="Garamond"/>
          <w:sz w:val="18"/>
          <w:szCs w:val="18"/>
        </w:rPr>
        <w:t>The Effects of Disclosure Format on Native Advertising Recognition and Audience Perceptions of Legacy and Online News Publishers</w:t>
      </w:r>
      <w:r w:rsidRPr="0037513D">
        <w:rPr>
          <w:rFonts w:ascii="Garamond" w:hAnsi="Garamond"/>
          <w:sz w:val="18"/>
          <w:szCs w:val="18"/>
        </w:rPr>
        <w:t xml:space="preserve">, </w:t>
      </w:r>
      <w:r w:rsidRPr="0037513D">
        <w:rPr>
          <w:rStyle w:val="Strong"/>
          <w:rFonts w:ascii="Garamond" w:hAnsi="Garamond"/>
          <w:b w:val="0"/>
          <w:bCs w:val="0"/>
          <w:smallCaps/>
          <w:sz w:val="18"/>
          <w:szCs w:val="18"/>
        </w:rPr>
        <w:t>21 J</w:t>
      </w:r>
      <w:r w:rsidRPr="0037513D">
        <w:rPr>
          <w:rStyle w:val="Strong"/>
          <w:rFonts w:ascii="Garamond" w:eastAsiaTheme="majorEastAsia" w:hAnsi="Garamond"/>
          <w:b w:val="0"/>
          <w:bCs w:val="0"/>
          <w:smallCaps/>
          <w:sz w:val="18"/>
          <w:szCs w:val="18"/>
        </w:rPr>
        <w:t>ournalism</w:t>
      </w:r>
      <w:r w:rsidRPr="0037513D">
        <w:rPr>
          <w:rStyle w:val="Strong"/>
          <w:rFonts w:ascii="Garamond" w:eastAsiaTheme="majorEastAsia" w:hAnsi="Garamond"/>
          <w:smallCaps/>
          <w:sz w:val="18"/>
          <w:szCs w:val="18"/>
        </w:rPr>
        <w:t xml:space="preserve"> </w:t>
      </w:r>
      <w:r w:rsidRPr="0037513D">
        <w:rPr>
          <w:rFonts w:ascii="Garamond" w:hAnsi="Garamond"/>
          <w:sz w:val="18"/>
          <w:szCs w:val="18"/>
        </w:rPr>
        <w:t>1965 (2020)</w:t>
      </w:r>
      <w:r w:rsidRPr="0037513D">
        <w:rPr>
          <w:rFonts w:ascii="Garamond" w:eastAsia="Times New Roman" w:hAnsi="Garamond" w:cstheme="majorBidi"/>
          <w:sz w:val="18"/>
          <w:szCs w:val="18"/>
        </w:rPr>
        <w:t xml:space="preserve"> (similar). </w:t>
      </w:r>
      <w:r w:rsidRPr="0037513D">
        <w:rPr>
          <w:rFonts w:ascii="Garamond" w:hAnsi="Garamond"/>
          <w:sz w:val="18"/>
          <w:szCs w:val="18"/>
        </w:rPr>
        <w:t xml:space="preserve">For a general discussion of how consumers rely on publishers and influencers’ perceived expertise as a certificate for quality assurance, see Hacohen,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_Ref214457636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49</w:t>
      </w:r>
      <w:r w:rsidRPr="0037513D">
        <w:rPr>
          <w:rFonts w:ascii="Garamond" w:hAnsi="Garamond"/>
          <w:sz w:val="18"/>
          <w:szCs w:val="18"/>
        </w:rPr>
        <w:fldChar w:fldCharType="end"/>
      </w:r>
      <w:r w:rsidRPr="0037513D">
        <w:rPr>
          <w:rFonts w:ascii="Garamond" w:hAnsi="Garamond"/>
          <w:sz w:val="18"/>
          <w:szCs w:val="18"/>
        </w:rPr>
        <w:t>.</w:t>
      </w:r>
    </w:p>
  </w:footnote>
  <w:footnote w:id="104">
    <w:p w14:paraId="3E5531B7" w14:textId="77777777" w:rsidR="00987B08" w:rsidRPr="0037513D" w:rsidRDefault="00987B08" w:rsidP="00987B08">
      <w:pPr>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heme="majorBidi"/>
          <w:sz w:val="18"/>
          <w:szCs w:val="18"/>
          <w:lang w:bidi="he-IL"/>
        </w:rPr>
        <w:t>AI can also enhance advertising effectiveness by matching consumer per</w:t>
      </w:r>
      <w:r w:rsidRPr="0037513D">
        <w:rPr>
          <w:rFonts w:ascii="Garamond" w:eastAsia="Times New Roman" w:hAnsi="Garamond" w:cstheme="majorBidi"/>
          <w:sz w:val="18"/>
          <w:szCs w:val="18"/>
          <w:lang w:bidi="he-IL"/>
        </w:rPr>
        <w:softHyphen/>
        <w:t xml:space="preserve">sonality traits with congruent ad messages using algorithms and contextual data. </w:t>
      </w:r>
      <w:r w:rsidRPr="0037513D">
        <w:rPr>
          <w:rFonts w:ascii="Garamond" w:eastAsia="Times New Roman" w:hAnsi="Garamond" w:cstheme="majorBidi"/>
          <w:i/>
          <w:iCs/>
          <w:sz w:val="18"/>
          <w:szCs w:val="18"/>
          <w:lang w:bidi="he-IL"/>
        </w:rPr>
        <w:t xml:space="preserve">See e.g., </w:t>
      </w:r>
      <w:r w:rsidRPr="0037513D">
        <w:rPr>
          <w:rFonts w:ascii="Garamond" w:eastAsia="Times New Roman" w:hAnsi="Garamond" w:cstheme="majorBidi"/>
          <w:sz w:val="18"/>
          <w:szCs w:val="18"/>
          <w:lang w:bidi="he-IL"/>
        </w:rPr>
        <w:t xml:space="preserve"> Shumanov, M., Cooper, H., &amp; Ewing, M., </w:t>
      </w:r>
      <w:r w:rsidRPr="0037513D">
        <w:rPr>
          <w:rFonts w:ascii="Garamond" w:eastAsia="Times New Roman" w:hAnsi="Garamond" w:cstheme="majorBidi"/>
          <w:i/>
          <w:iCs/>
          <w:sz w:val="18"/>
          <w:szCs w:val="18"/>
          <w:lang w:bidi="he-IL"/>
        </w:rPr>
        <w:t>Using AI predicted personality to enhance advertising effectiveness,</w:t>
      </w:r>
      <w:r w:rsidRPr="0037513D">
        <w:rPr>
          <w:rFonts w:ascii="Garamond" w:eastAsia="Times New Roman" w:hAnsi="Garamond" w:cstheme="majorBidi"/>
          <w:sz w:val="18"/>
          <w:szCs w:val="18"/>
          <w:lang w:bidi="he-IL"/>
        </w:rPr>
        <w:t xml:space="preserve"> 56(6) European Journal of Marketing, 1590–1609 (2022). </w:t>
      </w:r>
      <w:r w:rsidRPr="0037513D">
        <w:rPr>
          <w:rFonts w:ascii="Garamond" w:eastAsia="Times New Roman" w:hAnsi="Garamond" w:cstheme="majorBidi"/>
          <w:i/>
          <w:iCs/>
          <w:sz w:val="18"/>
          <w:szCs w:val="18"/>
          <w:lang w:bidi="he-IL"/>
        </w:rPr>
        <w:t xml:space="preserve">See also </w:t>
      </w:r>
      <w:r w:rsidRPr="0037513D">
        <w:rPr>
          <w:rFonts w:ascii="Garamond" w:hAnsi="Garamond"/>
          <w:sz w:val="18"/>
          <w:szCs w:val="18"/>
        </w:rPr>
        <w:t xml:space="preserve">Baek, Kim &amp; Kim,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_Ref214388286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80</w:t>
      </w:r>
      <w:r w:rsidRPr="0037513D">
        <w:rPr>
          <w:rFonts w:ascii="Garamond" w:hAnsi="Garamond"/>
          <w:sz w:val="18"/>
          <w:szCs w:val="18"/>
        </w:rPr>
        <w:fldChar w:fldCharType="end"/>
      </w:r>
      <w:r w:rsidRPr="0037513D">
        <w:rPr>
          <w:rFonts w:ascii="Garamond" w:hAnsi="Garamond"/>
          <w:sz w:val="18"/>
          <w:szCs w:val="18"/>
        </w:rPr>
        <w:t>, at 7</w:t>
      </w:r>
      <w:r w:rsidRPr="0037513D">
        <w:rPr>
          <w:rFonts w:ascii="Garamond" w:eastAsia="Times New Roman" w:hAnsi="Garamond" w:cstheme="majorBidi"/>
          <w:sz w:val="18"/>
          <w:szCs w:val="18"/>
          <w:lang w:bidi="he-IL"/>
        </w:rPr>
        <w:t xml:space="preserve">; </w:t>
      </w:r>
      <w:r w:rsidRPr="0037513D">
        <w:rPr>
          <w:rFonts w:ascii="Garamond" w:hAnsi="Garamond" w:cstheme="majorBidi"/>
          <w:sz w:val="18"/>
          <w:szCs w:val="18"/>
          <w:lang w:bidi="he-IL"/>
        </w:rPr>
        <w:t xml:space="preserve"> </w:t>
      </w:r>
      <w:proofErr w:type="spellStart"/>
      <w:r w:rsidRPr="0037513D">
        <w:rPr>
          <w:rFonts w:ascii="Garamond" w:hAnsi="Garamond"/>
          <w:sz w:val="18"/>
          <w:szCs w:val="18"/>
        </w:rPr>
        <w:t>Häglund</w:t>
      </w:r>
      <w:proofErr w:type="spellEnd"/>
      <w:r w:rsidRPr="0037513D">
        <w:rPr>
          <w:rFonts w:ascii="Garamond" w:hAnsi="Garamond"/>
          <w:sz w:val="18"/>
          <w:szCs w:val="18"/>
        </w:rPr>
        <w:t xml:space="preserve"> &amp; Björklund,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eastAsia="Times New Roman" w:hAnsi="Garamond"/>
          <w:sz w:val="18"/>
          <w:szCs w:val="18"/>
        </w:rPr>
        <w:fldChar w:fldCharType="begin"/>
      </w:r>
      <w:r w:rsidRPr="0037513D">
        <w:rPr>
          <w:rFonts w:ascii="Garamond" w:hAnsi="Garamond"/>
          <w:sz w:val="18"/>
          <w:szCs w:val="18"/>
        </w:rPr>
        <w:instrText xml:space="preserve"> NOTEREF _Ref214458687 \h </w:instrText>
      </w:r>
      <w:r w:rsidRPr="0037513D">
        <w:rPr>
          <w:rFonts w:ascii="Garamond" w:eastAsia="Times New Roman" w:hAnsi="Garamond"/>
          <w:sz w:val="18"/>
          <w:szCs w:val="18"/>
        </w:rPr>
        <w:instrText xml:space="preserve">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hAnsi="Garamond"/>
          <w:sz w:val="18"/>
          <w:szCs w:val="18"/>
        </w:rPr>
        <w:t>61</w:t>
      </w:r>
      <w:r w:rsidRPr="0037513D">
        <w:rPr>
          <w:rFonts w:ascii="Garamond" w:eastAsia="Times New Roman" w:hAnsi="Garamond"/>
          <w:sz w:val="18"/>
          <w:szCs w:val="18"/>
        </w:rPr>
        <w:fldChar w:fldCharType="end"/>
      </w:r>
      <w:r w:rsidRPr="0037513D">
        <w:rPr>
          <w:rFonts w:ascii="Garamond" w:hAnsi="Garamond"/>
          <w:sz w:val="18"/>
          <w:szCs w:val="18"/>
          <w:lang w:bidi="he-IL"/>
        </w:rPr>
        <w:t>,</w:t>
      </w:r>
      <w:r w:rsidRPr="0037513D">
        <w:rPr>
          <w:rFonts w:ascii="Garamond" w:hAnsi="Garamond"/>
          <w:sz w:val="18"/>
          <w:szCs w:val="18"/>
          <w:rtl/>
        </w:rPr>
        <w:t xml:space="preserve"> </w:t>
      </w:r>
      <w:r w:rsidRPr="0037513D">
        <w:rPr>
          <w:rFonts w:ascii="Garamond" w:hAnsi="Garamond"/>
          <w:sz w:val="18"/>
          <w:szCs w:val="18"/>
        </w:rPr>
        <w:t xml:space="preserve">at 301 (describing the various ways in which </w:t>
      </w:r>
      <w:r w:rsidRPr="0037513D">
        <w:rPr>
          <w:rFonts w:ascii="Garamond" w:eastAsia="Times New Roman" w:hAnsi="Garamond" w:cstheme="majorBidi"/>
          <w:sz w:val="18"/>
          <w:szCs w:val="18"/>
          <w:lang w:bidi="he-IL"/>
        </w:rPr>
        <w:t xml:space="preserve">AI optimizes advertising persuasiveness). </w:t>
      </w:r>
      <w:r w:rsidRPr="0037513D">
        <w:rPr>
          <w:rFonts w:ascii="Garamond" w:hAnsi="Garamond" w:cstheme="majorBidi"/>
          <w:sz w:val="18"/>
          <w:szCs w:val="18"/>
          <w:lang w:bidi="he-IL"/>
        </w:rPr>
        <w:t>Unsurprisingly, the global market revenues</w:t>
      </w:r>
      <w:r w:rsidRPr="0037513D">
        <w:rPr>
          <w:rFonts w:ascii="Garamond" w:eastAsia="Times New Roman" w:hAnsi="Garamond" w:cstheme="majorBidi"/>
          <w:sz w:val="18"/>
          <w:szCs w:val="18"/>
          <w:lang w:bidi="he-IL"/>
        </w:rPr>
        <w:t xml:space="preserve"> from AI-powered marketing are projected to reach approximately $36 billion by 2024. </w:t>
      </w:r>
      <w:r w:rsidRPr="0037513D">
        <w:rPr>
          <w:rFonts w:ascii="Garamond" w:eastAsia="Times New Roman" w:hAnsi="Garamond" w:cstheme="majorBidi"/>
          <w:i/>
          <w:iCs/>
          <w:sz w:val="18"/>
          <w:szCs w:val="18"/>
          <w:lang w:bidi="he-IL"/>
        </w:rPr>
        <w:t xml:space="preserve">See </w:t>
      </w:r>
      <w:r w:rsidRPr="0037513D">
        <w:rPr>
          <w:rFonts w:ascii="Garamond" w:hAnsi="Garamond"/>
          <w:sz w:val="18"/>
          <w:szCs w:val="18"/>
        </w:rPr>
        <w:t xml:space="preserve">Statista, </w:t>
      </w:r>
      <w:r w:rsidRPr="0037513D">
        <w:rPr>
          <w:rStyle w:val="Emphasis"/>
          <w:rFonts w:ascii="Garamond" w:hAnsi="Garamond"/>
          <w:sz w:val="18"/>
          <w:szCs w:val="18"/>
        </w:rPr>
        <w:t>Global Artificial Intelligence (AI) in Marketing Market Revenues Worldwide 2024</w:t>
      </w:r>
      <w:r w:rsidRPr="0037513D">
        <w:rPr>
          <w:rFonts w:ascii="Garamond" w:hAnsi="Garamond"/>
          <w:sz w:val="18"/>
          <w:szCs w:val="18"/>
        </w:rPr>
        <w:t xml:space="preserve"> (2024).</w:t>
      </w:r>
    </w:p>
  </w:footnote>
  <w:footnote w:id="105">
    <w:p w14:paraId="33837843" w14:textId="77777777" w:rsidR="00987B08" w:rsidRPr="0037513D" w:rsidRDefault="00987B08" w:rsidP="00987B0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generally </w:t>
      </w:r>
      <w:r w:rsidRPr="0037513D">
        <w:rPr>
          <w:rFonts w:ascii="Garamond" w:eastAsia="Times New Roman" w:hAnsi="Garamond"/>
          <w:sz w:val="18"/>
          <w:szCs w:val="18"/>
        </w:rPr>
        <w:t xml:space="preserve">Schmidt et </w:t>
      </w:r>
      <w:proofErr w:type="spellStart"/>
      <w:r w:rsidRPr="0037513D">
        <w:rPr>
          <w:rFonts w:ascii="Garamond" w:eastAsia="Times New Roman" w:hAnsi="Garamond"/>
          <w:sz w:val="18"/>
          <w:szCs w:val="18"/>
        </w:rPr>
        <w:t>al.m</w:t>
      </w:r>
      <w:proofErr w:type="spellEnd"/>
      <w:r w:rsidRPr="0037513D">
        <w:rPr>
          <w:rFonts w:ascii="Garamond" w:eastAsia="Times New Roman" w:hAnsi="Garamond"/>
          <w:sz w:val="18"/>
          <w:szCs w:val="18"/>
        </w:rPr>
        <w:t xml:space="preserve"> </w:t>
      </w:r>
      <w:r w:rsidRPr="0037513D">
        <w:rPr>
          <w:rFonts w:ascii="Garamond" w:eastAsia="Times New Roman" w:hAnsi="Garamond"/>
          <w:i/>
          <w:iCs/>
          <w:sz w:val="18"/>
          <w:szCs w:val="18"/>
        </w:rPr>
        <w:t xml:space="preserve">supra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_Ref214458918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19</w:t>
      </w:r>
      <w:r w:rsidRPr="0037513D">
        <w:rPr>
          <w:rFonts w:ascii="Garamond" w:eastAsia="Times New Roman" w:hAnsi="Garamond"/>
          <w:sz w:val="18"/>
          <w:szCs w:val="18"/>
        </w:rPr>
        <w:fldChar w:fldCharType="end"/>
      </w:r>
      <w:r w:rsidRPr="0037513D">
        <w:rPr>
          <w:rFonts w:ascii="Garamond" w:eastAsia="Times New Roman" w:hAnsi="Garamond"/>
          <w:sz w:val="18"/>
          <w:szCs w:val="18"/>
        </w:rPr>
        <w:t>.</w:t>
      </w:r>
    </w:p>
  </w:footnote>
  <w:footnote w:id="106">
    <w:p w14:paraId="31E38209" w14:textId="4001398A" w:rsidR="0094608D" w:rsidRPr="0037513D" w:rsidRDefault="0094608D" w:rsidP="00982077">
      <w:pPr>
        <w:pStyle w:val="FootnoteText"/>
        <w:spacing w:after="0" w:line="240" w:lineRule="auto"/>
        <w:contextualSpacing/>
        <w:jc w:val="both"/>
        <w:rPr>
          <w:rFonts w:ascii="Garamond" w:hAnsi="Garamond"/>
          <w:i/>
          <w:iCs/>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Cf. </w:t>
      </w:r>
      <w:r w:rsidRPr="0037513D">
        <w:rPr>
          <w:rFonts w:ascii="Garamond" w:eastAsia="Times New Roman" w:hAnsi="Garamond"/>
          <w:sz w:val="18"/>
          <w:szCs w:val="18"/>
        </w:rPr>
        <w:t xml:space="preserve"> </w:t>
      </w:r>
      <w:proofErr w:type="spellStart"/>
      <w:r w:rsidRPr="0037513D">
        <w:rPr>
          <w:rFonts w:ascii="Garamond" w:hAnsi="Garamond"/>
          <w:sz w:val="18"/>
          <w:szCs w:val="18"/>
        </w:rPr>
        <w:t>Spatharioti</w:t>
      </w:r>
      <w:proofErr w:type="spellEnd"/>
      <w:r w:rsidRPr="0037513D">
        <w:rPr>
          <w:rFonts w:ascii="Garamond" w:hAnsi="Garamond"/>
          <w:sz w:val="18"/>
          <w:szCs w:val="18"/>
        </w:rPr>
        <w:t xml:space="preserve"> et al., supra note </w:t>
      </w:r>
      <w:r w:rsidRPr="0037513D">
        <w:rPr>
          <w:rFonts w:ascii="Garamond" w:hAnsi="Garamond"/>
          <w:sz w:val="18"/>
          <w:szCs w:val="18"/>
        </w:rPr>
        <w:fldChar w:fldCharType="begin"/>
      </w:r>
      <w:r w:rsidRPr="0037513D">
        <w:rPr>
          <w:rFonts w:ascii="Garamond" w:hAnsi="Garamond"/>
          <w:sz w:val="18"/>
          <w:szCs w:val="18"/>
        </w:rPr>
        <w:instrText xml:space="preserve"> NOTEREF _Ref214387769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18</w:t>
      </w:r>
      <w:r w:rsidRPr="0037513D">
        <w:rPr>
          <w:rFonts w:ascii="Garamond" w:hAnsi="Garamond"/>
          <w:sz w:val="18"/>
          <w:szCs w:val="18"/>
        </w:rPr>
        <w:fldChar w:fldCharType="end"/>
      </w:r>
      <w:r w:rsidRPr="0037513D">
        <w:rPr>
          <w:rFonts w:ascii="Garamond" w:hAnsi="Garamond"/>
          <w:sz w:val="18"/>
          <w:szCs w:val="18"/>
        </w:rPr>
        <w:t xml:space="preserve"> at 15</w:t>
      </w:r>
      <w:r w:rsidRPr="0037513D">
        <w:rPr>
          <w:rFonts w:ascii="Garamond" w:hAnsi="Garamond"/>
          <w:sz w:val="18"/>
          <w:szCs w:val="18"/>
          <w:lang w:bidi="he-IL"/>
        </w:rPr>
        <w:t xml:space="preserve"> </w:t>
      </w:r>
      <w:r w:rsidRPr="0037513D">
        <w:rPr>
          <w:rFonts w:ascii="Garamond" w:hAnsi="Garamond"/>
          <w:sz w:val="18"/>
          <w:szCs w:val="18"/>
        </w:rPr>
        <w:t>(</w:t>
      </w:r>
      <w:r w:rsidR="00E7412E" w:rsidRPr="0037513D">
        <w:rPr>
          <w:rFonts w:ascii="Garamond" w:hAnsi="Garamond"/>
          <w:sz w:val="18"/>
          <w:szCs w:val="18"/>
        </w:rPr>
        <w:t xml:space="preserve">noting that information signals from LLM may induce consumers’ action. </w:t>
      </w:r>
      <w:r w:rsidR="007B1307" w:rsidRPr="0037513D">
        <w:rPr>
          <w:rFonts w:ascii="Garamond" w:hAnsi="Garamond"/>
          <w:sz w:val="18"/>
          <w:szCs w:val="18"/>
        </w:rPr>
        <w:t>For example, they “</w:t>
      </w:r>
      <w:r w:rsidRPr="0037513D">
        <w:rPr>
          <w:rFonts w:ascii="Garamond" w:hAnsi="Garamond"/>
          <w:sz w:val="18"/>
          <w:szCs w:val="18"/>
        </w:rPr>
        <w:t>observed that providing signals of the LLM’s low confidence in certain measurements led to users doing more searches to uncover information”).</w:t>
      </w:r>
    </w:p>
  </w:footnote>
  <w:footnote w:id="107">
    <w:p w14:paraId="4232D544" w14:textId="77777777" w:rsidR="00944C03" w:rsidRPr="0037513D" w:rsidRDefault="00944C03" w:rsidP="00944C03">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Compare </w:t>
      </w:r>
      <w:r w:rsidRPr="0037513D">
        <w:rPr>
          <w:rFonts w:ascii="Garamond" w:hAnsi="Garamond"/>
          <w:sz w:val="18"/>
          <w:szCs w:val="18"/>
        </w:rPr>
        <w:t xml:space="preserve">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xml:space="preserve">, at 14 (finding that the presence of sponsorship links in Chatbot responses leads users to view the chatbot and its responses less favorably—a finding that might discourage chatbot companies from incorporating sponsorship disclosures within their chatbot conversations), with this study’s findings, which do not demonstrate such negative attitudinal effects. </w:t>
      </w:r>
      <w:r w:rsidRPr="0037513D">
        <w:rPr>
          <w:rFonts w:ascii="Garamond" w:hAnsi="Garamond"/>
          <w:i/>
          <w:iCs/>
          <w:sz w:val="18"/>
          <w:szCs w:val="18"/>
        </w:rPr>
        <w:t xml:space="preserve">See also </w:t>
      </w:r>
      <w:r w:rsidRPr="0037513D">
        <w:rPr>
          <w:rFonts w:ascii="Garamond" w:hAnsi="Garamond"/>
          <w:sz w:val="18"/>
          <w:szCs w:val="18"/>
        </w:rPr>
        <w:t xml:space="preserve">Dentsu Inc., </w:t>
      </w:r>
      <w:r w:rsidRPr="0037513D">
        <w:rPr>
          <w:rStyle w:val="Emphasis"/>
          <w:rFonts w:ascii="Garamond" w:hAnsi="Garamond"/>
          <w:sz w:val="18"/>
          <w:szCs w:val="18"/>
        </w:rPr>
        <w:t>Dentsu Consumer Navigator: Generative AI 2023</w:t>
      </w:r>
      <w:r w:rsidRPr="0037513D">
        <w:rPr>
          <w:rFonts w:ascii="Garamond" w:hAnsi="Garamond"/>
          <w:sz w:val="18"/>
          <w:szCs w:val="18"/>
        </w:rPr>
        <w:t>, at 4 (Mar. 2023</w:t>
      </w:r>
      <w:r w:rsidRPr="0037513D">
        <w:rPr>
          <w:rFonts w:ascii="Garamond" w:hAnsi="Garamond" w:cstheme="majorBidi"/>
          <w:sz w:val="18"/>
          <w:szCs w:val="18"/>
        </w:rPr>
        <w:t>)</w:t>
      </w:r>
      <w:r w:rsidRPr="0037513D">
        <w:rPr>
          <w:rFonts w:ascii="Garamond" w:hAnsi="Garamond" w:cstheme="majorBidi"/>
          <w:sz w:val="18"/>
          <w:szCs w:val="18"/>
          <w:lang w:bidi="he-IL"/>
        </w:rPr>
        <w:t xml:space="preserve"> (demonstrate that consumers appreciate transparency from GenAI chatbots); </w:t>
      </w:r>
      <w:r w:rsidRPr="0037513D">
        <w:rPr>
          <w:rFonts w:ascii="Garamond" w:hAnsi="Garamond"/>
          <w:sz w:val="18"/>
          <w:szCs w:val="18"/>
        </w:rPr>
        <w:t xml:space="preserve">Jamie L. Grigsby, Meg Michelsen &amp; César Zamudio, </w:t>
      </w:r>
      <w:r w:rsidRPr="0037513D">
        <w:rPr>
          <w:rFonts w:ascii="Garamond" w:hAnsi="Garamond"/>
          <w:i/>
          <w:iCs/>
          <w:sz w:val="18"/>
          <w:szCs w:val="18"/>
        </w:rPr>
        <w:t>Service Ads in the Era of Generative AI: Disclosures, Trust, and Intangibility,</w:t>
      </w:r>
      <w:r w:rsidRPr="0037513D">
        <w:rPr>
          <w:rFonts w:ascii="Garamond" w:hAnsi="Garamond"/>
          <w:sz w:val="18"/>
          <w:szCs w:val="18"/>
        </w:rPr>
        <w:t xml:space="preserve"> </w:t>
      </w:r>
      <w:r w:rsidRPr="0037513D">
        <w:rPr>
          <w:rFonts w:ascii="Garamond" w:hAnsi="Garamond"/>
          <w:smallCaps/>
          <w:sz w:val="18"/>
          <w:szCs w:val="18"/>
        </w:rPr>
        <w:t xml:space="preserve">84 J. Retailing &amp; Consumer Serv. </w:t>
      </w:r>
      <w:r w:rsidRPr="0037513D">
        <w:rPr>
          <w:rFonts w:ascii="Garamond" w:hAnsi="Garamond"/>
          <w:sz w:val="18"/>
          <w:szCs w:val="18"/>
        </w:rPr>
        <w:t xml:space="preserve">(2025) </w:t>
      </w:r>
      <w:r w:rsidRPr="0037513D">
        <w:rPr>
          <w:rFonts w:ascii="Garamond" w:hAnsi="Garamond"/>
          <w:sz w:val="18"/>
          <w:szCs w:val="18"/>
          <w:lang w:bidi="he-IL"/>
        </w:rPr>
        <w:t>(similar</w:t>
      </w:r>
      <w:r w:rsidRPr="0037513D">
        <w:rPr>
          <w:rFonts w:ascii="Garamond" w:hAnsi="Garamond" w:cstheme="majorBidi"/>
          <w:sz w:val="18"/>
          <w:szCs w:val="18"/>
          <w:lang w:bidi="he-IL"/>
        </w:rPr>
        <w:t>);</w:t>
      </w:r>
      <w:r w:rsidRPr="0037513D">
        <w:rPr>
          <w:rFonts w:ascii="Garamond" w:hAnsi="Garamond" w:cstheme="majorBidi"/>
          <w:sz w:val="18"/>
          <w:szCs w:val="18"/>
        </w:rPr>
        <w:t xml:space="preserve"> </w:t>
      </w:r>
      <w:r w:rsidRPr="0037513D">
        <w:rPr>
          <w:rFonts w:ascii="Garamond" w:hAnsi="Garamond"/>
          <w:sz w:val="18"/>
          <w:szCs w:val="18"/>
        </w:rPr>
        <w:t xml:space="preserve">Baek, Kim &amp; Kim,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_Ref214388286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80</w:t>
      </w:r>
      <w:r w:rsidRPr="0037513D">
        <w:rPr>
          <w:rFonts w:ascii="Garamond" w:hAnsi="Garamond"/>
          <w:sz w:val="18"/>
          <w:szCs w:val="18"/>
        </w:rPr>
        <w:fldChar w:fldCharType="end"/>
      </w:r>
      <w:r w:rsidRPr="0037513D">
        <w:rPr>
          <w:rFonts w:ascii="Garamond" w:hAnsi="Garamond"/>
          <w:sz w:val="18"/>
          <w:szCs w:val="18"/>
        </w:rPr>
        <w:t xml:space="preserve"> at 3–4.</w:t>
      </w:r>
      <w:r w:rsidRPr="0037513D">
        <w:rPr>
          <w:rFonts w:ascii="Garamond" w:hAnsi="Garamond" w:cstheme="majorBidi"/>
          <w:sz w:val="18"/>
          <w:szCs w:val="18"/>
          <w:lang w:bidi="he-IL"/>
        </w:rPr>
        <w:t xml:space="preserve"> (similar).</w:t>
      </w:r>
    </w:p>
  </w:footnote>
  <w:footnote w:id="108">
    <w:p w14:paraId="6FFFFF03" w14:textId="77777777" w:rsidR="00CA1282" w:rsidRPr="0037513D" w:rsidRDefault="00CA1282" w:rsidP="00CA128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Jhawar, Varshney, &amp; Kumar, S</w:t>
      </w:r>
      <w:r w:rsidRPr="0037513D">
        <w:rPr>
          <w:rFonts w:ascii="Garamond" w:hAnsi="Garamond"/>
          <w:i/>
          <w:iCs/>
          <w:sz w:val="18"/>
          <w:szCs w:val="18"/>
        </w:rPr>
        <w:t xml:space="preserve">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i/>
          <w:iCs/>
          <w:sz w:val="18"/>
          <w:szCs w:val="18"/>
        </w:rPr>
        <w:t xml:space="preserve"> </w:t>
      </w:r>
      <w:r w:rsidRPr="0037513D">
        <w:rPr>
          <w:rFonts w:ascii="Garamond" w:hAnsi="Garamond"/>
          <w:sz w:val="18"/>
          <w:szCs w:val="18"/>
        </w:rPr>
        <w:t>at 1599</w:t>
      </w:r>
      <w:r w:rsidRPr="0037513D">
        <w:rPr>
          <w:rFonts w:ascii="Garamond" w:hAnsi="Garamond" w:cstheme="majorBidi"/>
          <w:sz w:val="18"/>
          <w:szCs w:val="18"/>
          <w:lang w:bidi="he-IL"/>
        </w:rPr>
        <w:t xml:space="preserve">; </w:t>
      </w:r>
      <w:r w:rsidRPr="0037513D">
        <w:rPr>
          <w:rStyle w:val="Strong"/>
          <w:rFonts w:ascii="Garamond" w:hAnsi="Garamond"/>
          <w:b w:val="0"/>
          <w:bCs w:val="0"/>
          <w:sz w:val="18"/>
          <w:szCs w:val="18"/>
        </w:rPr>
        <w:t xml:space="preserve">Friestad &amp; Wright, </w:t>
      </w:r>
      <w:r w:rsidRPr="0037513D">
        <w:rPr>
          <w:rStyle w:val="Strong"/>
          <w:rFonts w:ascii="Garamond" w:hAnsi="Garamond"/>
          <w:b w:val="0"/>
          <w:bCs w:val="0"/>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3.</w:t>
      </w:r>
    </w:p>
  </w:footnote>
  <w:footnote w:id="109">
    <w:p w14:paraId="5EFAD556" w14:textId="77777777" w:rsidR="00CA1282" w:rsidRPr="0037513D" w:rsidRDefault="00CA1282" w:rsidP="00CA1282">
      <w:pPr>
        <w:autoSpaceDE w:val="0"/>
        <w:autoSpaceDN w:val="0"/>
        <w:adjustRightInd w:val="0"/>
        <w:spacing w:after="0" w:line="240" w:lineRule="auto"/>
        <w:contextualSpacing/>
        <w:jc w:val="both"/>
        <w:rPr>
          <w:rFonts w:ascii="Garamond" w:eastAsia="Times New Roman"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Friestad &amp; Wright, </w:t>
      </w:r>
      <w:r w:rsidRPr="0037513D">
        <w:rPr>
          <w:rStyle w:val="Strong"/>
          <w:rFonts w:ascii="Garamond" w:hAnsi="Garamond"/>
          <w:b w:val="0"/>
          <w:bCs w:val="0"/>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xml:space="preserve"> at 3; Evans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138–49</w:t>
      </w:r>
      <w:r w:rsidRPr="0037513D">
        <w:rPr>
          <w:rFonts w:ascii="Garamond" w:hAnsi="Garamond" w:cstheme="majorBidi"/>
          <w:sz w:val="18"/>
          <w:szCs w:val="18"/>
        </w:rPr>
        <w:t>.</w:t>
      </w:r>
    </w:p>
  </w:footnote>
  <w:footnote w:id="110">
    <w:p w14:paraId="523AD017" w14:textId="77777777" w:rsidR="00FF352B" w:rsidRPr="0037513D" w:rsidRDefault="00FF352B" w:rsidP="00FF352B">
      <w:pPr>
        <w:pStyle w:val="FootnoteText"/>
        <w:spacing w:after="0" w:line="240" w:lineRule="auto"/>
        <w:contextualSpacing/>
        <w:jc w:val="both"/>
        <w:rPr>
          <w:rFonts w:ascii="Garamond" w:hAnsi="Garamond" w:cstheme="majorBidi"/>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i/>
          <w:iCs/>
          <w:sz w:val="18"/>
          <w:szCs w:val="18"/>
        </w:rPr>
        <w:t xml:space="preserve">See </w:t>
      </w:r>
      <w:r w:rsidRPr="0037513D">
        <w:rPr>
          <w:rFonts w:ascii="Garamond" w:hAnsi="Garamond"/>
          <w:sz w:val="18"/>
          <w:szCs w:val="18"/>
        </w:rPr>
        <w:t>Evans</w:t>
      </w:r>
      <w:r w:rsidRPr="0037513D">
        <w:rPr>
          <w:rFonts w:ascii="Garamond" w:hAnsi="Garamond"/>
          <w:sz w:val="18"/>
          <w:szCs w:val="18"/>
          <w:rtl/>
          <w:lang w:bidi="he-IL"/>
        </w:rPr>
        <w:t xml:space="preserve"> </w:t>
      </w:r>
      <w:r w:rsidRPr="0037513D">
        <w:rPr>
          <w:rFonts w:ascii="Garamond" w:hAnsi="Garamond"/>
          <w:sz w:val="18"/>
          <w:szCs w:val="18"/>
          <w:lang w:bidi="he-IL"/>
        </w:rPr>
        <w:t>e</w:t>
      </w:r>
      <w:r w:rsidRPr="0037513D">
        <w:rPr>
          <w:rFonts w:ascii="Garamond" w:hAnsi="Garamond"/>
          <w:sz w:val="18"/>
          <w:szCs w:val="18"/>
        </w:rPr>
        <w:t xml:space="preserve">t al., </w:t>
      </w:r>
      <w:r w:rsidRPr="0037513D">
        <w:rPr>
          <w:rFonts w:ascii="Garamond" w:hAnsi="Garamond" w:cstheme="majorBidi"/>
          <w:i/>
          <w:iCs/>
          <w:sz w:val="18"/>
          <w:szCs w:val="18"/>
        </w:rPr>
        <w:t xml:space="preserve">supra </w:t>
      </w:r>
      <w:r w:rsidRPr="0037513D">
        <w:rPr>
          <w:rFonts w:ascii="Garamond" w:hAnsi="Garamond" w:cstheme="majorBidi"/>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cstheme="majorBidi"/>
          <w:sz w:val="18"/>
          <w:szCs w:val="18"/>
          <w:lang w:bidi="he-IL"/>
        </w:rPr>
        <w:t xml:space="preserve">, at 140; </w:t>
      </w:r>
      <w:r w:rsidRPr="0037513D">
        <w:rPr>
          <w:rFonts w:ascii="Garamond" w:hAnsi="Garamond"/>
          <w:i/>
          <w:iCs/>
          <w:sz w:val="18"/>
          <w:szCs w:val="18"/>
        </w:rPr>
        <w:t>See</w:t>
      </w:r>
      <w:r w:rsidRPr="0037513D">
        <w:rPr>
          <w:rFonts w:ascii="Garamond" w:hAnsi="Garamond"/>
          <w:sz w:val="18"/>
          <w:szCs w:val="18"/>
        </w:rPr>
        <w:t xml:space="preserve"> Friestad &amp; Wright,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3</w:t>
      </w:r>
      <w:r w:rsidRPr="0037513D">
        <w:rPr>
          <w:rFonts w:ascii="Garamond" w:hAnsi="Garamond" w:cstheme="majorBidi"/>
          <w:sz w:val="18"/>
          <w:szCs w:val="18"/>
        </w:rPr>
        <w:t>;</w:t>
      </w:r>
      <w:r w:rsidRPr="0037513D">
        <w:rPr>
          <w:rFonts w:ascii="Garamond" w:hAnsi="Garamond"/>
          <w:sz w:val="18"/>
          <w:szCs w:val="18"/>
          <w:rtl/>
          <w:lang w:bidi="he-IL"/>
        </w:rPr>
        <w:t xml:space="preserve"> </w:t>
      </w:r>
      <w:r w:rsidRPr="0037513D">
        <w:rPr>
          <w:rFonts w:ascii="Garamond" w:hAnsi="Garamond"/>
          <w:sz w:val="18"/>
          <w:szCs w:val="18"/>
        </w:rPr>
        <w:t>Peter</w:t>
      </w:r>
      <w:r w:rsidRPr="0037513D">
        <w:rPr>
          <w:rFonts w:ascii="Garamond" w:hAnsi="Garamond"/>
          <w:sz w:val="18"/>
          <w:szCs w:val="18"/>
          <w:rtl/>
          <w:lang w:bidi="he-IL"/>
        </w:rPr>
        <w:t xml:space="preserve"> </w:t>
      </w:r>
      <w:r w:rsidRPr="0037513D">
        <w:rPr>
          <w:rFonts w:ascii="Garamond" w:hAnsi="Garamond"/>
          <w:sz w:val="18"/>
          <w:szCs w:val="18"/>
        </w:rPr>
        <w:t>Wright, Marian Friestad</w:t>
      </w:r>
      <w:r w:rsidRPr="0037513D">
        <w:rPr>
          <w:rFonts w:ascii="Garamond" w:hAnsi="Garamond"/>
          <w:sz w:val="18"/>
          <w:szCs w:val="18"/>
          <w:rtl/>
          <w:lang w:bidi="he-IL"/>
        </w:rPr>
        <w:t xml:space="preserve"> </w:t>
      </w:r>
      <w:r w:rsidRPr="0037513D">
        <w:rPr>
          <w:rFonts w:ascii="Garamond" w:hAnsi="Garamond" w:cstheme="majorBidi"/>
          <w:sz w:val="18"/>
          <w:szCs w:val="18"/>
        </w:rPr>
        <w:t xml:space="preserve">&amp; </w:t>
      </w:r>
      <w:r w:rsidRPr="0037513D">
        <w:rPr>
          <w:rFonts w:ascii="Garamond" w:hAnsi="Garamond"/>
          <w:sz w:val="18"/>
          <w:szCs w:val="18"/>
        </w:rPr>
        <w:t xml:space="preserve">David M. Boush,  </w:t>
      </w:r>
      <w:r w:rsidRPr="0037513D">
        <w:rPr>
          <w:rFonts w:ascii="Garamond" w:hAnsi="Garamond" w:cstheme="majorBidi"/>
          <w:i/>
          <w:iCs/>
          <w:sz w:val="18"/>
          <w:szCs w:val="18"/>
        </w:rPr>
        <w:t>The Development of Marketplace Persuasion Knowledge in Children, Adolescents, and Young</w:t>
      </w:r>
      <w:r w:rsidRPr="0037513D">
        <w:rPr>
          <w:rFonts w:ascii="Garamond" w:hAnsi="Garamond" w:cstheme="majorBidi"/>
          <w:i/>
          <w:iCs/>
          <w:sz w:val="18"/>
          <w:szCs w:val="18"/>
          <w:rtl/>
          <w:lang w:bidi="he-IL"/>
        </w:rPr>
        <w:t xml:space="preserve"> </w:t>
      </w:r>
      <w:r w:rsidRPr="0037513D">
        <w:rPr>
          <w:rFonts w:ascii="Garamond" w:hAnsi="Garamond" w:cstheme="majorBidi"/>
          <w:i/>
          <w:iCs/>
          <w:sz w:val="18"/>
          <w:szCs w:val="18"/>
        </w:rPr>
        <w:t>Adults</w:t>
      </w:r>
      <w:r w:rsidRPr="0037513D">
        <w:rPr>
          <w:rFonts w:ascii="Garamond" w:hAnsi="Garamond"/>
          <w:sz w:val="18"/>
          <w:szCs w:val="18"/>
        </w:rPr>
        <w:t xml:space="preserve">, </w:t>
      </w:r>
      <w:r w:rsidRPr="0037513D">
        <w:rPr>
          <w:rFonts w:ascii="Garamond" w:hAnsi="Garamond"/>
          <w:sz w:val="18"/>
          <w:szCs w:val="18"/>
          <w:lang w:bidi="he-IL"/>
        </w:rPr>
        <w:t>24</w:t>
      </w:r>
      <w:r w:rsidRPr="0037513D">
        <w:rPr>
          <w:rFonts w:ascii="Garamond" w:hAnsi="Garamond"/>
          <w:sz w:val="18"/>
          <w:szCs w:val="18"/>
        </w:rPr>
        <w:t xml:space="preserve"> </w:t>
      </w:r>
      <w:r w:rsidRPr="0037513D">
        <w:rPr>
          <w:rFonts w:ascii="Garamond" w:hAnsi="Garamond"/>
          <w:smallCaps/>
          <w:sz w:val="18"/>
          <w:szCs w:val="18"/>
        </w:rPr>
        <w:t>J. Pub</w:t>
      </w:r>
      <w:r w:rsidRPr="0037513D">
        <w:rPr>
          <w:rFonts w:ascii="Garamond" w:hAnsi="Garamond"/>
          <w:smallCaps/>
          <w:sz w:val="18"/>
          <w:szCs w:val="18"/>
          <w:rtl/>
          <w:lang w:bidi="he-IL"/>
        </w:rPr>
        <w:t>.</w:t>
      </w:r>
      <w:r w:rsidRPr="0037513D">
        <w:rPr>
          <w:rFonts w:ascii="Garamond" w:hAnsi="Garamond"/>
          <w:smallCaps/>
          <w:sz w:val="18"/>
          <w:szCs w:val="18"/>
        </w:rPr>
        <w:t xml:space="preserve"> Pol</w:t>
      </w:r>
      <w:r w:rsidRPr="0037513D">
        <w:rPr>
          <w:rFonts w:ascii="Garamond" w:hAnsi="Garamond"/>
          <w:smallCaps/>
          <w:sz w:val="18"/>
          <w:szCs w:val="18"/>
          <w:rtl/>
          <w:lang w:bidi="he-IL"/>
        </w:rPr>
        <w:t>׳</w:t>
      </w:r>
      <w:r w:rsidRPr="0037513D">
        <w:rPr>
          <w:rFonts w:ascii="Garamond" w:hAnsi="Garamond"/>
          <w:smallCaps/>
          <w:sz w:val="18"/>
          <w:szCs w:val="18"/>
        </w:rPr>
        <w:t xml:space="preserve">y </w:t>
      </w:r>
      <w:r w:rsidRPr="0037513D">
        <w:rPr>
          <w:rFonts w:ascii="Garamond" w:hAnsi="Garamond" w:cstheme="majorBidi"/>
          <w:smallCaps/>
          <w:sz w:val="18"/>
          <w:szCs w:val="18"/>
        </w:rPr>
        <w:t xml:space="preserve">&amp; </w:t>
      </w:r>
      <w:r w:rsidRPr="0037513D">
        <w:rPr>
          <w:rFonts w:ascii="Garamond" w:hAnsi="Garamond"/>
          <w:smallCaps/>
          <w:sz w:val="18"/>
          <w:szCs w:val="18"/>
        </w:rPr>
        <w:t>Marketing</w:t>
      </w:r>
      <w:r w:rsidRPr="0037513D">
        <w:rPr>
          <w:rFonts w:ascii="Garamond" w:hAnsi="Garamond"/>
          <w:sz w:val="18"/>
          <w:szCs w:val="18"/>
          <w:lang w:bidi="he-IL"/>
        </w:rPr>
        <w:t>,</w:t>
      </w:r>
      <w:r w:rsidRPr="0037513D">
        <w:rPr>
          <w:rFonts w:ascii="Garamond" w:hAnsi="Garamond"/>
          <w:sz w:val="18"/>
          <w:szCs w:val="18"/>
        </w:rPr>
        <w:t xml:space="preserve"> 222</w:t>
      </w:r>
      <w:r w:rsidRPr="0037513D">
        <w:rPr>
          <w:rFonts w:ascii="Garamond" w:hAnsi="Garamond"/>
          <w:sz w:val="18"/>
          <w:szCs w:val="18"/>
          <w:rtl/>
          <w:lang w:bidi="he-IL"/>
        </w:rPr>
        <w:t>,</w:t>
      </w:r>
      <w:r w:rsidRPr="0037513D">
        <w:rPr>
          <w:rFonts w:ascii="Garamond" w:hAnsi="Garamond"/>
          <w:sz w:val="18"/>
          <w:szCs w:val="18"/>
          <w:lang w:bidi="he-IL"/>
        </w:rPr>
        <w:t xml:space="preserve"> 228 (2005)</w:t>
      </w:r>
      <w:r w:rsidRPr="0037513D">
        <w:rPr>
          <w:rFonts w:ascii="Garamond" w:hAnsi="Garamond"/>
          <w:sz w:val="18"/>
          <w:szCs w:val="18"/>
        </w:rPr>
        <w:t>.</w:t>
      </w:r>
    </w:p>
  </w:footnote>
  <w:footnote w:id="111">
    <w:p w14:paraId="56698DA2" w14:textId="7B1D4CA3" w:rsidR="002B069C" w:rsidRPr="0037513D" w:rsidRDefault="00D2345E"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450647" w:rsidRPr="0037513D">
        <w:rPr>
          <w:rFonts w:ascii="Garamond" w:hAnsi="Garamond"/>
          <w:sz w:val="18"/>
          <w:szCs w:val="18"/>
        </w:rPr>
        <w:t xml:space="preserve">Sophie C. Boerman, Lotte M. Willemsen &amp; Eva P. Van Der Aa, </w:t>
      </w:r>
      <w:r w:rsidR="00450647" w:rsidRPr="0037513D">
        <w:rPr>
          <w:rFonts w:ascii="Garamond" w:hAnsi="Garamond"/>
          <w:i/>
          <w:iCs/>
          <w:sz w:val="18"/>
          <w:szCs w:val="18"/>
        </w:rPr>
        <w:t>“This Post Is Sponsored”: Effects of Sponsorship Disclosure on Persuasion Knowledge and Electronic Word of Mouth in the Context of Facebook</w:t>
      </w:r>
      <w:r w:rsidR="00450647" w:rsidRPr="0037513D">
        <w:rPr>
          <w:rFonts w:ascii="Garamond" w:hAnsi="Garamond"/>
          <w:sz w:val="18"/>
          <w:szCs w:val="18"/>
        </w:rPr>
        <w:t>,</w:t>
      </w:r>
      <w:r w:rsidR="00450647" w:rsidRPr="0037513D">
        <w:rPr>
          <w:rFonts w:ascii="Garamond" w:hAnsi="Garamond"/>
          <w:smallCaps/>
          <w:sz w:val="18"/>
          <w:szCs w:val="18"/>
        </w:rPr>
        <w:t xml:space="preserve"> </w:t>
      </w:r>
      <w:r w:rsidR="00450647" w:rsidRPr="0037513D">
        <w:rPr>
          <w:rFonts w:ascii="Garamond" w:hAnsi="Garamond"/>
          <w:i/>
          <w:iCs/>
          <w:smallCaps/>
          <w:sz w:val="18"/>
          <w:szCs w:val="18"/>
        </w:rPr>
        <w:t xml:space="preserve">38 </w:t>
      </w:r>
      <w:r w:rsidR="00450647" w:rsidRPr="0037513D">
        <w:rPr>
          <w:rStyle w:val="Emphasis"/>
          <w:rFonts w:ascii="Garamond" w:hAnsi="Garamond"/>
          <w:i w:val="0"/>
          <w:iCs w:val="0"/>
          <w:smallCaps/>
          <w:sz w:val="18"/>
          <w:szCs w:val="18"/>
        </w:rPr>
        <w:t>J. Interactive  Mktg</w:t>
      </w:r>
      <w:r w:rsidR="00450647" w:rsidRPr="0037513D">
        <w:rPr>
          <w:rStyle w:val="Emphasis"/>
          <w:rFonts w:ascii="Garamond" w:hAnsi="Garamond"/>
          <w:sz w:val="18"/>
          <w:szCs w:val="18"/>
        </w:rPr>
        <w:t>.</w:t>
      </w:r>
      <w:r w:rsidR="00450647" w:rsidRPr="0037513D">
        <w:rPr>
          <w:rFonts w:ascii="Garamond" w:hAnsi="Garamond"/>
          <w:sz w:val="18"/>
          <w:szCs w:val="18"/>
        </w:rPr>
        <w:t xml:space="preserve"> 82–92 (2017); Sophie C. Boerman, Eva A. Van </w:t>
      </w:r>
      <w:proofErr w:type="spellStart"/>
      <w:r w:rsidR="00450647" w:rsidRPr="0037513D">
        <w:rPr>
          <w:rFonts w:ascii="Garamond" w:hAnsi="Garamond"/>
          <w:sz w:val="18"/>
          <w:szCs w:val="18"/>
        </w:rPr>
        <w:t>Reijmersdal</w:t>
      </w:r>
      <w:proofErr w:type="spellEnd"/>
      <w:r w:rsidR="00450647" w:rsidRPr="0037513D">
        <w:rPr>
          <w:rFonts w:ascii="Garamond" w:hAnsi="Garamond"/>
          <w:sz w:val="18"/>
          <w:szCs w:val="18"/>
        </w:rPr>
        <w:t xml:space="preserve"> </w:t>
      </w:r>
      <w:r w:rsidR="00450647" w:rsidRPr="0037513D">
        <w:rPr>
          <w:rFonts w:ascii="Garamond" w:hAnsi="Garamond" w:cstheme="majorBidi"/>
          <w:sz w:val="18"/>
          <w:szCs w:val="18"/>
        </w:rPr>
        <w:t xml:space="preserve">&amp; </w:t>
      </w:r>
      <w:r w:rsidR="00450647" w:rsidRPr="0037513D">
        <w:rPr>
          <w:rFonts w:ascii="Garamond" w:hAnsi="Garamond"/>
          <w:sz w:val="18"/>
          <w:szCs w:val="18"/>
        </w:rPr>
        <w:t xml:space="preserve"> Peter C. </w:t>
      </w:r>
      <w:proofErr w:type="spellStart"/>
      <w:r w:rsidR="00450647" w:rsidRPr="0037513D">
        <w:rPr>
          <w:rFonts w:ascii="Garamond" w:hAnsi="Garamond"/>
          <w:sz w:val="18"/>
          <w:szCs w:val="18"/>
        </w:rPr>
        <w:t>Neijens</w:t>
      </w:r>
      <w:proofErr w:type="spellEnd"/>
      <w:r w:rsidR="00450647" w:rsidRPr="0037513D">
        <w:rPr>
          <w:rFonts w:ascii="Garamond" w:hAnsi="Garamond"/>
          <w:sz w:val="18"/>
          <w:szCs w:val="18"/>
        </w:rPr>
        <w:t xml:space="preserve">, </w:t>
      </w:r>
      <w:r w:rsidR="00450647" w:rsidRPr="0037513D">
        <w:rPr>
          <w:rFonts w:ascii="Garamond" w:hAnsi="Garamond" w:cstheme="majorBidi"/>
          <w:i/>
          <w:iCs/>
          <w:sz w:val="18"/>
          <w:szCs w:val="18"/>
        </w:rPr>
        <w:t>Sponsorship Disclosure: Effects of Duration on Persuasion Knowledge and Brand Responses</w:t>
      </w:r>
      <w:r w:rsidR="00450647" w:rsidRPr="0037513D">
        <w:rPr>
          <w:rFonts w:ascii="Garamond" w:hAnsi="Garamond"/>
          <w:sz w:val="18"/>
          <w:szCs w:val="18"/>
        </w:rPr>
        <w:t xml:space="preserve">, 62 </w:t>
      </w:r>
      <w:r w:rsidR="00450647" w:rsidRPr="0037513D">
        <w:rPr>
          <w:rFonts w:ascii="Garamond" w:hAnsi="Garamond"/>
          <w:smallCaps/>
          <w:sz w:val="18"/>
          <w:szCs w:val="18"/>
        </w:rPr>
        <w:t>J. Commun</w:t>
      </w:r>
      <w:r w:rsidR="00450647" w:rsidRPr="0037513D">
        <w:rPr>
          <w:rFonts w:ascii="Garamond" w:hAnsi="Garamond"/>
          <w:sz w:val="18"/>
          <w:szCs w:val="18"/>
        </w:rPr>
        <w:t>. 1047</w:t>
      </w:r>
      <w:r w:rsidR="00450647" w:rsidRPr="0037513D">
        <w:rPr>
          <w:rFonts w:ascii="Garamond" w:hAnsi="Garamond"/>
          <w:sz w:val="18"/>
          <w:szCs w:val="18"/>
          <w:lang w:bidi="he-IL"/>
        </w:rPr>
        <w:t xml:space="preserve">, 1049 </w:t>
      </w:r>
      <w:r w:rsidR="00450647" w:rsidRPr="0037513D">
        <w:rPr>
          <w:rFonts w:ascii="Garamond" w:hAnsi="Garamond"/>
          <w:sz w:val="18"/>
          <w:szCs w:val="18"/>
        </w:rPr>
        <w:t xml:space="preserve">(2012); Esther Rozendaal, Matthew A. Lapierre, Eva A. Van </w:t>
      </w:r>
      <w:proofErr w:type="spellStart"/>
      <w:r w:rsidR="00450647" w:rsidRPr="0037513D">
        <w:rPr>
          <w:rFonts w:ascii="Garamond" w:hAnsi="Garamond"/>
          <w:sz w:val="18"/>
          <w:szCs w:val="18"/>
        </w:rPr>
        <w:t>Reijmersdal</w:t>
      </w:r>
      <w:proofErr w:type="spellEnd"/>
      <w:r w:rsidR="00450647" w:rsidRPr="0037513D">
        <w:rPr>
          <w:rFonts w:ascii="Garamond" w:hAnsi="Garamond"/>
          <w:sz w:val="18"/>
          <w:szCs w:val="18"/>
        </w:rPr>
        <w:t xml:space="preserve"> </w:t>
      </w:r>
      <w:r w:rsidR="00450647" w:rsidRPr="0037513D">
        <w:rPr>
          <w:rFonts w:ascii="Garamond" w:hAnsi="Garamond" w:cstheme="majorBidi"/>
          <w:sz w:val="18"/>
          <w:szCs w:val="18"/>
        </w:rPr>
        <w:t xml:space="preserve">&amp; </w:t>
      </w:r>
      <w:r w:rsidR="00450647" w:rsidRPr="0037513D">
        <w:rPr>
          <w:rFonts w:ascii="Garamond" w:hAnsi="Garamond"/>
          <w:sz w:val="18"/>
          <w:szCs w:val="18"/>
        </w:rPr>
        <w:t xml:space="preserve">Moniek </w:t>
      </w:r>
      <w:proofErr w:type="spellStart"/>
      <w:r w:rsidR="00450647" w:rsidRPr="0037513D">
        <w:rPr>
          <w:rFonts w:ascii="Garamond" w:hAnsi="Garamond"/>
          <w:sz w:val="18"/>
          <w:szCs w:val="18"/>
        </w:rPr>
        <w:t>Buijzen</w:t>
      </w:r>
      <w:proofErr w:type="spellEnd"/>
      <w:r w:rsidR="00450647" w:rsidRPr="0037513D">
        <w:rPr>
          <w:rFonts w:ascii="Garamond" w:hAnsi="Garamond"/>
          <w:sz w:val="18"/>
          <w:szCs w:val="18"/>
        </w:rPr>
        <w:t>,</w:t>
      </w:r>
      <w:r w:rsidR="00450647" w:rsidRPr="0037513D" w:rsidDel="00C3775A">
        <w:rPr>
          <w:rFonts w:ascii="Garamond" w:hAnsi="Garamond"/>
          <w:sz w:val="18"/>
          <w:szCs w:val="18"/>
        </w:rPr>
        <w:t xml:space="preserve"> </w:t>
      </w:r>
      <w:r w:rsidR="00450647" w:rsidRPr="0037513D">
        <w:rPr>
          <w:rFonts w:ascii="Garamond" w:hAnsi="Garamond" w:cstheme="majorBidi"/>
          <w:i/>
          <w:iCs/>
          <w:sz w:val="18"/>
          <w:szCs w:val="18"/>
        </w:rPr>
        <w:t>Reconsidering Advertising Literacy as a Defense Against Advertising Effects</w:t>
      </w:r>
      <w:r w:rsidR="00450647" w:rsidRPr="0037513D">
        <w:rPr>
          <w:rFonts w:ascii="Garamond" w:hAnsi="Garamond"/>
          <w:sz w:val="18"/>
          <w:szCs w:val="18"/>
        </w:rPr>
        <w:t xml:space="preserve">, 14 </w:t>
      </w:r>
      <w:r w:rsidR="00450647" w:rsidRPr="0037513D">
        <w:rPr>
          <w:rFonts w:ascii="Garamond" w:hAnsi="Garamond"/>
          <w:smallCaps/>
          <w:sz w:val="18"/>
          <w:szCs w:val="18"/>
        </w:rPr>
        <w:t>Media Psychol.</w:t>
      </w:r>
      <w:r w:rsidR="00450647" w:rsidRPr="0037513D">
        <w:rPr>
          <w:rFonts w:ascii="Garamond" w:hAnsi="Garamond"/>
          <w:sz w:val="18"/>
          <w:szCs w:val="18"/>
        </w:rPr>
        <w:t xml:space="preserve"> 333,</w:t>
      </w:r>
      <w:r w:rsidR="00450647" w:rsidRPr="0037513D">
        <w:rPr>
          <w:rFonts w:ascii="Garamond" w:hAnsi="Garamond"/>
          <w:sz w:val="18"/>
          <w:szCs w:val="18"/>
          <w:lang w:bidi="he-IL"/>
        </w:rPr>
        <w:t xml:space="preserve"> 335</w:t>
      </w:r>
      <w:r w:rsidR="00450647" w:rsidRPr="0037513D">
        <w:rPr>
          <w:rFonts w:ascii="Garamond" w:hAnsi="Garamond"/>
          <w:sz w:val="18"/>
          <w:szCs w:val="18"/>
        </w:rPr>
        <w:t xml:space="preserve"> (2011); Margaret C. Campbell </w:t>
      </w:r>
      <w:r w:rsidR="00450647" w:rsidRPr="0037513D">
        <w:rPr>
          <w:rFonts w:ascii="Garamond" w:hAnsi="Garamond" w:cstheme="majorBidi"/>
          <w:sz w:val="18"/>
          <w:szCs w:val="18"/>
        </w:rPr>
        <w:t xml:space="preserve">&amp; </w:t>
      </w:r>
      <w:r w:rsidR="00450647" w:rsidRPr="0037513D">
        <w:rPr>
          <w:rFonts w:ascii="Garamond" w:hAnsi="Garamond"/>
          <w:sz w:val="18"/>
          <w:szCs w:val="18"/>
        </w:rPr>
        <w:t xml:space="preserve">Amna Kirmani, </w:t>
      </w:r>
      <w:r w:rsidR="00450647" w:rsidRPr="0037513D">
        <w:rPr>
          <w:rFonts w:ascii="Garamond" w:hAnsi="Garamond" w:cstheme="majorBidi"/>
          <w:i/>
          <w:iCs/>
          <w:sz w:val="18"/>
          <w:szCs w:val="18"/>
        </w:rPr>
        <w:t>Consumers’ Use of Persuasion Knowledge: The Effects of Accessibility and Cognitive Capacity on Perceptions of an Influence Agent</w:t>
      </w:r>
      <w:r w:rsidR="00450647" w:rsidRPr="0037513D">
        <w:rPr>
          <w:rFonts w:ascii="Garamond" w:hAnsi="Garamond"/>
          <w:sz w:val="18"/>
          <w:szCs w:val="18"/>
        </w:rPr>
        <w:t xml:space="preserve">, 27 J. </w:t>
      </w:r>
      <w:r w:rsidR="00450647" w:rsidRPr="0037513D">
        <w:rPr>
          <w:rFonts w:ascii="Garamond" w:hAnsi="Garamond"/>
          <w:smallCaps/>
          <w:sz w:val="18"/>
          <w:szCs w:val="18"/>
        </w:rPr>
        <w:t>Consumer Res</w:t>
      </w:r>
      <w:r w:rsidR="00450647" w:rsidRPr="0037513D">
        <w:rPr>
          <w:rFonts w:ascii="Garamond" w:hAnsi="Garamond"/>
          <w:smallCaps/>
          <w:sz w:val="18"/>
          <w:szCs w:val="18"/>
          <w:rtl/>
          <w:lang w:bidi="he-IL"/>
        </w:rPr>
        <w:t>.</w:t>
      </w:r>
      <w:r w:rsidR="00450647" w:rsidRPr="0037513D">
        <w:rPr>
          <w:rFonts w:ascii="Garamond" w:hAnsi="Garamond"/>
          <w:smallCaps/>
          <w:sz w:val="18"/>
          <w:szCs w:val="18"/>
        </w:rPr>
        <w:t xml:space="preserve"> </w:t>
      </w:r>
      <w:r w:rsidR="00450647" w:rsidRPr="0037513D">
        <w:rPr>
          <w:rFonts w:ascii="Garamond" w:hAnsi="Garamond"/>
          <w:sz w:val="18"/>
          <w:szCs w:val="18"/>
        </w:rPr>
        <w:t>69 (2000); Michelle R. Nelson, Michelle L.M. Wood</w:t>
      </w:r>
      <w:r w:rsidR="00450647" w:rsidRPr="0037513D">
        <w:rPr>
          <w:rFonts w:ascii="Garamond" w:hAnsi="Garamond" w:cstheme="majorBidi"/>
          <w:sz w:val="18"/>
          <w:szCs w:val="18"/>
        </w:rPr>
        <w:t xml:space="preserve"> &amp; </w:t>
      </w:r>
      <w:r w:rsidR="00450647" w:rsidRPr="0037513D">
        <w:rPr>
          <w:rFonts w:ascii="Garamond" w:hAnsi="Garamond"/>
          <w:sz w:val="18"/>
          <w:szCs w:val="18"/>
        </w:rPr>
        <w:t>Hye-Jin Paek,</w:t>
      </w:r>
      <w:r w:rsidR="00450647" w:rsidRPr="0037513D" w:rsidDel="000E2E41">
        <w:rPr>
          <w:rFonts w:ascii="Garamond" w:hAnsi="Garamond"/>
          <w:sz w:val="18"/>
          <w:szCs w:val="18"/>
        </w:rPr>
        <w:t xml:space="preserve"> </w:t>
      </w:r>
      <w:r w:rsidR="00450647" w:rsidRPr="0037513D">
        <w:rPr>
          <w:rFonts w:ascii="Garamond" w:hAnsi="Garamond" w:cstheme="majorBidi"/>
          <w:i/>
          <w:iCs/>
          <w:sz w:val="18"/>
          <w:szCs w:val="18"/>
        </w:rPr>
        <w:t>Increased Persuasion Knowledge of Video News Releases: Audience Beliefs About News and Support for Source Disclosure</w:t>
      </w:r>
      <w:r w:rsidR="00450647" w:rsidRPr="0037513D">
        <w:rPr>
          <w:rFonts w:ascii="Garamond" w:hAnsi="Garamond"/>
          <w:sz w:val="18"/>
          <w:szCs w:val="18"/>
        </w:rPr>
        <w:t xml:space="preserve">, 24 J. </w:t>
      </w:r>
      <w:r w:rsidR="00450647" w:rsidRPr="0037513D">
        <w:rPr>
          <w:rFonts w:ascii="Garamond" w:hAnsi="Garamond"/>
          <w:smallCaps/>
          <w:sz w:val="18"/>
          <w:szCs w:val="18"/>
        </w:rPr>
        <w:t>Mass Media Ethics</w:t>
      </w:r>
      <w:r w:rsidR="00450647" w:rsidRPr="0037513D">
        <w:rPr>
          <w:rFonts w:ascii="Garamond" w:hAnsi="Garamond"/>
          <w:sz w:val="18"/>
          <w:szCs w:val="18"/>
        </w:rPr>
        <w:t xml:space="preserve"> 220</w:t>
      </w:r>
      <w:r w:rsidR="00450647" w:rsidRPr="0037513D">
        <w:rPr>
          <w:rFonts w:ascii="Garamond" w:hAnsi="Garamond"/>
          <w:sz w:val="18"/>
          <w:szCs w:val="18"/>
          <w:rtl/>
          <w:lang w:bidi="he-IL"/>
        </w:rPr>
        <w:t>,</w:t>
      </w:r>
      <w:r w:rsidR="00450647" w:rsidRPr="0037513D">
        <w:rPr>
          <w:rFonts w:ascii="Garamond" w:hAnsi="Garamond"/>
          <w:sz w:val="18"/>
          <w:szCs w:val="18"/>
          <w:lang w:bidi="he-IL"/>
        </w:rPr>
        <w:t xml:space="preserve"> 224</w:t>
      </w:r>
      <w:r w:rsidR="00450647" w:rsidRPr="0037513D">
        <w:rPr>
          <w:rFonts w:ascii="Garamond" w:hAnsi="Garamond"/>
          <w:sz w:val="18"/>
          <w:szCs w:val="18"/>
        </w:rPr>
        <w:t xml:space="preserve"> (2009)</w:t>
      </w:r>
      <w:r w:rsidRPr="0037513D">
        <w:rPr>
          <w:rFonts w:ascii="Garamond" w:hAnsi="Garamond"/>
          <w:sz w:val="18"/>
          <w:szCs w:val="18"/>
        </w:rPr>
        <w:t>.</w:t>
      </w:r>
    </w:p>
  </w:footnote>
  <w:footnote w:id="112">
    <w:p w14:paraId="7B45E0A2" w14:textId="77777777" w:rsidR="00771227" w:rsidRPr="0037513D" w:rsidRDefault="00771227" w:rsidP="007712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Friestad &amp; Wright,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xml:space="preserve">, at 7; Deborah R. John, </w:t>
      </w:r>
      <w:r w:rsidRPr="0037513D">
        <w:rPr>
          <w:rFonts w:ascii="Garamond" w:hAnsi="Garamond" w:cstheme="majorBidi"/>
          <w:i/>
          <w:iCs/>
          <w:sz w:val="18"/>
          <w:szCs w:val="18"/>
        </w:rPr>
        <w:t>Consumer Socialization of Children: A Retrospective Look at Twenty-five Years of Research</w:t>
      </w:r>
      <w:r w:rsidRPr="0037513D">
        <w:rPr>
          <w:rFonts w:ascii="Garamond" w:hAnsi="Garamond"/>
          <w:sz w:val="18"/>
          <w:szCs w:val="18"/>
        </w:rPr>
        <w:t xml:space="preserve">, 26 </w:t>
      </w:r>
      <w:r w:rsidRPr="0037513D">
        <w:rPr>
          <w:rFonts w:ascii="Garamond" w:hAnsi="Garamond"/>
          <w:smallCaps/>
          <w:sz w:val="18"/>
          <w:szCs w:val="18"/>
        </w:rPr>
        <w:t>J. of Consumer Res.</w:t>
      </w:r>
      <w:r w:rsidRPr="0037513D">
        <w:rPr>
          <w:rFonts w:ascii="Garamond" w:hAnsi="Garamond"/>
          <w:sz w:val="18"/>
          <w:szCs w:val="18"/>
        </w:rPr>
        <w:t xml:space="preserve"> 183</w:t>
      </w:r>
      <w:r w:rsidRPr="0037513D">
        <w:rPr>
          <w:rFonts w:ascii="Garamond" w:hAnsi="Garamond"/>
          <w:sz w:val="18"/>
          <w:szCs w:val="18"/>
          <w:rtl/>
          <w:lang w:bidi="he-IL"/>
        </w:rPr>
        <w:t>,</w:t>
      </w:r>
      <w:r w:rsidRPr="0037513D">
        <w:rPr>
          <w:rFonts w:ascii="Garamond" w:hAnsi="Garamond"/>
          <w:sz w:val="18"/>
          <w:szCs w:val="18"/>
          <w:lang w:bidi="he-IL"/>
        </w:rPr>
        <w:t xml:space="preserve"> 191</w:t>
      </w:r>
      <w:r w:rsidRPr="0037513D">
        <w:rPr>
          <w:rFonts w:ascii="Garamond" w:hAnsi="Garamond"/>
          <w:sz w:val="18"/>
          <w:szCs w:val="18"/>
        </w:rPr>
        <w:t xml:space="preserve"> (1999).</w:t>
      </w:r>
    </w:p>
  </w:footnote>
  <w:footnote w:id="113">
    <w:p w14:paraId="7B9EA8E7" w14:textId="77777777" w:rsidR="00771227" w:rsidRPr="0037513D" w:rsidRDefault="00771227" w:rsidP="007712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heme="majorBidi"/>
          <w:color w:val="000000"/>
          <w:sz w:val="18"/>
          <w:szCs w:val="18"/>
          <w:lang w:bidi="he-IL"/>
        </w:rPr>
        <w:t xml:space="preserve">Marijke De </w:t>
      </w:r>
      <w:proofErr w:type="spellStart"/>
      <w:r w:rsidRPr="0037513D">
        <w:rPr>
          <w:rFonts w:ascii="Garamond" w:eastAsia="Times New Roman" w:hAnsi="Garamond" w:cstheme="majorBidi"/>
          <w:color w:val="000000"/>
          <w:sz w:val="18"/>
          <w:szCs w:val="18"/>
          <w:lang w:bidi="he-IL"/>
        </w:rPr>
        <w:t>Veirman</w:t>
      </w:r>
      <w:proofErr w:type="spellEnd"/>
      <w:r w:rsidRPr="0037513D">
        <w:rPr>
          <w:rFonts w:ascii="Garamond" w:eastAsia="Times New Roman" w:hAnsi="Garamond" w:cstheme="majorBidi"/>
          <w:color w:val="000000"/>
          <w:sz w:val="18"/>
          <w:szCs w:val="18"/>
          <w:lang w:bidi="he-IL"/>
        </w:rPr>
        <w:t xml:space="preserve"> &amp; Liselot </w:t>
      </w:r>
      <w:proofErr w:type="spellStart"/>
      <w:r w:rsidRPr="0037513D">
        <w:rPr>
          <w:rFonts w:ascii="Garamond" w:eastAsia="Times New Roman" w:hAnsi="Garamond" w:cstheme="majorBidi"/>
          <w:color w:val="000000"/>
          <w:sz w:val="18"/>
          <w:szCs w:val="18"/>
          <w:lang w:bidi="he-IL"/>
        </w:rPr>
        <w:t>Hudders</w:t>
      </w:r>
      <w:proofErr w:type="spellEnd"/>
      <w:r w:rsidRPr="0037513D">
        <w:rPr>
          <w:rFonts w:ascii="Garamond" w:eastAsia="Times New Roman" w:hAnsi="Garamond" w:cstheme="majorBidi"/>
          <w:color w:val="000000"/>
          <w:sz w:val="18"/>
          <w:szCs w:val="18"/>
          <w:lang w:bidi="he-IL"/>
        </w:rPr>
        <w:t xml:space="preserve">, </w:t>
      </w:r>
      <w:r w:rsidRPr="0037513D">
        <w:rPr>
          <w:rFonts w:ascii="Garamond" w:eastAsia="Times New Roman" w:hAnsi="Garamond" w:cstheme="majorBidi"/>
          <w:i/>
          <w:iCs/>
          <w:color w:val="000000"/>
          <w:sz w:val="18"/>
          <w:szCs w:val="18"/>
          <w:lang w:bidi="he-IL"/>
        </w:rPr>
        <w:t xml:space="preserve">Disclosing sponsored Instagram posts: The role of material connection with the brand and message-sidedness when disclosing covert advertising, </w:t>
      </w:r>
      <w:r w:rsidRPr="0037513D">
        <w:rPr>
          <w:rFonts w:ascii="Garamond" w:eastAsia="Times New Roman" w:hAnsi="Garamond" w:cstheme="majorBidi"/>
          <w:color w:val="000000"/>
          <w:sz w:val="18"/>
          <w:szCs w:val="18"/>
          <w:lang w:bidi="he-IL"/>
        </w:rPr>
        <w:t xml:space="preserve">39(1) </w:t>
      </w:r>
      <w:r w:rsidRPr="0037513D">
        <w:rPr>
          <w:rFonts w:ascii="Garamond" w:eastAsia="Calibri" w:hAnsi="Garamond" w:cstheme="majorBidi"/>
          <w:smallCaps/>
          <w:sz w:val="18"/>
          <w:szCs w:val="18"/>
        </w:rPr>
        <w:t xml:space="preserve">Int'l J. of Advert. </w:t>
      </w:r>
      <w:r w:rsidRPr="0037513D">
        <w:rPr>
          <w:rFonts w:ascii="Garamond" w:eastAsia="Times New Roman" w:hAnsi="Garamond" w:cstheme="majorBidi"/>
          <w:color w:val="000000"/>
          <w:sz w:val="18"/>
          <w:szCs w:val="18"/>
          <w:lang w:bidi="he-IL"/>
        </w:rPr>
        <w:t>94, 95 (2020)</w:t>
      </w:r>
      <w:r w:rsidRPr="0037513D">
        <w:rPr>
          <w:rFonts w:ascii="Garamond" w:hAnsi="Garamond"/>
          <w:sz w:val="18"/>
          <w:szCs w:val="18"/>
        </w:rPr>
        <w:t xml:space="preserve">; ; </w:t>
      </w:r>
      <w:r w:rsidRPr="0037513D">
        <w:rPr>
          <w:rFonts w:ascii="Garamond" w:hAnsi="Garamond" w:cstheme="majorBidi"/>
          <w:i/>
          <w:iCs/>
          <w:sz w:val="18"/>
          <w:szCs w:val="18"/>
        </w:rPr>
        <w:t xml:space="preserve">See </w:t>
      </w:r>
      <w:r w:rsidRPr="0037513D">
        <w:rPr>
          <w:rFonts w:ascii="Garamond" w:hAnsi="Garamond"/>
          <w:sz w:val="18"/>
          <w:szCs w:val="18"/>
        </w:rPr>
        <w:t>Evans</w:t>
      </w:r>
      <w:r w:rsidRPr="0037513D">
        <w:rPr>
          <w:rFonts w:ascii="Garamond" w:hAnsi="Garamond"/>
          <w:sz w:val="18"/>
          <w:szCs w:val="18"/>
          <w:rtl/>
          <w:lang w:bidi="he-IL"/>
        </w:rPr>
        <w:t xml:space="preserve"> </w:t>
      </w:r>
      <w:r w:rsidRPr="0037513D">
        <w:rPr>
          <w:rFonts w:ascii="Garamond" w:hAnsi="Garamond"/>
          <w:sz w:val="18"/>
          <w:szCs w:val="18"/>
          <w:lang w:bidi="he-IL"/>
        </w:rPr>
        <w:t>e</w:t>
      </w:r>
      <w:r w:rsidRPr="0037513D">
        <w:rPr>
          <w:rFonts w:ascii="Garamond" w:hAnsi="Garamond"/>
          <w:sz w:val="18"/>
          <w:szCs w:val="18"/>
        </w:rPr>
        <w:t xml:space="preserve">t al., </w:t>
      </w:r>
      <w:r w:rsidRPr="0037513D">
        <w:rPr>
          <w:rFonts w:ascii="Garamond" w:hAnsi="Garamond" w:cstheme="majorBidi"/>
          <w:i/>
          <w:iCs/>
          <w:sz w:val="18"/>
          <w:szCs w:val="18"/>
        </w:rPr>
        <w:t xml:space="preserve">supra </w:t>
      </w:r>
      <w:r w:rsidRPr="0037513D">
        <w:rPr>
          <w:rFonts w:ascii="Garamond" w:hAnsi="Garamond" w:cstheme="majorBidi"/>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cstheme="majorBidi"/>
          <w:sz w:val="18"/>
          <w:szCs w:val="18"/>
          <w:lang w:bidi="he-IL"/>
        </w:rPr>
        <w:t>, at 140.</w:t>
      </w:r>
    </w:p>
  </w:footnote>
  <w:footnote w:id="114">
    <w:p w14:paraId="0D04F6FB" w14:textId="77777777" w:rsidR="005B32D8" w:rsidRPr="0037513D" w:rsidRDefault="005B32D8" w:rsidP="005B32D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Bartosz W.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Nathaniel J. Evans, </w:t>
      </w:r>
      <w:r w:rsidRPr="0037513D">
        <w:rPr>
          <w:rStyle w:val="Emphasis"/>
          <w:rFonts w:ascii="Garamond" w:hAnsi="Garamond"/>
          <w:sz w:val="18"/>
          <w:szCs w:val="18"/>
        </w:rPr>
        <w:t>Going Native: Effects of Disclosure Position and Language on the Recognition and Evaluation of Online Native Advertising</w:t>
      </w:r>
      <w:r w:rsidRPr="0037513D">
        <w:rPr>
          <w:rFonts w:ascii="Garamond" w:hAnsi="Garamond"/>
          <w:sz w:val="18"/>
          <w:szCs w:val="18"/>
        </w:rPr>
        <w:t>,</w:t>
      </w:r>
      <w:r w:rsidRPr="0037513D">
        <w:rPr>
          <w:rFonts w:ascii="Garamond" w:hAnsi="Garamond"/>
          <w:smallCaps/>
          <w:sz w:val="18"/>
          <w:szCs w:val="18"/>
        </w:rPr>
        <w:t xml:space="preserve"> </w:t>
      </w:r>
      <w:r w:rsidRPr="0037513D">
        <w:rPr>
          <w:rStyle w:val="Strong"/>
          <w:rFonts w:ascii="Garamond" w:hAnsi="Garamond"/>
          <w:b w:val="0"/>
          <w:bCs w:val="0"/>
          <w:smallCaps/>
          <w:sz w:val="18"/>
          <w:szCs w:val="18"/>
        </w:rPr>
        <w:t>45(2) J. A</w:t>
      </w:r>
      <w:r w:rsidRPr="0037513D">
        <w:rPr>
          <w:rStyle w:val="Strong"/>
          <w:rFonts w:ascii="Garamond" w:eastAsiaTheme="majorEastAsia" w:hAnsi="Garamond"/>
          <w:b w:val="0"/>
          <w:bCs w:val="0"/>
          <w:smallCaps/>
          <w:sz w:val="18"/>
          <w:szCs w:val="18"/>
        </w:rPr>
        <w:t>dvert.</w:t>
      </w:r>
      <w:r w:rsidRPr="0037513D">
        <w:rPr>
          <w:rStyle w:val="Strong"/>
          <w:rFonts w:ascii="Garamond" w:eastAsiaTheme="majorEastAsia" w:hAnsi="Garamond"/>
          <w:smallCaps/>
          <w:sz w:val="18"/>
          <w:szCs w:val="18"/>
        </w:rPr>
        <w:t xml:space="preserve"> </w:t>
      </w:r>
      <w:r w:rsidRPr="0037513D">
        <w:rPr>
          <w:rFonts w:ascii="Garamond" w:hAnsi="Garamond" w:cs="Times New Roman"/>
          <w:color w:val="000000"/>
          <w:kern w:val="0"/>
          <w:sz w:val="18"/>
          <w:szCs w:val="18"/>
          <w14:ligatures w14:val="none"/>
        </w:rPr>
        <w:t>157</w:t>
      </w:r>
      <w:r w:rsidRPr="0037513D">
        <w:rPr>
          <w:rFonts w:ascii="Garamond" w:hAnsi="Garamond"/>
          <w:sz w:val="18"/>
          <w:szCs w:val="18"/>
        </w:rPr>
        <w:t>–68 (2016)</w:t>
      </w:r>
      <w:r w:rsidRPr="0037513D">
        <w:rPr>
          <w:rFonts w:ascii="Garamond" w:hAnsi="Garamond" w:cs="Times New Roman"/>
          <w:color w:val="000000"/>
          <w:kern w:val="0"/>
          <w:sz w:val="18"/>
          <w:szCs w:val="18"/>
          <w14:ligatures w14:val="none"/>
        </w:rPr>
        <w:t xml:space="preserve">; </w:t>
      </w:r>
      <w:r w:rsidRPr="0037513D">
        <w:rPr>
          <w:rFonts w:ascii="Garamond" w:hAnsi="Garamond"/>
          <w:sz w:val="18"/>
          <w:szCs w:val="18"/>
        </w:rPr>
        <w:t xml:space="preserve">Amazeen &amp; Muddiman,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_Ref214457905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w:t>
      </w:r>
      <w:r w:rsidRPr="0037513D">
        <w:rPr>
          <w:rFonts w:ascii="Garamond" w:hAnsi="Garamond"/>
          <w:sz w:val="18"/>
          <w:szCs w:val="18"/>
        </w:rPr>
        <w:fldChar w:fldCharType="end"/>
      </w:r>
      <w:r w:rsidRPr="0037513D">
        <w:rPr>
          <w:rFonts w:ascii="Garamond" w:hAnsi="Garamond"/>
          <w:color w:val="EE0000"/>
          <w:sz w:val="18"/>
          <w:szCs w:val="18"/>
        </w:rPr>
        <w:t xml:space="preserve"> </w:t>
      </w:r>
      <w:r w:rsidRPr="0037513D">
        <w:rPr>
          <w:rFonts w:ascii="Garamond" w:hAnsi="Garamond"/>
          <w:color w:val="000000" w:themeColor="text1"/>
          <w:sz w:val="18"/>
          <w:szCs w:val="18"/>
        </w:rPr>
        <w:t>at 184;</w:t>
      </w:r>
      <w:r w:rsidRPr="0037513D">
        <w:rPr>
          <w:rFonts w:ascii="Garamond" w:hAnsi="Garamond"/>
          <w:color w:val="EE0000"/>
          <w:sz w:val="18"/>
          <w:szCs w:val="18"/>
        </w:rPr>
        <w:t xml:space="preserve"> </w:t>
      </w:r>
      <w:r w:rsidRPr="0037513D">
        <w:rPr>
          <w:rFonts w:ascii="Garamond" w:hAnsi="Garamond"/>
          <w:sz w:val="18"/>
          <w:szCs w:val="18"/>
        </w:rPr>
        <w:t xml:space="preserve">Simone </w:t>
      </w:r>
      <w:proofErr w:type="spellStart"/>
      <w:r w:rsidRPr="0037513D">
        <w:rPr>
          <w:rFonts w:ascii="Garamond" w:hAnsi="Garamond"/>
          <w:sz w:val="18"/>
          <w:szCs w:val="18"/>
        </w:rPr>
        <w:t>Krouwer</w:t>
      </w:r>
      <w:proofErr w:type="spellEnd"/>
      <w:r w:rsidRPr="0037513D">
        <w:rPr>
          <w:rFonts w:ascii="Garamond" w:hAnsi="Garamond"/>
          <w:sz w:val="18"/>
          <w:szCs w:val="18"/>
        </w:rPr>
        <w:t xml:space="preserve">, Karolien Poels, &amp; Steve Paulussen, </w:t>
      </w:r>
      <w:r w:rsidRPr="0037513D">
        <w:rPr>
          <w:rFonts w:ascii="Garamond" w:hAnsi="Garamond"/>
          <w:i/>
          <w:iCs/>
          <w:sz w:val="18"/>
          <w:szCs w:val="18"/>
        </w:rPr>
        <w:t xml:space="preserve">To disguise or to disclose? The influence of disclosure recognition and brand presence on readers' responses towards native advertisements in online news media </w:t>
      </w:r>
      <w:r w:rsidRPr="0037513D">
        <w:rPr>
          <w:rFonts w:ascii="Garamond" w:hAnsi="Garamond"/>
          <w:sz w:val="18"/>
          <w:szCs w:val="18"/>
        </w:rPr>
        <w:t>17(2)</w:t>
      </w:r>
      <w:r w:rsidRPr="0037513D">
        <w:rPr>
          <w:rFonts w:ascii="Garamond" w:hAnsi="Garamond"/>
          <w:smallCaps/>
          <w:sz w:val="18"/>
          <w:szCs w:val="18"/>
        </w:rPr>
        <w:t xml:space="preserve"> J. Interactive Advert. </w:t>
      </w:r>
      <w:r w:rsidRPr="0037513D">
        <w:rPr>
          <w:rFonts w:ascii="Garamond" w:hAnsi="Garamond"/>
          <w:sz w:val="18"/>
          <w:szCs w:val="18"/>
        </w:rPr>
        <w:t>124–137 (2017).</w:t>
      </w:r>
    </w:p>
  </w:footnote>
  <w:footnote w:id="115">
    <w:p w14:paraId="6F83D349" w14:textId="77777777" w:rsidR="005B32D8" w:rsidRPr="0037513D" w:rsidRDefault="005B32D8" w:rsidP="005B32D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e.g., </w:t>
      </w:r>
      <w:r w:rsidRPr="0037513D">
        <w:rPr>
          <w:rFonts w:ascii="Garamond" w:hAnsi="Garamond"/>
          <w:sz w:val="18"/>
          <w:szCs w:val="18"/>
        </w:rPr>
        <w:t xml:space="preserve">Boerman, Willemsen &amp; Van Der Aa,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sz w:val="18"/>
          <w:szCs w:val="18"/>
        </w:rPr>
        <w:t>, at 82–92</w:t>
      </w:r>
      <w:r w:rsidRPr="0037513D">
        <w:rPr>
          <w:rFonts w:ascii="Garamond" w:hAnsi="Garamond" w:cstheme="majorBidi"/>
          <w:sz w:val="18"/>
          <w:szCs w:val="18"/>
          <w:lang w:bidi="he-IL"/>
        </w:rPr>
        <w:t xml:space="preserve">; </w:t>
      </w:r>
      <w:r w:rsidRPr="0037513D">
        <w:rPr>
          <w:rFonts w:ascii="Garamond" w:hAnsi="Garamond" w:cstheme="majorBidi"/>
          <w:color w:val="000000"/>
          <w:sz w:val="18"/>
          <w:szCs w:val="18"/>
          <w:lang w:bidi="he-IL"/>
        </w:rPr>
        <w:t xml:space="preserve">De </w:t>
      </w:r>
      <w:proofErr w:type="spellStart"/>
      <w:r w:rsidRPr="0037513D">
        <w:rPr>
          <w:rFonts w:ascii="Garamond" w:hAnsi="Garamond" w:cstheme="majorBidi"/>
          <w:color w:val="000000"/>
          <w:sz w:val="18"/>
          <w:szCs w:val="18"/>
          <w:lang w:bidi="he-IL"/>
        </w:rPr>
        <w:t>Veirman</w:t>
      </w:r>
      <w:proofErr w:type="spellEnd"/>
      <w:r w:rsidRPr="0037513D">
        <w:rPr>
          <w:rFonts w:ascii="Garamond" w:hAnsi="Garamond" w:cstheme="majorBidi"/>
          <w:color w:val="000000"/>
          <w:sz w:val="18"/>
          <w:szCs w:val="18"/>
          <w:lang w:bidi="he-IL"/>
        </w:rPr>
        <w:t xml:space="preserve"> &amp; </w:t>
      </w:r>
      <w:proofErr w:type="spellStart"/>
      <w:r w:rsidRPr="0037513D">
        <w:rPr>
          <w:rFonts w:ascii="Garamond" w:hAnsi="Garamond" w:cstheme="majorBidi"/>
          <w:color w:val="000000"/>
          <w:sz w:val="18"/>
          <w:szCs w:val="18"/>
          <w:lang w:bidi="he-IL"/>
        </w:rPr>
        <w:t>Hudders</w:t>
      </w:r>
      <w:proofErr w:type="spellEnd"/>
      <w:r w:rsidRPr="0037513D">
        <w:rPr>
          <w:rFonts w:ascii="Garamond" w:hAnsi="Garamond" w:cstheme="majorBidi"/>
          <w:color w:val="000000"/>
          <w:sz w:val="18"/>
          <w:szCs w:val="18"/>
          <w:lang w:bidi="he-IL"/>
        </w:rPr>
        <w:t xml:space="preserve">, </w:t>
      </w:r>
      <w:r w:rsidRPr="0037513D">
        <w:rPr>
          <w:rFonts w:ascii="Garamond" w:hAnsi="Garamond" w:cstheme="majorBidi"/>
          <w:i/>
          <w:iCs/>
          <w:color w:val="000000"/>
          <w:sz w:val="18"/>
          <w:szCs w:val="18"/>
          <w:lang w:bidi="he-IL"/>
        </w:rPr>
        <w:t xml:space="preserve">supra </w:t>
      </w:r>
      <w:r w:rsidRPr="0037513D">
        <w:rPr>
          <w:rFonts w:ascii="Garamond" w:hAnsi="Garamond" w:cstheme="majorBidi"/>
          <w:color w:val="000000"/>
          <w:sz w:val="18"/>
          <w:szCs w:val="18"/>
          <w:lang w:bidi="he-IL"/>
        </w:rPr>
        <w:t xml:space="preserve">note </w:t>
      </w:r>
      <w:r w:rsidRPr="0037513D">
        <w:rPr>
          <w:rFonts w:ascii="Garamond" w:hAnsi="Garamond" w:cstheme="majorBidi"/>
          <w:color w:val="000000"/>
          <w:sz w:val="18"/>
          <w:szCs w:val="18"/>
        </w:rPr>
        <w:fldChar w:fldCharType="begin"/>
      </w:r>
      <w:r w:rsidRPr="0037513D">
        <w:rPr>
          <w:rFonts w:ascii="Garamond" w:hAnsi="Garamond" w:cstheme="majorBidi"/>
          <w:color w:val="000000"/>
          <w:sz w:val="18"/>
          <w:szCs w:val="18"/>
          <w:lang w:bidi="he-IL"/>
        </w:rPr>
        <w:instrText xml:space="preserve"> NOTEREF _Ref201067484 \h </w:instrText>
      </w:r>
      <w:r w:rsidRPr="0037513D">
        <w:rPr>
          <w:rFonts w:ascii="Garamond" w:hAnsi="Garamond" w:cstheme="majorBidi"/>
          <w:color w:val="000000"/>
          <w:sz w:val="18"/>
          <w:szCs w:val="18"/>
        </w:rPr>
        <w:instrText xml:space="preserve"> \* MERGEFORMAT </w:instrText>
      </w:r>
      <w:r w:rsidRPr="0037513D">
        <w:rPr>
          <w:rFonts w:ascii="Garamond" w:hAnsi="Garamond" w:cstheme="majorBidi"/>
          <w:color w:val="000000"/>
          <w:sz w:val="18"/>
          <w:szCs w:val="18"/>
        </w:rPr>
      </w:r>
      <w:r w:rsidRPr="0037513D">
        <w:rPr>
          <w:rFonts w:ascii="Garamond" w:hAnsi="Garamond" w:cstheme="majorBidi"/>
          <w:color w:val="000000"/>
          <w:sz w:val="18"/>
          <w:szCs w:val="18"/>
        </w:rPr>
        <w:fldChar w:fldCharType="separate"/>
      </w:r>
      <w:r w:rsidRPr="0037513D">
        <w:rPr>
          <w:rFonts w:ascii="Garamond" w:hAnsi="Garamond" w:cstheme="majorBidi"/>
          <w:color w:val="000000"/>
          <w:sz w:val="18"/>
          <w:szCs w:val="18"/>
          <w:lang w:bidi="he-IL"/>
        </w:rPr>
        <w:t>100</w:t>
      </w:r>
      <w:r w:rsidRPr="0037513D">
        <w:rPr>
          <w:rFonts w:ascii="Garamond" w:hAnsi="Garamond" w:cstheme="majorBidi"/>
          <w:color w:val="000000"/>
          <w:sz w:val="18"/>
          <w:szCs w:val="18"/>
        </w:rPr>
        <w:fldChar w:fldCharType="end"/>
      </w:r>
      <w:r w:rsidRPr="0037513D">
        <w:rPr>
          <w:rFonts w:ascii="Garamond" w:hAnsi="Garamond" w:cstheme="majorBidi"/>
          <w:color w:val="000000"/>
          <w:sz w:val="18"/>
          <w:szCs w:val="18"/>
          <w:lang w:bidi="he-IL"/>
        </w:rPr>
        <w:t>, at 95;</w:t>
      </w:r>
      <w:r w:rsidRPr="0037513D">
        <w:rPr>
          <w:rFonts w:ascii="Garamond" w:hAnsi="Garamond" w:cstheme="majorBidi"/>
          <w:color w:val="000000"/>
          <w:sz w:val="18"/>
          <w:szCs w:val="18"/>
        </w:rPr>
        <w:t xml:space="preserve"> </w:t>
      </w:r>
      <w:r w:rsidRPr="0037513D">
        <w:rPr>
          <w:rFonts w:ascii="Garamond" w:hAnsi="Garamond"/>
          <w:sz w:val="18"/>
          <w:szCs w:val="18"/>
        </w:rPr>
        <w:t xml:space="preserve">Susanna Lee &amp; Eunice Kim, </w:t>
      </w:r>
      <w:r w:rsidRPr="0037513D">
        <w:rPr>
          <w:rStyle w:val="Emphasis"/>
          <w:rFonts w:ascii="Garamond" w:hAnsi="Garamond"/>
          <w:sz w:val="18"/>
          <w:szCs w:val="18"/>
        </w:rPr>
        <w:t>Influencer Marketing on Instagram: How Sponsorship Disclosure, Influencer Credibility, and Brand Credibility Impact the Effectiveness of Instagram Promotional Post</w:t>
      </w:r>
      <w:r w:rsidRPr="0037513D">
        <w:rPr>
          <w:rFonts w:ascii="Garamond" w:hAnsi="Garamond"/>
          <w:sz w:val="18"/>
          <w:szCs w:val="18"/>
        </w:rPr>
        <w:t xml:space="preserve">, 11 </w:t>
      </w:r>
      <w:r w:rsidRPr="0037513D">
        <w:rPr>
          <w:rFonts w:ascii="Garamond" w:hAnsi="Garamond"/>
          <w:smallCaps/>
          <w:sz w:val="18"/>
          <w:szCs w:val="18"/>
        </w:rPr>
        <w:t>J. Global Fashion Mktg.</w:t>
      </w:r>
      <w:r w:rsidRPr="0037513D">
        <w:rPr>
          <w:rFonts w:ascii="Garamond" w:hAnsi="Garamond"/>
          <w:sz w:val="18"/>
          <w:szCs w:val="18"/>
        </w:rPr>
        <w:t xml:space="preserve"> 232, 244 (2020).</w:t>
      </w:r>
    </w:p>
  </w:footnote>
  <w:footnote w:id="116">
    <w:p w14:paraId="34C67928" w14:textId="77777777" w:rsidR="005B32D8" w:rsidRPr="0037513D" w:rsidRDefault="005B32D8" w:rsidP="005B32D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Nathaniel J. Evans &amp; Mariea Grubbs Hoy, </w:t>
      </w:r>
      <w:r w:rsidRPr="0037513D">
        <w:rPr>
          <w:rFonts w:ascii="Garamond" w:hAnsi="Garamond"/>
          <w:i/>
          <w:iCs/>
          <w:sz w:val="18"/>
          <w:szCs w:val="18"/>
        </w:rPr>
        <w:t>Parents’ Presumed Persuasion Knowledge of Children’s Advergames: The Influence of Disclosure Modality and Cognitive Load</w:t>
      </w:r>
      <w:r w:rsidRPr="0037513D">
        <w:rPr>
          <w:rFonts w:ascii="Garamond" w:hAnsi="Garamond"/>
          <w:sz w:val="18"/>
          <w:szCs w:val="18"/>
        </w:rPr>
        <w:t xml:space="preserve">, 37(2) ) </w:t>
      </w:r>
      <w:r w:rsidRPr="0037513D">
        <w:rPr>
          <w:rFonts w:ascii="Garamond" w:eastAsia="Calibri" w:hAnsi="Garamond" w:cstheme="majorBidi"/>
          <w:smallCaps/>
          <w:sz w:val="18"/>
          <w:szCs w:val="18"/>
        </w:rPr>
        <w:t>J.  Current Issues and Res.  in Advert.</w:t>
      </w:r>
      <w:r w:rsidRPr="0037513D">
        <w:rPr>
          <w:rFonts w:ascii="Garamond" w:hAnsi="Garamond"/>
          <w:sz w:val="18"/>
          <w:szCs w:val="18"/>
        </w:rPr>
        <w:t xml:space="preserve">, 146–64 (2016).  </w:t>
      </w:r>
    </w:p>
  </w:footnote>
  <w:footnote w:id="117">
    <w:p w14:paraId="1F3807BA" w14:textId="77777777" w:rsidR="005B32D8" w:rsidRPr="0037513D" w:rsidRDefault="005B32D8" w:rsidP="005B32D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e.g., </w:t>
      </w:r>
      <w:r w:rsidRPr="0037513D">
        <w:rPr>
          <w:rFonts w:ascii="Garamond" w:hAnsi="Garamond"/>
          <w:sz w:val="18"/>
          <w:szCs w:val="18"/>
        </w:rPr>
        <w:t xml:space="preserve">Boerman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sz w:val="18"/>
          <w:szCs w:val="18"/>
        </w:rPr>
        <w:t xml:space="preserve">, at 1047–64; Sophie C. Boerman,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&amp; Peter Neijens,  </w:t>
      </w:r>
      <w:r w:rsidRPr="0037513D">
        <w:rPr>
          <w:rFonts w:ascii="Garamond" w:hAnsi="Garamond"/>
          <w:i/>
          <w:iCs/>
          <w:sz w:val="18"/>
          <w:szCs w:val="18"/>
        </w:rPr>
        <w:t>Appreciation and Effects of Sponsorship Disclosure</w:t>
      </w:r>
      <w:r w:rsidRPr="0037513D">
        <w:rPr>
          <w:rFonts w:ascii="Garamond" w:hAnsi="Garamond"/>
          <w:sz w:val="18"/>
          <w:szCs w:val="18"/>
        </w:rPr>
        <w:t xml:space="preserve">, in </w:t>
      </w:r>
      <w:r w:rsidRPr="0037513D">
        <w:rPr>
          <w:rFonts w:ascii="Garamond" w:hAnsi="Garamond"/>
          <w:smallCaps/>
          <w:sz w:val="18"/>
          <w:szCs w:val="18"/>
        </w:rPr>
        <w:t xml:space="preserve">Advances in Advertising Research IV: The Changing Roles of Advertising, Sarah Rosengren, Micael </w:t>
      </w:r>
      <w:proofErr w:type="spellStart"/>
      <w:r w:rsidRPr="0037513D">
        <w:rPr>
          <w:rFonts w:ascii="Garamond" w:hAnsi="Garamond"/>
          <w:smallCaps/>
          <w:sz w:val="18"/>
          <w:szCs w:val="18"/>
        </w:rPr>
        <w:t>Dahl_en</w:t>
      </w:r>
      <w:proofErr w:type="spellEnd"/>
      <w:r w:rsidRPr="0037513D">
        <w:rPr>
          <w:rFonts w:ascii="Garamond" w:hAnsi="Garamond"/>
          <w:smallCaps/>
          <w:sz w:val="18"/>
          <w:szCs w:val="18"/>
        </w:rPr>
        <w:t xml:space="preserve">, and Shintaro Okazaki, eds., Wiesbaden, Germany: Springer </w:t>
      </w:r>
      <w:proofErr w:type="spellStart"/>
      <w:r w:rsidRPr="0037513D">
        <w:rPr>
          <w:rFonts w:ascii="Garamond" w:hAnsi="Garamond"/>
          <w:smallCaps/>
          <w:sz w:val="18"/>
          <w:szCs w:val="18"/>
        </w:rPr>
        <w:t>Fachmedien</w:t>
      </w:r>
      <w:proofErr w:type="spellEnd"/>
      <w:r w:rsidRPr="0037513D">
        <w:rPr>
          <w:rFonts w:ascii="Garamond" w:hAnsi="Garamond"/>
          <w:smallCaps/>
          <w:sz w:val="18"/>
          <w:szCs w:val="18"/>
        </w:rPr>
        <w:t xml:space="preserve"> Wiesbaden, </w:t>
      </w:r>
      <w:r w:rsidRPr="0037513D">
        <w:rPr>
          <w:rFonts w:ascii="Garamond" w:hAnsi="Garamond"/>
          <w:sz w:val="18"/>
          <w:szCs w:val="18"/>
        </w:rPr>
        <w:t xml:space="preserve">273–84, 2013; Sophie C. Boerman,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&amp; Peter Neijens, </w:t>
      </w:r>
      <w:r w:rsidRPr="0037513D">
        <w:rPr>
          <w:rFonts w:ascii="Garamond" w:hAnsi="Garamond"/>
          <w:i/>
          <w:iCs/>
          <w:sz w:val="18"/>
          <w:szCs w:val="18"/>
        </w:rPr>
        <w:t>Effects of Sponsorship Disclosure Timing on the Processing of Sponsored Content: A Study on the Effectiveness of European Disclosure Regulations,</w:t>
      </w:r>
      <w:r w:rsidRPr="0037513D">
        <w:rPr>
          <w:rFonts w:ascii="Garamond" w:hAnsi="Garamond"/>
          <w:sz w:val="18"/>
          <w:szCs w:val="18"/>
        </w:rPr>
        <w:t xml:space="preserve"> 31(3)</w:t>
      </w:r>
      <w:r w:rsidRPr="0037513D">
        <w:rPr>
          <w:rFonts w:ascii="Garamond" w:hAnsi="Garamond"/>
          <w:smallCaps/>
          <w:sz w:val="18"/>
          <w:szCs w:val="18"/>
        </w:rPr>
        <w:t xml:space="preserve"> Psychology and Marketing,</w:t>
      </w:r>
      <w:r w:rsidRPr="0037513D">
        <w:rPr>
          <w:rFonts w:ascii="Garamond" w:hAnsi="Garamond"/>
          <w:sz w:val="18"/>
          <w:szCs w:val="18"/>
        </w:rPr>
        <w:t xml:space="preserve"> 214–24 (2014);Sophie C. Boerman,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&amp; Peter Neijens, </w:t>
      </w:r>
      <w:r w:rsidRPr="0037513D">
        <w:rPr>
          <w:rFonts w:ascii="Garamond" w:hAnsi="Garamond"/>
          <w:i/>
          <w:iCs/>
          <w:sz w:val="18"/>
          <w:szCs w:val="18"/>
        </w:rPr>
        <w:t>How Audience and Disclosure Characteristics Influence Memory of Sponsorship Disclosure</w:t>
      </w:r>
      <w:r w:rsidRPr="0037513D">
        <w:rPr>
          <w:rFonts w:ascii="Garamond" w:hAnsi="Garamond"/>
          <w:sz w:val="18"/>
          <w:szCs w:val="18"/>
        </w:rPr>
        <w:t xml:space="preserve">, 34 (4) </w:t>
      </w:r>
      <w:r w:rsidRPr="0037513D">
        <w:rPr>
          <w:rFonts w:ascii="Garamond" w:hAnsi="Garamond"/>
          <w:smallCaps/>
          <w:sz w:val="18"/>
          <w:szCs w:val="18"/>
        </w:rPr>
        <w:t xml:space="preserve">Int'l  J. Advert. </w:t>
      </w:r>
      <w:r w:rsidRPr="0037513D">
        <w:rPr>
          <w:rFonts w:ascii="Garamond" w:hAnsi="Garamond"/>
          <w:sz w:val="18"/>
          <w:szCs w:val="18"/>
        </w:rPr>
        <w:t xml:space="preserve">576–92 (2015); Sophie C. Boerman,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&amp; Peter Neijens, </w:t>
      </w:r>
      <w:r w:rsidRPr="0037513D">
        <w:rPr>
          <w:rFonts w:ascii="Garamond" w:hAnsi="Garamond"/>
          <w:i/>
          <w:iCs/>
          <w:sz w:val="18"/>
          <w:szCs w:val="18"/>
        </w:rPr>
        <w:t>Using Eye Tracking to Understand the Effects of Brand Placement Disclosure Types in Television Programs</w:t>
      </w:r>
      <w:r w:rsidRPr="0037513D">
        <w:rPr>
          <w:rFonts w:ascii="Garamond" w:hAnsi="Garamond"/>
          <w:sz w:val="18"/>
          <w:szCs w:val="18"/>
        </w:rPr>
        <w:t>, 44(3)</w:t>
      </w:r>
      <w:r w:rsidRPr="0037513D">
        <w:rPr>
          <w:rFonts w:ascii="Garamond" w:hAnsi="Garamond"/>
          <w:smallCaps/>
          <w:sz w:val="18"/>
          <w:szCs w:val="18"/>
        </w:rPr>
        <w:t xml:space="preserve"> J</w:t>
      </w:r>
      <w:r w:rsidRPr="0037513D">
        <w:rPr>
          <w:rFonts w:ascii="Garamond" w:hAnsi="Garamond"/>
          <w:smallCaps/>
          <w:sz w:val="18"/>
          <w:szCs w:val="18"/>
          <w:rtl/>
        </w:rPr>
        <w:t xml:space="preserve">. </w:t>
      </w:r>
      <w:r w:rsidRPr="0037513D">
        <w:rPr>
          <w:rFonts w:ascii="Garamond" w:hAnsi="Garamond"/>
          <w:smallCaps/>
          <w:sz w:val="18"/>
          <w:szCs w:val="18"/>
        </w:rPr>
        <w:t xml:space="preserve"> Advert</w:t>
      </w:r>
      <w:r w:rsidRPr="0037513D">
        <w:rPr>
          <w:rFonts w:ascii="Garamond" w:hAnsi="Garamond"/>
          <w:smallCaps/>
          <w:sz w:val="18"/>
          <w:szCs w:val="18"/>
          <w:rtl/>
        </w:rPr>
        <w:t>.</w:t>
      </w:r>
      <w:r w:rsidRPr="0037513D">
        <w:rPr>
          <w:rFonts w:ascii="Garamond" w:hAnsi="Garamond"/>
          <w:smallCaps/>
          <w:sz w:val="18"/>
          <w:szCs w:val="18"/>
        </w:rPr>
        <w:t xml:space="preserve"> </w:t>
      </w:r>
      <w:r w:rsidRPr="0037513D">
        <w:rPr>
          <w:rFonts w:ascii="Garamond" w:hAnsi="Garamond"/>
          <w:sz w:val="18"/>
          <w:szCs w:val="18"/>
        </w:rPr>
        <w:t xml:space="preserve">196–207 (2015); Margaret C Campbell, Gina Mohr &amp; Peeter </w:t>
      </w:r>
      <w:proofErr w:type="spellStart"/>
      <w:r w:rsidRPr="0037513D">
        <w:rPr>
          <w:rFonts w:ascii="Garamond" w:hAnsi="Garamond"/>
          <w:sz w:val="18"/>
          <w:szCs w:val="18"/>
        </w:rPr>
        <w:t>Verlegh</w:t>
      </w:r>
      <w:proofErr w:type="spellEnd"/>
      <w:r w:rsidRPr="0037513D">
        <w:rPr>
          <w:rFonts w:ascii="Garamond" w:hAnsi="Garamond"/>
          <w:sz w:val="18"/>
          <w:szCs w:val="18"/>
        </w:rPr>
        <w:t xml:space="preserve">, </w:t>
      </w:r>
      <w:r w:rsidRPr="0037513D">
        <w:rPr>
          <w:rFonts w:ascii="Garamond" w:hAnsi="Garamond"/>
          <w:i/>
          <w:iCs/>
          <w:sz w:val="18"/>
          <w:szCs w:val="18"/>
        </w:rPr>
        <w:t>Research Article: Can Disclosures Lead Consumers to Resist Covert Persuasion? The Important Roles of Disclosure Timing and Type of Response</w:t>
      </w:r>
      <w:r w:rsidRPr="0037513D">
        <w:rPr>
          <w:rFonts w:ascii="Garamond" w:hAnsi="Garamond"/>
          <w:sz w:val="18"/>
          <w:szCs w:val="18"/>
        </w:rPr>
        <w:t>, 23 (4)</w:t>
      </w:r>
      <w:r w:rsidRPr="0037513D">
        <w:rPr>
          <w:rFonts w:ascii="Garamond" w:hAnsi="Garamond"/>
          <w:smallCaps/>
          <w:sz w:val="18"/>
          <w:szCs w:val="18"/>
        </w:rPr>
        <w:t xml:space="preserve"> J. Consumer Psychol</w:t>
      </w:r>
      <w:r w:rsidRPr="0037513D">
        <w:rPr>
          <w:rFonts w:ascii="Garamond" w:hAnsi="Garamond"/>
          <w:sz w:val="18"/>
          <w:szCs w:val="18"/>
        </w:rPr>
        <w:t xml:space="preserve">. 23 (4), 483–95 (2013); Tina Tessitore &amp; Maggie Geuens, </w:t>
      </w:r>
      <w:r w:rsidRPr="0037513D">
        <w:rPr>
          <w:rFonts w:ascii="Garamond" w:hAnsi="Garamond"/>
          <w:i/>
          <w:iCs/>
          <w:sz w:val="18"/>
          <w:szCs w:val="18"/>
        </w:rPr>
        <w:t>PP for ‘Product Placement’ or ‘Puzzled Public’? The Effectiveness of Symbols as Warnings of Product Placement and the Moderating Role of Brand Recall</w:t>
      </w:r>
      <w:r w:rsidRPr="0037513D">
        <w:rPr>
          <w:rFonts w:ascii="Garamond" w:hAnsi="Garamond"/>
          <w:sz w:val="18"/>
          <w:szCs w:val="18"/>
        </w:rPr>
        <w:t>, 32(3)</w:t>
      </w:r>
      <w:r w:rsidRPr="0037513D">
        <w:rPr>
          <w:rFonts w:ascii="Garamond" w:hAnsi="Garamond"/>
          <w:smallCaps/>
          <w:sz w:val="18"/>
          <w:szCs w:val="18"/>
        </w:rPr>
        <w:t xml:space="preserve"> Int</w:t>
      </w:r>
      <w:r w:rsidRPr="0037513D">
        <w:rPr>
          <w:rFonts w:ascii="Garamond" w:hAnsi="Garamond"/>
          <w:smallCaps/>
          <w:sz w:val="18"/>
          <w:szCs w:val="18"/>
          <w:rtl/>
          <w:lang w:bidi="he-IL"/>
        </w:rPr>
        <w:t>׳</w:t>
      </w:r>
      <w:r w:rsidRPr="0037513D">
        <w:rPr>
          <w:rFonts w:ascii="Garamond" w:hAnsi="Garamond"/>
          <w:smallCaps/>
          <w:sz w:val="18"/>
          <w:szCs w:val="18"/>
        </w:rPr>
        <w:t>l J. Adver.</w:t>
      </w:r>
      <w:r w:rsidRPr="0037513D">
        <w:rPr>
          <w:rFonts w:ascii="Garamond" w:hAnsi="Garamond"/>
          <w:sz w:val="18"/>
          <w:szCs w:val="18"/>
        </w:rPr>
        <w:t xml:space="preserve"> 419 (2013). </w:t>
      </w:r>
    </w:p>
  </w:footnote>
  <w:footnote w:id="118">
    <w:p w14:paraId="18DF4558" w14:textId="77777777" w:rsidR="004F53A7" w:rsidRPr="0037513D" w:rsidRDefault="004F53A7" w:rsidP="004F53A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Mei-Ling Wei et al., </w:t>
      </w:r>
      <w:r w:rsidRPr="0037513D">
        <w:rPr>
          <w:rFonts w:ascii="Garamond" w:hAnsi="Garamond"/>
          <w:i/>
          <w:iCs/>
          <w:sz w:val="18"/>
          <w:szCs w:val="18"/>
        </w:rPr>
        <w:t>An Examination of the Effects of Activating Persuasion Knowledge on Consumer Response to Brands Engaging in Covert Marketing</w:t>
      </w:r>
      <w:r w:rsidRPr="0037513D">
        <w:rPr>
          <w:rFonts w:ascii="Garamond" w:hAnsi="Garamond"/>
          <w:sz w:val="18"/>
          <w:szCs w:val="18"/>
        </w:rPr>
        <w:t>, 27(1) J</w:t>
      </w:r>
      <w:r w:rsidRPr="0037513D">
        <w:rPr>
          <w:rFonts w:ascii="Garamond" w:hAnsi="Garamond"/>
          <w:smallCaps/>
          <w:sz w:val="18"/>
          <w:szCs w:val="18"/>
        </w:rPr>
        <w:t>. Pub. Pol</w:t>
      </w:r>
      <w:r w:rsidRPr="0037513D">
        <w:rPr>
          <w:rFonts w:ascii="Garamond" w:hAnsi="Garamond"/>
          <w:smallCaps/>
          <w:sz w:val="18"/>
          <w:szCs w:val="18"/>
          <w:rtl/>
          <w:lang w:bidi="he-IL"/>
        </w:rPr>
        <w:t>׳</w:t>
      </w:r>
      <w:r w:rsidRPr="0037513D">
        <w:rPr>
          <w:rFonts w:ascii="Garamond" w:hAnsi="Garamond"/>
          <w:smallCaps/>
          <w:sz w:val="18"/>
          <w:szCs w:val="18"/>
        </w:rPr>
        <w:t xml:space="preserve">y &amp; Mktg. </w:t>
      </w:r>
      <w:r w:rsidRPr="0037513D">
        <w:rPr>
          <w:rFonts w:ascii="Garamond" w:hAnsi="Garamond"/>
          <w:sz w:val="18"/>
          <w:szCs w:val="18"/>
        </w:rPr>
        <w:t xml:space="preserve">34 (2008). </w:t>
      </w:r>
    </w:p>
  </w:footnote>
  <w:footnote w:id="119">
    <w:p w14:paraId="01F2A44C" w14:textId="77777777" w:rsidR="004F53A7" w:rsidRPr="0037513D" w:rsidRDefault="004F53A7" w:rsidP="004F53A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Caleb T. Carr &amp; Rebecca A. Hayes, </w:t>
      </w:r>
      <w:r w:rsidRPr="0037513D">
        <w:rPr>
          <w:rFonts w:ascii="Garamond" w:hAnsi="Garamond"/>
          <w:i/>
          <w:iCs/>
          <w:sz w:val="18"/>
          <w:szCs w:val="18"/>
        </w:rPr>
        <w:t>The Effect of Disclosure of Third-Party Influence on an Opinion Leader’s Credibility and Electronic Word of Mouth in Two-Step Flow</w:t>
      </w:r>
      <w:r w:rsidRPr="0037513D">
        <w:rPr>
          <w:rFonts w:ascii="Garamond" w:hAnsi="Garamond"/>
          <w:sz w:val="18"/>
          <w:szCs w:val="18"/>
        </w:rPr>
        <w:t xml:space="preserve">, 14(1) </w:t>
      </w:r>
      <w:r w:rsidRPr="0037513D">
        <w:rPr>
          <w:rFonts w:ascii="Garamond" w:hAnsi="Garamond"/>
          <w:smallCaps/>
          <w:sz w:val="18"/>
          <w:szCs w:val="18"/>
        </w:rPr>
        <w:t>J. Interactive Advert</w:t>
      </w:r>
      <w:r w:rsidRPr="0037513D">
        <w:rPr>
          <w:rFonts w:ascii="Garamond" w:hAnsi="Garamond"/>
          <w:sz w:val="18"/>
          <w:szCs w:val="18"/>
        </w:rPr>
        <w:t xml:space="preserve">. 38–50 (2014);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et al., </w:t>
      </w:r>
      <w:r w:rsidRPr="0037513D">
        <w:rPr>
          <w:rFonts w:ascii="Garamond" w:hAnsi="Garamond"/>
          <w:i/>
          <w:iCs/>
          <w:sz w:val="18"/>
          <w:szCs w:val="18"/>
        </w:rPr>
        <w:t>Effects of Disclosing Sponsored Content in Blogs: How the Use of Resistance Strategies Mediates Effects on Persuasion</w:t>
      </w:r>
      <w:r w:rsidRPr="0037513D">
        <w:rPr>
          <w:rFonts w:ascii="Garamond" w:hAnsi="Garamond"/>
          <w:sz w:val="18"/>
          <w:szCs w:val="18"/>
        </w:rPr>
        <w:t xml:space="preserve">, 60(12) </w:t>
      </w:r>
      <w:r w:rsidRPr="0037513D">
        <w:rPr>
          <w:rFonts w:ascii="Garamond" w:hAnsi="Garamond"/>
          <w:smallCaps/>
          <w:sz w:val="18"/>
          <w:szCs w:val="18"/>
        </w:rPr>
        <w:t>Am. Behav. Sci.</w:t>
      </w:r>
      <w:r w:rsidRPr="0037513D">
        <w:rPr>
          <w:rFonts w:ascii="Garamond" w:hAnsi="Garamond"/>
          <w:sz w:val="18"/>
          <w:szCs w:val="18"/>
        </w:rPr>
        <w:t>, 1458–74 (2016).</w:t>
      </w:r>
    </w:p>
  </w:footnote>
  <w:footnote w:id="120">
    <w:p w14:paraId="6C64FFDD" w14:textId="77777777" w:rsidR="004F53A7" w:rsidRPr="0037513D" w:rsidRDefault="004F53A7" w:rsidP="004F53A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color w:val="000000" w:themeColor="text1"/>
          <w:sz w:val="18"/>
          <w:szCs w:val="18"/>
        </w:rPr>
        <w:t>, at 12.</w:t>
      </w:r>
      <w:r w:rsidRPr="0037513D">
        <w:rPr>
          <w:rFonts w:ascii="Garamond" w:hAnsi="Garamond"/>
          <w:sz w:val="18"/>
          <w:szCs w:val="18"/>
        </w:rPr>
        <w:t xml:space="preserve"> (“Without the sponsorship disclosure, few participants noticed the presence of ads,”);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at 149</w:t>
      </w:r>
      <w:r w:rsidRPr="0037513D">
        <w:rPr>
          <w:rFonts w:ascii="Garamond" w:eastAsia="Times New Roman" w:hAnsi="Garamond" w:cs="Times New Roman"/>
          <w:color w:val="000000" w:themeColor="text1"/>
          <w:kern w:val="0"/>
          <w:sz w:val="18"/>
          <w:szCs w:val="18"/>
          <w14:ligatures w14:val="none"/>
        </w:rPr>
        <w:t>.</w:t>
      </w:r>
      <w:r w:rsidRPr="0037513D">
        <w:rPr>
          <w:rFonts w:ascii="Garamond" w:hAnsi="Garamond"/>
          <w:sz w:val="18"/>
          <w:szCs w:val="18"/>
        </w:rPr>
        <w:t xml:space="preserve"> (“</w:t>
      </w:r>
      <w:r w:rsidRPr="0037513D">
        <w:rPr>
          <w:rFonts w:ascii="Garamond" w:hAnsi="Garamond" w:cstheme="majorBidi"/>
          <w:sz w:val="18"/>
          <w:szCs w:val="18"/>
          <w:lang w:bidi="he-IL"/>
        </w:rPr>
        <w:t>As long as the texts are not littered with brand names, the advertisements are not detected by more than half of the users who do not expect ads in the generated answers.”).</w:t>
      </w:r>
    </w:p>
  </w:footnote>
  <w:footnote w:id="121">
    <w:p w14:paraId="699A642E" w14:textId="77777777" w:rsidR="00B92C12" w:rsidRPr="0037513D" w:rsidRDefault="00B92C12" w:rsidP="00B92C1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Evans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145</w:t>
      </w:r>
      <w:r w:rsidRPr="0037513D">
        <w:rPr>
          <w:rFonts w:ascii="Garamond" w:hAnsi="Garamond" w:cstheme="majorBidi"/>
          <w:sz w:val="18"/>
          <w:szCs w:val="18"/>
        </w:rPr>
        <w:t>.</w:t>
      </w:r>
    </w:p>
  </w:footnote>
  <w:footnote w:id="122">
    <w:p w14:paraId="4C30C71D" w14:textId="77777777" w:rsidR="00B92C12" w:rsidRPr="0037513D" w:rsidRDefault="00B92C12" w:rsidP="00B92C12">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Id. </w:t>
      </w:r>
    </w:p>
  </w:footnote>
  <w:footnote w:id="123">
    <w:p w14:paraId="35AAC47B" w14:textId="77777777" w:rsidR="00083D65" w:rsidRPr="0037513D" w:rsidRDefault="00083D65" w:rsidP="00083D6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smallCaps/>
          <w:sz w:val="18"/>
          <w:szCs w:val="18"/>
        </w:rPr>
        <w:t>Meta,</w:t>
      </w:r>
      <w:r w:rsidRPr="0037513D">
        <w:rPr>
          <w:rFonts w:ascii="Garamond" w:hAnsi="Garamond"/>
          <w:sz w:val="18"/>
          <w:szCs w:val="18"/>
        </w:rPr>
        <w:t xml:space="preserve"> </w:t>
      </w:r>
      <w:r w:rsidRPr="0037513D">
        <w:rPr>
          <w:rStyle w:val="Emphasis"/>
          <w:rFonts w:ascii="Garamond" w:hAnsi="Garamond"/>
          <w:sz w:val="18"/>
          <w:szCs w:val="18"/>
        </w:rPr>
        <w:t>Why Transparency Matters: Enhancing Creator and Business Partnerships</w:t>
      </w:r>
      <w:r w:rsidRPr="0037513D">
        <w:rPr>
          <w:rFonts w:ascii="Garamond" w:hAnsi="Garamond"/>
          <w:sz w:val="18"/>
          <w:szCs w:val="18"/>
          <w:rtl/>
        </w:rPr>
        <w:t xml:space="preserve"> </w:t>
      </w:r>
      <w:r w:rsidRPr="0037513D">
        <w:rPr>
          <w:rFonts w:ascii="Garamond" w:hAnsi="Garamond"/>
          <w:sz w:val="18"/>
          <w:szCs w:val="18"/>
        </w:rPr>
        <w:t>(June 14, 2017</w:t>
      </w:r>
      <w:r w:rsidRPr="0037513D">
        <w:rPr>
          <w:rFonts w:ascii="Garamond" w:hAnsi="Garamond"/>
          <w:sz w:val="18"/>
          <w:szCs w:val="18"/>
          <w:rtl/>
        </w:rPr>
        <w:t>(</w:t>
      </w:r>
      <w:r w:rsidRPr="0037513D">
        <w:rPr>
          <w:rFonts w:ascii="Garamond" w:hAnsi="Garamond"/>
          <w:sz w:val="18"/>
          <w:szCs w:val="18"/>
        </w:rPr>
        <w:t xml:space="preserve"> </w:t>
      </w:r>
      <w:hyperlink r:id="rId22" w:history="1">
        <w:r w:rsidRPr="0037513D">
          <w:rPr>
            <w:rStyle w:val="Hyperlink"/>
            <w:rFonts w:ascii="Garamond" w:hAnsi="Garamond"/>
            <w:sz w:val="18"/>
            <w:szCs w:val="18"/>
          </w:rPr>
          <w:t>https://business.instagram.com/blog/tagging-and-insights</w:t>
        </w:r>
      </w:hyperlink>
      <w:r w:rsidRPr="0037513D">
        <w:rPr>
          <w:rFonts w:ascii="Garamond" w:hAnsi="Garamond"/>
          <w:sz w:val="18"/>
          <w:szCs w:val="18"/>
          <w:lang w:bidi="he-IL"/>
        </w:rPr>
        <w:t xml:space="preserve">. </w:t>
      </w:r>
      <w:r w:rsidRPr="0037513D">
        <w:rPr>
          <w:rFonts w:ascii="Garamond" w:hAnsi="Garamond"/>
          <w:sz w:val="18"/>
          <w:szCs w:val="18"/>
        </w:rPr>
        <w:t>Older studies have shown that hashtags disclosing a commercial relationship, such as #paidad and #sponsored, can increase advertising recognition.</w:t>
      </w:r>
      <w:r w:rsidRPr="0037513D">
        <w:rPr>
          <w:rStyle w:val="FootnoteReference"/>
          <w:rFonts w:ascii="Garamond" w:hAnsi="Garamond"/>
          <w:sz w:val="18"/>
          <w:szCs w:val="18"/>
        </w:rPr>
        <w:t xml:space="preserve"> </w:t>
      </w:r>
      <w:r w:rsidRPr="0037513D">
        <w:rPr>
          <w:rFonts w:ascii="Garamond" w:eastAsia="Times New Roman" w:hAnsi="Garamond" w:cstheme="majorBidi"/>
          <w:color w:val="000000"/>
          <w:sz w:val="18"/>
          <w:szCs w:val="18"/>
          <w:lang w:bidi="he-IL"/>
        </w:rPr>
        <w:t xml:space="preserve">De </w:t>
      </w:r>
      <w:proofErr w:type="spellStart"/>
      <w:r w:rsidRPr="0037513D">
        <w:rPr>
          <w:rFonts w:ascii="Garamond" w:eastAsia="Times New Roman" w:hAnsi="Garamond" w:cstheme="majorBidi"/>
          <w:color w:val="000000"/>
          <w:sz w:val="18"/>
          <w:szCs w:val="18"/>
          <w:lang w:bidi="he-IL"/>
        </w:rPr>
        <w:t>Veirman</w:t>
      </w:r>
      <w:proofErr w:type="spellEnd"/>
      <w:r w:rsidRPr="0037513D">
        <w:rPr>
          <w:rFonts w:ascii="Garamond" w:eastAsia="Times New Roman" w:hAnsi="Garamond" w:cstheme="majorBidi"/>
          <w:color w:val="000000"/>
          <w:sz w:val="18"/>
          <w:szCs w:val="18"/>
          <w:lang w:bidi="he-IL"/>
        </w:rPr>
        <w:t xml:space="preserve"> &amp; </w:t>
      </w:r>
      <w:proofErr w:type="spellStart"/>
      <w:r w:rsidRPr="0037513D">
        <w:rPr>
          <w:rFonts w:ascii="Garamond" w:eastAsia="Times New Roman" w:hAnsi="Garamond" w:cstheme="majorBidi"/>
          <w:color w:val="000000"/>
          <w:sz w:val="18"/>
          <w:szCs w:val="18"/>
          <w:lang w:bidi="he-IL"/>
        </w:rPr>
        <w:t>Hudders</w:t>
      </w:r>
      <w:proofErr w:type="spellEnd"/>
      <w:r w:rsidRPr="0037513D">
        <w:rPr>
          <w:rFonts w:ascii="Garamond" w:eastAsia="Times New Roman" w:hAnsi="Garamond" w:cstheme="majorBidi"/>
          <w:color w:val="000000"/>
          <w:sz w:val="18"/>
          <w:szCs w:val="18"/>
          <w:lang w:bidi="he-IL"/>
        </w:rPr>
        <w:t xml:space="preserve">, </w:t>
      </w:r>
      <w:r w:rsidRPr="0037513D">
        <w:rPr>
          <w:rFonts w:ascii="Garamond" w:eastAsia="Times New Roman" w:hAnsi="Garamond" w:cstheme="majorBidi"/>
          <w:i/>
          <w:iCs/>
          <w:color w:val="000000"/>
          <w:sz w:val="18"/>
          <w:szCs w:val="18"/>
          <w:lang w:bidi="he-IL"/>
        </w:rPr>
        <w:t xml:space="preserve">supra </w:t>
      </w:r>
      <w:r w:rsidRPr="0037513D">
        <w:rPr>
          <w:rFonts w:ascii="Garamond" w:eastAsia="Times New Roman" w:hAnsi="Garamond" w:cstheme="majorBidi"/>
          <w:color w:val="000000"/>
          <w:sz w:val="18"/>
          <w:szCs w:val="18"/>
          <w:lang w:bidi="he-IL"/>
        </w:rPr>
        <w:t xml:space="preserve">note </w:t>
      </w:r>
      <w:r w:rsidRPr="0037513D">
        <w:rPr>
          <w:rFonts w:ascii="Garamond" w:hAnsi="Garamond" w:cstheme="majorBidi"/>
          <w:color w:val="000000"/>
          <w:sz w:val="18"/>
          <w:szCs w:val="18"/>
        </w:rPr>
        <w:fldChar w:fldCharType="begin"/>
      </w:r>
      <w:r w:rsidRPr="0037513D">
        <w:rPr>
          <w:rFonts w:ascii="Garamond" w:hAnsi="Garamond" w:cstheme="majorBidi"/>
          <w:color w:val="000000"/>
          <w:sz w:val="18"/>
          <w:szCs w:val="18"/>
          <w:lang w:bidi="he-IL"/>
        </w:rPr>
        <w:instrText xml:space="preserve"> NOTEREF _Ref201067484 \h </w:instrText>
      </w:r>
      <w:r w:rsidRPr="0037513D">
        <w:rPr>
          <w:rFonts w:ascii="Garamond" w:hAnsi="Garamond" w:cstheme="majorBidi"/>
          <w:color w:val="000000"/>
          <w:sz w:val="18"/>
          <w:szCs w:val="18"/>
        </w:rPr>
        <w:instrText xml:space="preserve"> \* MERGEFORMAT </w:instrText>
      </w:r>
      <w:r w:rsidRPr="0037513D">
        <w:rPr>
          <w:rFonts w:ascii="Garamond" w:hAnsi="Garamond" w:cstheme="majorBidi"/>
          <w:color w:val="000000"/>
          <w:sz w:val="18"/>
          <w:szCs w:val="18"/>
        </w:rPr>
      </w:r>
      <w:r w:rsidRPr="0037513D">
        <w:rPr>
          <w:rFonts w:ascii="Garamond" w:hAnsi="Garamond" w:cstheme="majorBidi"/>
          <w:color w:val="000000"/>
          <w:sz w:val="18"/>
          <w:szCs w:val="18"/>
        </w:rPr>
        <w:fldChar w:fldCharType="separate"/>
      </w:r>
      <w:r w:rsidRPr="0037513D">
        <w:rPr>
          <w:rFonts w:ascii="Garamond" w:hAnsi="Garamond" w:cstheme="majorBidi"/>
          <w:color w:val="000000"/>
          <w:sz w:val="18"/>
          <w:szCs w:val="18"/>
          <w:lang w:bidi="he-IL"/>
        </w:rPr>
        <w:t>100</w:t>
      </w:r>
      <w:r w:rsidRPr="0037513D">
        <w:rPr>
          <w:rFonts w:ascii="Garamond" w:hAnsi="Garamond" w:cstheme="majorBidi"/>
          <w:color w:val="000000"/>
          <w:sz w:val="18"/>
          <w:szCs w:val="18"/>
        </w:rPr>
        <w:fldChar w:fldCharType="end"/>
      </w:r>
      <w:r w:rsidRPr="0037513D">
        <w:rPr>
          <w:rFonts w:ascii="Garamond" w:eastAsia="Times New Roman" w:hAnsi="Garamond" w:cstheme="majorBidi"/>
          <w:color w:val="000000"/>
          <w:sz w:val="18"/>
          <w:szCs w:val="18"/>
          <w:lang w:bidi="he-IL"/>
        </w:rPr>
        <w:t>, at 1-37;</w:t>
      </w:r>
      <w:r w:rsidRPr="0037513D">
        <w:rPr>
          <w:rFonts w:ascii="Garamond" w:eastAsia="Times New Roman" w:hAnsi="Garamond" w:cstheme="majorBidi"/>
          <w:color w:val="000000"/>
          <w:sz w:val="18"/>
          <w:szCs w:val="18"/>
        </w:rPr>
        <w:t xml:space="preserve"> </w:t>
      </w:r>
      <w:r w:rsidRPr="0037513D">
        <w:rPr>
          <w:rFonts w:ascii="Garamond" w:hAnsi="Garamond"/>
          <w:sz w:val="18"/>
          <w:szCs w:val="18"/>
        </w:rPr>
        <w:t xml:space="preserve">Evans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145. Instagram introduced a standardized built-in disclosure in June 2017 following scrutiny by the Federal Trade Commission.</w:t>
      </w:r>
    </w:p>
  </w:footnote>
  <w:footnote w:id="124">
    <w:p w14:paraId="69D5A23F" w14:textId="77777777" w:rsidR="00083D65" w:rsidRPr="0037513D" w:rsidRDefault="00083D65" w:rsidP="00083D6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Zeynep </w:t>
      </w:r>
      <w:proofErr w:type="spellStart"/>
      <w:r w:rsidRPr="0037513D">
        <w:rPr>
          <w:rFonts w:ascii="Garamond" w:hAnsi="Garamond"/>
          <w:sz w:val="18"/>
          <w:szCs w:val="18"/>
        </w:rPr>
        <w:t>Karagür</w:t>
      </w:r>
      <w:proofErr w:type="spellEnd"/>
      <w:r w:rsidRPr="0037513D">
        <w:rPr>
          <w:rFonts w:ascii="Garamond" w:hAnsi="Garamond"/>
          <w:sz w:val="18"/>
          <w:szCs w:val="18"/>
        </w:rPr>
        <w:t xml:space="preserve"> et al., </w:t>
      </w:r>
      <w:r w:rsidRPr="0037513D">
        <w:rPr>
          <w:rStyle w:val="Emphasis"/>
          <w:rFonts w:ascii="Garamond" w:hAnsi="Garamond"/>
          <w:sz w:val="18"/>
          <w:szCs w:val="18"/>
        </w:rPr>
        <w:t>How, Why, and When Disclosure Type Matters for Influencer Marketing</w:t>
      </w:r>
      <w:r w:rsidRPr="0037513D">
        <w:rPr>
          <w:rFonts w:ascii="Garamond" w:hAnsi="Garamond"/>
          <w:sz w:val="18"/>
          <w:szCs w:val="18"/>
        </w:rPr>
        <w:t>,</w:t>
      </w:r>
      <w:r w:rsidRPr="0037513D">
        <w:rPr>
          <w:rFonts w:ascii="Garamond" w:hAnsi="Garamond"/>
          <w:b/>
          <w:bCs/>
          <w:sz w:val="18"/>
          <w:szCs w:val="18"/>
        </w:rPr>
        <w:t xml:space="preserve"> </w:t>
      </w:r>
      <w:r w:rsidRPr="0037513D">
        <w:rPr>
          <w:rStyle w:val="Strong"/>
          <w:rFonts w:ascii="Garamond" w:hAnsi="Garamond"/>
          <w:b w:val="0"/>
          <w:bCs w:val="0"/>
          <w:smallCaps/>
          <w:sz w:val="18"/>
          <w:szCs w:val="18"/>
        </w:rPr>
        <w:t>39 Int'l  J. Res. Mktg</w:t>
      </w:r>
      <w:r w:rsidRPr="0037513D">
        <w:rPr>
          <w:rStyle w:val="Strong"/>
          <w:rFonts w:ascii="Garamond" w:hAnsi="Garamond"/>
          <w:smallCaps/>
          <w:sz w:val="18"/>
          <w:szCs w:val="18"/>
        </w:rPr>
        <w:t>.</w:t>
      </w:r>
      <w:r w:rsidRPr="0037513D">
        <w:rPr>
          <w:rFonts w:ascii="Garamond" w:hAnsi="Garamond"/>
          <w:sz w:val="18"/>
          <w:szCs w:val="18"/>
        </w:rPr>
        <w:t xml:space="preserve"> 313, 314 (2022)</w:t>
      </w:r>
      <w:r w:rsidRPr="0037513D">
        <w:rPr>
          <w:rFonts w:ascii="Garamond" w:hAnsi="Garamond"/>
          <w:sz w:val="18"/>
          <w:szCs w:val="18"/>
          <w:lang w:bidi="he-IL"/>
        </w:rPr>
        <w:t xml:space="preserve">; </w:t>
      </w:r>
      <w:r w:rsidRPr="0037513D">
        <w:rPr>
          <w:rFonts w:ascii="Garamond" w:hAnsi="Garamond"/>
          <w:sz w:val="18"/>
          <w:szCs w:val="18"/>
        </w:rPr>
        <w:t xml:space="preserve">Serena Iacobucci &amp; Roberta De Cicco, </w:t>
      </w:r>
      <w:r w:rsidRPr="0037513D">
        <w:rPr>
          <w:rStyle w:val="Emphasis"/>
          <w:rFonts w:ascii="Garamond" w:hAnsi="Garamond"/>
          <w:sz w:val="18"/>
          <w:szCs w:val="18"/>
        </w:rPr>
        <w:t>Users’ Awareness of Native Advertising from Instagram Media Publishers: The Effects of Instagram’s Branded Content Tool on Attitudes and Behavioral Intent</w:t>
      </w:r>
      <w:r w:rsidRPr="0037513D">
        <w:rPr>
          <w:rFonts w:ascii="Garamond" w:hAnsi="Garamond"/>
          <w:smallCaps/>
          <w:sz w:val="18"/>
          <w:szCs w:val="18"/>
        </w:rPr>
        <w:t xml:space="preserve">, </w:t>
      </w:r>
      <w:r w:rsidRPr="0037513D">
        <w:rPr>
          <w:rStyle w:val="Strong"/>
          <w:rFonts w:ascii="Garamond" w:hAnsi="Garamond"/>
          <w:b w:val="0"/>
          <w:bCs w:val="0"/>
          <w:smallCaps/>
          <w:sz w:val="18"/>
          <w:szCs w:val="18"/>
        </w:rPr>
        <w:t>14 I</w:t>
      </w:r>
      <w:r w:rsidRPr="0037513D">
        <w:rPr>
          <w:rStyle w:val="Strong"/>
          <w:rFonts w:ascii="Garamond" w:eastAsiaTheme="majorEastAsia" w:hAnsi="Garamond"/>
          <w:b w:val="0"/>
          <w:bCs w:val="0"/>
          <w:smallCaps/>
          <w:sz w:val="18"/>
          <w:szCs w:val="18"/>
        </w:rPr>
        <w:t>nt'l</w:t>
      </w:r>
      <w:r w:rsidRPr="0037513D">
        <w:rPr>
          <w:rStyle w:val="Strong"/>
          <w:rFonts w:ascii="Garamond" w:hAnsi="Garamond"/>
          <w:b w:val="0"/>
          <w:bCs w:val="0"/>
          <w:smallCaps/>
          <w:sz w:val="18"/>
          <w:szCs w:val="18"/>
        </w:rPr>
        <w:t xml:space="preserve"> J. I</w:t>
      </w:r>
      <w:r w:rsidRPr="0037513D">
        <w:rPr>
          <w:rStyle w:val="Strong"/>
          <w:rFonts w:ascii="Garamond" w:eastAsiaTheme="majorEastAsia" w:hAnsi="Garamond"/>
          <w:b w:val="0"/>
          <w:bCs w:val="0"/>
          <w:smallCaps/>
          <w:sz w:val="18"/>
          <w:szCs w:val="18"/>
        </w:rPr>
        <w:t xml:space="preserve">nternet </w:t>
      </w:r>
      <w:r w:rsidRPr="0037513D">
        <w:rPr>
          <w:rStyle w:val="Strong"/>
          <w:rFonts w:ascii="Garamond" w:hAnsi="Garamond"/>
          <w:b w:val="0"/>
          <w:bCs w:val="0"/>
          <w:smallCaps/>
          <w:sz w:val="18"/>
          <w:szCs w:val="18"/>
        </w:rPr>
        <w:t>M</w:t>
      </w:r>
      <w:r w:rsidRPr="0037513D">
        <w:rPr>
          <w:rStyle w:val="Strong"/>
          <w:rFonts w:ascii="Garamond" w:eastAsiaTheme="majorEastAsia" w:hAnsi="Garamond"/>
          <w:b w:val="0"/>
          <w:bCs w:val="0"/>
          <w:smallCaps/>
          <w:sz w:val="18"/>
          <w:szCs w:val="18"/>
        </w:rPr>
        <w:t>ktg</w:t>
      </w:r>
      <w:r w:rsidRPr="0037513D">
        <w:rPr>
          <w:rStyle w:val="Strong"/>
          <w:rFonts w:ascii="Garamond" w:hAnsi="Garamond"/>
          <w:b w:val="0"/>
          <w:bCs w:val="0"/>
          <w:smallCaps/>
          <w:sz w:val="18"/>
          <w:szCs w:val="18"/>
        </w:rPr>
        <w:t>. &amp; A</w:t>
      </w:r>
      <w:r w:rsidRPr="0037513D">
        <w:rPr>
          <w:rStyle w:val="Strong"/>
          <w:rFonts w:ascii="Garamond" w:eastAsiaTheme="majorEastAsia" w:hAnsi="Garamond"/>
          <w:b w:val="0"/>
          <w:bCs w:val="0"/>
          <w:smallCaps/>
          <w:sz w:val="18"/>
          <w:szCs w:val="18"/>
        </w:rPr>
        <w:t>dvert</w:t>
      </w:r>
      <w:r w:rsidRPr="0037513D">
        <w:rPr>
          <w:rStyle w:val="Strong"/>
          <w:rFonts w:ascii="Garamond" w:hAnsi="Garamond"/>
          <w:b w:val="0"/>
          <w:bCs w:val="0"/>
          <w:smallCaps/>
          <w:sz w:val="18"/>
          <w:szCs w:val="18"/>
        </w:rPr>
        <w:t>.</w:t>
      </w:r>
      <w:r w:rsidRPr="0037513D">
        <w:rPr>
          <w:rFonts w:ascii="Garamond" w:hAnsi="Garamond"/>
          <w:sz w:val="18"/>
          <w:szCs w:val="18"/>
        </w:rPr>
        <w:t xml:space="preserve"> 71–90 (2020); Sophie C. Boerman, </w:t>
      </w:r>
      <w:r w:rsidRPr="0037513D">
        <w:rPr>
          <w:rStyle w:val="Emphasis"/>
          <w:rFonts w:ascii="Garamond" w:hAnsi="Garamond"/>
          <w:sz w:val="18"/>
          <w:szCs w:val="18"/>
        </w:rPr>
        <w:t>The Effects of the Standardized Instagram Disclosure for Micro- and Meso-Influencers</w:t>
      </w:r>
      <w:r w:rsidRPr="0037513D">
        <w:rPr>
          <w:rFonts w:ascii="Garamond" w:hAnsi="Garamond"/>
          <w:smallCaps/>
          <w:sz w:val="18"/>
          <w:szCs w:val="18"/>
        </w:rPr>
        <w:t xml:space="preserve">, </w:t>
      </w:r>
      <w:r w:rsidRPr="0037513D">
        <w:rPr>
          <w:rStyle w:val="Strong"/>
          <w:rFonts w:ascii="Garamond" w:hAnsi="Garamond"/>
          <w:b w:val="0"/>
          <w:bCs w:val="0"/>
          <w:smallCaps/>
          <w:sz w:val="18"/>
          <w:szCs w:val="18"/>
        </w:rPr>
        <w:t>103 Computers Hum. Behav.</w:t>
      </w:r>
      <w:r w:rsidRPr="0037513D">
        <w:rPr>
          <w:rFonts w:ascii="Garamond" w:hAnsi="Garamond"/>
          <w:sz w:val="18"/>
          <w:szCs w:val="18"/>
        </w:rPr>
        <w:t xml:space="preserve"> </w:t>
      </w:r>
      <w:r w:rsidRPr="0037513D">
        <w:rPr>
          <w:rFonts w:ascii="Garamond" w:eastAsia="Times New Roman" w:hAnsi="Garamond" w:cstheme="majorBidi"/>
          <w:color w:val="000000"/>
          <w:sz w:val="18"/>
          <w:szCs w:val="18"/>
          <w:lang w:bidi="he-IL"/>
        </w:rPr>
        <w:t xml:space="preserve">199–207 </w:t>
      </w:r>
      <w:r w:rsidRPr="0037513D">
        <w:rPr>
          <w:rFonts w:ascii="Garamond" w:hAnsi="Garamond"/>
          <w:sz w:val="18"/>
          <w:szCs w:val="18"/>
        </w:rPr>
        <w:t>(2020).</w:t>
      </w:r>
    </w:p>
  </w:footnote>
  <w:footnote w:id="125">
    <w:p w14:paraId="6C90CFA6" w14:textId="77777777" w:rsidR="00083D65" w:rsidRPr="0037513D" w:rsidRDefault="00083D65" w:rsidP="00083D6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Sophie C. Boerman &amp; Céline M. Müller, </w:t>
      </w:r>
      <w:r w:rsidRPr="0037513D">
        <w:rPr>
          <w:rStyle w:val="Emphasis"/>
          <w:rFonts w:ascii="Garamond" w:hAnsi="Garamond"/>
          <w:sz w:val="18"/>
          <w:szCs w:val="18"/>
        </w:rPr>
        <w:t>Understanding Which Cues People Use to Identify Influencer Marketing on Instagram: An Eye Tracking Study and Experiment</w:t>
      </w:r>
      <w:r w:rsidRPr="0037513D">
        <w:rPr>
          <w:rFonts w:ascii="Garamond" w:hAnsi="Garamond"/>
          <w:sz w:val="18"/>
          <w:szCs w:val="18"/>
        </w:rPr>
        <w:t xml:space="preserve">, </w:t>
      </w:r>
      <w:r w:rsidRPr="0037513D">
        <w:rPr>
          <w:rStyle w:val="Strong"/>
          <w:rFonts w:ascii="Garamond" w:hAnsi="Garamond"/>
          <w:b w:val="0"/>
          <w:bCs w:val="0"/>
          <w:smallCaps/>
          <w:sz w:val="18"/>
          <w:szCs w:val="18"/>
        </w:rPr>
        <w:t>41 Int'l  J. Advert.</w:t>
      </w:r>
      <w:r w:rsidRPr="0037513D">
        <w:rPr>
          <w:rStyle w:val="Strong"/>
          <w:rFonts w:ascii="Garamond" w:hAnsi="Garamond"/>
          <w:smallCaps/>
          <w:sz w:val="18"/>
          <w:szCs w:val="18"/>
        </w:rPr>
        <w:t xml:space="preserve"> </w:t>
      </w:r>
      <w:r w:rsidRPr="0037513D">
        <w:rPr>
          <w:rFonts w:ascii="Garamond" w:hAnsi="Garamond"/>
          <w:sz w:val="18"/>
          <w:szCs w:val="18"/>
        </w:rPr>
        <w:t>6, 7, 23 (2022)</w:t>
      </w:r>
      <w:r w:rsidRPr="0037513D">
        <w:rPr>
          <w:rFonts w:ascii="Garamond" w:hAnsi="Garamond"/>
          <w:sz w:val="18"/>
          <w:szCs w:val="18"/>
          <w:lang w:bidi="he-IL"/>
        </w:rPr>
        <w:t>;</w:t>
      </w:r>
      <w:r w:rsidRPr="0037513D">
        <w:rPr>
          <w:rFonts w:ascii="Garamond" w:hAnsi="Garamond"/>
          <w:sz w:val="18"/>
          <w:szCs w:val="18"/>
        </w:rPr>
        <w:t xml:space="preserve"> Elizabeth Cowley &amp; Chris Barron, </w:t>
      </w:r>
      <w:r w:rsidRPr="0037513D">
        <w:rPr>
          <w:rStyle w:val="Emphasis"/>
          <w:rFonts w:ascii="Garamond" w:hAnsi="Garamond"/>
          <w:sz w:val="18"/>
          <w:szCs w:val="18"/>
        </w:rPr>
        <w:t>When Product Placement Goes Wrong: The Effects of Program Liking and Placement Prominence</w:t>
      </w:r>
      <w:r w:rsidRPr="0037513D">
        <w:rPr>
          <w:rFonts w:ascii="Garamond" w:hAnsi="Garamond"/>
          <w:sz w:val="18"/>
          <w:szCs w:val="18"/>
        </w:rPr>
        <w:t>,</w:t>
      </w:r>
      <w:r w:rsidRPr="0037513D">
        <w:rPr>
          <w:rFonts w:ascii="Garamond" w:hAnsi="Garamond"/>
          <w:b/>
          <w:bCs/>
          <w:sz w:val="18"/>
          <w:szCs w:val="18"/>
        </w:rPr>
        <w:t xml:space="preserve"> </w:t>
      </w:r>
      <w:r w:rsidRPr="0037513D">
        <w:rPr>
          <w:rStyle w:val="Strong"/>
          <w:rFonts w:ascii="Garamond" w:hAnsi="Garamond"/>
          <w:b w:val="0"/>
          <w:bCs w:val="0"/>
          <w:smallCaps/>
          <w:sz w:val="18"/>
          <w:szCs w:val="18"/>
        </w:rPr>
        <w:t>37(1) J. A</w:t>
      </w:r>
      <w:r w:rsidRPr="0037513D">
        <w:rPr>
          <w:rStyle w:val="Strong"/>
          <w:rFonts w:ascii="Garamond" w:eastAsiaTheme="majorEastAsia" w:hAnsi="Garamond"/>
          <w:b w:val="0"/>
          <w:bCs w:val="0"/>
          <w:smallCaps/>
          <w:sz w:val="18"/>
          <w:szCs w:val="18"/>
        </w:rPr>
        <w:t>dvert.</w:t>
      </w:r>
      <w:r w:rsidRPr="0037513D">
        <w:rPr>
          <w:rStyle w:val="Strong"/>
          <w:rFonts w:ascii="Garamond" w:eastAsiaTheme="majorEastAsia" w:hAnsi="Garamond"/>
          <w:smallCaps/>
          <w:sz w:val="18"/>
          <w:szCs w:val="18"/>
        </w:rPr>
        <w:t xml:space="preserve"> </w:t>
      </w:r>
      <w:r w:rsidRPr="0037513D">
        <w:rPr>
          <w:rFonts w:ascii="Garamond" w:hAnsi="Garamond"/>
          <w:sz w:val="18"/>
          <w:szCs w:val="18"/>
        </w:rPr>
        <w:t>89–98 (2008)</w:t>
      </w:r>
      <w:r w:rsidRPr="0037513D">
        <w:rPr>
          <w:rFonts w:ascii="Garamond" w:hAnsi="Garamond"/>
          <w:sz w:val="18"/>
          <w:szCs w:val="18"/>
          <w:lang w:bidi="he-IL"/>
        </w:rPr>
        <w:t>;</w:t>
      </w:r>
      <w:r w:rsidRPr="0037513D">
        <w:rPr>
          <w:rFonts w:ascii="Garamond" w:hAnsi="Garamond"/>
          <w:i/>
          <w:iCs/>
          <w:sz w:val="18"/>
          <w:szCs w:val="18"/>
        </w:rPr>
        <w:t xml:space="preserve"> See</w:t>
      </w:r>
      <w:r w:rsidRPr="0037513D">
        <w:rPr>
          <w:rFonts w:ascii="Garamond" w:hAnsi="Garamond"/>
          <w:sz w:val="18"/>
          <w:szCs w:val="18"/>
        </w:rPr>
        <w:t xml:space="preserve">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_Ref214550487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50</w:t>
      </w:r>
      <w:r w:rsidRPr="0037513D">
        <w:rPr>
          <w:rFonts w:ascii="Garamond" w:hAnsi="Garamond"/>
          <w:sz w:val="18"/>
          <w:szCs w:val="18"/>
        </w:rPr>
        <w:fldChar w:fldCharType="end"/>
      </w:r>
      <w:r w:rsidRPr="0037513D">
        <w:rPr>
          <w:rFonts w:ascii="Garamond" w:hAnsi="Garamond"/>
          <w:sz w:val="18"/>
          <w:szCs w:val="18"/>
        </w:rPr>
        <w:t>.</w:t>
      </w:r>
    </w:p>
  </w:footnote>
  <w:footnote w:id="126">
    <w:p w14:paraId="6AF4BC8A" w14:textId="77777777" w:rsidR="00F321AB" w:rsidRPr="0037513D" w:rsidRDefault="00F321AB" w:rsidP="00F321A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Ryan Calo, </w:t>
      </w:r>
      <w:r w:rsidRPr="0037513D">
        <w:rPr>
          <w:rFonts w:ascii="Garamond" w:hAnsi="Garamond"/>
          <w:i/>
          <w:iCs/>
          <w:sz w:val="18"/>
          <w:szCs w:val="18"/>
        </w:rPr>
        <w:t>Against Notice Skepticism In Privacy (And Elsewhere)</w:t>
      </w:r>
      <w:r w:rsidRPr="0037513D">
        <w:rPr>
          <w:rFonts w:ascii="Garamond" w:hAnsi="Garamond"/>
          <w:sz w:val="18"/>
          <w:szCs w:val="18"/>
        </w:rPr>
        <w:t xml:space="preserve">, 87 </w:t>
      </w:r>
      <w:r w:rsidRPr="0037513D">
        <w:rPr>
          <w:rFonts w:ascii="Garamond" w:hAnsi="Garamond" w:cs="Calibri"/>
          <w:smallCaps/>
          <w:sz w:val="18"/>
          <w:szCs w:val="18"/>
        </w:rPr>
        <w:t>Notre Dame L. Rev.</w:t>
      </w:r>
      <w:r w:rsidRPr="0037513D">
        <w:rPr>
          <w:rFonts w:ascii="Garamond" w:hAnsi="Garamond"/>
          <w:sz w:val="18"/>
          <w:szCs w:val="18"/>
        </w:rPr>
        <w:t xml:space="preserve"> 1027 (2011); </w:t>
      </w:r>
      <w:r w:rsidRPr="0037513D">
        <w:rPr>
          <w:rFonts w:ascii="Garamond" w:hAnsi="Garamond" w:cs="GillSansStd"/>
          <w:sz w:val="18"/>
          <w:szCs w:val="18"/>
        </w:rPr>
        <w:t xml:space="preserve">Ellen P. Goodman, </w:t>
      </w:r>
      <w:r w:rsidRPr="0037513D">
        <w:rPr>
          <w:rFonts w:ascii="Garamond" w:hAnsi="Garamond" w:cs="GillSansStd"/>
          <w:i/>
          <w:iCs/>
          <w:sz w:val="18"/>
          <w:szCs w:val="18"/>
        </w:rPr>
        <w:t>The Stakes of User Interface Design for Democracy</w:t>
      </w:r>
      <w:r w:rsidRPr="0037513D">
        <w:rPr>
          <w:rFonts w:ascii="Garamond" w:hAnsi="Garamond" w:cs="GillSansStd"/>
          <w:sz w:val="18"/>
          <w:szCs w:val="18"/>
        </w:rPr>
        <w:t xml:space="preserve">, GMF 1 (2021); </w:t>
      </w:r>
      <w:r w:rsidRPr="0037513D">
        <w:rPr>
          <w:rFonts w:ascii="Garamond" w:hAnsi="Garamond"/>
          <w:sz w:val="18"/>
          <w:szCs w:val="18"/>
        </w:rPr>
        <w:t xml:space="preserve">Brett M. Frischmann &amp; Susan Benesch, </w:t>
      </w:r>
      <w:r w:rsidRPr="0037513D">
        <w:rPr>
          <w:rFonts w:ascii="Garamond" w:hAnsi="Garamond"/>
          <w:i/>
          <w:iCs/>
          <w:sz w:val="18"/>
          <w:szCs w:val="18"/>
        </w:rPr>
        <w:t xml:space="preserve">Friction-In-Design Regulation as 21st Century Time, Place, and Manner Restriction, </w:t>
      </w:r>
      <w:r w:rsidRPr="0037513D">
        <w:rPr>
          <w:rFonts w:ascii="Garamond" w:hAnsi="Garamond"/>
          <w:sz w:val="18"/>
          <w:szCs w:val="18"/>
        </w:rPr>
        <w:t xml:space="preserve">25 Yale E.J.L &amp; Tech. 376 (2023). </w:t>
      </w:r>
      <w:r w:rsidRPr="0037513D">
        <w:rPr>
          <w:rFonts w:ascii="Garamond" w:hAnsi="Garamond"/>
          <w:i/>
          <w:iCs/>
          <w:sz w:val="18"/>
          <w:szCs w:val="18"/>
        </w:rPr>
        <w:t>See generally</w:t>
      </w:r>
      <w:r w:rsidRPr="0037513D">
        <w:rPr>
          <w:rFonts w:ascii="Garamond" w:hAnsi="Garamond"/>
          <w:sz w:val="18"/>
          <w:szCs w:val="18"/>
        </w:rPr>
        <w:t xml:space="preserve"> </w:t>
      </w:r>
      <w:r w:rsidRPr="0037513D">
        <w:rPr>
          <w:rFonts w:ascii="Garamond" w:hAnsi="Garamond"/>
          <w:smallCaps/>
          <w:sz w:val="18"/>
          <w:szCs w:val="18"/>
        </w:rPr>
        <w:t>Richard H. Thaler &amp; Cass R. Sunstein, Nudge: Improving Decisions About Health, Wealth, and Happines</w:t>
      </w:r>
      <w:r w:rsidRPr="0037513D">
        <w:rPr>
          <w:rFonts w:ascii="Garamond" w:hAnsi="Garamond"/>
          <w:sz w:val="18"/>
          <w:szCs w:val="18"/>
        </w:rPr>
        <w:t>s (Penguin, 2009).</w:t>
      </w:r>
    </w:p>
  </w:footnote>
  <w:footnote w:id="127">
    <w:p w14:paraId="665D3F36" w14:textId="0E114E06" w:rsidR="00F87FE3" w:rsidRPr="0037513D" w:rsidRDefault="00F87FE3"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494562" w:rsidRPr="0037513D">
        <w:rPr>
          <w:rFonts w:ascii="Garamond" w:hAnsi="Garamond"/>
          <w:sz w:val="18"/>
          <w:szCs w:val="18"/>
        </w:rPr>
        <w:t xml:space="preserve">Dalia </w:t>
      </w:r>
      <w:proofErr w:type="spellStart"/>
      <w:r w:rsidR="00494562" w:rsidRPr="0037513D">
        <w:rPr>
          <w:rFonts w:ascii="Garamond" w:hAnsi="Garamond"/>
          <w:sz w:val="18"/>
          <w:szCs w:val="18"/>
        </w:rPr>
        <w:t>Shilian</w:t>
      </w:r>
      <w:proofErr w:type="spellEnd"/>
      <w:r w:rsidR="00494562" w:rsidRPr="0037513D">
        <w:rPr>
          <w:rFonts w:ascii="Garamond" w:hAnsi="Garamond"/>
          <w:sz w:val="18"/>
          <w:szCs w:val="18"/>
        </w:rPr>
        <w:t xml:space="preserve"> &amp; Eyal Pe'er,</w:t>
      </w:r>
      <w:r w:rsidR="00494562" w:rsidRPr="0037513D">
        <w:rPr>
          <w:rFonts w:ascii="Garamond" w:hAnsi="Garamond"/>
          <w:i/>
          <w:iCs/>
          <w:sz w:val="18"/>
          <w:szCs w:val="18"/>
        </w:rPr>
        <w:t xml:space="preserve"> Identified disclosure to increase Consumers’ detection of native advertising</w:t>
      </w:r>
      <w:r w:rsidR="00494562" w:rsidRPr="0037513D">
        <w:rPr>
          <w:rFonts w:ascii="Garamond" w:hAnsi="Garamond"/>
          <w:sz w:val="18"/>
          <w:szCs w:val="18"/>
        </w:rPr>
        <w:t xml:space="preserve">, 10 </w:t>
      </w:r>
      <w:r w:rsidR="00494562" w:rsidRPr="0037513D">
        <w:rPr>
          <w:rFonts w:ascii="Garamond" w:hAnsi="Garamond"/>
          <w:smallCaps/>
          <w:sz w:val="18"/>
          <w:szCs w:val="18"/>
        </w:rPr>
        <w:t>Journal of Economic Psychology</w:t>
      </w:r>
      <w:r w:rsidR="00494562" w:rsidRPr="0037513D">
        <w:rPr>
          <w:rFonts w:ascii="Garamond" w:hAnsi="Garamond"/>
          <w:sz w:val="18"/>
          <w:szCs w:val="18"/>
        </w:rPr>
        <w:t xml:space="preserve"> 2025</w:t>
      </w:r>
      <w:r w:rsidR="00806EE1" w:rsidRPr="0037513D">
        <w:rPr>
          <w:rFonts w:ascii="Garamond" w:hAnsi="Garamond"/>
          <w:sz w:val="18"/>
          <w:szCs w:val="18"/>
        </w:rPr>
        <w:t>.</w:t>
      </w:r>
    </w:p>
  </w:footnote>
  <w:footnote w:id="128">
    <w:p w14:paraId="291C7F24" w14:textId="77777777" w:rsidR="00FD2633" w:rsidRPr="0037513D" w:rsidRDefault="00FD2633" w:rsidP="00FD263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Kelley J. Main, Darren W. Dahl &amp; Peter R. Darke, </w:t>
      </w:r>
      <w:r w:rsidRPr="0037513D">
        <w:rPr>
          <w:rStyle w:val="Emphasis"/>
          <w:rFonts w:ascii="Garamond" w:hAnsi="Garamond"/>
          <w:sz w:val="18"/>
          <w:szCs w:val="18"/>
        </w:rPr>
        <w:t>Deliberative and Automatic Bases of Suspicion: Empirical Evidence of the Sinister Attribution Error</w:t>
      </w:r>
      <w:r w:rsidRPr="0037513D">
        <w:rPr>
          <w:rFonts w:ascii="Garamond" w:hAnsi="Garamond"/>
          <w:sz w:val="18"/>
          <w:szCs w:val="18"/>
        </w:rPr>
        <w:t xml:space="preserve">, </w:t>
      </w:r>
      <w:r w:rsidRPr="0037513D">
        <w:rPr>
          <w:rStyle w:val="Strong"/>
          <w:rFonts w:ascii="Garamond" w:hAnsi="Garamond"/>
          <w:b w:val="0"/>
          <w:bCs w:val="0"/>
          <w:smallCaps/>
          <w:sz w:val="18"/>
          <w:szCs w:val="18"/>
        </w:rPr>
        <w:t>17(1) J. Consumer Psychol.</w:t>
      </w:r>
      <w:r w:rsidRPr="0037513D">
        <w:rPr>
          <w:rFonts w:ascii="Garamond" w:hAnsi="Garamond"/>
          <w:sz w:val="18"/>
          <w:szCs w:val="18"/>
        </w:rPr>
        <w:t xml:space="preserve"> 59 (2007);</w:t>
      </w:r>
      <w:r w:rsidRPr="0037513D">
        <w:rPr>
          <w:rFonts w:ascii="Garamond" w:hAnsi="Garamond"/>
          <w:i/>
          <w:iCs/>
          <w:sz w:val="18"/>
          <w:szCs w:val="18"/>
        </w:rPr>
        <w:t xml:space="preserve"> See</w:t>
      </w:r>
      <w:r w:rsidRPr="0037513D">
        <w:rPr>
          <w:rFonts w:ascii="Garamond" w:hAnsi="Garamond"/>
          <w:sz w:val="18"/>
          <w:szCs w:val="18"/>
        </w:rPr>
        <w:t xml:space="preserve"> De </w:t>
      </w:r>
      <w:proofErr w:type="spellStart"/>
      <w:r w:rsidRPr="0037513D">
        <w:rPr>
          <w:rFonts w:ascii="Garamond" w:hAnsi="Garamond"/>
          <w:sz w:val="18"/>
          <w:szCs w:val="18"/>
        </w:rPr>
        <w:t>Veirman</w:t>
      </w:r>
      <w:proofErr w:type="spellEnd"/>
      <w:r w:rsidRPr="0037513D">
        <w:rPr>
          <w:rFonts w:ascii="Garamond" w:hAnsi="Garamond"/>
          <w:sz w:val="18"/>
          <w:szCs w:val="18"/>
        </w:rPr>
        <w:t xml:space="preserve"> &amp; </w:t>
      </w:r>
      <w:proofErr w:type="spellStart"/>
      <w:r w:rsidRPr="0037513D">
        <w:rPr>
          <w:rFonts w:ascii="Garamond" w:hAnsi="Garamond"/>
          <w:sz w:val="18"/>
          <w:szCs w:val="18"/>
        </w:rPr>
        <w:t>Hudders</w:t>
      </w:r>
      <w:proofErr w:type="spellEnd"/>
      <w:r w:rsidRPr="0037513D">
        <w:rPr>
          <w:rFonts w:ascii="Garamond" w:hAnsi="Garamond"/>
          <w:sz w:val="18"/>
          <w:szCs w:val="18"/>
        </w:rPr>
        <w:t xml:space="preserve">,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cstheme="majorBidi"/>
          <w:color w:val="000000"/>
          <w:sz w:val="18"/>
          <w:szCs w:val="18"/>
        </w:rPr>
        <w:fldChar w:fldCharType="begin"/>
      </w:r>
      <w:r w:rsidRPr="0037513D">
        <w:rPr>
          <w:rFonts w:ascii="Garamond" w:hAnsi="Garamond" w:cstheme="majorBidi"/>
          <w:color w:val="000000"/>
          <w:sz w:val="18"/>
          <w:szCs w:val="18"/>
          <w:lang w:bidi="he-IL"/>
        </w:rPr>
        <w:instrText xml:space="preserve"> NOTEREF _Ref201067484 \h </w:instrText>
      </w:r>
      <w:r w:rsidRPr="0037513D">
        <w:rPr>
          <w:rFonts w:ascii="Garamond" w:hAnsi="Garamond" w:cstheme="majorBidi"/>
          <w:color w:val="000000"/>
          <w:sz w:val="18"/>
          <w:szCs w:val="18"/>
        </w:rPr>
        <w:instrText xml:space="preserve"> \* MERGEFORMAT </w:instrText>
      </w:r>
      <w:r w:rsidRPr="0037513D">
        <w:rPr>
          <w:rFonts w:ascii="Garamond" w:hAnsi="Garamond" w:cstheme="majorBidi"/>
          <w:color w:val="000000"/>
          <w:sz w:val="18"/>
          <w:szCs w:val="18"/>
        </w:rPr>
      </w:r>
      <w:r w:rsidRPr="0037513D">
        <w:rPr>
          <w:rFonts w:ascii="Garamond" w:hAnsi="Garamond" w:cstheme="majorBidi"/>
          <w:color w:val="000000"/>
          <w:sz w:val="18"/>
          <w:szCs w:val="18"/>
        </w:rPr>
        <w:fldChar w:fldCharType="separate"/>
      </w:r>
      <w:r w:rsidRPr="0037513D">
        <w:rPr>
          <w:rFonts w:ascii="Garamond" w:hAnsi="Garamond" w:cstheme="majorBidi"/>
          <w:color w:val="000000"/>
          <w:sz w:val="18"/>
          <w:szCs w:val="18"/>
          <w:lang w:bidi="he-IL"/>
        </w:rPr>
        <w:t>100</w:t>
      </w:r>
      <w:r w:rsidRPr="0037513D">
        <w:rPr>
          <w:rFonts w:ascii="Garamond" w:hAnsi="Garamond" w:cstheme="majorBidi"/>
          <w:color w:val="000000"/>
          <w:sz w:val="18"/>
          <w:szCs w:val="18"/>
        </w:rPr>
        <w:fldChar w:fldCharType="end"/>
      </w:r>
      <w:r w:rsidRPr="0037513D">
        <w:rPr>
          <w:rFonts w:ascii="Garamond" w:eastAsia="Times New Roman" w:hAnsi="Garamond" w:cstheme="majorBidi"/>
          <w:color w:val="000000"/>
          <w:sz w:val="18"/>
          <w:szCs w:val="18"/>
          <w:lang w:bidi="he-IL"/>
        </w:rPr>
        <w:t xml:space="preserve">, </w:t>
      </w:r>
      <w:r w:rsidRPr="0037513D">
        <w:rPr>
          <w:rFonts w:ascii="Garamond" w:hAnsi="Garamond"/>
          <w:sz w:val="18"/>
          <w:szCs w:val="18"/>
        </w:rPr>
        <w:t xml:space="preserve">at 98; </w:t>
      </w:r>
      <w:r w:rsidRPr="0037513D">
        <w:rPr>
          <w:rFonts w:ascii="Garamond" w:hAnsi="Garamond" w:cstheme="majorBidi"/>
          <w:i/>
          <w:iCs/>
          <w:sz w:val="18"/>
          <w:szCs w:val="18"/>
        </w:rPr>
        <w:t xml:space="preserve">See </w:t>
      </w:r>
      <w:r w:rsidRPr="0037513D">
        <w:rPr>
          <w:rFonts w:ascii="Garamond" w:hAnsi="Garamond"/>
          <w:sz w:val="18"/>
          <w:szCs w:val="18"/>
        </w:rPr>
        <w:t>Evans</w:t>
      </w:r>
      <w:r w:rsidRPr="0037513D">
        <w:rPr>
          <w:rFonts w:ascii="Garamond" w:hAnsi="Garamond"/>
          <w:sz w:val="18"/>
          <w:szCs w:val="18"/>
          <w:rtl/>
          <w:lang w:bidi="he-IL"/>
        </w:rPr>
        <w:t xml:space="preserve"> </w:t>
      </w:r>
      <w:r w:rsidRPr="0037513D">
        <w:rPr>
          <w:rFonts w:ascii="Garamond" w:hAnsi="Garamond"/>
          <w:sz w:val="18"/>
          <w:szCs w:val="18"/>
          <w:lang w:bidi="he-IL"/>
        </w:rPr>
        <w:t>e</w:t>
      </w:r>
      <w:r w:rsidRPr="0037513D">
        <w:rPr>
          <w:rFonts w:ascii="Garamond" w:hAnsi="Garamond"/>
          <w:sz w:val="18"/>
          <w:szCs w:val="18"/>
        </w:rPr>
        <w:t xml:space="preserve">t al., </w:t>
      </w:r>
      <w:r w:rsidRPr="0037513D">
        <w:rPr>
          <w:rFonts w:ascii="Garamond" w:hAnsi="Garamond" w:cstheme="majorBidi"/>
          <w:i/>
          <w:iCs/>
          <w:sz w:val="18"/>
          <w:szCs w:val="18"/>
        </w:rPr>
        <w:t xml:space="preserve">supra </w:t>
      </w:r>
      <w:r w:rsidRPr="0037513D">
        <w:rPr>
          <w:rFonts w:ascii="Garamond" w:hAnsi="Garamond" w:cstheme="majorBidi"/>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cstheme="majorBidi"/>
          <w:sz w:val="18"/>
          <w:szCs w:val="18"/>
          <w:lang w:bidi="he-IL"/>
        </w:rPr>
        <w:t xml:space="preserve"> at 14</w:t>
      </w:r>
      <w:r w:rsidRPr="0037513D">
        <w:rPr>
          <w:rFonts w:ascii="Garamond" w:hAnsi="Garamond" w:cstheme="majorBidi"/>
          <w:sz w:val="18"/>
          <w:szCs w:val="18"/>
        </w:rPr>
        <w:t>2</w:t>
      </w:r>
      <w:r w:rsidRPr="0037513D">
        <w:rPr>
          <w:rFonts w:ascii="Garamond" w:hAnsi="Garamond" w:cstheme="majorBidi"/>
          <w:sz w:val="18"/>
          <w:szCs w:val="18"/>
          <w:lang w:bidi="he-IL"/>
        </w:rPr>
        <w:t>;</w:t>
      </w:r>
      <w:r w:rsidRPr="0037513D">
        <w:rPr>
          <w:rFonts w:ascii="Garamond" w:eastAsia="Times New Roman" w:hAnsi="Garamond" w:cstheme="majorBidi"/>
          <w:color w:val="000000"/>
          <w:sz w:val="18"/>
          <w:szCs w:val="18"/>
        </w:rPr>
        <w:t xml:space="preserve"> </w:t>
      </w:r>
      <w:r w:rsidRPr="0037513D">
        <w:rPr>
          <w:rFonts w:ascii="Garamond" w:hAnsi="Garamond"/>
          <w:sz w:val="18"/>
          <w:szCs w:val="18"/>
        </w:rPr>
        <w:t xml:space="preserve">Boerman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sz w:val="18"/>
          <w:szCs w:val="18"/>
        </w:rPr>
        <w:t>, at 1047–64</w:t>
      </w:r>
      <w:r w:rsidRPr="0037513D">
        <w:rPr>
          <w:rFonts w:ascii="Garamond" w:hAnsi="Garamond"/>
          <w:sz w:val="18"/>
          <w:szCs w:val="18"/>
          <w:lang w:bidi="he-IL"/>
        </w:rPr>
        <w:t>;</w:t>
      </w:r>
      <w:r w:rsidRPr="0037513D">
        <w:rPr>
          <w:rFonts w:ascii="Garamond" w:hAnsi="Garamond"/>
          <w:sz w:val="18"/>
          <w:szCs w:val="18"/>
        </w:rPr>
        <w:t xml:space="preserve"> Esther Rozendaal, Moniek </w:t>
      </w:r>
      <w:proofErr w:type="spellStart"/>
      <w:r w:rsidRPr="0037513D">
        <w:rPr>
          <w:rFonts w:ascii="Garamond" w:hAnsi="Garamond"/>
          <w:sz w:val="18"/>
          <w:szCs w:val="18"/>
        </w:rPr>
        <w:t>Buijzen</w:t>
      </w:r>
      <w:proofErr w:type="spellEnd"/>
      <w:r w:rsidRPr="0037513D">
        <w:rPr>
          <w:rFonts w:ascii="Garamond" w:hAnsi="Garamond"/>
          <w:sz w:val="18"/>
          <w:szCs w:val="18"/>
        </w:rPr>
        <w:t xml:space="preserve"> &amp; Patti M. Valkenburg, </w:t>
      </w:r>
      <w:r w:rsidRPr="0037513D">
        <w:rPr>
          <w:rStyle w:val="Emphasis"/>
          <w:rFonts w:ascii="Garamond" w:hAnsi="Garamond"/>
          <w:sz w:val="18"/>
          <w:szCs w:val="18"/>
        </w:rPr>
        <w:t>Children’s Understanding of Advertisers’ Persuasive Tactics</w:t>
      </w:r>
      <w:r w:rsidRPr="0037513D">
        <w:rPr>
          <w:rFonts w:ascii="Garamond" w:hAnsi="Garamond"/>
          <w:sz w:val="18"/>
          <w:szCs w:val="18"/>
        </w:rPr>
        <w:t xml:space="preserve">, </w:t>
      </w:r>
      <w:r w:rsidRPr="0037513D">
        <w:rPr>
          <w:rStyle w:val="Strong"/>
          <w:rFonts w:ascii="Garamond" w:hAnsi="Garamond"/>
          <w:b w:val="0"/>
          <w:bCs w:val="0"/>
          <w:smallCaps/>
          <w:sz w:val="18"/>
          <w:szCs w:val="18"/>
        </w:rPr>
        <w:t>30(2) Int'l J. Advert.</w:t>
      </w:r>
      <w:r w:rsidRPr="0037513D">
        <w:rPr>
          <w:rFonts w:ascii="Garamond" w:hAnsi="Garamond"/>
          <w:b/>
          <w:bCs/>
          <w:sz w:val="18"/>
          <w:szCs w:val="18"/>
        </w:rPr>
        <w:t xml:space="preserve"> </w:t>
      </w:r>
      <w:r w:rsidRPr="0037513D">
        <w:rPr>
          <w:rFonts w:ascii="Garamond" w:hAnsi="Garamond"/>
          <w:sz w:val="18"/>
          <w:szCs w:val="18"/>
        </w:rPr>
        <w:t>329 (2011).</w:t>
      </w:r>
    </w:p>
  </w:footnote>
  <w:footnote w:id="129">
    <w:p w14:paraId="75828569" w14:textId="77777777" w:rsidR="00FD2633" w:rsidRPr="0037513D" w:rsidRDefault="00FD2633" w:rsidP="00FD263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Jack W. Brehm &amp; Sharon S. Brehm, </w:t>
      </w:r>
      <w:r w:rsidRPr="0037513D">
        <w:rPr>
          <w:rStyle w:val="Emphasis"/>
          <w:rFonts w:ascii="Garamond" w:hAnsi="Garamond"/>
          <w:sz w:val="18"/>
          <w:szCs w:val="18"/>
        </w:rPr>
        <w:t>Psychological Reactance: A Theory of Freedom and Control</w:t>
      </w:r>
      <w:r w:rsidRPr="0037513D">
        <w:rPr>
          <w:rFonts w:ascii="Garamond" w:hAnsi="Garamond"/>
          <w:sz w:val="18"/>
          <w:szCs w:val="18"/>
        </w:rPr>
        <w:t xml:space="preserve"> (Academic Press 1981)</w:t>
      </w:r>
      <w:r w:rsidRPr="0037513D">
        <w:rPr>
          <w:rFonts w:ascii="Garamond" w:hAnsi="Garamond"/>
          <w:sz w:val="18"/>
          <w:szCs w:val="18"/>
          <w:lang w:bidi="he-IL"/>
        </w:rPr>
        <w:t>;</w:t>
      </w:r>
      <w:r w:rsidRPr="0037513D">
        <w:rPr>
          <w:rFonts w:ascii="Garamond" w:eastAsia="Times New Roman" w:hAnsi="Garamond" w:cs="Times New Roman"/>
          <w:i/>
          <w:color w:val="000000"/>
          <w:kern w:val="0"/>
          <w:sz w:val="18"/>
          <w:szCs w:val="18"/>
          <w14:ligatures w14:val="none"/>
        </w:rPr>
        <w:t xml:space="preserve"> </w:t>
      </w:r>
      <w:r w:rsidRPr="0037513D">
        <w:rPr>
          <w:rFonts w:ascii="Garamond" w:eastAsia="Times New Roman" w:hAnsi="Garamond" w:cs="Times New Roman"/>
          <w:i/>
          <w:iCs/>
          <w:color w:val="000000"/>
          <w:kern w:val="0"/>
          <w:sz w:val="18"/>
          <w:szCs w:val="18"/>
          <w14:ligatures w14:val="none"/>
        </w:rPr>
        <w:t>See</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sz w:val="18"/>
          <w:szCs w:val="18"/>
        </w:rPr>
        <w:t>Hoofnagle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note</w:t>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hAnsi="Garamond"/>
          <w:color w:val="000000"/>
          <w:sz w:val="18"/>
          <w:szCs w:val="18"/>
          <w:shd w:val="clear" w:color="auto" w:fill="FFFF00"/>
        </w:rPr>
        <w:t xml:space="preserve">, </w:t>
      </w:r>
      <w:r w:rsidRPr="0037513D">
        <w:rPr>
          <w:rFonts w:ascii="Garamond" w:eastAsia="Times New Roman" w:hAnsi="Garamond" w:cs="Times New Roman"/>
          <w:color w:val="000000"/>
          <w:kern w:val="0"/>
          <w:sz w:val="18"/>
          <w:szCs w:val="18"/>
          <w14:ligatures w14:val="none"/>
        </w:rPr>
        <w:t>at</w:t>
      </w:r>
      <w:r w:rsidRPr="0037513D">
        <w:rPr>
          <w:rFonts w:ascii="Garamond" w:hAnsi="Garamond"/>
          <w:color w:val="000000" w:themeColor="text1"/>
          <w:sz w:val="18"/>
          <w:szCs w:val="18"/>
        </w:rPr>
        <w:t xml:space="preserve"> 5.</w:t>
      </w:r>
      <w:r w:rsidRPr="0037513D">
        <w:rPr>
          <w:rFonts w:ascii="Garamond" w:hAnsi="Garamond"/>
          <w:sz w:val="18"/>
          <w:szCs w:val="18"/>
          <w:rtl/>
          <w:lang w:bidi="he-IL"/>
        </w:rPr>
        <w:t xml:space="preserve"> </w:t>
      </w:r>
      <w:r w:rsidRPr="0037513D" w:rsidDel="007D5634">
        <w:rPr>
          <w:rFonts w:ascii="Garamond" w:hAnsi="Garamond"/>
          <w:sz w:val="18"/>
          <w:szCs w:val="18"/>
        </w:rPr>
        <w:t xml:space="preserve"> </w:t>
      </w:r>
      <w:r w:rsidRPr="0037513D">
        <w:rPr>
          <w:rFonts w:ascii="Garamond" w:hAnsi="Garamond"/>
          <w:sz w:val="18"/>
          <w:szCs w:val="18"/>
        </w:rPr>
        <w:t>(calling it advertising schema).</w:t>
      </w:r>
    </w:p>
  </w:footnote>
  <w:footnote w:id="130">
    <w:p w14:paraId="7BF44797" w14:textId="77777777" w:rsidR="00FD2633" w:rsidRPr="0037513D" w:rsidRDefault="00FD2633" w:rsidP="00FD2633">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cstheme="majorBidi"/>
          <w:color w:val="000000"/>
          <w:sz w:val="18"/>
          <w:szCs w:val="18"/>
          <w:lang w:bidi="he-IL"/>
        </w:rPr>
        <w:t xml:space="preserve">De </w:t>
      </w:r>
      <w:proofErr w:type="spellStart"/>
      <w:r w:rsidRPr="0037513D">
        <w:rPr>
          <w:rFonts w:ascii="Garamond" w:eastAsia="Times New Roman" w:hAnsi="Garamond" w:cstheme="majorBidi"/>
          <w:color w:val="000000"/>
          <w:sz w:val="18"/>
          <w:szCs w:val="18"/>
          <w:lang w:bidi="he-IL"/>
        </w:rPr>
        <w:t>Veirman</w:t>
      </w:r>
      <w:proofErr w:type="spellEnd"/>
      <w:r w:rsidRPr="0037513D">
        <w:rPr>
          <w:rFonts w:ascii="Garamond" w:eastAsia="Times New Roman" w:hAnsi="Garamond" w:cstheme="majorBidi"/>
          <w:color w:val="000000"/>
          <w:sz w:val="18"/>
          <w:szCs w:val="18"/>
          <w:lang w:bidi="he-IL"/>
        </w:rPr>
        <w:t xml:space="preserve"> &amp; </w:t>
      </w:r>
      <w:proofErr w:type="spellStart"/>
      <w:r w:rsidRPr="0037513D">
        <w:rPr>
          <w:rFonts w:ascii="Garamond" w:eastAsia="Times New Roman" w:hAnsi="Garamond" w:cstheme="majorBidi"/>
          <w:color w:val="000000"/>
          <w:sz w:val="18"/>
          <w:szCs w:val="18"/>
          <w:lang w:bidi="he-IL"/>
        </w:rPr>
        <w:t>Hudders</w:t>
      </w:r>
      <w:proofErr w:type="spellEnd"/>
      <w:r w:rsidRPr="0037513D">
        <w:rPr>
          <w:rFonts w:ascii="Garamond" w:eastAsia="Times New Roman" w:hAnsi="Garamond" w:cstheme="majorBidi"/>
          <w:color w:val="000000"/>
          <w:sz w:val="18"/>
          <w:szCs w:val="18"/>
          <w:lang w:bidi="he-IL"/>
        </w:rPr>
        <w:t xml:space="preserve">, </w:t>
      </w:r>
      <w:r w:rsidRPr="0037513D">
        <w:rPr>
          <w:rFonts w:ascii="Garamond" w:eastAsia="Times New Roman" w:hAnsi="Garamond" w:cstheme="majorBidi"/>
          <w:i/>
          <w:iCs/>
          <w:color w:val="000000"/>
          <w:sz w:val="18"/>
          <w:szCs w:val="18"/>
          <w:lang w:bidi="he-IL"/>
        </w:rPr>
        <w:t xml:space="preserve">supra </w:t>
      </w:r>
      <w:r w:rsidRPr="0037513D">
        <w:rPr>
          <w:rFonts w:ascii="Garamond" w:eastAsia="Times New Roman" w:hAnsi="Garamond" w:cstheme="majorBidi"/>
          <w:color w:val="000000"/>
          <w:sz w:val="18"/>
          <w:szCs w:val="18"/>
          <w:lang w:bidi="he-IL"/>
        </w:rPr>
        <w:t xml:space="preserve">note </w:t>
      </w:r>
      <w:r w:rsidRPr="0037513D">
        <w:rPr>
          <w:rFonts w:ascii="Garamond" w:hAnsi="Garamond" w:cstheme="majorBidi"/>
          <w:color w:val="000000"/>
          <w:sz w:val="18"/>
          <w:szCs w:val="18"/>
        </w:rPr>
        <w:fldChar w:fldCharType="begin"/>
      </w:r>
      <w:r w:rsidRPr="0037513D">
        <w:rPr>
          <w:rFonts w:ascii="Garamond" w:hAnsi="Garamond" w:cstheme="majorBidi"/>
          <w:color w:val="000000"/>
          <w:sz w:val="18"/>
          <w:szCs w:val="18"/>
          <w:lang w:bidi="he-IL"/>
        </w:rPr>
        <w:instrText xml:space="preserve"> NOTEREF _Ref201067484 \h </w:instrText>
      </w:r>
      <w:r w:rsidRPr="0037513D">
        <w:rPr>
          <w:rFonts w:ascii="Garamond" w:hAnsi="Garamond" w:cstheme="majorBidi"/>
          <w:color w:val="000000"/>
          <w:sz w:val="18"/>
          <w:szCs w:val="18"/>
        </w:rPr>
        <w:instrText xml:space="preserve"> \* MERGEFORMAT </w:instrText>
      </w:r>
      <w:r w:rsidRPr="0037513D">
        <w:rPr>
          <w:rFonts w:ascii="Garamond" w:hAnsi="Garamond" w:cstheme="majorBidi"/>
          <w:color w:val="000000"/>
          <w:sz w:val="18"/>
          <w:szCs w:val="18"/>
        </w:rPr>
      </w:r>
      <w:r w:rsidRPr="0037513D">
        <w:rPr>
          <w:rFonts w:ascii="Garamond" w:hAnsi="Garamond" w:cstheme="majorBidi"/>
          <w:color w:val="000000"/>
          <w:sz w:val="18"/>
          <w:szCs w:val="18"/>
        </w:rPr>
        <w:fldChar w:fldCharType="separate"/>
      </w:r>
      <w:r w:rsidRPr="0037513D">
        <w:rPr>
          <w:rFonts w:ascii="Garamond" w:hAnsi="Garamond" w:cstheme="majorBidi"/>
          <w:color w:val="000000"/>
          <w:sz w:val="18"/>
          <w:szCs w:val="18"/>
          <w:lang w:bidi="he-IL"/>
        </w:rPr>
        <w:t>100</w:t>
      </w:r>
      <w:r w:rsidRPr="0037513D">
        <w:rPr>
          <w:rFonts w:ascii="Garamond" w:hAnsi="Garamond" w:cstheme="majorBidi"/>
          <w:color w:val="000000"/>
          <w:sz w:val="18"/>
          <w:szCs w:val="18"/>
        </w:rPr>
        <w:fldChar w:fldCharType="end"/>
      </w:r>
      <w:r w:rsidRPr="0037513D">
        <w:rPr>
          <w:rFonts w:ascii="Garamond" w:eastAsia="Times New Roman" w:hAnsi="Garamond" w:cstheme="majorBidi"/>
          <w:color w:val="000000"/>
          <w:sz w:val="18"/>
          <w:szCs w:val="18"/>
          <w:lang w:bidi="he-IL"/>
        </w:rPr>
        <w:t xml:space="preserve">, at </w:t>
      </w:r>
      <w:r w:rsidRPr="0037513D">
        <w:rPr>
          <w:rFonts w:ascii="Garamond" w:eastAsia="Times New Roman" w:hAnsi="Garamond" w:cstheme="majorBidi"/>
          <w:color w:val="000000"/>
          <w:sz w:val="18"/>
          <w:szCs w:val="18"/>
        </w:rPr>
        <w:t>98;</w:t>
      </w:r>
      <w:r w:rsidRPr="0037513D">
        <w:rPr>
          <w:rFonts w:ascii="Garamond" w:hAnsi="Garamond"/>
          <w:sz w:val="18"/>
          <w:szCs w:val="18"/>
          <w:rtl/>
          <w:lang w:bidi="he-IL"/>
        </w:rPr>
        <w:t xml:space="preserve"> </w:t>
      </w:r>
      <w:r w:rsidRPr="0037513D">
        <w:rPr>
          <w:rFonts w:ascii="Garamond" w:hAnsi="Garamond" w:cstheme="majorBidi"/>
          <w:i/>
          <w:iCs/>
          <w:sz w:val="18"/>
          <w:szCs w:val="18"/>
        </w:rPr>
        <w:t xml:space="preserve">See </w:t>
      </w:r>
      <w:r w:rsidRPr="0037513D">
        <w:rPr>
          <w:rFonts w:ascii="Garamond" w:hAnsi="Garamond"/>
          <w:sz w:val="18"/>
          <w:szCs w:val="18"/>
        </w:rPr>
        <w:t>Evans</w:t>
      </w:r>
      <w:r w:rsidRPr="0037513D">
        <w:rPr>
          <w:rFonts w:ascii="Garamond" w:hAnsi="Garamond"/>
          <w:sz w:val="18"/>
          <w:szCs w:val="18"/>
          <w:rtl/>
          <w:lang w:bidi="he-IL"/>
        </w:rPr>
        <w:t xml:space="preserve"> </w:t>
      </w:r>
      <w:r w:rsidRPr="0037513D">
        <w:rPr>
          <w:rFonts w:ascii="Garamond" w:hAnsi="Garamond"/>
          <w:sz w:val="18"/>
          <w:szCs w:val="18"/>
          <w:lang w:bidi="he-IL"/>
        </w:rPr>
        <w:t>e</w:t>
      </w:r>
      <w:r w:rsidRPr="0037513D">
        <w:rPr>
          <w:rFonts w:ascii="Garamond" w:hAnsi="Garamond"/>
          <w:sz w:val="18"/>
          <w:szCs w:val="18"/>
        </w:rPr>
        <w:t xml:space="preserve">t al., </w:t>
      </w:r>
      <w:r w:rsidRPr="0037513D">
        <w:rPr>
          <w:rFonts w:ascii="Garamond" w:hAnsi="Garamond" w:cstheme="majorBidi"/>
          <w:i/>
          <w:iCs/>
          <w:sz w:val="18"/>
          <w:szCs w:val="18"/>
        </w:rPr>
        <w:t xml:space="preserve">supra </w:t>
      </w:r>
      <w:r w:rsidRPr="0037513D">
        <w:rPr>
          <w:rFonts w:ascii="Garamond" w:hAnsi="Garamond" w:cstheme="majorBidi"/>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cstheme="majorBidi"/>
          <w:sz w:val="18"/>
          <w:szCs w:val="18"/>
          <w:lang w:bidi="he-IL"/>
        </w:rPr>
        <w:t xml:space="preserve"> at 14</w:t>
      </w:r>
      <w:r w:rsidRPr="0037513D">
        <w:rPr>
          <w:rFonts w:ascii="Garamond" w:hAnsi="Garamond" w:cstheme="majorBidi"/>
          <w:sz w:val="18"/>
          <w:szCs w:val="18"/>
        </w:rPr>
        <w:t>2</w:t>
      </w:r>
      <w:r w:rsidRPr="0037513D">
        <w:rPr>
          <w:rFonts w:ascii="Garamond" w:hAnsi="Garamond" w:cstheme="majorBidi"/>
          <w:sz w:val="18"/>
          <w:szCs w:val="18"/>
          <w:rtl/>
          <w:lang w:bidi="he-IL"/>
        </w:rPr>
        <w:t>.</w:t>
      </w:r>
    </w:p>
  </w:footnote>
  <w:footnote w:id="131">
    <w:p w14:paraId="6AAF7D25" w14:textId="40A4ED71" w:rsidR="00751D99" w:rsidRPr="0037513D" w:rsidRDefault="00751D99"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7E3D66" w:rsidRPr="0037513D">
        <w:rPr>
          <w:rFonts w:ascii="Garamond" w:hAnsi="Garamond"/>
          <w:sz w:val="18"/>
          <w:szCs w:val="18"/>
        </w:rPr>
        <w:t xml:space="preserve">Campbell, Mohr &amp; </w:t>
      </w:r>
      <w:proofErr w:type="spellStart"/>
      <w:r w:rsidR="007E3D66" w:rsidRPr="0037513D">
        <w:rPr>
          <w:rFonts w:ascii="Garamond" w:hAnsi="Garamond"/>
          <w:sz w:val="18"/>
          <w:szCs w:val="18"/>
        </w:rPr>
        <w:t>Verlegh</w:t>
      </w:r>
      <w:proofErr w:type="spellEnd"/>
      <w:r w:rsidR="007E3D66" w:rsidRPr="0037513D">
        <w:rPr>
          <w:rFonts w:ascii="Garamond" w:hAnsi="Garamond"/>
          <w:sz w:val="18"/>
          <w:szCs w:val="18"/>
        </w:rPr>
        <w:t xml:space="preserve">, </w:t>
      </w:r>
      <w:r w:rsidR="007E3D66" w:rsidRPr="0037513D">
        <w:rPr>
          <w:rStyle w:val="Emphasis"/>
          <w:rFonts w:ascii="Garamond" w:hAnsi="Garamond"/>
          <w:sz w:val="18"/>
          <w:szCs w:val="18"/>
        </w:rPr>
        <w:t>supra</w:t>
      </w:r>
      <w:r w:rsidR="007E3D66" w:rsidRPr="0037513D">
        <w:rPr>
          <w:rFonts w:ascii="Garamond" w:hAnsi="Garamond"/>
          <w:sz w:val="18"/>
          <w:szCs w:val="18"/>
        </w:rPr>
        <w:t xml:space="preserve"> note </w:t>
      </w:r>
      <w:r w:rsidR="00AD0368" w:rsidRPr="0037513D">
        <w:rPr>
          <w:rFonts w:ascii="Garamond" w:hAnsi="Garamond"/>
          <w:sz w:val="18"/>
          <w:szCs w:val="18"/>
        </w:rPr>
        <w:fldChar w:fldCharType="begin"/>
      </w:r>
      <w:r w:rsidR="00AD0368" w:rsidRPr="0037513D">
        <w:rPr>
          <w:rFonts w:ascii="Garamond" w:hAnsi="Garamond"/>
          <w:sz w:val="18"/>
          <w:szCs w:val="18"/>
        </w:rPr>
        <w:instrText xml:space="preserve"> NOTEREF _Ref201068278 \h  \* MERGEFORMAT </w:instrText>
      </w:r>
      <w:r w:rsidR="00AD0368" w:rsidRPr="0037513D">
        <w:rPr>
          <w:rFonts w:ascii="Garamond" w:hAnsi="Garamond"/>
          <w:sz w:val="18"/>
          <w:szCs w:val="18"/>
        </w:rPr>
      </w:r>
      <w:r w:rsidR="00AD0368" w:rsidRPr="0037513D">
        <w:rPr>
          <w:rFonts w:ascii="Garamond" w:hAnsi="Garamond"/>
          <w:sz w:val="18"/>
          <w:szCs w:val="18"/>
        </w:rPr>
        <w:fldChar w:fldCharType="separate"/>
      </w:r>
      <w:r w:rsidR="00AD0368" w:rsidRPr="0037513D">
        <w:rPr>
          <w:rFonts w:ascii="Garamond" w:hAnsi="Garamond"/>
          <w:sz w:val="18"/>
          <w:szCs w:val="18"/>
        </w:rPr>
        <w:t>104</w:t>
      </w:r>
      <w:r w:rsidR="00AD0368" w:rsidRPr="0037513D">
        <w:rPr>
          <w:rFonts w:ascii="Garamond" w:hAnsi="Garamond"/>
          <w:sz w:val="18"/>
          <w:szCs w:val="18"/>
        </w:rPr>
        <w:fldChar w:fldCharType="end"/>
      </w:r>
      <w:r w:rsidR="007E3D66" w:rsidRPr="0037513D">
        <w:rPr>
          <w:rFonts w:ascii="Garamond" w:hAnsi="Garamond"/>
          <w:sz w:val="18"/>
          <w:szCs w:val="18"/>
        </w:rPr>
        <w:t>, at 483–95</w:t>
      </w:r>
      <w:r w:rsidR="007E3D66" w:rsidRPr="0037513D">
        <w:rPr>
          <w:rFonts w:ascii="Garamond" w:hAnsi="Garamond"/>
          <w:sz w:val="18"/>
          <w:szCs w:val="18"/>
          <w:lang w:bidi="he-IL"/>
        </w:rPr>
        <w:t xml:space="preserve">; </w:t>
      </w:r>
      <w:r w:rsidR="007E3D66" w:rsidRPr="0037513D">
        <w:rPr>
          <w:rFonts w:ascii="Garamond" w:hAnsi="Garamond"/>
          <w:i/>
          <w:iCs/>
          <w:sz w:val="18"/>
          <w:szCs w:val="18"/>
        </w:rPr>
        <w:t>See</w:t>
      </w:r>
      <w:r w:rsidR="007E3D66" w:rsidRPr="0037513D">
        <w:rPr>
          <w:rFonts w:ascii="Garamond" w:hAnsi="Garamond"/>
          <w:sz w:val="18"/>
          <w:szCs w:val="18"/>
        </w:rPr>
        <w:t xml:space="preserve"> </w:t>
      </w:r>
      <w:proofErr w:type="spellStart"/>
      <w:r w:rsidR="007E3D66" w:rsidRPr="0037513D">
        <w:rPr>
          <w:rFonts w:ascii="Garamond" w:hAnsi="Garamond"/>
          <w:sz w:val="18"/>
          <w:szCs w:val="18"/>
        </w:rPr>
        <w:t>Wojdynski</w:t>
      </w:r>
      <w:proofErr w:type="spellEnd"/>
      <w:r w:rsidR="007E3D66" w:rsidRPr="0037513D">
        <w:rPr>
          <w:rFonts w:ascii="Garamond" w:hAnsi="Garamond"/>
          <w:sz w:val="18"/>
          <w:szCs w:val="18"/>
        </w:rPr>
        <w:t xml:space="preserve"> &amp; Evans, </w:t>
      </w:r>
      <w:r w:rsidR="007E3D66" w:rsidRPr="0037513D">
        <w:rPr>
          <w:rStyle w:val="Emphasis"/>
          <w:rFonts w:ascii="Garamond" w:hAnsi="Garamond"/>
          <w:sz w:val="18"/>
          <w:szCs w:val="18"/>
        </w:rPr>
        <w:t>supra</w:t>
      </w:r>
      <w:r w:rsidR="007E3D66" w:rsidRPr="0037513D">
        <w:rPr>
          <w:rFonts w:ascii="Garamond" w:hAnsi="Garamond"/>
          <w:sz w:val="18"/>
          <w:szCs w:val="18"/>
        </w:rPr>
        <w:t xml:space="preserve"> note </w:t>
      </w:r>
      <w:r w:rsidR="002E6FB6" w:rsidRPr="0037513D">
        <w:rPr>
          <w:rFonts w:ascii="Garamond" w:hAnsi="Garamond"/>
          <w:sz w:val="18"/>
          <w:szCs w:val="18"/>
        </w:rPr>
        <w:fldChar w:fldCharType="begin"/>
      </w:r>
      <w:r w:rsidR="002E6FB6" w:rsidRPr="0037513D">
        <w:rPr>
          <w:rFonts w:ascii="Garamond" w:hAnsi="Garamond"/>
          <w:sz w:val="18"/>
          <w:szCs w:val="18"/>
        </w:rPr>
        <w:instrText xml:space="preserve"> NOTEREF _Ref214551083 \h  \* MERGEFORMAT </w:instrText>
      </w:r>
      <w:r w:rsidR="002E6FB6" w:rsidRPr="0037513D">
        <w:rPr>
          <w:rFonts w:ascii="Garamond" w:hAnsi="Garamond"/>
          <w:sz w:val="18"/>
          <w:szCs w:val="18"/>
        </w:rPr>
      </w:r>
      <w:r w:rsidR="002E6FB6" w:rsidRPr="0037513D">
        <w:rPr>
          <w:rFonts w:ascii="Garamond" w:hAnsi="Garamond"/>
          <w:sz w:val="18"/>
          <w:szCs w:val="18"/>
        </w:rPr>
        <w:fldChar w:fldCharType="separate"/>
      </w:r>
      <w:r w:rsidR="002E6FB6" w:rsidRPr="0037513D">
        <w:rPr>
          <w:rFonts w:ascii="Garamond" w:hAnsi="Garamond"/>
          <w:sz w:val="18"/>
          <w:szCs w:val="18"/>
        </w:rPr>
        <w:t>101</w:t>
      </w:r>
      <w:r w:rsidR="002E6FB6" w:rsidRPr="0037513D">
        <w:rPr>
          <w:rFonts w:ascii="Garamond" w:hAnsi="Garamond"/>
          <w:sz w:val="18"/>
          <w:szCs w:val="18"/>
        </w:rPr>
        <w:fldChar w:fldCharType="end"/>
      </w:r>
      <w:r w:rsidR="002E6FB6" w:rsidRPr="0037513D">
        <w:rPr>
          <w:rFonts w:ascii="Garamond" w:hAnsi="Garamond"/>
          <w:sz w:val="18"/>
          <w:szCs w:val="18"/>
        </w:rPr>
        <w:t xml:space="preserve">, </w:t>
      </w:r>
      <w:r w:rsidR="007E3D66" w:rsidRPr="0037513D">
        <w:rPr>
          <w:rFonts w:ascii="Garamond" w:hAnsi="Garamond"/>
          <w:sz w:val="18"/>
          <w:szCs w:val="18"/>
        </w:rPr>
        <w:t xml:space="preserve">at, 57–68; Eva A. van </w:t>
      </w:r>
      <w:proofErr w:type="spellStart"/>
      <w:r w:rsidR="007E3D66" w:rsidRPr="0037513D">
        <w:rPr>
          <w:rFonts w:ascii="Garamond" w:hAnsi="Garamond"/>
          <w:sz w:val="18"/>
          <w:szCs w:val="18"/>
        </w:rPr>
        <w:t>Reijmersdal</w:t>
      </w:r>
      <w:proofErr w:type="spellEnd"/>
      <w:r w:rsidR="007E3D66" w:rsidRPr="0037513D">
        <w:rPr>
          <w:rFonts w:ascii="Garamond" w:hAnsi="Garamond"/>
          <w:sz w:val="18"/>
          <w:szCs w:val="18"/>
        </w:rPr>
        <w:t xml:space="preserve"> et al., </w:t>
      </w:r>
      <w:r w:rsidR="007E3D66" w:rsidRPr="0037513D">
        <w:rPr>
          <w:rStyle w:val="Emphasis"/>
          <w:rFonts w:ascii="Garamond" w:hAnsi="Garamond"/>
          <w:sz w:val="18"/>
          <w:szCs w:val="18"/>
        </w:rPr>
        <w:t>Effects of Disclosing Sponsored Content in Blogs: How the Use of Resistance Strategies Mediates Effects on Persuasion</w:t>
      </w:r>
      <w:r w:rsidR="007E3D66" w:rsidRPr="0037513D">
        <w:rPr>
          <w:rFonts w:ascii="Garamond" w:hAnsi="Garamond"/>
          <w:sz w:val="18"/>
          <w:szCs w:val="18"/>
        </w:rPr>
        <w:t xml:space="preserve">, </w:t>
      </w:r>
      <w:r w:rsidR="007E3D66" w:rsidRPr="0037513D">
        <w:rPr>
          <w:rStyle w:val="Strong"/>
          <w:rFonts w:ascii="Garamond" w:hAnsi="Garamond"/>
          <w:b w:val="0"/>
          <w:bCs w:val="0"/>
          <w:sz w:val="18"/>
          <w:szCs w:val="18"/>
        </w:rPr>
        <w:t xml:space="preserve">60(12) </w:t>
      </w:r>
      <w:r w:rsidR="007E3D66" w:rsidRPr="0037513D">
        <w:rPr>
          <w:rStyle w:val="Strong"/>
          <w:rFonts w:ascii="Garamond" w:hAnsi="Garamond"/>
          <w:b w:val="0"/>
          <w:bCs w:val="0"/>
          <w:smallCaps/>
          <w:sz w:val="18"/>
          <w:szCs w:val="18"/>
        </w:rPr>
        <w:t>Am. Behav. Scientist</w:t>
      </w:r>
      <w:r w:rsidR="007E3D66" w:rsidRPr="0037513D">
        <w:rPr>
          <w:rStyle w:val="Strong"/>
          <w:rFonts w:ascii="Garamond" w:hAnsi="Garamond"/>
          <w:smallCaps/>
          <w:sz w:val="18"/>
          <w:szCs w:val="18"/>
        </w:rPr>
        <w:t xml:space="preserve"> </w:t>
      </w:r>
      <w:r w:rsidR="007E3D66" w:rsidRPr="0037513D">
        <w:rPr>
          <w:rFonts w:ascii="Garamond" w:hAnsi="Garamond"/>
          <w:sz w:val="18"/>
          <w:szCs w:val="18"/>
        </w:rPr>
        <w:t>1458 (2016).</w:t>
      </w:r>
    </w:p>
  </w:footnote>
  <w:footnote w:id="132">
    <w:p w14:paraId="51CE3A95" w14:textId="77777777" w:rsidR="004F04CB" w:rsidRPr="0037513D" w:rsidRDefault="004F04CB"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According to a meta-analysis by </w:t>
      </w:r>
      <w:proofErr w:type="spellStart"/>
      <w:r w:rsidRPr="0037513D">
        <w:rPr>
          <w:rFonts w:ascii="Garamond" w:hAnsi="Garamond"/>
          <w:sz w:val="18"/>
          <w:szCs w:val="18"/>
        </w:rPr>
        <w:t>Eisend</w:t>
      </w:r>
      <w:proofErr w:type="spellEnd"/>
      <w:r w:rsidRPr="0037513D">
        <w:rPr>
          <w:rFonts w:ascii="Garamond" w:hAnsi="Garamond"/>
          <w:sz w:val="18"/>
          <w:szCs w:val="18"/>
        </w:rPr>
        <w:t xml:space="preserve"> et al. (2020), disclosing sponsored content in various forms of offline and online media in which the commercial intent otherwise would not be evident, has, on average, a negative effect on brand attitudes, credibility, and source evaluation but a positive effect on advertising recognition, persuasion knowledge, and resistance. </w:t>
      </w:r>
      <w:r w:rsidRPr="0037513D">
        <w:rPr>
          <w:rFonts w:ascii="Garamond" w:hAnsi="Garamond"/>
          <w:i/>
          <w:iCs/>
          <w:sz w:val="18"/>
          <w:szCs w:val="18"/>
        </w:rPr>
        <w:t xml:space="preserve">See </w:t>
      </w:r>
      <w:proofErr w:type="spellStart"/>
      <w:r w:rsidRPr="0037513D">
        <w:rPr>
          <w:rFonts w:ascii="Garamond" w:hAnsi="Garamond"/>
          <w:sz w:val="18"/>
          <w:szCs w:val="18"/>
        </w:rPr>
        <w:t>See</w:t>
      </w:r>
      <w:proofErr w:type="spellEnd"/>
      <w:r w:rsidRPr="0037513D">
        <w:rPr>
          <w:rFonts w:ascii="Garamond" w:hAnsi="Garamond"/>
          <w:sz w:val="18"/>
          <w:szCs w:val="18"/>
        </w:rPr>
        <w:t xml:space="preserve"> Martin </w:t>
      </w:r>
      <w:proofErr w:type="spellStart"/>
      <w:r w:rsidRPr="0037513D">
        <w:rPr>
          <w:rFonts w:ascii="Garamond" w:hAnsi="Garamond"/>
          <w:sz w:val="18"/>
          <w:szCs w:val="18"/>
        </w:rPr>
        <w:t>Eisend</w:t>
      </w:r>
      <w:proofErr w:type="spellEnd"/>
      <w:r w:rsidRPr="0037513D">
        <w:rPr>
          <w:rFonts w:ascii="Garamond" w:hAnsi="Garamond"/>
          <w:sz w:val="18"/>
          <w:szCs w:val="18"/>
        </w:rPr>
        <w:t xml:space="preserve"> et al., </w:t>
      </w:r>
      <w:r w:rsidRPr="0037513D">
        <w:rPr>
          <w:rStyle w:val="Emphasis"/>
          <w:rFonts w:ascii="Garamond" w:hAnsi="Garamond"/>
          <w:sz w:val="18"/>
          <w:szCs w:val="18"/>
        </w:rPr>
        <w:t>A Meta-Analysis of the Effects of Disclosing Sponsored Content</w:t>
      </w:r>
      <w:r w:rsidRPr="0037513D">
        <w:rPr>
          <w:rFonts w:ascii="Garamond" w:hAnsi="Garamond"/>
          <w:sz w:val="18"/>
          <w:szCs w:val="18"/>
        </w:rPr>
        <w:t>,</w:t>
      </w:r>
      <w:r w:rsidRPr="0037513D">
        <w:rPr>
          <w:rFonts w:ascii="Garamond" w:hAnsi="Garamond"/>
          <w:b/>
          <w:bCs/>
          <w:sz w:val="18"/>
          <w:szCs w:val="18"/>
        </w:rPr>
        <w:t xml:space="preserve"> </w:t>
      </w:r>
      <w:r w:rsidRPr="0037513D">
        <w:rPr>
          <w:rStyle w:val="Strong"/>
          <w:rFonts w:ascii="Garamond" w:hAnsi="Garamond"/>
          <w:b w:val="0"/>
          <w:bCs w:val="0"/>
          <w:smallCaps/>
          <w:sz w:val="18"/>
          <w:szCs w:val="18"/>
        </w:rPr>
        <w:t>49(3) J. A</w:t>
      </w:r>
      <w:r w:rsidRPr="0037513D">
        <w:rPr>
          <w:rStyle w:val="Strong"/>
          <w:rFonts w:ascii="Garamond" w:eastAsiaTheme="majorEastAsia" w:hAnsi="Garamond"/>
          <w:b w:val="0"/>
          <w:bCs w:val="0"/>
          <w:smallCaps/>
          <w:sz w:val="18"/>
          <w:szCs w:val="18"/>
        </w:rPr>
        <w:t>dvert</w:t>
      </w:r>
      <w:r w:rsidRPr="0037513D">
        <w:rPr>
          <w:rStyle w:val="Strong"/>
          <w:rFonts w:ascii="Garamond" w:hAnsi="Garamond"/>
          <w:b w:val="0"/>
          <w:bCs w:val="0"/>
          <w:sz w:val="18"/>
          <w:szCs w:val="18"/>
        </w:rPr>
        <w:t>.</w:t>
      </w:r>
      <w:r w:rsidRPr="0037513D">
        <w:rPr>
          <w:rFonts w:ascii="Garamond" w:hAnsi="Garamond"/>
          <w:sz w:val="18"/>
          <w:szCs w:val="18"/>
        </w:rPr>
        <w:t xml:space="preserve"> 344 (2020).</w:t>
      </w:r>
    </w:p>
  </w:footnote>
  <w:footnote w:id="133">
    <w:p w14:paraId="5736F6C5" w14:textId="77777777" w:rsidR="004F04CB" w:rsidRPr="0037513D" w:rsidRDefault="004F04CB"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w:t>
      </w:r>
      <w:r w:rsidRPr="0037513D">
        <w:rPr>
          <w:rFonts w:ascii="Garamond" w:hAnsi="Garamond"/>
          <w:sz w:val="18"/>
          <w:szCs w:val="18"/>
        </w:rPr>
        <w:t xml:space="preserve">Campbell, Mohr, &amp; </w:t>
      </w:r>
      <w:proofErr w:type="spellStart"/>
      <w:r w:rsidRPr="0037513D">
        <w:rPr>
          <w:rFonts w:ascii="Garamond" w:hAnsi="Garamond"/>
          <w:sz w:val="18"/>
          <w:szCs w:val="18"/>
        </w:rPr>
        <w:t>Verlegh</w:t>
      </w:r>
      <w:proofErr w:type="spellEnd"/>
      <w:r w:rsidRPr="0037513D">
        <w:rPr>
          <w:rFonts w:ascii="Garamond" w:hAnsi="Garamond"/>
          <w:sz w:val="18"/>
          <w:szCs w:val="18"/>
        </w:rPr>
        <w:t xml:space="preserve">,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_Ref201068278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104</w:t>
      </w:r>
      <w:r w:rsidRPr="0037513D">
        <w:rPr>
          <w:rFonts w:ascii="Garamond" w:hAnsi="Garamond"/>
          <w:sz w:val="18"/>
          <w:szCs w:val="18"/>
        </w:rPr>
        <w:fldChar w:fldCharType="end"/>
      </w:r>
      <w:r w:rsidRPr="0037513D">
        <w:rPr>
          <w:rFonts w:ascii="Garamond" w:hAnsi="Garamond"/>
          <w:sz w:val="18"/>
          <w:szCs w:val="18"/>
        </w:rPr>
        <w:t xml:space="preserve">, at 493; Boerman,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&amp; </w:t>
      </w:r>
      <w:proofErr w:type="spellStart"/>
      <w:r w:rsidRPr="0037513D">
        <w:rPr>
          <w:rFonts w:ascii="Garamond" w:hAnsi="Garamond"/>
          <w:sz w:val="18"/>
          <w:szCs w:val="18"/>
        </w:rPr>
        <w:t>Neijens</w:t>
      </w:r>
      <w:proofErr w:type="spellEnd"/>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sz w:val="18"/>
          <w:szCs w:val="18"/>
        </w:rPr>
        <w:t xml:space="preserve">, at 1047; Bartosz W.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Nathaniel J. Evans, </w:t>
      </w:r>
      <w:r w:rsidRPr="0037513D">
        <w:rPr>
          <w:rStyle w:val="Emphasis"/>
          <w:rFonts w:ascii="Garamond" w:hAnsi="Garamond"/>
          <w:sz w:val="18"/>
          <w:szCs w:val="18"/>
        </w:rPr>
        <w:t>Going Native: Effects of Disclosure Position and Language on the Recognition and Evaluation of Online Native Advertising</w:t>
      </w:r>
      <w:r w:rsidRPr="0037513D">
        <w:rPr>
          <w:rFonts w:ascii="Garamond" w:hAnsi="Garamond"/>
          <w:sz w:val="18"/>
          <w:szCs w:val="18"/>
        </w:rPr>
        <w:t>,</w:t>
      </w:r>
      <w:r w:rsidRPr="0037513D">
        <w:rPr>
          <w:rFonts w:ascii="Garamond" w:hAnsi="Garamond"/>
          <w:smallCaps/>
          <w:sz w:val="18"/>
          <w:szCs w:val="18"/>
        </w:rPr>
        <w:t xml:space="preserve"> </w:t>
      </w:r>
      <w:r w:rsidRPr="0037513D">
        <w:rPr>
          <w:rStyle w:val="Strong"/>
          <w:rFonts w:ascii="Garamond" w:hAnsi="Garamond"/>
          <w:b w:val="0"/>
          <w:bCs w:val="0"/>
          <w:smallCaps/>
          <w:sz w:val="18"/>
          <w:szCs w:val="18"/>
        </w:rPr>
        <w:t>45(2) J. A</w:t>
      </w:r>
      <w:r w:rsidRPr="0037513D">
        <w:rPr>
          <w:rStyle w:val="Strong"/>
          <w:rFonts w:ascii="Garamond" w:eastAsiaTheme="majorEastAsia" w:hAnsi="Garamond"/>
          <w:b w:val="0"/>
          <w:bCs w:val="0"/>
          <w:smallCaps/>
          <w:sz w:val="18"/>
          <w:szCs w:val="18"/>
        </w:rPr>
        <w:t>dvert.</w:t>
      </w:r>
      <w:r w:rsidRPr="0037513D">
        <w:rPr>
          <w:rStyle w:val="Strong"/>
          <w:rFonts w:ascii="Garamond" w:eastAsiaTheme="majorEastAsia" w:hAnsi="Garamond"/>
          <w:smallCaps/>
          <w:sz w:val="18"/>
          <w:szCs w:val="18"/>
        </w:rPr>
        <w:t xml:space="preserve"> </w:t>
      </w:r>
      <w:r w:rsidRPr="0037513D">
        <w:rPr>
          <w:rFonts w:ascii="Garamond" w:hAnsi="Garamond"/>
          <w:color w:val="000000" w:themeColor="text1"/>
          <w:sz w:val="18"/>
          <w:szCs w:val="18"/>
        </w:rPr>
        <w:t>165</w:t>
      </w:r>
      <w:r w:rsidRPr="0037513D">
        <w:rPr>
          <w:rFonts w:ascii="Garamond" w:hAnsi="Garamond"/>
          <w:sz w:val="18"/>
          <w:szCs w:val="18"/>
        </w:rPr>
        <w:t xml:space="preserve"> (2016); </w:t>
      </w:r>
      <w:proofErr w:type="spellStart"/>
      <w:r w:rsidRPr="0037513D">
        <w:rPr>
          <w:rFonts w:ascii="Garamond" w:hAnsi="Garamond"/>
          <w:sz w:val="18"/>
          <w:szCs w:val="18"/>
        </w:rPr>
        <w:t>Yoori</w:t>
      </w:r>
      <w:proofErr w:type="spellEnd"/>
      <w:r w:rsidRPr="0037513D">
        <w:rPr>
          <w:rFonts w:ascii="Garamond" w:hAnsi="Garamond"/>
          <w:sz w:val="18"/>
          <w:szCs w:val="18"/>
        </w:rPr>
        <w:t xml:space="preserve"> Hwang &amp; Se-Hoon Jeong, </w:t>
      </w:r>
      <w:r w:rsidRPr="0037513D">
        <w:rPr>
          <w:rStyle w:val="Emphasis"/>
          <w:rFonts w:ascii="Garamond" w:hAnsi="Garamond"/>
          <w:sz w:val="18"/>
          <w:szCs w:val="18"/>
        </w:rPr>
        <w:t>“This Is a Sponsored Blog Post, but All Opinions Are My Own”: The Effects of Sponsorship Disclosure on Responses to Sponsored Blog Posts</w:t>
      </w:r>
      <w:r w:rsidRPr="0037513D">
        <w:rPr>
          <w:rFonts w:ascii="Garamond" w:hAnsi="Garamond"/>
          <w:sz w:val="18"/>
          <w:szCs w:val="18"/>
        </w:rPr>
        <w:t xml:space="preserve">, </w:t>
      </w:r>
      <w:r w:rsidRPr="0037513D">
        <w:rPr>
          <w:rStyle w:val="Strong"/>
          <w:rFonts w:ascii="Garamond" w:hAnsi="Garamond"/>
          <w:b w:val="0"/>
          <w:bCs w:val="0"/>
          <w:smallCaps/>
          <w:sz w:val="18"/>
          <w:szCs w:val="18"/>
        </w:rPr>
        <w:t>62 Computers Hum. Behav.</w:t>
      </w:r>
      <w:r w:rsidRPr="0037513D">
        <w:rPr>
          <w:rFonts w:ascii="Garamond" w:hAnsi="Garamond"/>
          <w:sz w:val="18"/>
          <w:szCs w:val="18"/>
        </w:rPr>
        <w:t xml:space="preserve"> </w:t>
      </w:r>
      <w:r w:rsidRPr="0037513D">
        <w:rPr>
          <w:rFonts w:ascii="Garamond" w:hAnsi="Garamond"/>
          <w:color w:val="000000" w:themeColor="text1"/>
          <w:sz w:val="18"/>
          <w:szCs w:val="18"/>
        </w:rPr>
        <w:t xml:space="preserve">528 </w:t>
      </w:r>
      <w:r w:rsidRPr="0037513D">
        <w:rPr>
          <w:rFonts w:ascii="Garamond" w:hAnsi="Garamond"/>
          <w:sz w:val="18"/>
          <w:szCs w:val="18"/>
        </w:rPr>
        <w:t>(2016).</w:t>
      </w:r>
    </w:p>
  </w:footnote>
  <w:footnote w:id="134">
    <w:p w14:paraId="18994E4A" w14:textId="77777777" w:rsidR="004F04CB" w:rsidRPr="0037513D" w:rsidRDefault="004F04CB"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 e.g., See</w:t>
      </w:r>
      <w:r w:rsidRPr="0037513D">
        <w:rPr>
          <w:rFonts w:ascii="Garamond" w:hAnsi="Garamond"/>
          <w:sz w:val="18"/>
          <w:szCs w:val="18"/>
        </w:rPr>
        <w:t xml:space="preserve">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Evans,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_Ref214551083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101</w:t>
      </w:r>
      <w:r w:rsidRPr="0037513D">
        <w:rPr>
          <w:rFonts w:ascii="Garamond" w:hAnsi="Garamond"/>
          <w:sz w:val="18"/>
          <w:szCs w:val="18"/>
        </w:rPr>
        <w:fldChar w:fldCharType="end"/>
      </w:r>
      <w:r w:rsidRPr="0037513D">
        <w:rPr>
          <w:rFonts w:ascii="Garamond" w:hAnsi="Garamond"/>
          <w:sz w:val="18"/>
          <w:szCs w:val="18"/>
        </w:rPr>
        <w:t>, at 157-168</w:t>
      </w:r>
      <w:r w:rsidRPr="0037513D">
        <w:rPr>
          <w:rFonts w:ascii="Garamond" w:eastAsia="Times New Roman" w:hAnsi="Garamond" w:cs="Times New Roman"/>
          <w:color w:val="000000"/>
          <w:kern w:val="0"/>
          <w:sz w:val="18"/>
          <w:szCs w:val="18"/>
          <w14:ligatures w14:val="none"/>
        </w:rPr>
        <w:t xml:space="preserve"> (</w:t>
      </w:r>
      <w:r w:rsidRPr="0037513D">
        <w:rPr>
          <w:rFonts w:ascii="Garamond" w:hAnsi="Garamond"/>
          <w:sz w:val="18"/>
          <w:szCs w:val="18"/>
        </w:rPr>
        <w:t xml:space="preserve">“As predicted, those who recognized the ad in Study 1 had more negative perceptions of news credibility and attitudes toward the company, lower intention to share, and perceived story quality.”). </w:t>
      </w:r>
      <w:r w:rsidRPr="0037513D">
        <w:rPr>
          <w:rFonts w:ascii="Garamond" w:hAnsi="Garamond" w:cstheme="majorBidi"/>
          <w:b/>
          <w:bCs/>
          <w:sz w:val="18"/>
          <w:szCs w:val="18"/>
        </w:rPr>
        <w:t xml:space="preserve"> </w:t>
      </w:r>
      <w:r w:rsidRPr="0037513D">
        <w:rPr>
          <w:rFonts w:ascii="Garamond" w:hAnsi="Garamond" w:cstheme="majorBidi"/>
          <w:i/>
          <w:iCs/>
          <w:sz w:val="18"/>
          <w:szCs w:val="18"/>
        </w:rPr>
        <w:t>See e.g</w:t>
      </w:r>
      <w:r w:rsidRPr="0037513D">
        <w:rPr>
          <w:rFonts w:ascii="Garamond" w:hAnsi="Garamond" w:cstheme="majorBidi"/>
          <w:sz w:val="18"/>
          <w:szCs w:val="18"/>
        </w:rPr>
        <w:t xml:space="preserve">., </w:t>
      </w:r>
      <w:r w:rsidRPr="0037513D">
        <w:rPr>
          <w:rFonts w:ascii="Garamond" w:hAnsi="Garamond"/>
          <w:sz w:val="18"/>
          <w:szCs w:val="18"/>
        </w:rPr>
        <w:t xml:space="preserve">Benjamin Edelman &amp; Duncan S. Gilchrist, </w:t>
      </w:r>
      <w:r w:rsidRPr="0037513D">
        <w:rPr>
          <w:rStyle w:val="Emphasis"/>
          <w:rFonts w:ascii="Garamond" w:hAnsi="Garamond"/>
          <w:sz w:val="18"/>
          <w:szCs w:val="18"/>
        </w:rPr>
        <w:t>Advertising Disclosures: Measuring Labeling Alternatives in Internet Search Engines</w:t>
      </w:r>
      <w:r w:rsidRPr="0037513D">
        <w:rPr>
          <w:rFonts w:ascii="Garamond" w:hAnsi="Garamond"/>
          <w:sz w:val="18"/>
          <w:szCs w:val="18"/>
        </w:rPr>
        <w:t xml:space="preserve">, </w:t>
      </w:r>
      <w:r w:rsidRPr="0037513D">
        <w:rPr>
          <w:rStyle w:val="Strong"/>
          <w:rFonts w:ascii="Garamond" w:hAnsi="Garamond"/>
          <w:b w:val="0"/>
          <w:bCs w:val="0"/>
          <w:smallCaps/>
          <w:sz w:val="18"/>
          <w:szCs w:val="18"/>
        </w:rPr>
        <w:t>24 I</w:t>
      </w:r>
      <w:r w:rsidRPr="0037513D">
        <w:rPr>
          <w:rStyle w:val="Strong"/>
          <w:rFonts w:ascii="Garamond" w:eastAsiaTheme="majorEastAsia" w:hAnsi="Garamond"/>
          <w:b w:val="0"/>
          <w:bCs w:val="0"/>
          <w:smallCaps/>
          <w:sz w:val="18"/>
          <w:szCs w:val="18"/>
        </w:rPr>
        <w:t>nfo</w:t>
      </w:r>
      <w:r w:rsidRPr="0037513D">
        <w:rPr>
          <w:rStyle w:val="Strong"/>
          <w:rFonts w:ascii="Garamond" w:hAnsi="Garamond"/>
          <w:b w:val="0"/>
          <w:bCs w:val="0"/>
          <w:smallCaps/>
          <w:sz w:val="18"/>
          <w:szCs w:val="18"/>
        </w:rPr>
        <w:t>. E</w:t>
      </w:r>
      <w:r w:rsidRPr="0037513D">
        <w:rPr>
          <w:rStyle w:val="Strong"/>
          <w:rFonts w:ascii="Garamond" w:eastAsiaTheme="majorEastAsia" w:hAnsi="Garamond"/>
          <w:b w:val="0"/>
          <w:bCs w:val="0"/>
          <w:smallCaps/>
          <w:sz w:val="18"/>
          <w:szCs w:val="18"/>
        </w:rPr>
        <w:t>con.</w:t>
      </w:r>
      <w:r w:rsidRPr="0037513D">
        <w:rPr>
          <w:rStyle w:val="Strong"/>
          <w:rFonts w:ascii="Garamond" w:hAnsi="Garamond"/>
          <w:b w:val="0"/>
          <w:bCs w:val="0"/>
          <w:smallCaps/>
          <w:sz w:val="18"/>
          <w:szCs w:val="18"/>
        </w:rPr>
        <w:t xml:space="preserve"> &amp; </w:t>
      </w:r>
      <w:proofErr w:type="spellStart"/>
      <w:r w:rsidRPr="0037513D">
        <w:rPr>
          <w:rStyle w:val="Strong"/>
          <w:rFonts w:ascii="Garamond" w:hAnsi="Garamond"/>
          <w:b w:val="0"/>
          <w:bCs w:val="0"/>
          <w:smallCaps/>
          <w:sz w:val="18"/>
          <w:szCs w:val="18"/>
        </w:rPr>
        <w:t>P</w:t>
      </w:r>
      <w:r w:rsidRPr="0037513D">
        <w:rPr>
          <w:rStyle w:val="Strong"/>
          <w:rFonts w:ascii="Garamond" w:eastAsiaTheme="majorEastAsia" w:hAnsi="Garamond"/>
          <w:b w:val="0"/>
          <w:bCs w:val="0"/>
          <w:smallCaps/>
          <w:sz w:val="18"/>
          <w:szCs w:val="18"/>
        </w:rPr>
        <w:t>ol'y</w:t>
      </w:r>
      <w:proofErr w:type="spellEnd"/>
      <w:r w:rsidRPr="0037513D">
        <w:rPr>
          <w:rStyle w:val="Strong"/>
          <w:rFonts w:ascii="Garamond" w:eastAsiaTheme="majorEastAsia" w:hAnsi="Garamond"/>
          <w:smallCaps/>
          <w:sz w:val="18"/>
          <w:szCs w:val="18"/>
        </w:rPr>
        <w:t xml:space="preserve"> </w:t>
      </w:r>
      <w:r w:rsidRPr="0037513D">
        <w:rPr>
          <w:rFonts w:ascii="Garamond" w:hAnsi="Garamond"/>
          <w:sz w:val="18"/>
          <w:szCs w:val="18"/>
        </w:rPr>
        <w:t xml:space="preserve"> 75, 87 (2012)</w:t>
      </w:r>
      <w:r w:rsidRPr="0037513D">
        <w:rPr>
          <w:rFonts w:ascii="Garamond" w:hAnsi="Garamond" w:cstheme="majorBidi"/>
          <w:sz w:val="18"/>
          <w:szCs w:val="18"/>
        </w:rPr>
        <w:t xml:space="preserve"> </w:t>
      </w:r>
      <w:r w:rsidRPr="0037513D">
        <w:rPr>
          <w:rFonts w:ascii="Garamond" w:hAnsi="Garamond" w:cstheme="majorBidi"/>
          <w:b/>
          <w:bCs/>
          <w:sz w:val="18"/>
          <w:szCs w:val="18"/>
        </w:rPr>
        <w:t xml:space="preserve"> </w:t>
      </w:r>
      <w:r w:rsidRPr="0037513D">
        <w:rPr>
          <w:rFonts w:ascii="Garamond" w:eastAsia="Times New Roman" w:hAnsi="Garamond" w:cstheme="majorBidi"/>
          <w:sz w:val="18"/>
          <w:szCs w:val="18"/>
        </w:rPr>
        <w:t>(</w:t>
      </w:r>
      <w:r w:rsidRPr="0037513D">
        <w:rPr>
          <w:rFonts w:ascii="Garamond" w:hAnsi="Garamond" w:cstheme="majorBidi"/>
          <w:sz w:val="18"/>
          <w:szCs w:val="18"/>
        </w:rPr>
        <w:t xml:space="preserve">“Our data indicates that the label ‘‘Paid Advertisement’’ is more effective than ‘‘Sponsored link’’ at conveying to users that a given link is in fact an advertisement: When the former label appears in place of the latter, users click somewhat fewer advertisements.”); </w:t>
      </w:r>
      <w:r w:rsidRPr="0037513D">
        <w:rPr>
          <w:rFonts w:ascii="Garamond" w:hAnsi="Garamond"/>
          <w:sz w:val="18"/>
          <w:szCs w:val="18"/>
        </w:rPr>
        <w:t xml:space="preserve">Karolina Tutaj &amp; Eva A. van </w:t>
      </w:r>
      <w:proofErr w:type="spellStart"/>
      <w:r w:rsidRPr="0037513D">
        <w:rPr>
          <w:rFonts w:ascii="Garamond" w:hAnsi="Garamond"/>
          <w:sz w:val="18"/>
          <w:szCs w:val="18"/>
        </w:rPr>
        <w:t>Reijmersdal</w:t>
      </w:r>
      <w:proofErr w:type="spellEnd"/>
      <w:r w:rsidRPr="0037513D">
        <w:rPr>
          <w:rFonts w:ascii="Garamond" w:hAnsi="Garamond"/>
          <w:sz w:val="18"/>
          <w:szCs w:val="18"/>
        </w:rPr>
        <w:t xml:space="preserve">, </w:t>
      </w:r>
      <w:r w:rsidRPr="0037513D">
        <w:rPr>
          <w:rStyle w:val="Emphasis"/>
          <w:rFonts w:ascii="Garamond" w:hAnsi="Garamond"/>
          <w:sz w:val="18"/>
          <w:szCs w:val="18"/>
        </w:rPr>
        <w:t>Effects of Online Advertising Format and Persuasion Knowledge on Audience Reactions</w:t>
      </w:r>
      <w:r w:rsidRPr="0037513D">
        <w:rPr>
          <w:rFonts w:ascii="Garamond" w:hAnsi="Garamond"/>
          <w:sz w:val="18"/>
          <w:szCs w:val="18"/>
        </w:rPr>
        <w:t xml:space="preserve">, 18(1) </w:t>
      </w:r>
      <w:r w:rsidRPr="0037513D">
        <w:rPr>
          <w:rStyle w:val="Strong"/>
          <w:rFonts w:ascii="Garamond" w:hAnsi="Garamond"/>
          <w:b w:val="0"/>
          <w:bCs w:val="0"/>
          <w:smallCaps/>
          <w:sz w:val="18"/>
          <w:szCs w:val="18"/>
        </w:rPr>
        <w:t>J. Mktg. Commc’ns</w:t>
      </w:r>
      <w:r w:rsidRPr="0037513D">
        <w:rPr>
          <w:rFonts w:ascii="Garamond" w:hAnsi="Garamond"/>
          <w:sz w:val="18"/>
          <w:szCs w:val="18"/>
        </w:rPr>
        <w:t xml:space="preserve"> 5 (2012)</w:t>
      </w:r>
      <w:r w:rsidRPr="0037513D">
        <w:rPr>
          <w:rFonts w:ascii="Garamond" w:eastAsia="Times New Roman" w:hAnsi="Garamond" w:cstheme="majorBidi"/>
          <w:color w:val="000000"/>
          <w:sz w:val="18"/>
          <w:szCs w:val="18"/>
        </w:rPr>
        <w:t xml:space="preserve">; </w:t>
      </w:r>
      <w:r w:rsidRPr="0037513D">
        <w:rPr>
          <w:rFonts w:ascii="Garamond" w:hAnsi="Garamond"/>
          <w:sz w:val="18"/>
          <w:szCs w:val="18"/>
        </w:rPr>
        <w:t xml:space="preserve">Wu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_Ref214551616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90</w:t>
      </w:r>
      <w:r w:rsidRPr="0037513D">
        <w:rPr>
          <w:rFonts w:ascii="Garamond" w:hAnsi="Garamond"/>
          <w:sz w:val="18"/>
          <w:szCs w:val="18"/>
        </w:rPr>
        <w:fldChar w:fldCharType="end"/>
      </w:r>
      <w:r w:rsidRPr="0037513D">
        <w:rPr>
          <w:rFonts w:ascii="Garamond" w:hAnsi="Garamond"/>
          <w:sz w:val="18"/>
          <w:szCs w:val="18"/>
        </w:rPr>
        <w:t xml:space="preserve">, </w:t>
      </w:r>
      <w:r w:rsidRPr="0037513D">
        <w:rPr>
          <w:rFonts w:ascii="Garamond" w:hAnsi="Garamond"/>
          <w:color w:val="000000" w:themeColor="text1"/>
          <w:sz w:val="18"/>
          <w:szCs w:val="18"/>
        </w:rPr>
        <w:t>at</w:t>
      </w:r>
      <w:r w:rsidRPr="0037513D">
        <w:rPr>
          <w:rFonts w:ascii="Garamond" w:hAnsi="Garamond" w:cstheme="majorBidi"/>
          <w:color w:val="000000" w:themeColor="text1"/>
          <w:sz w:val="18"/>
          <w:szCs w:val="18"/>
        </w:rPr>
        <w:t xml:space="preserve"> </w:t>
      </w:r>
      <w:r w:rsidRPr="0037513D">
        <w:rPr>
          <w:rFonts w:ascii="Garamond" w:hAnsi="Garamond" w:cstheme="majorBidi"/>
          <w:sz w:val="18"/>
          <w:szCs w:val="18"/>
        </w:rPr>
        <w:t>1492;</w:t>
      </w:r>
      <w:r w:rsidRPr="0037513D">
        <w:rPr>
          <w:rFonts w:ascii="Garamond" w:hAnsi="Garamond"/>
          <w:sz w:val="18"/>
          <w:szCs w:val="18"/>
        </w:rPr>
        <w:t xml:space="preserve"> Bartosz W. Wojdynski, </w:t>
      </w:r>
      <w:r w:rsidRPr="0037513D">
        <w:rPr>
          <w:rStyle w:val="Emphasis"/>
          <w:rFonts w:ascii="Garamond" w:hAnsi="Garamond"/>
          <w:sz w:val="18"/>
          <w:szCs w:val="18"/>
        </w:rPr>
        <w:t>The Deceptiveness of Sponsored News Articles: How Readers Recognize and Perceive Native Advertising</w:t>
      </w:r>
      <w:r w:rsidRPr="0037513D">
        <w:rPr>
          <w:rFonts w:ascii="Garamond" w:hAnsi="Garamond"/>
          <w:sz w:val="18"/>
          <w:szCs w:val="18"/>
        </w:rPr>
        <w:t xml:space="preserve">, </w:t>
      </w:r>
      <w:r w:rsidRPr="0037513D">
        <w:rPr>
          <w:rStyle w:val="Strong"/>
          <w:rFonts w:ascii="Garamond" w:hAnsi="Garamond"/>
          <w:b w:val="0"/>
          <w:bCs w:val="0"/>
          <w:smallCaps/>
          <w:sz w:val="18"/>
          <w:szCs w:val="18"/>
        </w:rPr>
        <w:t>60 A</w:t>
      </w:r>
      <w:r w:rsidRPr="0037513D">
        <w:rPr>
          <w:rStyle w:val="Strong"/>
          <w:rFonts w:ascii="Garamond" w:eastAsiaTheme="majorEastAsia" w:hAnsi="Garamond"/>
          <w:b w:val="0"/>
          <w:bCs w:val="0"/>
          <w:smallCaps/>
          <w:sz w:val="18"/>
          <w:szCs w:val="18"/>
        </w:rPr>
        <w:t>m</w:t>
      </w:r>
      <w:r w:rsidRPr="0037513D">
        <w:rPr>
          <w:rStyle w:val="Strong"/>
          <w:rFonts w:ascii="Garamond" w:hAnsi="Garamond"/>
          <w:b w:val="0"/>
          <w:bCs w:val="0"/>
          <w:smallCaps/>
          <w:sz w:val="18"/>
          <w:szCs w:val="18"/>
        </w:rPr>
        <w:t>. B</w:t>
      </w:r>
      <w:r w:rsidRPr="0037513D">
        <w:rPr>
          <w:rStyle w:val="Strong"/>
          <w:rFonts w:ascii="Garamond" w:eastAsiaTheme="majorEastAsia" w:hAnsi="Garamond"/>
          <w:b w:val="0"/>
          <w:bCs w:val="0"/>
          <w:smallCaps/>
          <w:sz w:val="18"/>
          <w:szCs w:val="18"/>
        </w:rPr>
        <w:t>ehav</w:t>
      </w:r>
      <w:r w:rsidRPr="0037513D">
        <w:rPr>
          <w:rStyle w:val="Strong"/>
          <w:rFonts w:ascii="Garamond" w:hAnsi="Garamond"/>
          <w:b w:val="0"/>
          <w:bCs w:val="0"/>
          <w:smallCaps/>
          <w:sz w:val="18"/>
          <w:szCs w:val="18"/>
        </w:rPr>
        <w:t>. S</w:t>
      </w:r>
      <w:r w:rsidRPr="0037513D">
        <w:rPr>
          <w:rStyle w:val="Strong"/>
          <w:rFonts w:ascii="Garamond" w:eastAsiaTheme="majorEastAsia" w:hAnsi="Garamond"/>
          <w:b w:val="0"/>
          <w:bCs w:val="0"/>
          <w:smallCaps/>
          <w:sz w:val="18"/>
          <w:szCs w:val="18"/>
        </w:rPr>
        <w:t>cientist</w:t>
      </w:r>
      <w:r w:rsidRPr="0037513D">
        <w:rPr>
          <w:rFonts w:ascii="Garamond" w:hAnsi="Garamond"/>
          <w:smallCaps/>
          <w:sz w:val="18"/>
          <w:szCs w:val="18"/>
        </w:rPr>
        <w:t xml:space="preserve"> </w:t>
      </w:r>
      <w:r w:rsidRPr="0037513D">
        <w:rPr>
          <w:rFonts w:ascii="Garamond" w:hAnsi="Garamond"/>
          <w:sz w:val="18"/>
          <w:szCs w:val="18"/>
        </w:rPr>
        <w:t>1475, 1488 (2016)</w:t>
      </w:r>
      <w:r w:rsidRPr="0037513D">
        <w:rPr>
          <w:rFonts w:ascii="Garamond" w:hAnsi="Garamond" w:cstheme="majorBidi"/>
          <w:sz w:val="18"/>
          <w:szCs w:val="18"/>
        </w:rPr>
        <w:t>;</w:t>
      </w:r>
      <w:r w:rsidRPr="0037513D">
        <w:rPr>
          <w:rFonts w:ascii="Garamond" w:hAnsi="Garamond"/>
          <w:sz w:val="18"/>
          <w:szCs w:val="18"/>
        </w:rPr>
        <w:t xml:space="preserve"> Sunny Jung Kim &amp; Jeffrey T. Hancock, </w:t>
      </w:r>
      <w:r w:rsidRPr="0037513D">
        <w:rPr>
          <w:rFonts w:ascii="Garamond" w:hAnsi="Garamond"/>
          <w:i/>
          <w:iCs/>
          <w:sz w:val="18"/>
          <w:szCs w:val="18"/>
        </w:rPr>
        <w:t xml:space="preserve">How Advertorials Deactivate Advertising Schema: </w:t>
      </w:r>
      <w:proofErr w:type="spellStart"/>
      <w:r w:rsidRPr="0037513D">
        <w:rPr>
          <w:rFonts w:ascii="Garamond" w:hAnsi="Garamond"/>
          <w:i/>
          <w:iCs/>
          <w:sz w:val="18"/>
          <w:szCs w:val="18"/>
        </w:rPr>
        <w:t>MTurk</w:t>
      </w:r>
      <w:proofErr w:type="spellEnd"/>
      <w:r w:rsidRPr="0037513D">
        <w:rPr>
          <w:rFonts w:ascii="Garamond" w:hAnsi="Garamond"/>
          <w:i/>
          <w:iCs/>
          <w:sz w:val="18"/>
          <w:szCs w:val="18"/>
        </w:rPr>
        <w:t>-Based Experiments to Examine Persuasion Tactics and Outcomes in Health Advertisements</w:t>
      </w:r>
      <w:r w:rsidRPr="0037513D">
        <w:rPr>
          <w:rFonts w:ascii="Garamond" w:hAnsi="Garamond"/>
          <w:sz w:val="18"/>
          <w:szCs w:val="18"/>
        </w:rPr>
        <w:t xml:space="preserve">, 44 </w:t>
      </w:r>
      <w:r w:rsidRPr="0037513D">
        <w:rPr>
          <w:rFonts w:ascii="Garamond" w:hAnsi="Garamond"/>
          <w:smallCaps/>
          <w:sz w:val="18"/>
          <w:szCs w:val="18"/>
        </w:rPr>
        <w:t>Comm. Res</w:t>
      </w:r>
      <w:r w:rsidRPr="0037513D">
        <w:rPr>
          <w:rFonts w:ascii="Garamond" w:hAnsi="Garamond"/>
          <w:sz w:val="18"/>
          <w:szCs w:val="18"/>
        </w:rPr>
        <w:t>. 1019, 1036 (2017)</w:t>
      </w:r>
      <w:r w:rsidRPr="0037513D">
        <w:rPr>
          <w:rFonts w:ascii="Garamond" w:hAnsi="Garamond" w:cstheme="majorBidi"/>
          <w:sz w:val="18"/>
          <w:szCs w:val="18"/>
        </w:rPr>
        <w:t>;</w:t>
      </w:r>
      <w:r w:rsidRPr="0037513D">
        <w:rPr>
          <w:rFonts w:ascii="Garamond" w:hAnsi="Garamond"/>
          <w:i/>
          <w:iCs/>
          <w:sz w:val="18"/>
          <w:szCs w:val="18"/>
        </w:rPr>
        <w:t xml:space="preserve"> See</w:t>
      </w:r>
      <w:r w:rsidRPr="0037513D">
        <w:rPr>
          <w:rFonts w:ascii="Garamond" w:hAnsi="Garamond"/>
          <w:sz w:val="18"/>
          <w:szCs w:val="18"/>
        </w:rPr>
        <w:t xml:space="preserve">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Evans,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_Ref214551083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101</w:t>
      </w:r>
      <w:r w:rsidRPr="0037513D">
        <w:rPr>
          <w:rFonts w:ascii="Garamond" w:hAnsi="Garamond"/>
          <w:sz w:val="18"/>
          <w:szCs w:val="18"/>
        </w:rPr>
        <w:fldChar w:fldCharType="end"/>
      </w:r>
      <w:r w:rsidRPr="0037513D">
        <w:rPr>
          <w:rFonts w:ascii="Garamond" w:hAnsi="Garamond"/>
          <w:sz w:val="18"/>
          <w:szCs w:val="18"/>
        </w:rPr>
        <w:t>, at 165</w:t>
      </w:r>
      <w:r w:rsidRPr="0037513D">
        <w:rPr>
          <w:rFonts w:ascii="Garamond" w:hAnsi="Garamond" w:cstheme="majorBidi"/>
          <w:sz w:val="18"/>
          <w:szCs w:val="18"/>
        </w:rPr>
        <w:t xml:space="preserve">; </w:t>
      </w:r>
      <w:r w:rsidRPr="0037513D">
        <w:rPr>
          <w:rFonts w:ascii="Garamond" w:hAnsi="Garamond"/>
          <w:sz w:val="18"/>
          <w:szCs w:val="18"/>
        </w:rPr>
        <w:t xml:space="preserve">Amazeen &amp; Muddiman,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_Ref214457905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w:t>
      </w:r>
      <w:r w:rsidRPr="0037513D">
        <w:rPr>
          <w:rFonts w:ascii="Garamond" w:hAnsi="Garamond"/>
          <w:sz w:val="18"/>
          <w:szCs w:val="18"/>
        </w:rPr>
        <w:fldChar w:fldCharType="end"/>
      </w:r>
      <w:r w:rsidRPr="0037513D">
        <w:rPr>
          <w:rFonts w:ascii="Garamond" w:hAnsi="Garamond"/>
          <w:color w:val="EE0000"/>
          <w:sz w:val="18"/>
          <w:szCs w:val="18"/>
        </w:rPr>
        <w:t xml:space="preserve">, </w:t>
      </w:r>
      <w:r w:rsidRPr="0037513D">
        <w:rPr>
          <w:rFonts w:ascii="Garamond" w:hAnsi="Garamond"/>
          <w:color w:val="000000" w:themeColor="text1"/>
          <w:sz w:val="18"/>
          <w:szCs w:val="18"/>
        </w:rPr>
        <w:t>at 188</w:t>
      </w:r>
      <w:r w:rsidRPr="0037513D">
        <w:rPr>
          <w:rFonts w:ascii="Garamond" w:hAnsi="Garamond" w:cstheme="majorBidi"/>
          <w:sz w:val="18"/>
          <w:szCs w:val="18"/>
        </w:rPr>
        <w:t xml:space="preserve">; </w:t>
      </w:r>
      <w:proofErr w:type="spellStart"/>
      <w:r w:rsidRPr="0037513D">
        <w:rPr>
          <w:rFonts w:ascii="Garamond" w:hAnsi="Garamond"/>
          <w:sz w:val="18"/>
          <w:szCs w:val="18"/>
        </w:rPr>
        <w:t>Krouwer</w:t>
      </w:r>
      <w:proofErr w:type="spellEnd"/>
      <w:r w:rsidRPr="0037513D">
        <w:rPr>
          <w:rFonts w:ascii="Garamond" w:hAnsi="Garamond"/>
          <w:sz w:val="18"/>
          <w:szCs w:val="18"/>
        </w:rPr>
        <w:t xml:space="preserve">, Poels &amp; Paulussen, </w:t>
      </w:r>
      <w:r w:rsidRPr="0037513D">
        <w:rPr>
          <w:rStyle w:val="Emphasis"/>
          <w:rFonts w:ascii="Garamond" w:hAnsi="Garamond"/>
          <w:sz w:val="18"/>
          <w:szCs w:val="18"/>
        </w:rPr>
        <w:t>supra</w:t>
      </w:r>
      <w:r w:rsidRPr="0037513D">
        <w:rPr>
          <w:rFonts w:ascii="Garamond" w:hAnsi="Garamond"/>
          <w:sz w:val="18"/>
          <w:szCs w:val="18"/>
        </w:rPr>
        <w:t xml:space="preserve"> note 111, at</w:t>
      </w:r>
      <w:r w:rsidRPr="0037513D">
        <w:rPr>
          <w:rFonts w:ascii="Garamond" w:eastAsia="Times New Roman" w:hAnsi="Garamond" w:cstheme="majorBidi"/>
          <w:color w:val="000000"/>
          <w:sz w:val="18"/>
          <w:szCs w:val="18"/>
        </w:rPr>
        <w:t xml:space="preserve"> 131;</w:t>
      </w:r>
      <w:r w:rsidRPr="0037513D">
        <w:rPr>
          <w:rFonts w:ascii="Garamond" w:hAnsi="Garamond"/>
          <w:sz w:val="18"/>
          <w:szCs w:val="18"/>
        </w:rPr>
        <w:t xml:space="preserve"> Campbell &amp; Evans, </w:t>
      </w:r>
      <w:r w:rsidRPr="0037513D">
        <w:rPr>
          <w:rFonts w:ascii="Garamond" w:hAnsi="Garamond"/>
          <w:i/>
          <w:iCs/>
          <w:sz w:val="18"/>
          <w:szCs w:val="18"/>
        </w:rPr>
        <w:t>supra</w:t>
      </w:r>
      <w:r w:rsidRPr="0037513D">
        <w:rPr>
          <w:rFonts w:ascii="Garamond" w:hAnsi="Garamond"/>
          <w:sz w:val="18"/>
          <w:szCs w:val="18"/>
        </w:rPr>
        <w:t xml:space="preserve"> note 93, at 28</w:t>
      </w:r>
      <w:r w:rsidRPr="0037513D">
        <w:rPr>
          <w:rFonts w:ascii="Garamond" w:hAnsi="Garamond" w:cstheme="majorBidi"/>
          <w:sz w:val="18"/>
          <w:szCs w:val="18"/>
        </w:rPr>
        <w:t xml:space="preserve">; </w:t>
      </w:r>
      <w:r w:rsidRPr="0037513D">
        <w:rPr>
          <w:rStyle w:val="Strong"/>
          <w:rFonts w:ascii="Garamond" w:hAnsi="Garamond"/>
          <w:b w:val="0"/>
          <w:bCs w:val="0"/>
          <w:sz w:val="18"/>
          <w:szCs w:val="18"/>
        </w:rPr>
        <w:t xml:space="preserve">Michelle A. Amazeen &amp; Bartosz W. Wojdynski, </w:t>
      </w:r>
      <w:r w:rsidRPr="0037513D">
        <w:rPr>
          <w:rStyle w:val="Emphasis"/>
          <w:rFonts w:ascii="Garamond" w:hAnsi="Garamond"/>
          <w:sz w:val="18"/>
          <w:szCs w:val="18"/>
        </w:rPr>
        <w:t>Reducing Native Advertising Deception: Revisiting the Antecedents and Consequences of Persuasion Knowledge in Digital News Contexts</w:t>
      </w:r>
      <w:r w:rsidRPr="0037513D">
        <w:rPr>
          <w:rStyle w:val="Strong"/>
          <w:rFonts w:ascii="Garamond" w:hAnsi="Garamond"/>
          <w:b w:val="0"/>
          <w:bCs w:val="0"/>
          <w:sz w:val="18"/>
          <w:szCs w:val="18"/>
        </w:rPr>
        <w:t xml:space="preserve">, 22(2) </w:t>
      </w:r>
      <w:r w:rsidRPr="0037513D">
        <w:rPr>
          <w:rStyle w:val="Strong"/>
          <w:rFonts w:ascii="Garamond" w:hAnsi="Garamond"/>
          <w:b w:val="0"/>
          <w:bCs w:val="0"/>
          <w:smallCaps/>
          <w:sz w:val="18"/>
          <w:szCs w:val="18"/>
        </w:rPr>
        <w:t>Mass Communication &amp; Society</w:t>
      </w:r>
      <w:r w:rsidRPr="0037513D">
        <w:rPr>
          <w:rStyle w:val="Strong"/>
          <w:rFonts w:ascii="Garamond" w:hAnsi="Garamond"/>
          <w:b w:val="0"/>
          <w:bCs w:val="0"/>
          <w:sz w:val="18"/>
          <w:szCs w:val="18"/>
        </w:rPr>
        <w:t xml:space="preserve"> 222</w:t>
      </w:r>
      <w:r w:rsidRPr="0037513D">
        <w:rPr>
          <w:rStyle w:val="Strong"/>
          <w:rFonts w:ascii="Garamond" w:eastAsiaTheme="majorEastAsia" w:hAnsi="Garamond"/>
          <w:b w:val="0"/>
          <w:bCs w:val="0"/>
          <w:sz w:val="18"/>
          <w:szCs w:val="18"/>
        </w:rPr>
        <w:t>, 238</w:t>
      </w:r>
      <w:r w:rsidRPr="0037513D">
        <w:rPr>
          <w:rStyle w:val="Strong"/>
          <w:rFonts w:ascii="Garamond" w:hAnsi="Garamond"/>
          <w:b w:val="0"/>
          <w:bCs w:val="0"/>
          <w:sz w:val="18"/>
          <w:szCs w:val="18"/>
        </w:rPr>
        <w:t xml:space="preserve"> (2019); </w:t>
      </w:r>
      <w:r w:rsidRPr="0037513D">
        <w:rPr>
          <w:rFonts w:ascii="Garamond" w:hAnsi="Garamond"/>
          <w:sz w:val="18"/>
          <w:szCs w:val="18"/>
        </w:rPr>
        <w:t xml:space="preserve">Amazeen &amp; Wojdynski,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_Ref214551616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90</w:t>
      </w:r>
      <w:r w:rsidRPr="0037513D">
        <w:rPr>
          <w:rFonts w:ascii="Garamond" w:hAnsi="Garamond"/>
          <w:sz w:val="18"/>
          <w:szCs w:val="18"/>
        </w:rPr>
        <w:fldChar w:fldCharType="end"/>
      </w:r>
      <w:r w:rsidRPr="0037513D">
        <w:rPr>
          <w:rFonts w:ascii="Garamond" w:hAnsi="Garamond"/>
          <w:sz w:val="18"/>
          <w:szCs w:val="18"/>
        </w:rPr>
        <w:t>, at 1975</w:t>
      </w:r>
      <w:r w:rsidRPr="0037513D">
        <w:rPr>
          <w:rFonts w:ascii="Garamond" w:hAnsi="Garamond" w:cstheme="majorBidi"/>
          <w:sz w:val="18"/>
          <w:szCs w:val="18"/>
        </w:rPr>
        <w:t>.</w:t>
      </w:r>
    </w:p>
  </w:footnote>
  <w:footnote w:id="135">
    <w:p w14:paraId="20F356D0" w14:textId="77777777" w:rsidR="004F04CB" w:rsidRPr="0037513D" w:rsidRDefault="004F04CB"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sz w:val="18"/>
          <w:szCs w:val="18"/>
        </w:rPr>
        <w:t xml:space="preserve">In the context of influencer advertising </w:t>
      </w:r>
      <w:r w:rsidRPr="0037513D">
        <w:rPr>
          <w:rFonts w:ascii="Garamond" w:hAnsi="Garamond" w:cstheme="majorBidi"/>
          <w:i/>
          <w:iCs/>
          <w:sz w:val="18"/>
          <w:szCs w:val="18"/>
        </w:rPr>
        <w:t>see e.g</w:t>
      </w:r>
      <w:r w:rsidRPr="0037513D">
        <w:rPr>
          <w:rFonts w:ascii="Garamond" w:hAnsi="Garamond" w:cstheme="majorBidi"/>
          <w:sz w:val="18"/>
          <w:szCs w:val="18"/>
        </w:rPr>
        <w:t xml:space="preserve">., Samantha Kay, Rory Mulcahy &amp; Joy Parkinson, </w:t>
      </w:r>
      <w:r w:rsidRPr="0037513D">
        <w:rPr>
          <w:rFonts w:ascii="Garamond" w:hAnsi="Garamond" w:cstheme="majorBidi"/>
          <w:i/>
          <w:iCs/>
          <w:sz w:val="18"/>
          <w:szCs w:val="18"/>
        </w:rPr>
        <w:t>When less is more: the impact of macro and micro social media influencers’ disclosure</w:t>
      </w:r>
      <w:r w:rsidRPr="0037513D">
        <w:rPr>
          <w:rFonts w:ascii="Garamond" w:hAnsi="Garamond" w:cstheme="majorBidi"/>
          <w:sz w:val="18"/>
          <w:szCs w:val="18"/>
        </w:rPr>
        <w:t xml:space="preserve">, 36:3-4 </w:t>
      </w:r>
      <w:r w:rsidRPr="0037513D">
        <w:rPr>
          <w:rFonts w:ascii="Garamond" w:hAnsi="Garamond" w:cstheme="majorBidi"/>
          <w:smallCaps/>
          <w:sz w:val="18"/>
          <w:szCs w:val="18"/>
        </w:rPr>
        <w:t>Journal of Marketing Management</w:t>
      </w:r>
      <w:r w:rsidRPr="0037513D">
        <w:rPr>
          <w:rFonts w:ascii="Garamond" w:hAnsi="Garamond" w:cstheme="majorBidi"/>
          <w:sz w:val="18"/>
          <w:szCs w:val="18"/>
        </w:rPr>
        <w:t xml:space="preserve">, 248, 269 (2020) </w:t>
      </w:r>
      <w:r w:rsidRPr="0037513D">
        <w:rPr>
          <w:rFonts w:ascii="Garamond" w:hAnsi="Garamond"/>
          <w:sz w:val="18"/>
          <w:szCs w:val="18"/>
        </w:rPr>
        <w:t xml:space="preserve">(noting that “the resounding sentiment of the literature is that sponsorship disclosure results in negative brand attitudes”); Jhawar, Varshney, &amp; Kumar,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sz w:val="18"/>
          <w:szCs w:val="18"/>
        </w:rPr>
        <w:t>, at 1602;</w:t>
      </w:r>
      <w:r w:rsidRPr="0037513D">
        <w:rPr>
          <w:rFonts w:ascii="Garamond" w:eastAsia="Times New Roman" w:hAnsi="Garamond"/>
          <w:sz w:val="18"/>
          <w:szCs w:val="18"/>
        </w:rPr>
        <w:t xml:space="preserve"> </w:t>
      </w:r>
      <w:r w:rsidRPr="0037513D">
        <w:rPr>
          <w:rStyle w:val="Strong"/>
          <w:rFonts w:ascii="Garamond" w:hAnsi="Garamond"/>
          <w:b w:val="0"/>
          <w:bCs w:val="0"/>
          <w:sz w:val="18"/>
          <w:szCs w:val="18"/>
        </w:rPr>
        <w:t>Y. J. Chung, S. S. Lee &amp; Eunice Kim,</w:t>
      </w:r>
      <w:r w:rsidRPr="0037513D">
        <w:rPr>
          <w:rStyle w:val="Strong"/>
          <w:rFonts w:ascii="Garamond" w:hAnsi="Garamond"/>
          <w:sz w:val="18"/>
          <w:szCs w:val="18"/>
        </w:rPr>
        <w:t xml:space="preserve"> </w:t>
      </w:r>
      <w:r w:rsidRPr="0037513D">
        <w:rPr>
          <w:rStyle w:val="Emphasis"/>
          <w:rFonts w:ascii="Garamond" w:hAnsi="Garamond"/>
          <w:sz w:val="18"/>
          <w:szCs w:val="18"/>
        </w:rPr>
        <w:t>The Effects of Influencer Types and Sponsorship Disclosure in Instagram Sponsored Posts</w:t>
      </w:r>
      <w:r w:rsidRPr="0037513D">
        <w:rPr>
          <w:rStyle w:val="Strong"/>
          <w:rFonts w:ascii="Garamond" w:hAnsi="Garamond"/>
          <w:b w:val="0"/>
          <w:bCs w:val="0"/>
          <w:sz w:val="18"/>
          <w:szCs w:val="18"/>
        </w:rPr>
        <w:t xml:space="preserve">, 44(2) </w:t>
      </w:r>
      <w:r w:rsidRPr="0037513D">
        <w:rPr>
          <w:rStyle w:val="Strong"/>
          <w:rFonts w:ascii="Garamond" w:hAnsi="Garamond"/>
          <w:b w:val="0"/>
          <w:bCs w:val="0"/>
          <w:smallCaps/>
          <w:sz w:val="18"/>
          <w:szCs w:val="18"/>
        </w:rPr>
        <w:t>J. Current Issues &amp; Res. in Advert.</w:t>
      </w:r>
      <w:r w:rsidRPr="0037513D">
        <w:rPr>
          <w:rStyle w:val="Strong"/>
          <w:rFonts w:ascii="Garamond" w:hAnsi="Garamond"/>
          <w:b w:val="0"/>
          <w:bCs w:val="0"/>
          <w:sz w:val="18"/>
          <w:szCs w:val="18"/>
        </w:rPr>
        <w:t xml:space="preserve"> 193, 206 (2023)</w:t>
      </w:r>
      <w:r w:rsidRPr="0037513D">
        <w:rPr>
          <w:rFonts w:ascii="Garamond" w:hAnsi="Garamond"/>
          <w:sz w:val="18"/>
          <w:szCs w:val="18"/>
        </w:rPr>
        <w:t xml:space="preserve">; Steffi De Jans, </w:t>
      </w:r>
      <w:proofErr w:type="spellStart"/>
      <w:r w:rsidRPr="0037513D">
        <w:rPr>
          <w:rFonts w:ascii="Garamond" w:hAnsi="Garamond"/>
          <w:sz w:val="18"/>
          <w:szCs w:val="18"/>
        </w:rPr>
        <w:t>Veroline</w:t>
      </w:r>
      <w:proofErr w:type="spellEnd"/>
      <w:r w:rsidRPr="0037513D">
        <w:rPr>
          <w:rFonts w:ascii="Garamond" w:hAnsi="Garamond"/>
          <w:sz w:val="18"/>
          <w:szCs w:val="18"/>
        </w:rPr>
        <w:t xml:space="preserve"> </w:t>
      </w:r>
      <w:proofErr w:type="spellStart"/>
      <w:r w:rsidRPr="0037513D">
        <w:rPr>
          <w:rFonts w:ascii="Garamond" w:hAnsi="Garamond"/>
          <w:sz w:val="18"/>
          <w:szCs w:val="18"/>
        </w:rPr>
        <w:t>Cauberghe</w:t>
      </w:r>
      <w:proofErr w:type="spellEnd"/>
      <w:r w:rsidRPr="0037513D">
        <w:rPr>
          <w:rFonts w:ascii="Garamond" w:hAnsi="Garamond"/>
          <w:sz w:val="18"/>
          <w:szCs w:val="18"/>
        </w:rPr>
        <w:t xml:space="preserve"> &amp; Liselot </w:t>
      </w:r>
      <w:proofErr w:type="spellStart"/>
      <w:r w:rsidRPr="0037513D">
        <w:rPr>
          <w:rFonts w:ascii="Garamond" w:hAnsi="Garamond"/>
          <w:sz w:val="18"/>
          <w:szCs w:val="18"/>
        </w:rPr>
        <w:t>Hudders</w:t>
      </w:r>
      <w:proofErr w:type="spellEnd"/>
      <w:r w:rsidRPr="0037513D">
        <w:rPr>
          <w:rFonts w:ascii="Garamond" w:hAnsi="Garamond"/>
          <w:sz w:val="18"/>
          <w:szCs w:val="18"/>
        </w:rPr>
        <w:t xml:space="preserve">, </w:t>
      </w:r>
      <w:r w:rsidRPr="0037513D">
        <w:rPr>
          <w:rStyle w:val="Emphasis"/>
          <w:rFonts w:ascii="Garamond" w:hAnsi="Garamond"/>
          <w:sz w:val="18"/>
          <w:szCs w:val="18"/>
        </w:rPr>
        <w:t>How an Advertising Disclosure Alerts Young Adolescents to Sponsored Vlogs: The Moderating Role of a Peer-Based Advertising Literacy Intervention through an Informational Vlog</w:t>
      </w:r>
      <w:r w:rsidRPr="0037513D">
        <w:rPr>
          <w:rFonts w:ascii="Garamond" w:hAnsi="Garamond"/>
          <w:sz w:val="18"/>
          <w:szCs w:val="18"/>
        </w:rPr>
        <w:t>, 47(4</w:t>
      </w:r>
      <w:r w:rsidRPr="0037513D">
        <w:rPr>
          <w:rFonts w:ascii="Garamond" w:hAnsi="Garamond"/>
          <w:b/>
          <w:bCs/>
          <w:sz w:val="18"/>
          <w:szCs w:val="18"/>
        </w:rPr>
        <w:t xml:space="preserve">) </w:t>
      </w:r>
      <w:r w:rsidRPr="0037513D">
        <w:rPr>
          <w:rStyle w:val="Strong"/>
          <w:rFonts w:ascii="Garamond" w:hAnsi="Garamond"/>
          <w:b w:val="0"/>
          <w:bCs w:val="0"/>
          <w:smallCaps/>
          <w:sz w:val="18"/>
          <w:szCs w:val="18"/>
        </w:rPr>
        <w:t>J. Advertising</w:t>
      </w:r>
      <w:r w:rsidRPr="0037513D">
        <w:rPr>
          <w:rFonts w:ascii="Garamond" w:hAnsi="Garamond"/>
          <w:smallCaps/>
          <w:sz w:val="18"/>
          <w:szCs w:val="18"/>
        </w:rPr>
        <w:t xml:space="preserve"> </w:t>
      </w:r>
      <w:r w:rsidRPr="0037513D">
        <w:rPr>
          <w:rFonts w:ascii="Garamond" w:hAnsi="Garamond"/>
          <w:sz w:val="18"/>
          <w:szCs w:val="18"/>
        </w:rPr>
        <w:t>309, 321 (2018); Evans</w:t>
      </w:r>
      <w:r w:rsidRPr="0037513D">
        <w:rPr>
          <w:rFonts w:ascii="Garamond" w:hAnsi="Garamond"/>
          <w:sz w:val="18"/>
          <w:szCs w:val="18"/>
          <w:rtl/>
          <w:lang w:bidi="he-IL"/>
        </w:rPr>
        <w:t xml:space="preserve"> </w:t>
      </w:r>
      <w:r w:rsidRPr="0037513D">
        <w:rPr>
          <w:rFonts w:ascii="Garamond" w:hAnsi="Garamond"/>
          <w:sz w:val="18"/>
          <w:szCs w:val="18"/>
          <w:lang w:bidi="he-IL"/>
        </w:rPr>
        <w:t>e</w:t>
      </w:r>
      <w:r w:rsidRPr="0037513D">
        <w:rPr>
          <w:rFonts w:ascii="Garamond" w:hAnsi="Garamond"/>
          <w:sz w:val="18"/>
          <w:szCs w:val="18"/>
        </w:rPr>
        <w:t xml:space="preserve">t al., </w:t>
      </w:r>
      <w:r w:rsidRPr="0037513D">
        <w:rPr>
          <w:rFonts w:ascii="Garamond" w:hAnsi="Garamond" w:cstheme="majorBidi"/>
          <w:i/>
          <w:iCs/>
          <w:sz w:val="18"/>
          <w:szCs w:val="18"/>
        </w:rPr>
        <w:t xml:space="preserve">supra </w:t>
      </w:r>
      <w:r w:rsidRPr="0037513D">
        <w:rPr>
          <w:rFonts w:ascii="Garamond" w:hAnsi="Garamond" w:cstheme="majorBidi"/>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_Ref214374427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42</w:t>
      </w:r>
      <w:r w:rsidRPr="0037513D">
        <w:rPr>
          <w:rFonts w:ascii="Garamond" w:hAnsi="Garamond"/>
          <w:sz w:val="18"/>
          <w:szCs w:val="18"/>
        </w:rPr>
        <w:fldChar w:fldCharType="end"/>
      </w:r>
      <w:r w:rsidRPr="0037513D">
        <w:rPr>
          <w:rFonts w:ascii="Garamond" w:hAnsi="Garamond" w:cstheme="majorBidi"/>
          <w:sz w:val="18"/>
          <w:szCs w:val="18"/>
          <w:lang w:bidi="he-IL"/>
        </w:rPr>
        <w:t xml:space="preserve">, at </w:t>
      </w:r>
      <w:r w:rsidRPr="0037513D">
        <w:rPr>
          <w:rFonts w:ascii="Garamond" w:hAnsi="Garamond" w:cstheme="majorBidi"/>
          <w:sz w:val="18"/>
          <w:szCs w:val="18"/>
          <w:rtl/>
        </w:rPr>
        <w:t>1</w:t>
      </w:r>
      <w:r w:rsidRPr="0037513D">
        <w:rPr>
          <w:rFonts w:ascii="Garamond" w:hAnsi="Garamond" w:cstheme="majorBidi"/>
          <w:sz w:val="18"/>
          <w:szCs w:val="18"/>
        </w:rPr>
        <w:t>45</w:t>
      </w:r>
      <w:r w:rsidRPr="0037513D">
        <w:rPr>
          <w:rFonts w:ascii="Garamond" w:hAnsi="Garamond" w:cstheme="majorBidi"/>
          <w:sz w:val="18"/>
          <w:szCs w:val="18"/>
          <w:lang w:bidi="he-IL"/>
        </w:rPr>
        <w:t xml:space="preserve">; </w:t>
      </w:r>
      <w:r w:rsidRPr="0037513D">
        <w:rPr>
          <w:rFonts w:ascii="Garamond" w:hAnsi="Garamond" w:cstheme="majorBidi"/>
          <w:color w:val="000000"/>
          <w:sz w:val="18"/>
          <w:szCs w:val="18"/>
          <w:lang w:bidi="he-IL"/>
        </w:rPr>
        <w:t xml:space="preserve">Boerman, Willemsen &amp; Der Aa, </w:t>
      </w:r>
      <w:r w:rsidRPr="0037513D">
        <w:rPr>
          <w:rFonts w:ascii="Garamond" w:hAnsi="Garamond" w:cstheme="majorBidi"/>
          <w:i/>
          <w:iCs/>
          <w:color w:val="000000"/>
          <w:sz w:val="18"/>
          <w:szCs w:val="18"/>
          <w:lang w:bidi="he-IL"/>
        </w:rPr>
        <w:t xml:space="preserve">supra </w:t>
      </w:r>
      <w:r w:rsidRPr="0037513D">
        <w:rPr>
          <w:rFonts w:ascii="Garamond" w:hAnsi="Garamond" w:cstheme="majorBidi"/>
          <w:color w:val="000000"/>
          <w:sz w:val="18"/>
          <w:szCs w:val="18"/>
          <w:lang w:bidi="he-IL"/>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cstheme="majorBidi"/>
          <w:color w:val="000000"/>
          <w:sz w:val="18"/>
          <w:szCs w:val="18"/>
          <w:lang w:bidi="he-IL"/>
        </w:rPr>
        <w:t>, at</w:t>
      </w:r>
      <w:r w:rsidRPr="0037513D">
        <w:rPr>
          <w:rFonts w:ascii="Garamond" w:hAnsi="Garamond"/>
          <w:sz w:val="18"/>
          <w:szCs w:val="18"/>
        </w:rPr>
        <w:t xml:space="preserve"> 90;</w:t>
      </w:r>
      <w:r w:rsidRPr="0037513D">
        <w:rPr>
          <w:rFonts w:ascii="Garamond" w:hAnsi="Garamond" w:cstheme="majorBidi"/>
          <w:sz w:val="18"/>
          <w:szCs w:val="18"/>
          <w:lang w:bidi="he-IL"/>
        </w:rPr>
        <w:t xml:space="preserve"> </w:t>
      </w:r>
      <w:r w:rsidRPr="0037513D">
        <w:rPr>
          <w:rFonts w:ascii="Garamond" w:hAnsi="Garamond"/>
          <w:sz w:val="18"/>
          <w:szCs w:val="18"/>
        </w:rPr>
        <w:t xml:space="preserve">De </w:t>
      </w:r>
      <w:proofErr w:type="spellStart"/>
      <w:r w:rsidRPr="0037513D">
        <w:rPr>
          <w:rFonts w:ascii="Garamond" w:hAnsi="Garamond"/>
          <w:sz w:val="18"/>
          <w:szCs w:val="18"/>
        </w:rPr>
        <w:t>Veirman</w:t>
      </w:r>
      <w:proofErr w:type="spellEnd"/>
      <w:r w:rsidRPr="0037513D">
        <w:rPr>
          <w:rFonts w:ascii="Garamond" w:hAnsi="Garamond"/>
          <w:sz w:val="18"/>
          <w:szCs w:val="18"/>
        </w:rPr>
        <w:t xml:space="preserve"> &amp; </w:t>
      </w:r>
      <w:proofErr w:type="spellStart"/>
      <w:r w:rsidRPr="0037513D">
        <w:rPr>
          <w:rFonts w:ascii="Garamond" w:hAnsi="Garamond"/>
          <w:sz w:val="18"/>
          <w:szCs w:val="18"/>
        </w:rPr>
        <w:t>Hudders</w:t>
      </w:r>
      <w:proofErr w:type="spellEnd"/>
      <w:r w:rsidRPr="0037513D">
        <w:rPr>
          <w:rFonts w:ascii="Garamond" w:hAnsi="Garamond"/>
          <w:sz w:val="18"/>
          <w:szCs w:val="18"/>
        </w:rPr>
        <w:t xml:space="preserve">,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cstheme="majorBidi"/>
          <w:color w:val="000000"/>
          <w:sz w:val="18"/>
          <w:szCs w:val="18"/>
        </w:rPr>
        <w:fldChar w:fldCharType="begin"/>
      </w:r>
      <w:r w:rsidRPr="0037513D">
        <w:rPr>
          <w:rFonts w:ascii="Garamond" w:hAnsi="Garamond" w:cstheme="majorBidi"/>
          <w:color w:val="000000"/>
          <w:sz w:val="18"/>
          <w:szCs w:val="18"/>
          <w:lang w:bidi="he-IL"/>
        </w:rPr>
        <w:instrText xml:space="preserve"> NOTEREF _Ref201067484 \h </w:instrText>
      </w:r>
      <w:r w:rsidRPr="0037513D">
        <w:rPr>
          <w:rFonts w:ascii="Garamond" w:hAnsi="Garamond" w:cstheme="majorBidi"/>
          <w:color w:val="000000"/>
          <w:sz w:val="18"/>
          <w:szCs w:val="18"/>
        </w:rPr>
        <w:instrText xml:space="preserve"> \* MERGEFORMAT </w:instrText>
      </w:r>
      <w:r w:rsidRPr="0037513D">
        <w:rPr>
          <w:rFonts w:ascii="Garamond" w:hAnsi="Garamond" w:cstheme="majorBidi"/>
          <w:color w:val="000000"/>
          <w:sz w:val="18"/>
          <w:szCs w:val="18"/>
        </w:rPr>
      </w:r>
      <w:r w:rsidRPr="0037513D">
        <w:rPr>
          <w:rFonts w:ascii="Garamond" w:hAnsi="Garamond" w:cstheme="majorBidi"/>
          <w:color w:val="000000"/>
          <w:sz w:val="18"/>
          <w:szCs w:val="18"/>
        </w:rPr>
        <w:fldChar w:fldCharType="separate"/>
      </w:r>
      <w:r w:rsidRPr="0037513D">
        <w:rPr>
          <w:rFonts w:ascii="Garamond" w:hAnsi="Garamond" w:cstheme="majorBidi"/>
          <w:color w:val="000000"/>
          <w:sz w:val="18"/>
          <w:szCs w:val="18"/>
          <w:lang w:bidi="he-IL"/>
        </w:rPr>
        <w:t>100</w:t>
      </w:r>
      <w:r w:rsidRPr="0037513D">
        <w:rPr>
          <w:rFonts w:ascii="Garamond" w:hAnsi="Garamond" w:cstheme="majorBidi"/>
          <w:color w:val="000000"/>
          <w:sz w:val="18"/>
          <w:szCs w:val="18"/>
        </w:rPr>
        <w:fldChar w:fldCharType="end"/>
      </w:r>
      <w:r w:rsidRPr="0037513D">
        <w:rPr>
          <w:rFonts w:ascii="Garamond" w:hAnsi="Garamond" w:cstheme="majorBidi"/>
          <w:color w:val="000000"/>
          <w:sz w:val="18"/>
          <w:szCs w:val="18"/>
          <w:lang w:bidi="he-IL"/>
        </w:rPr>
        <w:t>,</w:t>
      </w:r>
      <w:r w:rsidRPr="0037513D">
        <w:rPr>
          <w:rFonts w:ascii="Garamond" w:hAnsi="Garamond"/>
          <w:sz w:val="18"/>
          <w:szCs w:val="18"/>
        </w:rPr>
        <w:t xml:space="preserve"> at 113; Chen Lou, Wenjuan Ma &amp; Yang Feng, </w:t>
      </w:r>
      <w:r w:rsidRPr="0037513D">
        <w:rPr>
          <w:rStyle w:val="Emphasis"/>
          <w:rFonts w:ascii="Garamond" w:hAnsi="Garamond"/>
          <w:sz w:val="18"/>
          <w:szCs w:val="18"/>
        </w:rPr>
        <w:t>A Sponsorship Disclosure Is Not Enough? How Advertising Literacy Intervention Affects Consumer Reactions to Sponsored Influencer Posts</w:t>
      </w:r>
      <w:r w:rsidRPr="0037513D">
        <w:rPr>
          <w:rFonts w:ascii="Garamond" w:hAnsi="Garamond"/>
          <w:sz w:val="18"/>
          <w:szCs w:val="18"/>
        </w:rPr>
        <w:t xml:space="preserve">, 26(6) </w:t>
      </w:r>
      <w:r w:rsidRPr="0037513D">
        <w:rPr>
          <w:rStyle w:val="Strong"/>
          <w:rFonts w:ascii="Garamond" w:hAnsi="Garamond"/>
          <w:b w:val="0"/>
          <w:bCs w:val="0"/>
          <w:smallCaps/>
          <w:sz w:val="18"/>
          <w:szCs w:val="18"/>
        </w:rPr>
        <w:t>J. Promotion Mgmt.</w:t>
      </w:r>
      <w:r w:rsidRPr="0037513D">
        <w:rPr>
          <w:rFonts w:ascii="Garamond" w:hAnsi="Garamond"/>
          <w:sz w:val="18"/>
          <w:szCs w:val="18"/>
        </w:rPr>
        <w:t xml:space="preserve"> 278, 295 (2020); </w:t>
      </w:r>
      <w:proofErr w:type="spellStart"/>
      <w:r w:rsidRPr="0037513D">
        <w:rPr>
          <w:rFonts w:ascii="Garamond" w:hAnsi="Garamond"/>
          <w:sz w:val="18"/>
          <w:szCs w:val="18"/>
        </w:rPr>
        <w:t>Eunjin</w:t>
      </w:r>
      <w:proofErr w:type="spellEnd"/>
      <w:r w:rsidRPr="0037513D">
        <w:rPr>
          <w:rFonts w:ascii="Garamond" w:hAnsi="Garamond"/>
          <w:sz w:val="18"/>
          <w:szCs w:val="18"/>
        </w:rPr>
        <w:t xml:space="preserve"> (Anna) Kim, Margaret Duffy &amp; Esther Thorson, </w:t>
      </w:r>
      <w:r w:rsidRPr="0037513D">
        <w:rPr>
          <w:rStyle w:val="Emphasis"/>
          <w:rFonts w:ascii="Garamond" w:hAnsi="Garamond"/>
          <w:sz w:val="18"/>
          <w:szCs w:val="18"/>
        </w:rPr>
        <w:t>Under the Influence: Social Media Influencers’ Impact on Response to Corporate Reputation Advertising</w:t>
      </w:r>
      <w:r w:rsidRPr="0037513D">
        <w:rPr>
          <w:rFonts w:ascii="Garamond" w:hAnsi="Garamond"/>
          <w:sz w:val="18"/>
          <w:szCs w:val="18"/>
        </w:rPr>
        <w:t xml:space="preserve">, 50(5) </w:t>
      </w:r>
      <w:r w:rsidRPr="0037513D">
        <w:rPr>
          <w:rStyle w:val="Strong"/>
          <w:rFonts w:ascii="Garamond" w:hAnsi="Garamond"/>
          <w:b w:val="0"/>
          <w:bCs w:val="0"/>
          <w:smallCaps/>
          <w:sz w:val="18"/>
          <w:szCs w:val="18"/>
        </w:rPr>
        <w:t>J. Advertising</w:t>
      </w:r>
      <w:r w:rsidRPr="0037513D">
        <w:rPr>
          <w:rFonts w:ascii="Garamond" w:hAnsi="Garamond"/>
          <w:sz w:val="18"/>
          <w:szCs w:val="18"/>
        </w:rPr>
        <w:t xml:space="preserve"> 372, 386 (2021); </w:t>
      </w:r>
      <w:proofErr w:type="spellStart"/>
      <w:r w:rsidRPr="0037513D">
        <w:rPr>
          <w:rFonts w:ascii="Garamond" w:hAnsi="Garamond"/>
          <w:sz w:val="18"/>
          <w:szCs w:val="18"/>
        </w:rPr>
        <w:t>Karagür</w:t>
      </w:r>
      <w:proofErr w:type="spellEnd"/>
      <w:r w:rsidRPr="0037513D">
        <w:rPr>
          <w:rFonts w:ascii="Garamond" w:hAnsi="Garamond"/>
          <w:sz w:val="18"/>
          <w:szCs w:val="18"/>
        </w:rPr>
        <w:t xml:space="preserve"> et al., </w:t>
      </w:r>
      <w:r w:rsidRPr="0037513D">
        <w:rPr>
          <w:rFonts w:ascii="Garamond" w:hAnsi="Garamond" w:cstheme="majorBidi"/>
          <w:i/>
          <w:iCs/>
          <w:color w:val="000000"/>
          <w:sz w:val="18"/>
          <w:szCs w:val="18"/>
          <w:lang w:bidi="he-IL"/>
        </w:rPr>
        <w:t xml:space="preserve">supra </w:t>
      </w:r>
      <w:r w:rsidRPr="0037513D">
        <w:rPr>
          <w:rFonts w:ascii="Garamond" w:hAnsi="Garamond" w:cstheme="majorBidi"/>
          <w:color w:val="000000"/>
          <w:sz w:val="18"/>
          <w:szCs w:val="18"/>
          <w:lang w:bidi="he-IL"/>
        </w:rPr>
        <w:t xml:space="preserve">note </w:t>
      </w:r>
      <w:r w:rsidRPr="0037513D">
        <w:rPr>
          <w:rFonts w:ascii="Garamond" w:hAnsi="Garamond"/>
          <w:sz w:val="18"/>
          <w:szCs w:val="18"/>
        </w:rPr>
        <w:t xml:space="preserve"> </w:t>
      </w:r>
      <w:r w:rsidRPr="0037513D">
        <w:rPr>
          <w:rFonts w:ascii="Garamond" w:eastAsia="Times New Roman" w:hAnsi="Garamond"/>
          <w:sz w:val="18"/>
          <w:szCs w:val="18"/>
        </w:rPr>
        <w:fldChar w:fldCharType="begin"/>
      </w:r>
      <w:r w:rsidRPr="0037513D">
        <w:rPr>
          <w:rFonts w:ascii="Garamond" w:hAnsi="Garamond"/>
          <w:sz w:val="18"/>
          <w:szCs w:val="18"/>
        </w:rPr>
        <w:instrText xml:space="preserve"> NOTEREF _Ref201069495 \h </w:instrText>
      </w:r>
      <w:r w:rsidRPr="0037513D">
        <w:rPr>
          <w:rFonts w:ascii="Garamond" w:eastAsia="Times New Roman" w:hAnsi="Garamond"/>
          <w:sz w:val="18"/>
          <w:szCs w:val="18"/>
        </w:rPr>
        <w:instrText xml:space="preserve">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hAnsi="Garamond"/>
          <w:sz w:val="18"/>
          <w:szCs w:val="18"/>
        </w:rPr>
        <w:t>111</w:t>
      </w:r>
      <w:r w:rsidRPr="0037513D">
        <w:rPr>
          <w:rFonts w:ascii="Garamond" w:eastAsia="Times New Roman" w:hAnsi="Garamond"/>
          <w:sz w:val="18"/>
          <w:szCs w:val="18"/>
        </w:rPr>
        <w:fldChar w:fldCharType="end"/>
      </w:r>
      <w:r w:rsidRPr="0037513D">
        <w:rPr>
          <w:rFonts w:ascii="Garamond" w:hAnsi="Garamond"/>
          <w:sz w:val="18"/>
          <w:szCs w:val="18"/>
        </w:rPr>
        <w:t xml:space="preserve">, </w:t>
      </w:r>
      <w:r w:rsidRPr="0037513D">
        <w:rPr>
          <w:rFonts w:ascii="Garamond" w:hAnsi="Garamond" w:cstheme="majorBidi"/>
          <w:color w:val="000000"/>
          <w:sz w:val="18"/>
          <w:szCs w:val="18"/>
          <w:lang w:bidi="he-IL"/>
        </w:rPr>
        <w:t>at</w:t>
      </w:r>
      <w:r w:rsidRPr="0037513D">
        <w:rPr>
          <w:rFonts w:ascii="Garamond" w:hAnsi="Garamond"/>
          <w:sz w:val="18"/>
          <w:szCs w:val="18"/>
        </w:rPr>
        <w:t xml:space="preserve"> 314; Boerman et al.,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_Ref214466941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98</w:t>
      </w:r>
      <w:r w:rsidRPr="0037513D">
        <w:rPr>
          <w:rFonts w:ascii="Garamond" w:hAnsi="Garamond"/>
          <w:sz w:val="18"/>
          <w:szCs w:val="18"/>
        </w:rPr>
        <w:fldChar w:fldCharType="end"/>
      </w:r>
      <w:r w:rsidRPr="0037513D">
        <w:rPr>
          <w:rFonts w:ascii="Garamond" w:hAnsi="Garamond"/>
          <w:sz w:val="18"/>
          <w:szCs w:val="18"/>
        </w:rPr>
        <w:t>, at 1047–64</w:t>
      </w:r>
      <w:r w:rsidRPr="0037513D">
        <w:rPr>
          <w:rFonts w:ascii="Garamond" w:hAnsi="Garamond" w:cstheme="majorBidi"/>
          <w:sz w:val="18"/>
          <w:szCs w:val="18"/>
        </w:rPr>
        <w:t>;</w:t>
      </w:r>
      <w:r w:rsidRPr="0037513D">
        <w:rPr>
          <w:rFonts w:ascii="Garamond" w:hAnsi="Garamond" w:cstheme="majorBidi"/>
          <w:sz w:val="18"/>
          <w:szCs w:val="18"/>
          <w:lang w:bidi="he-IL"/>
        </w:rPr>
        <w:t xml:space="preserve"> </w:t>
      </w:r>
      <w:r w:rsidRPr="0037513D">
        <w:rPr>
          <w:rFonts w:ascii="Garamond" w:hAnsi="Garamond"/>
          <w:sz w:val="18"/>
          <w:szCs w:val="18"/>
        </w:rPr>
        <w:t xml:space="preserve">Boerman et al., </w:t>
      </w:r>
      <w:r w:rsidRPr="0037513D">
        <w:rPr>
          <w:rFonts w:ascii="Garamond" w:hAnsi="Garamond"/>
          <w:i/>
          <w:iCs/>
          <w:sz w:val="18"/>
          <w:szCs w:val="18"/>
        </w:rPr>
        <w:t>supra</w:t>
      </w:r>
      <w:r w:rsidRPr="0037513D">
        <w:rPr>
          <w:rFonts w:ascii="Garamond" w:hAnsi="Garamond"/>
          <w:sz w:val="18"/>
          <w:szCs w:val="18"/>
        </w:rPr>
        <w:t xml:space="preserve"> note 114</w:t>
      </w:r>
      <w:r w:rsidRPr="0037513D">
        <w:rPr>
          <w:rFonts w:ascii="Garamond" w:hAnsi="Garamond" w:cstheme="majorBidi"/>
          <w:sz w:val="18"/>
          <w:szCs w:val="18"/>
        </w:rPr>
        <w:t xml:space="preserve">, at </w:t>
      </w:r>
      <w:r w:rsidRPr="0037513D">
        <w:rPr>
          <w:rFonts w:ascii="Garamond" w:eastAsia="Times New Roman" w:hAnsi="Garamond" w:cstheme="majorBidi"/>
          <w:sz w:val="18"/>
          <w:szCs w:val="18"/>
          <w:lang w:bidi="he-IL"/>
        </w:rPr>
        <w:t>214–24</w:t>
      </w:r>
      <w:r w:rsidRPr="0037513D">
        <w:rPr>
          <w:rFonts w:ascii="Garamond" w:hAnsi="Garamond" w:cstheme="majorBidi"/>
          <w:sz w:val="18"/>
          <w:szCs w:val="18"/>
          <w:lang w:bidi="he-IL"/>
        </w:rPr>
        <w:t xml:space="preserve">; </w:t>
      </w:r>
      <w:r w:rsidRPr="0037513D">
        <w:rPr>
          <w:rFonts w:ascii="Garamond" w:hAnsi="Garamond"/>
          <w:i/>
          <w:iCs/>
          <w:sz w:val="18"/>
          <w:szCs w:val="18"/>
        </w:rPr>
        <w:t>See</w:t>
      </w:r>
      <w:r w:rsidRPr="0037513D">
        <w:rPr>
          <w:rFonts w:ascii="Garamond" w:hAnsi="Garamond"/>
          <w:sz w:val="18"/>
          <w:szCs w:val="18"/>
        </w:rPr>
        <w:t xml:space="preserve"> Campbell, Mohr &amp; </w:t>
      </w:r>
      <w:proofErr w:type="spellStart"/>
      <w:r w:rsidRPr="0037513D">
        <w:rPr>
          <w:rFonts w:ascii="Garamond" w:hAnsi="Garamond"/>
          <w:sz w:val="18"/>
          <w:szCs w:val="18"/>
        </w:rPr>
        <w:t>Verlegh</w:t>
      </w:r>
      <w:proofErr w:type="spellEnd"/>
      <w:r w:rsidRPr="0037513D">
        <w:rPr>
          <w:rFonts w:ascii="Garamond" w:hAnsi="Garamond"/>
          <w:sz w:val="18"/>
          <w:szCs w:val="18"/>
        </w:rPr>
        <w:t xml:space="preserve">,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_Ref201068278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104</w:t>
      </w:r>
      <w:r w:rsidRPr="0037513D">
        <w:rPr>
          <w:rFonts w:ascii="Garamond" w:hAnsi="Garamond"/>
          <w:sz w:val="18"/>
          <w:szCs w:val="18"/>
        </w:rPr>
        <w:fldChar w:fldCharType="end"/>
      </w:r>
      <w:r w:rsidRPr="0037513D">
        <w:rPr>
          <w:rFonts w:ascii="Garamond" w:hAnsi="Garamond"/>
          <w:sz w:val="18"/>
          <w:szCs w:val="18"/>
        </w:rPr>
        <w:t>, at 483–95</w:t>
      </w:r>
      <w:r w:rsidRPr="0037513D">
        <w:rPr>
          <w:rFonts w:ascii="Garamond" w:hAnsi="Garamond"/>
          <w:sz w:val="18"/>
          <w:szCs w:val="18"/>
          <w:lang w:bidi="he-IL"/>
        </w:rPr>
        <w:t xml:space="preserve">; </w:t>
      </w:r>
      <w:r w:rsidRPr="0037513D">
        <w:rPr>
          <w:rFonts w:ascii="Garamond" w:hAnsi="Garamond"/>
          <w:sz w:val="18"/>
          <w:szCs w:val="18"/>
        </w:rPr>
        <w:t xml:space="preserve">Wei et al., </w:t>
      </w:r>
      <w:r w:rsidRPr="0037513D">
        <w:rPr>
          <w:rFonts w:ascii="Garamond" w:hAnsi="Garamond"/>
          <w:i/>
          <w:iCs/>
          <w:sz w:val="18"/>
          <w:szCs w:val="18"/>
        </w:rPr>
        <w:t>supra</w:t>
      </w:r>
      <w:r w:rsidRPr="0037513D">
        <w:rPr>
          <w:rFonts w:ascii="Garamond" w:hAnsi="Garamond"/>
          <w:sz w:val="18"/>
          <w:szCs w:val="18"/>
        </w:rPr>
        <w:t xml:space="preserve"> note 115, at 34–44</w:t>
      </w:r>
      <w:r w:rsidRPr="0037513D">
        <w:rPr>
          <w:rFonts w:ascii="Garamond" w:hAnsi="Garamond" w:cstheme="majorBidi"/>
          <w:sz w:val="18"/>
          <w:szCs w:val="18"/>
          <w:lang w:bidi="he-IL"/>
        </w:rPr>
        <w:t xml:space="preserve">; </w:t>
      </w:r>
      <w:r w:rsidRPr="0037513D">
        <w:rPr>
          <w:rFonts w:ascii="Garamond" w:hAnsi="Garamond"/>
          <w:sz w:val="18"/>
          <w:szCs w:val="18"/>
        </w:rPr>
        <w:t xml:space="preserve">Tessitore &amp; </w:t>
      </w:r>
      <w:proofErr w:type="spellStart"/>
      <w:r w:rsidRPr="0037513D">
        <w:rPr>
          <w:rFonts w:ascii="Garamond" w:hAnsi="Garamond"/>
          <w:sz w:val="18"/>
          <w:szCs w:val="18"/>
        </w:rPr>
        <w:t>Geuens</w:t>
      </w:r>
      <w:proofErr w:type="spellEnd"/>
      <w:r w:rsidRPr="0037513D">
        <w:rPr>
          <w:rFonts w:ascii="Garamond" w:hAnsi="Garamond"/>
          <w:sz w:val="18"/>
          <w:szCs w:val="18"/>
        </w:rPr>
        <w:t xml:space="preserve">,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_Ref201068278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104</w:t>
      </w:r>
      <w:r w:rsidRPr="0037513D">
        <w:rPr>
          <w:rFonts w:ascii="Garamond" w:hAnsi="Garamond"/>
          <w:sz w:val="18"/>
          <w:szCs w:val="18"/>
        </w:rPr>
        <w:fldChar w:fldCharType="end"/>
      </w:r>
      <w:r w:rsidRPr="0037513D">
        <w:rPr>
          <w:rFonts w:ascii="Garamond" w:hAnsi="Garamond"/>
          <w:sz w:val="18"/>
          <w:szCs w:val="18"/>
        </w:rPr>
        <w:t>, at 419–42</w:t>
      </w:r>
      <w:r w:rsidRPr="0037513D">
        <w:rPr>
          <w:rFonts w:ascii="Garamond" w:hAnsi="Garamond" w:cstheme="majorBidi"/>
          <w:sz w:val="18"/>
          <w:szCs w:val="18"/>
        </w:rPr>
        <w:t xml:space="preserve">. </w:t>
      </w:r>
      <w:r w:rsidRPr="0037513D">
        <w:rPr>
          <w:rFonts w:ascii="Garamond" w:hAnsi="Garamond" w:cstheme="majorBidi"/>
          <w:i/>
          <w:iCs/>
          <w:sz w:val="18"/>
          <w:szCs w:val="18"/>
          <w:lang w:bidi="he-IL"/>
        </w:rPr>
        <w:t xml:space="preserve">But see </w:t>
      </w:r>
      <w:r w:rsidRPr="0037513D">
        <w:rPr>
          <w:rStyle w:val="Strong"/>
          <w:rFonts w:ascii="Garamond" w:hAnsi="Garamond"/>
          <w:b w:val="0"/>
          <w:bCs w:val="0"/>
          <w:sz w:val="18"/>
          <w:szCs w:val="18"/>
        </w:rPr>
        <w:t xml:space="preserve">Lee &amp; Kim, </w:t>
      </w:r>
      <w:r w:rsidRPr="0037513D">
        <w:rPr>
          <w:rStyle w:val="Strong"/>
          <w:rFonts w:ascii="Garamond" w:hAnsi="Garamond"/>
          <w:b w:val="0"/>
          <w:bCs w:val="0"/>
          <w:i/>
          <w:iCs/>
          <w:sz w:val="18"/>
          <w:szCs w:val="18"/>
        </w:rPr>
        <w:t>supra</w:t>
      </w:r>
      <w:r w:rsidRPr="0037513D">
        <w:rPr>
          <w:rStyle w:val="Strong"/>
          <w:rFonts w:ascii="Garamond" w:hAnsi="Garamond"/>
          <w:b w:val="0"/>
          <w:bCs w:val="0"/>
          <w:sz w:val="18"/>
          <w:szCs w:val="18"/>
        </w:rPr>
        <w:t xml:space="preserve"> note </w:t>
      </w:r>
      <w:r w:rsidRPr="0037513D">
        <w:rPr>
          <w:rStyle w:val="Strong"/>
          <w:rFonts w:ascii="Garamond" w:hAnsi="Garamond"/>
          <w:b w:val="0"/>
          <w:bCs w:val="0"/>
          <w:sz w:val="18"/>
          <w:szCs w:val="18"/>
        </w:rPr>
        <w:fldChar w:fldCharType="begin"/>
      </w:r>
      <w:r w:rsidRPr="0037513D">
        <w:rPr>
          <w:rStyle w:val="Strong"/>
          <w:rFonts w:ascii="Garamond" w:hAnsi="Garamond"/>
          <w:b w:val="0"/>
          <w:bCs w:val="0"/>
          <w:sz w:val="18"/>
          <w:szCs w:val="18"/>
        </w:rPr>
        <w:instrText xml:space="preserve"> NOTEREF _Ref214553366 \h  \* MERGEFORMAT </w:instrText>
      </w:r>
      <w:r w:rsidRPr="0037513D">
        <w:rPr>
          <w:rStyle w:val="Strong"/>
          <w:rFonts w:ascii="Garamond" w:hAnsi="Garamond"/>
          <w:b w:val="0"/>
          <w:bCs w:val="0"/>
          <w:sz w:val="18"/>
          <w:szCs w:val="18"/>
        </w:rPr>
      </w:r>
      <w:r w:rsidRPr="0037513D">
        <w:rPr>
          <w:rStyle w:val="Strong"/>
          <w:rFonts w:ascii="Garamond" w:hAnsi="Garamond"/>
          <w:b w:val="0"/>
          <w:bCs w:val="0"/>
          <w:sz w:val="18"/>
          <w:szCs w:val="18"/>
        </w:rPr>
        <w:fldChar w:fldCharType="separate"/>
      </w:r>
      <w:r w:rsidRPr="0037513D">
        <w:rPr>
          <w:rStyle w:val="Strong"/>
          <w:rFonts w:ascii="Garamond" w:hAnsi="Garamond"/>
          <w:b w:val="0"/>
          <w:bCs w:val="0"/>
          <w:sz w:val="18"/>
          <w:szCs w:val="18"/>
        </w:rPr>
        <w:t>122</w:t>
      </w:r>
      <w:r w:rsidRPr="0037513D">
        <w:rPr>
          <w:rStyle w:val="Strong"/>
          <w:rFonts w:ascii="Garamond" w:hAnsi="Garamond"/>
          <w:b w:val="0"/>
          <w:bCs w:val="0"/>
          <w:sz w:val="18"/>
          <w:szCs w:val="18"/>
        </w:rPr>
        <w:fldChar w:fldCharType="end"/>
      </w:r>
      <w:r w:rsidRPr="0037513D">
        <w:rPr>
          <w:rStyle w:val="Strong"/>
          <w:rFonts w:ascii="Garamond" w:hAnsi="Garamond"/>
          <w:b w:val="0"/>
          <w:bCs w:val="0"/>
          <w:sz w:val="18"/>
          <w:szCs w:val="18"/>
        </w:rPr>
        <w:t>, at 232–49</w:t>
      </w:r>
      <w:r w:rsidRPr="0037513D">
        <w:rPr>
          <w:rFonts w:ascii="Garamond" w:hAnsi="Garamond" w:cstheme="majorBidi"/>
          <w:sz w:val="18"/>
          <w:szCs w:val="18"/>
          <w:lang w:bidi="he-IL"/>
        </w:rPr>
        <w:t>;</w:t>
      </w:r>
      <w:r w:rsidRPr="0037513D">
        <w:rPr>
          <w:rFonts w:ascii="Garamond" w:hAnsi="Garamond" w:cstheme="majorBidi"/>
          <w:sz w:val="18"/>
          <w:szCs w:val="18"/>
        </w:rPr>
        <w:t xml:space="preserve"> </w:t>
      </w:r>
      <w:r w:rsidRPr="0037513D">
        <w:rPr>
          <w:rFonts w:ascii="Garamond" w:hAnsi="Garamond"/>
          <w:sz w:val="18"/>
          <w:szCs w:val="18"/>
        </w:rPr>
        <w:t xml:space="preserve">Benjamin K. Johnson, Bridget Potocki &amp; Jolanda Veldhuis, </w:t>
      </w:r>
      <w:r w:rsidRPr="0037513D">
        <w:rPr>
          <w:rStyle w:val="Emphasis"/>
          <w:rFonts w:ascii="Garamond" w:hAnsi="Garamond"/>
          <w:sz w:val="18"/>
          <w:szCs w:val="18"/>
        </w:rPr>
        <w:t>Is That My Friend or an Advert? The Effectiveness of Instagram Native Advertisements Posing as Social Posts</w:t>
      </w:r>
      <w:r w:rsidRPr="0037513D">
        <w:rPr>
          <w:rFonts w:ascii="Garamond" w:hAnsi="Garamond"/>
          <w:sz w:val="18"/>
          <w:szCs w:val="18"/>
        </w:rPr>
        <w:t xml:space="preserve">, 24(3) </w:t>
      </w:r>
      <w:r w:rsidRPr="0037513D">
        <w:rPr>
          <w:rStyle w:val="Strong"/>
          <w:rFonts w:ascii="Garamond" w:hAnsi="Garamond"/>
          <w:b w:val="0"/>
          <w:bCs w:val="0"/>
          <w:smallCaps/>
          <w:sz w:val="18"/>
          <w:szCs w:val="18"/>
        </w:rPr>
        <w:t>J. Computer-Mediated Commc’n</w:t>
      </w:r>
      <w:r w:rsidRPr="0037513D">
        <w:rPr>
          <w:rFonts w:ascii="Garamond" w:hAnsi="Garamond"/>
          <w:sz w:val="18"/>
          <w:szCs w:val="18"/>
        </w:rPr>
        <w:t xml:space="preserve"> 108, 108–25 (2019).</w:t>
      </w:r>
    </w:p>
  </w:footnote>
  <w:footnote w:id="136">
    <w:p w14:paraId="2A1BC9FA" w14:textId="77777777" w:rsidR="004F04CB" w:rsidRPr="0037513D" w:rsidRDefault="004F04CB" w:rsidP="004F04CB">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e.g., </w:t>
      </w:r>
      <w:r w:rsidRPr="0037513D">
        <w:rPr>
          <w:rFonts w:ascii="Garamond" w:hAnsi="Garamond"/>
          <w:sz w:val="18"/>
          <w:szCs w:val="18"/>
        </w:rPr>
        <w:t xml:space="preserve">Hwang &amp; Jeong,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_Ref214553430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120</w:t>
      </w:r>
      <w:r w:rsidRPr="0037513D">
        <w:rPr>
          <w:rFonts w:ascii="Garamond" w:hAnsi="Garamond"/>
          <w:sz w:val="18"/>
          <w:szCs w:val="18"/>
        </w:rPr>
        <w:fldChar w:fldCharType="end"/>
      </w:r>
      <w:r w:rsidRPr="0037513D">
        <w:rPr>
          <w:rFonts w:ascii="Garamond" w:hAnsi="Garamond"/>
          <w:sz w:val="18"/>
          <w:szCs w:val="18"/>
        </w:rPr>
        <w:t>, at 528.</w:t>
      </w:r>
    </w:p>
  </w:footnote>
  <w:footnote w:id="137">
    <w:p w14:paraId="488DF704" w14:textId="77777777" w:rsidR="00EF6737" w:rsidRPr="0037513D" w:rsidRDefault="00EF6737" w:rsidP="00EF673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In the context of advertorials </w:t>
      </w:r>
      <w:r w:rsidRPr="0037513D">
        <w:rPr>
          <w:rFonts w:ascii="Garamond" w:hAnsi="Garamond"/>
          <w:i/>
          <w:iCs/>
          <w:sz w:val="18"/>
          <w:szCs w:val="18"/>
        </w:rPr>
        <w:t>see e.g.</w:t>
      </w:r>
      <w:r w:rsidRPr="0037513D">
        <w:rPr>
          <w:rFonts w:ascii="Garamond" w:hAnsi="Garamond"/>
          <w:sz w:val="18"/>
          <w:szCs w:val="18"/>
        </w:rPr>
        <w:t xml:space="preserve">, </w:t>
      </w:r>
      <w:r w:rsidRPr="0037513D">
        <w:rPr>
          <w:rStyle w:val="Strong"/>
          <w:rFonts w:ascii="Garamond" w:hAnsi="Garamond"/>
          <w:b w:val="0"/>
          <w:bCs w:val="0"/>
          <w:sz w:val="18"/>
          <w:szCs w:val="18"/>
        </w:rPr>
        <w:t>Karen L. Becker-Olsen</w:t>
      </w:r>
      <w:r w:rsidRPr="0037513D">
        <w:rPr>
          <w:rStyle w:val="Strong"/>
          <w:rFonts w:ascii="Garamond" w:hAnsi="Garamond"/>
          <w:sz w:val="18"/>
          <w:szCs w:val="18"/>
        </w:rPr>
        <w:t xml:space="preserve">, </w:t>
      </w:r>
      <w:r w:rsidRPr="0037513D">
        <w:rPr>
          <w:rStyle w:val="Emphasis"/>
          <w:rFonts w:ascii="Garamond" w:hAnsi="Garamond"/>
          <w:sz w:val="18"/>
          <w:szCs w:val="18"/>
        </w:rPr>
        <w:t>And Now, a Word from Our Sponsor: A Look at the Effects of Sponsored Content and Banner Advertising</w:t>
      </w:r>
      <w:r w:rsidRPr="0037513D">
        <w:rPr>
          <w:rStyle w:val="Strong"/>
          <w:rFonts w:ascii="Garamond" w:hAnsi="Garamond"/>
          <w:b w:val="0"/>
          <w:bCs w:val="0"/>
          <w:sz w:val="18"/>
          <w:szCs w:val="18"/>
        </w:rPr>
        <w:t xml:space="preserve">, 32(2) </w:t>
      </w:r>
      <w:r w:rsidRPr="0037513D">
        <w:rPr>
          <w:rStyle w:val="Strong"/>
          <w:rFonts w:ascii="Garamond" w:hAnsi="Garamond"/>
          <w:b w:val="0"/>
          <w:bCs w:val="0"/>
          <w:smallCaps/>
          <w:sz w:val="18"/>
          <w:szCs w:val="18"/>
        </w:rPr>
        <w:t>J. Advertising</w:t>
      </w:r>
      <w:r w:rsidRPr="0037513D">
        <w:rPr>
          <w:rStyle w:val="Strong"/>
          <w:rFonts w:ascii="Garamond" w:hAnsi="Garamond"/>
          <w:b w:val="0"/>
          <w:bCs w:val="0"/>
          <w:sz w:val="18"/>
          <w:szCs w:val="18"/>
        </w:rPr>
        <w:t xml:space="preserve"> 17, 28–29 (2003)</w:t>
      </w:r>
      <w:r w:rsidRPr="0037513D">
        <w:rPr>
          <w:rFonts w:ascii="Garamond" w:hAnsi="Garamond"/>
          <w:sz w:val="18"/>
          <w:szCs w:val="18"/>
        </w:rPr>
        <w:t xml:space="preserve">; Catherine Tucker, </w:t>
      </w:r>
      <w:r w:rsidRPr="0037513D">
        <w:rPr>
          <w:rStyle w:val="Emphasis"/>
          <w:rFonts w:ascii="Garamond" w:hAnsi="Garamond"/>
          <w:sz w:val="18"/>
          <w:szCs w:val="18"/>
        </w:rPr>
        <w:t>Social Advertising</w:t>
      </w:r>
      <w:r w:rsidRPr="0037513D">
        <w:rPr>
          <w:rFonts w:ascii="Garamond" w:hAnsi="Garamond"/>
          <w:sz w:val="18"/>
          <w:szCs w:val="18"/>
        </w:rPr>
        <w:t xml:space="preserve"> 22 (</w:t>
      </w:r>
      <w:r w:rsidRPr="0037513D">
        <w:rPr>
          <w:rFonts w:ascii="Garamond" w:hAnsi="Garamond"/>
          <w:smallCaps/>
          <w:sz w:val="18"/>
          <w:szCs w:val="18"/>
        </w:rPr>
        <w:t>MIT Sloan Sch. of Mgmt.,</w:t>
      </w:r>
      <w:r w:rsidRPr="0037513D">
        <w:rPr>
          <w:rFonts w:ascii="Garamond" w:hAnsi="Garamond"/>
          <w:sz w:val="18"/>
          <w:szCs w:val="18"/>
        </w:rPr>
        <w:t xml:space="preserve"> Working Paper, 2012); Navdeep S. Sahni &amp; Harikesh S. Nair, </w:t>
      </w:r>
      <w:r w:rsidRPr="0037513D">
        <w:rPr>
          <w:rStyle w:val="Emphasis"/>
          <w:rFonts w:ascii="Garamond" w:hAnsi="Garamond"/>
          <w:sz w:val="18"/>
          <w:szCs w:val="18"/>
        </w:rPr>
        <w:t>Native Advertising, Sponsorship Disclosure and Consumer Deception: Evidence from Mobile Search-</w:t>
      </w:r>
      <w:proofErr w:type="spellStart"/>
      <w:r w:rsidRPr="0037513D">
        <w:rPr>
          <w:rStyle w:val="Emphasis"/>
          <w:rFonts w:ascii="Garamond" w:hAnsi="Garamond"/>
          <w:sz w:val="18"/>
          <w:szCs w:val="18"/>
        </w:rPr>
        <w:t>Ad</w:t>
      </w:r>
      <w:proofErr w:type="spellEnd"/>
      <w:r w:rsidRPr="0037513D">
        <w:rPr>
          <w:rStyle w:val="Emphasis"/>
          <w:rFonts w:ascii="Garamond" w:hAnsi="Garamond"/>
          <w:sz w:val="18"/>
          <w:szCs w:val="18"/>
        </w:rPr>
        <w:t xml:space="preserve"> Experiments</w:t>
      </w:r>
      <w:r w:rsidRPr="0037513D">
        <w:rPr>
          <w:rFonts w:ascii="Garamond" w:hAnsi="Garamond"/>
          <w:sz w:val="18"/>
          <w:szCs w:val="18"/>
        </w:rPr>
        <w:t xml:space="preserve"> 1 (2018); Nathaniel J. Evans, Bartosz W. </w:t>
      </w:r>
      <w:proofErr w:type="spellStart"/>
      <w:r w:rsidRPr="0037513D">
        <w:rPr>
          <w:rFonts w:ascii="Garamond" w:hAnsi="Garamond"/>
          <w:sz w:val="18"/>
          <w:szCs w:val="18"/>
        </w:rPr>
        <w:t>Wojdynski</w:t>
      </w:r>
      <w:proofErr w:type="spellEnd"/>
      <w:r w:rsidRPr="0037513D">
        <w:rPr>
          <w:rFonts w:ascii="Garamond" w:hAnsi="Garamond"/>
          <w:sz w:val="18"/>
          <w:szCs w:val="18"/>
        </w:rPr>
        <w:t xml:space="preserve"> &amp; Mariea Grubbs Hoy, </w:t>
      </w:r>
      <w:r w:rsidRPr="0037513D">
        <w:rPr>
          <w:rStyle w:val="Emphasis"/>
          <w:rFonts w:ascii="Garamond" w:hAnsi="Garamond"/>
          <w:sz w:val="18"/>
          <w:szCs w:val="18"/>
        </w:rPr>
        <w:t>How Sponsorship Transparency Mitigates Negative Effects of Advertising Recognition</w:t>
      </w:r>
      <w:r w:rsidRPr="0037513D">
        <w:rPr>
          <w:rFonts w:ascii="Garamond" w:hAnsi="Garamond"/>
          <w:sz w:val="18"/>
          <w:szCs w:val="18"/>
        </w:rPr>
        <w:t xml:space="preserve">, 38(3) </w:t>
      </w:r>
      <w:r w:rsidRPr="0037513D">
        <w:rPr>
          <w:rStyle w:val="Strong"/>
          <w:rFonts w:ascii="Garamond" w:hAnsi="Garamond"/>
          <w:b w:val="0"/>
          <w:bCs w:val="0"/>
          <w:smallCaps/>
          <w:sz w:val="18"/>
          <w:szCs w:val="18"/>
        </w:rPr>
        <w:t>Int’l J. Advertising</w:t>
      </w:r>
      <w:r w:rsidRPr="0037513D">
        <w:rPr>
          <w:rFonts w:ascii="Garamond" w:hAnsi="Garamond"/>
          <w:sz w:val="18"/>
          <w:szCs w:val="18"/>
        </w:rPr>
        <w:t xml:space="preserve"> 364, 367 (2019); </w:t>
      </w:r>
      <w:r w:rsidRPr="0037513D">
        <w:rPr>
          <w:rStyle w:val="Strong"/>
          <w:rFonts w:ascii="Garamond" w:hAnsi="Garamond"/>
          <w:b w:val="0"/>
          <w:bCs w:val="0"/>
          <w:sz w:val="18"/>
          <w:szCs w:val="18"/>
        </w:rPr>
        <w:t xml:space="preserve">Simone </w:t>
      </w:r>
      <w:proofErr w:type="spellStart"/>
      <w:r w:rsidRPr="0037513D">
        <w:rPr>
          <w:rStyle w:val="Strong"/>
          <w:rFonts w:ascii="Garamond" w:hAnsi="Garamond"/>
          <w:b w:val="0"/>
          <w:bCs w:val="0"/>
          <w:sz w:val="18"/>
          <w:szCs w:val="18"/>
        </w:rPr>
        <w:t>Krouwer</w:t>
      </w:r>
      <w:proofErr w:type="spellEnd"/>
      <w:r w:rsidRPr="0037513D">
        <w:rPr>
          <w:rStyle w:val="Strong"/>
          <w:rFonts w:ascii="Garamond" w:hAnsi="Garamond"/>
          <w:b w:val="0"/>
          <w:bCs w:val="0"/>
          <w:sz w:val="18"/>
          <w:szCs w:val="18"/>
        </w:rPr>
        <w:t xml:space="preserve">, Karolien Poels &amp; Steve Paulussen, </w:t>
      </w:r>
      <w:r w:rsidRPr="0037513D">
        <w:rPr>
          <w:rStyle w:val="Emphasis"/>
          <w:rFonts w:ascii="Garamond" w:hAnsi="Garamond"/>
          <w:sz w:val="18"/>
          <w:szCs w:val="18"/>
        </w:rPr>
        <w:t>Moving Towards Transparency for Native Advertisements on News Websites: A Test of More Detailed Disclosures</w:t>
      </w:r>
      <w:r w:rsidRPr="0037513D">
        <w:rPr>
          <w:rStyle w:val="Strong"/>
          <w:rFonts w:ascii="Garamond" w:hAnsi="Garamond"/>
          <w:b w:val="0"/>
          <w:bCs w:val="0"/>
          <w:sz w:val="18"/>
          <w:szCs w:val="18"/>
        </w:rPr>
        <w:t xml:space="preserve">, 39(1) </w:t>
      </w:r>
      <w:r w:rsidRPr="0037513D">
        <w:rPr>
          <w:rStyle w:val="Strong"/>
          <w:rFonts w:ascii="Garamond" w:hAnsi="Garamond"/>
          <w:b w:val="0"/>
          <w:bCs w:val="0"/>
          <w:smallCaps/>
          <w:sz w:val="18"/>
          <w:szCs w:val="18"/>
        </w:rPr>
        <w:t>Int’l J. Advertising</w:t>
      </w:r>
      <w:r w:rsidRPr="0037513D">
        <w:rPr>
          <w:rStyle w:val="Strong"/>
          <w:rFonts w:ascii="Garamond" w:hAnsi="Garamond"/>
          <w:b w:val="0"/>
          <w:bCs w:val="0"/>
          <w:sz w:val="18"/>
          <w:szCs w:val="18"/>
        </w:rPr>
        <w:t xml:space="preserve"> 51</w:t>
      </w:r>
      <w:r w:rsidRPr="0037513D">
        <w:rPr>
          <w:rStyle w:val="Strong"/>
          <w:rFonts w:ascii="Garamond" w:eastAsiaTheme="majorEastAsia" w:hAnsi="Garamond"/>
          <w:b w:val="0"/>
          <w:bCs w:val="0"/>
          <w:sz w:val="18"/>
          <w:szCs w:val="18"/>
        </w:rPr>
        <w:t xml:space="preserve">, </w:t>
      </w:r>
      <w:r w:rsidRPr="0037513D">
        <w:rPr>
          <w:rFonts w:ascii="Garamond" w:hAnsi="Garamond"/>
          <w:sz w:val="18"/>
          <w:szCs w:val="18"/>
        </w:rPr>
        <w:t>64–65</w:t>
      </w:r>
      <w:r w:rsidRPr="0037513D">
        <w:rPr>
          <w:rStyle w:val="Strong"/>
          <w:rFonts w:ascii="Garamond" w:hAnsi="Garamond"/>
          <w:sz w:val="18"/>
          <w:szCs w:val="18"/>
        </w:rPr>
        <w:t xml:space="preserve"> </w:t>
      </w:r>
      <w:r w:rsidRPr="0037513D">
        <w:rPr>
          <w:rStyle w:val="Strong"/>
          <w:rFonts w:ascii="Garamond" w:hAnsi="Garamond"/>
          <w:b w:val="0"/>
          <w:bCs w:val="0"/>
          <w:sz w:val="18"/>
          <w:szCs w:val="18"/>
        </w:rPr>
        <w:t>(2020)</w:t>
      </w:r>
      <w:r w:rsidRPr="0037513D">
        <w:rPr>
          <w:rFonts w:ascii="Garamond" w:hAnsi="Garamond"/>
          <w:sz w:val="18"/>
          <w:szCs w:val="18"/>
        </w:rPr>
        <w:t xml:space="preserve">; Simone </w:t>
      </w:r>
      <w:proofErr w:type="spellStart"/>
      <w:r w:rsidRPr="0037513D">
        <w:rPr>
          <w:rFonts w:ascii="Garamond" w:hAnsi="Garamond"/>
          <w:sz w:val="18"/>
          <w:szCs w:val="18"/>
        </w:rPr>
        <w:t>Krouwer</w:t>
      </w:r>
      <w:proofErr w:type="spellEnd"/>
      <w:r w:rsidRPr="0037513D">
        <w:rPr>
          <w:rFonts w:ascii="Garamond" w:hAnsi="Garamond"/>
          <w:sz w:val="18"/>
          <w:szCs w:val="18"/>
        </w:rPr>
        <w:t xml:space="preserve">, Karolien Poels &amp; Steve Paulussen, </w:t>
      </w:r>
      <w:r w:rsidRPr="0037513D">
        <w:rPr>
          <w:rStyle w:val="Emphasis"/>
          <w:rFonts w:ascii="Garamond" w:hAnsi="Garamond"/>
          <w:sz w:val="18"/>
          <w:szCs w:val="18"/>
        </w:rPr>
        <w:t>Exploring Readers’ Evaluations of Native Advertisements in a Mobile News App</w:t>
      </w:r>
      <w:r w:rsidRPr="0037513D">
        <w:rPr>
          <w:rFonts w:ascii="Garamond" w:hAnsi="Garamond"/>
          <w:sz w:val="18"/>
          <w:szCs w:val="18"/>
        </w:rPr>
        <w:t>, 16(2</w:t>
      </w:r>
      <w:r w:rsidRPr="0037513D">
        <w:rPr>
          <w:rFonts w:ascii="Garamond" w:hAnsi="Garamond"/>
          <w:b/>
          <w:bCs/>
          <w:smallCaps/>
          <w:sz w:val="18"/>
          <w:szCs w:val="18"/>
        </w:rPr>
        <w:t xml:space="preserve">) </w:t>
      </w:r>
      <w:r w:rsidRPr="0037513D">
        <w:rPr>
          <w:rStyle w:val="Strong"/>
          <w:rFonts w:ascii="Garamond" w:hAnsi="Garamond"/>
          <w:b w:val="0"/>
          <w:bCs w:val="0"/>
          <w:smallCaps/>
          <w:sz w:val="18"/>
          <w:szCs w:val="18"/>
        </w:rPr>
        <w:t>J. Media Bus. Stud.</w:t>
      </w:r>
      <w:r w:rsidRPr="0037513D">
        <w:rPr>
          <w:rFonts w:ascii="Garamond" w:hAnsi="Garamond"/>
          <w:sz w:val="18"/>
          <w:szCs w:val="18"/>
        </w:rPr>
        <w:t xml:space="preserve"> 77, 77 (2019); </w:t>
      </w:r>
      <w:r w:rsidRPr="0037513D">
        <w:rPr>
          <w:rFonts w:ascii="Garamond" w:hAnsi="Garamond"/>
          <w:i/>
          <w:iCs/>
          <w:sz w:val="18"/>
          <w:szCs w:val="18"/>
        </w:rPr>
        <w:t>See</w:t>
      </w:r>
      <w:r w:rsidRPr="0037513D">
        <w:rPr>
          <w:rFonts w:ascii="Garamond" w:hAnsi="Garamond"/>
          <w:sz w:val="18"/>
          <w:szCs w:val="18"/>
        </w:rPr>
        <w:t xml:space="preserve"> Amazeen &amp; Wojdynski,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_Ref214551616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90</w:t>
      </w:r>
      <w:r w:rsidRPr="0037513D">
        <w:rPr>
          <w:rFonts w:ascii="Garamond" w:hAnsi="Garamond"/>
          <w:sz w:val="18"/>
          <w:szCs w:val="18"/>
        </w:rPr>
        <w:fldChar w:fldCharType="end"/>
      </w:r>
      <w:r w:rsidRPr="0037513D">
        <w:rPr>
          <w:rFonts w:ascii="Garamond" w:hAnsi="Garamond"/>
          <w:sz w:val="18"/>
          <w:szCs w:val="18"/>
        </w:rPr>
        <w:t>, at 1978</w:t>
      </w:r>
      <w:r w:rsidRPr="0037513D">
        <w:rPr>
          <w:rFonts w:ascii="Garamond" w:eastAsia="Times New Roman" w:hAnsi="Garamond"/>
          <w:sz w:val="18"/>
          <w:szCs w:val="18"/>
        </w:rPr>
        <w:t>–</w:t>
      </w:r>
      <w:r w:rsidRPr="0037513D">
        <w:rPr>
          <w:rFonts w:ascii="Garamond" w:hAnsi="Garamond"/>
          <w:sz w:val="18"/>
          <w:szCs w:val="18"/>
        </w:rPr>
        <w:t xml:space="preserve">79; </w:t>
      </w:r>
      <w:r w:rsidRPr="0037513D">
        <w:rPr>
          <w:rStyle w:val="Strong"/>
          <w:rFonts w:ascii="Garamond" w:hAnsi="Garamond"/>
          <w:b w:val="0"/>
          <w:bCs w:val="0"/>
          <w:sz w:val="18"/>
          <w:szCs w:val="18"/>
        </w:rPr>
        <w:t xml:space="preserve">Michelle A. Amazeen &amp; Bartosz W. Wojdynski, </w:t>
      </w:r>
      <w:r w:rsidRPr="0037513D">
        <w:rPr>
          <w:rStyle w:val="Emphasis"/>
          <w:rFonts w:ascii="Garamond" w:hAnsi="Garamond"/>
          <w:sz w:val="18"/>
          <w:szCs w:val="18"/>
        </w:rPr>
        <w:t>The Effects of Disclosure Format on Native Advertising Recognition and Audience Perceptions of Legacy and Online News Publishers</w:t>
      </w:r>
      <w:r w:rsidRPr="0037513D">
        <w:rPr>
          <w:rStyle w:val="Strong"/>
          <w:rFonts w:ascii="Garamond" w:hAnsi="Garamond"/>
          <w:b w:val="0"/>
          <w:bCs w:val="0"/>
          <w:sz w:val="18"/>
          <w:szCs w:val="18"/>
        </w:rPr>
        <w:t xml:space="preserve">, 21(12) </w:t>
      </w:r>
      <w:r w:rsidRPr="0037513D">
        <w:rPr>
          <w:rStyle w:val="Emphasis"/>
          <w:rFonts w:ascii="Garamond" w:hAnsi="Garamond"/>
          <w:smallCaps/>
          <w:sz w:val="18"/>
          <w:szCs w:val="18"/>
        </w:rPr>
        <w:t>Journalism</w:t>
      </w:r>
      <w:r w:rsidRPr="0037513D">
        <w:rPr>
          <w:rStyle w:val="Strong"/>
          <w:rFonts w:ascii="Garamond" w:hAnsi="Garamond"/>
          <w:b w:val="0"/>
          <w:bCs w:val="0"/>
          <w:sz w:val="18"/>
          <w:szCs w:val="18"/>
        </w:rPr>
        <w:t xml:space="preserve"> 1965</w:t>
      </w:r>
      <w:r w:rsidRPr="0037513D">
        <w:rPr>
          <w:rStyle w:val="Strong"/>
          <w:rFonts w:ascii="Garamond" w:eastAsiaTheme="majorEastAsia" w:hAnsi="Garamond"/>
          <w:b w:val="0"/>
          <w:bCs w:val="0"/>
          <w:sz w:val="18"/>
          <w:szCs w:val="18"/>
        </w:rPr>
        <w:t>, 1978</w:t>
      </w:r>
      <w:r w:rsidRPr="0037513D">
        <w:rPr>
          <w:rFonts w:ascii="Garamond" w:hAnsi="Garamond"/>
          <w:sz w:val="18"/>
          <w:szCs w:val="18"/>
        </w:rPr>
        <w:t>–1980</w:t>
      </w:r>
      <w:r w:rsidRPr="0037513D">
        <w:rPr>
          <w:rStyle w:val="Strong"/>
          <w:rFonts w:ascii="Garamond" w:hAnsi="Garamond"/>
          <w:sz w:val="18"/>
          <w:szCs w:val="18"/>
        </w:rPr>
        <w:t xml:space="preserve"> </w:t>
      </w:r>
      <w:r w:rsidRPr="0037513D">
        <w:rPr>
          <w:rStyle w:val="Strong"/>
          <w:rFonts w:ascii="Garamond" w:hAnsi="Garamond"/>
          <w:b w:val="0"/>
          <w:bCs w:val="0"/>
          <w:sz w:val="18"/>
          <w:szCs w:val="18"/>
        </w:rPr>
        <w:t>(2020).</w:t>
      </w:r>
      <w:r w:rsidRPr="0037513D">
        <w:rPr>
          <w:rFonts w:ascii="Garamond" w:hAnsi="Garamond"/>
          <w:sz w:val="18"/>
          <w:szCs w:val="18"/>
        </w:rPr>
        <w:t xml:space="preserve"> In the context of influencer marketing </w:t>
      </w:r>
      <w:r w:rsidRPr="0037513D">
        <w:rPr>
          <w:rFonts w:ascii="Garamond" w:hAnsi="Garamond"/>
          <w:i/>
          <w:iCs/>
          <w:sz w:val="18"/>
          <w:szCs w:val="18"/>
        </w:rPr>
        <w:t>s</w:t>
      </w:r>
      <w:r w:rsidRPr="0037513D">
        <w:rPr>
          <w:rFonts w:ascii="Garamond" w:hAnsi="Garamond" w:cstheme="majorBidi"/>
          <w:i/>
          <w:iCs/>
          <w:sz w:val="18"/>
          <w:szCs w:val="18"/>
        </w:rPr>
        <w:t xml:space="preserve">ee e.g., </w:t>
      </w:r>
      <w:r w:rsidRPr="0037513D">
        <w:rPr>
          <w:rFonts w:ascii="Garamond" w:hAnsi="Garamond"/>
          <w:sz w:val="18"/>
          <w:szCs w:val="18"/>
        </w:rPr>
        <w:t xml:space="preserve">Boerman, </w:t>
      </w:r>
      <w:r w:rsidRPr="0037513D">
        <w:rPr>
          <w:rFonts w:ascii="Garamond" w:hAnsi="Garamond"/>
          <w:i/>
          <w:iCs/>
          <w:sz w:val="18"/>
          <w:szCs w:val="18"/>
        </w:rPr>
        <w:t>supra</w:t>
      </w:r>
      <w:r w:rsidRPr="0037513D">
        <w:rPr>
          <w:rFonts w:ascii="Garamond" w:hAnsi="Garamond"/>
          <w:sz w:val="18"/>
          <w:szCs w:val="18"/>
        </w:rPr>
        <w:t xml:space="preserve"> note </w:t>
      </w:r>
      <w:r w:rsidRPr="0037513D">
        <w:rPr>
          <w:rFonts w:ascii="Garamond" w:hAnsi="Garamond"/>
          <w:sz w:val="18"/>
          <w:szCs w:val="18"/>
          <w:shd w:val="clear" w:color="auto" w:fill="FFFF00"/>
        </w:rPr>
        <w:fldChar w:fldCharType="begin"/>
      </w:r>
      <w:r w:rsidRPr="0037513D">
        <w:rPr>
          <w:rFonts w:ascii="Garamond" w:hAnsi="Garamond"/>
          <w:sz w:val="18"/>
          <w:szCs w:val="18"/>
        </w:rPr>
        <w:instrText xml:space="preserve"> NOTEREF _Ref201069495 \h </w:instrText>
      </w:r>
      <w:r w:rsidRPr="0037513D">
        <w:rPr>
          <w:rFonts w:ascii="Garamond" w:hAnsi="Garamond"/>
          <w:sz w:val="18"/>
          <w:szCs w:val="18"/>
          <w:shd w:val="clear" w:color="auto" w:fill="FFFF00"/>
        </w:rPr>
        <w:instrText xml:space="preserve"> \* MERGEFORMAT </w:instrText>
      </w:r>
      <w:r w:rsidRPr="0037513D">
        <w:rPr>
          <w:rFonts w:ascii="Garamond" w:hAnsi="Garamond"/>
          <w:sz w:val="18"/>
          <w:szCs w:val="18"/>
          <w:shd w:val="clear" w:color="auto" w:fill="FFFF00"/>
        </w:rPr>
      </w:r>
      <w:r w:rsidRPr="0037513D">
        <w:rPr>
          <w:rFonts w:ascii="Garamond" w:hAnsi="Garamond"/>
          <w:sz w:val="18"/>
          <w:szCs w:val="18"/>
          <w:shd w:val="clear" w:color="auto" w:fill="FFFF00"/>
        </w:rPr>
        <w:fldChar w:fldCharType="separate"/>
      </w:r>
      <w:r w:rsidRPr="0037513D">
        <w:rPr>
          <w:rFonts w:ascii="Garamond" w:hAnsi="Garamond"/>
          <w:sz w:val="18"/>
          <w:szCs w:val="18"/>
        </w:rPr>
        <w:t>111</w:t>
      </w:r>
      <w:r w:rsidRPr="0037513D">
        <w:rPr>
          <w:rFonts w:ascii="Garamond" w:hAnsi="Garamond"/>
          <w:sz w:val="18"/>
          <w:szCs w:val="18"/>
          <w:shd w:val="clear" w:color="auto" w:fill="FFFF00"/>
        </w:rPr>
        <w:fldChar w:fldCharType="end"/>
      </w:r>
      <w:r w:rsidRPr="0037513D">
        <w:rPr>
          <w:rFonts w:ascii="Garamond" w:hAnsi="Garamond"/>
          <w:sz w:val="18"/>
          <w:szCs w:val="18"/>
        </w:rPr>
        <w:t>, at 205;</w:t>
      </w:r>
      <w:r w:rsidRPr="0037513D">
        <w:rPr>
          <w:rFonts w:ascii="Garamond" w:hAnsi="Garamond" w:cstheme="majorBidi"/>
          <w:sz w:val="18"/>
          <w:szCs w:val="18"/>
        </w:rPr>
        <w:t xml:space="preserve"> </w:t>
      </w:r>
      <w:r w:rsidRPr="0037513D">
        <w:rPr>
          <w:rFonts w:ascii="Garamond" w:hAnsi="Garamond" w:cs="AdvGulliv-R"/>
          <w:sz w:val="18"/>
          <w:szCs w:val="18"/>
        </w:rPr>
        <w:t xml:space="preserve">Kay, Mulcahy, &amp; Parkinson, </w:t>
      </w:r>
      <w:r w:rsidRPr="0037513D">
        <w:rPr>
          <w:rFonts w:ascii="Garamond" w:hAnsi="Garamond" w:cs="AdvGulliv-R"/>
          <w:i/>
          <w:iCs/>
          <w:sz w:val="18"/>
          <w:szCs w:val="18"/>
        </w:rPr>
        <w:t xml:space="preserve">supra </w:t>
      </w:r>
      <w:r w:rsidRPr="0037513D">
        <w:rPr>
          <w:rFonts w:ascii="Garamond" w:hAnsi="Garamond" w:cs="AdvGulliv-R"/>
          <w:sz w:val="18"/>
          <w:szCs w:val="18"/>
        </w:rPr>
        <w:t xml:space="preserve">note </w:t>
      </w:r>
      <w:r w:rsidRPr="0037513D">
        <w:rPr>
          <w:rFonts w:ascii="Garamond" w:eastAsia="Times New Roman" w:hAnsi="Garamond" w:cs="AdvGulliv-R"/>
          <w:sz w:val="18"/>
          <w:szCs w:val="18"/>
          <w:lang w:bidi="he-IL"/>
        </w:rPr>
        <w:fldChar w:fldCharType="begin"/>
      </w:r>
      <w:r w:rsidRPr="0037513D">
        <w:rPr>
          <w:rFonts w:ascii="Garamond" w:hAnsi="Garamond" w:cs="AdvGulliv-R"/>
          <w:sz w:val="18"/>
          <w:szCs w:val="18"/>
        </w:rPr>
        <w:instrText xml:space="preserve"> NOTEREF _Ref214553366 \h </w:instrText>
      </w:r>
      <w:r w:rsidRPr="0037513D">
        <w:rPr>
          <w:rFonts w:ascii="Garamond" w:eastAsia="Times New Roman" w:hAnsi="Garamond" w:cs="AdvGulliv-R"/>
          <w:sz w:val="18"/>
          <w:szCs w:val="18"/>
          <w:lang w:bidi="he-IL"/>
        </w:rPr>
        <w:instrText xml:space="preserve"> \* MERGEFORMAT </w:instrText>
      </w:r>
      <w:r w:rsidRPr="0037513D">
        <w:rPr>
          <w:rFonts w:ascii="Garamond" w:eastAsia="Times New Roman" w:hAnsi="Garamond" w:cs="AdvGulliv-R"/>
          <w:sz w:val="18"/>
          <w:szCs w:val="18"/>
          <w:lang w:bidi="he-IL"/>
        </w:rPr>
      </w:r>
      <w:r w:rsidRPr="0037513D">
        <w:rPr>
          <w:rFonts w:ascii="Garamond" w:eastAsia="Times New Roman" w:hAnsi="Garamond" w:cs="AdvGulliv-R"/>
          <w:sz w:val="18"/>
          <w:szCs w:val="18"/>
          <w:lang w:bidi="he-IL"/>
        </w:rPr>
        <w:fldChar w:fldCharType="separate"/>
      </w:r>
      <w:r w:rsidRPr="0037513D">
        <w:rPr>
          <w:rFonts w:ascii="Garamond" w:hAnsi="Garamond" w:cs="AdvGulliv-R"/>
          <w:sz w:val="18"/>
          <w:szCs w:val="18"/>
        </w:rPr>
        <w:t>122</w:t>
      </w:r>
      <w:r w:rsidRPr="0037513D">
        <w:rPr>
          <w:rFonts w:ascii="Garamond" w:eastAsia="Times New Roman" w:hAnsi="Garamond" w:cs="AdvGulliv-R"/>
          <w:sz w:val="18"/>
          <w:szCs w:val="18"/>
          <w:lang w:bidi="he-IL"/>
        </w:rPr>
        <w:fldChar w:fldCharType="end"/>
      </w:r>
      <w:r w:rsidRPr="0037513D">
        <w:rPr>
          <w:rFonts w:ascii="Garamond" w:hAnsi="Garamond" w:cs="AdvGulliv-R"/>
          <w:sz w:val="18"/>
          <w:szCs w:val="18"/>
          <w:lang w:bidi="he-IL"/>
        </w:rPr>
        <w:t>,</w:t>
      </w:r>
      <w:r w:rsidRPr="0037513D">
        <w:rPr>
          <w:rFonts w:ascii="Garamond" w:hAnsi="Garamond" w:cs="AdvGulliv-R"/>
          <w:sz w:val="18"/>
          <w:szCs w:val="18"/>
        </w:rPr>
        <w:t xml:space="preserve"> </w:t>
      </w:r>
      <w:r w:rsidRPr="0037513D">
        <w:rPr>
          <w:rFonts w:ascii="Garamond" w:hAnsi="Garamond" w:cstheme="majorBidi"/>
          <w:sz w:val="18"/>
          <w:szCs w:val="18"/>
        </w:rPr>
        <w:t>at 268</w:t>
      </w:r>
      <w:r w:rsidRPr="0037513D">
        <w:rPr>
          <w:rFonts w:ascii="Garamond" w:hAnsi="Garamond"/>
          <w:sz w:val="18"/>
          <w:szCs w:val="18"/>
        </w:rPr>
        <w:t>;</w:t>
      </w:r>
      <w:r w:rsidRPr="0037513D">
        <w:rPr>
          <w:rFonts w:ascii="Garamond" w:eastAsia="Times New Roman" w:hAnsi="Garamond"/>
          <w:sz w:val="18"/>
          <w:szCs w:val="18"/>
        </w:rPr>
        <w:t xml:space="preserve"> </w:t>
      </w:r>
      <w:proofErr w:type="spellStart"/>
      <w:r w:rsidRPr="0037513D">
        <w:rPr>
          <w:rFonts w:ascii="Garamond" w:hAnsi="Garamond"/>
          <w:sz w:val="18"/>
          <w:szCs w:val="18"/>
        </w:rPr>
        <w:t>Karagür</w:t>
      </w:r>
      <w:proofErr w:type="spellEnd"/>
      <w:r w:rsidRPr="0037513D">
        <w:rPr>
          <w:rFonts w:ascii="Garamond" w:hAnsi="Garamond"/>
          <w:sz w:val="18"/>
          <w:szCs w:val="18"/>
        </w:rPr>
        <w:t xml:space="preserve"> et al., supra note </w:t>
      </w:r>
      <w:r w:rsidRPr="0037513D">
        <w:rPr>
          <w:rFonts w:ascii="Garamond" w:eastAsia="Times New Roman" w:hAnsi="Garamond"/>
          <w:sz w:val="18"/>
          <w:szCs w:val="18"/>
        </w:rPr>
        <w:fldChar w:fldCharType="begin"/>
      </w:r>
      <w:r w:rsidRPr="0037513D">
        <w:rPr>
          <w:rFonts w:ascii="Garamond" w:hAnsi="Garamond"/>
          <w:sz w:val="18"/>
          <w:szCs w:val="18"/>
        </w:rPr>
        <w:instrText xml:space="preserve"> NOTEREF _Ref201069495 \h </w:instrText>
      </w:r>
      <w:r w:rsidRPr="0037513D">
        <w:rPr>
          <w:rFonts w:ascii="Garamond" w:eastAsia="Times New Roman" w:hAnsi="Garamond"/>
          <w:sz w:val="18"/>
          <w:szCs w:val="18"/>
        </w:rPr>
        <w:instrText xml:space="preserve">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hAnsi="Garamond"/>
          <w:sz w:val="18"/>
          <w:szCs w:val="18"/>
        </w:rPr>
        <w:t>111</w:t>
      </w:r>
      <w:r w:rsidRPr="0037513D">
        <w:rPr>
          <w:rFonts w:ascii="Garamond" w:eastAsia="Times New Roman" w:hAnsi="Garamond"/>
          <w:sz w:val="18"/>
          <w:szCs w:val="18"/>
        </w:rPr>
        <w:fldChar w:fldCharType="end"/>
      </w:r>
      <w:r w:rsidRPr="0037513D">
        <w:rPr>
          <w:rFonts w:ascii="Garamond" w:hAnsi="Garamond"/>
          <w:sz w:val="18"/>
          <w:szCs w:val="18"/>
        </w:rPr>
        <w:t>, at 328.</w:t>
      </w:r>
    </w:p>
  </w:footnote>
  <w:footnote w:id="138">
    <w:p w14:paraId="31D25A61" w14:textId="78279555" w:rsidR="002A2BDA" w:rsidRPr="0037513D" w:rsidRDefault="002A2BDA" w:rsidP="00982077">
      <w:pPr>
        <w:pStyle w:val="FootnoteText"/>
        <w:spacing w:after="0" w:line="240" w:lineRule="auto"/>
        <w:contextualSpacing/>
        <w:jc w:val="both"/>
        <w:rPr>
          <w:rFonts w:ascii="Garamond" w:hAnsi="Garamond"/>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00F81C42" w:rsidRPr="0037513D">
        <w:rPr>
          <w:rFonts w:ascii="Garamond" w:hAnsi="Garamond"/>
          <w:sz w:val="18"/>
          <w:szCs w:val="18"/>
        </w:rPr>
        <w:t xml:space="preserve">Instead, they were attributed to honesty/transparency signals. Zeynep </w:t>
      </w:r>
      <w:proofErr w:type="spellStart"/>
      <w:r w:rsidR="00F81C42" w:rsidRPr="0037513D">
        <w:rPr>
          <w:rFonts w:ascii="Garamond" w:hAnsi="Garamond"/>
          <w:sz w:val="18"/>
          <w:szCs w:val="18"/>
        </w:rPr>
        <w:t>Karagür</w:t>
      </w:r>
      <w:proofErr w:type="spellEnd"/>
      <w:r w:rsidR="00F81C42" w:rsidRPr="0037513D">
        <w:rPr>
          <w:rFonts w:ascii="Garamond" w:hAnsi="Garamond"/>
          <w:sz w:val="18"/>
          <w:szCs w:val="18"/>
        </w:rPr>
        <w:t xml:space="preserve"> et al., supra note </w:t>
      </w:r>
      <w:r w:rsidR="00AE704D" w:rsidRPr="0037513D">
        <w:rPr>
          <w:rFonts w:ascii="Garamond" w:eastAsia="Times New Roman" w:hAnsi="Garamond"/>
          <w:sz w:val="18"/>
          <w:szCs w:val="18"/>
        </w:rPr>
        <w:fldChar w:fldCharType="begin"/>
      </w:r>
      <w:r w:rsidR="00AE704D" w:rsidRPr="0037513D">
        <w:rPr>
          <w:rFonts w:ascii="Garamond" w:hAnsi="Garamond"/>
          <w:sz w:val="18"/>
          <w:szCs w:val="18"/>
        </w:rPr>
        <w:instrText xml:space="preserve"> NOTEREF _Ref201069495 \h </w:instrText>
      </w:r>
      <w:r w:rsidR="00AE704D" w:rsidRPr="0037513D">
        <w:rPr>
          <w:rFonts w:ascii="Garamond" w:eastAsia="Times New Roman" w:hAnsi="Garamond"/>
          <w:sz w:val="18"/>
          <w:szCs w:val="18"/>
        </w:rPr>
        <w:instrText xml:space="preserve"> \* MERGEFORMAT </w:instrText>
      </w:r>
      <w:r w:rsidR="00AE704D" w:rsidRPr="0037513D">
        <w:rPr>
          <w:rFonts w:ascii="Garamond" w:eastAsia="Times New Roman" w:hAnsi="Garamond"/>
          <w:sz w:val="18"/>
          <w:szCs w:val="18"/>
        </w:rPr>
      </w:r>
      <w:r w:rsidR="00AE704D" w:rsidRPr="0037513D">
        <w:rPr>
          <w:rFonts w:ascii="Garamond" w:eastAsia="Times New Roman" w:hAnsi="Garamond"/>
          <w:sz w:val="18"/>
          <w:szCs w:val="18"/>
        </w:rPr>
        <w:fldChar w:fldCharType="separate"/>
      </w:r>
      <w:r w:rsidR="00AE704D" w:rsidRPr="0037513D">
        <w:rPr>
          <w:rFonts w:ascii="Garamond" w:hAnsi="Garamond"/>
          <w:sz w:val="18"/>
          <w:szCs w:val="18"/>
        </w:rPr>
        <w:t>111</w:t>
      </w:r>
      <w:r w:rsidR="00AE704D" w:rsidRPr="0037513D">
        <w:rPr>
          <w:rFonts w:ascii="Garamond" w:eastAsia="Times New Roman" w:hAnsi="Garamond"/>
          <w:sz w:val="18"/>
          <w:szCs w:val="18"/>
        </w:rPr>
        <w:fldChar w:fldCharType="end"/>
      </w:r>
      <w:r w:rsidR="00F81C42" w:rsidRPr="0037513D">
        <w:rPr>
          <w:rFonts w:ascii="Garamond" w:hAnsi="Garamond"/>
          <w:sz w:val="18"/>
          <w:szCs w:val="18"/>
        </w:rPr>
        <w:t>, at 327</w:t>
      </w:r>
      <w:r w:rsidR="00AE704D" w:rsidRPr="0037513D">
        <w:rPr>
          <w:rFonts w:ascii="Garamond" w:hAnsi="Garamond"/>
          <w:sz w:val="18"/>
          <w:szCs w:val="18"/>
        </w:rPr>
        <w:t>–</w:t>
      </w:r>
      <w:r w:rsidR="00F81C42" w:rsidRPr="0037513D">
        <w:rPr>
          <w:rFonts w:ascii="Garamond" w:hAnsi="Garamond"/>
          <w:sz w:val="18"/>
          <w:szCs w:val="18"/>
        </w:rPr>
        <w:t xml:space="preserve">8; Quan Xie &amp; Yang Feng, </w:t>
      </w:r>
      <w:r w:rsidR="00F81C42" w:rsidRPr="0037513D">
        <w:rPr>
          <w:rStyle w:val="Emphasis"/>
          <w:rFonts w:ascii="Garamond" w:hAnsi="Garamond"/>
          <w:sz w:val="18"/>
          <w:szCs w:val="18"/>
        </w:rPr>
        <w:t>How to Strategically Disclose Sponsored Content on Instagram? The Synergy Effects of Two Types of Sponsorship Disclosures in Influencer Marketing</w:t>
      </w:r>
      <w:r w:rsidR="00F81C42" w:rsidRPr="0037513D">
        <w:rPr>
          <w:rFonts w:ascii="Garamond" w:hAnsi="Garamond"/>
          <w:sz w:val="18"/>
          <w:szCs w:val="18"/>
        </w:rPr>
        <w:t xml:space="preserve">, 42(2) </w:t>
      </w:r>
      <w:r w:rsidR="00F81C42" w:rsidRPr="0037513D">
        <w:rPr>
          <w:rStyle w:val="Strong"/>
          <w:rFonts w:ascii="Garamond" w:hAnsi="Garamond"/>
          <w:b w:val="0"/>
          <w:bCs w:val="0"/>
          <w:smallCaps/>
          <w:sz w:val="18"/>
          <w:szCs w:val="18"/>
        </w:rPr>
        <w:t>Int’l J. Advertising</w:t>
      </w:r>
      <w:r w:rsidR="00F81C42" w:rsidRPr="0037513D">
        <w:rPr>
          <w:rFonts w:ascii="Garamond" w:hAnsi="Garamond"/>
          <w:sz w:val="18"/>
          <w:szCs w:val="18"/>
        </w:rPr>
        <w:t xml:space="preserve"> 317, 320 (2023); </w:t>
      </w:r>
      <w:r w:rsidR="00FB0424" w:rsidRPr="0037513D">
        <w:rPr>
          <w:rFonts w:ascii="Garamond" w:hAnsi="Garamond" w:cs="AdvGulliv-R"/>
          <w:sz w:val="18"/>
          <w:szCs w:val="18"/>
        </w:rPr>
        <w:t xml:space="preserve">Kay, Mulcahy, &amp; Parkinson, </w:t>
      </w:r>
      <w:r w:rsidR="00FB0424" w:rsidRPr="0037513D">
        <w:rPr>
          <w:rFonts w:ascii="Garamond" w:hAnsi="Garamond" w:cs="AdvGulliv-R"/>
          <w:i/>
          <w:iCs/>
          <w:sz w:val="18"/>
          <w:szCs w:val="18"/>
        </w:rPr>
        <w:t xml:space="preserve">supra </w:t>
      </w:r>
      <w:r w:rsidR="00FB0424" w:rsidRPr="0037513D">
        <w:rPr>
          <w:rFonts w:ascii="Garamond" w:hAnsi="Garamond" w:cs="AdvGulliv-R"/>
          <w:sz w:val="18"/>
          <w:szCs w:val="18"/>
        </w:rPr>
        <w:t xml:space="preserve">note </w:t>
      </w:r>
      <w:r w:rsidR="00FB0424" w:rsidRPr="0037513D">
        <w:rPr>
          <w:rFonts w:ascii="Garamond" w:eastAsia="Times New Roman" w:hAnsi="Garamond" w:cs="AdvGulliv-R"/>
          <w:sz w:val="18"/>
          <w:szCs w:val="18"/>
          <w:lang w:bidi="he-IL"/>
        </w:rPr>
        <w:fldChar w:fldCharType="begin"/>
      </w:r>
      <w:r w:rsidR="00FB0424" w:rsidRPr="0037513D">
        <w:rPr>
          <w:rFonts w:ascii="Garamond" w:hAnsi="Garamond" w:cs="AdvGulliv-R"/>
          <w:sz w:val="18"/>
          <w:szCs w:val="18"/>
        </w:rPr>
        <w:instrText xml:space="preserve"> NOTEREF _Ref214553366 \h </w:instrText>
      </w:r>
      <w:r w:rsidR="00FB0424" w:rsidRPr="0037513D">
        <w:rPr>
          <w:rFonts w:ascii="Garamond" w:eastAsia="Times New Roman" w:hAnsi="Garamond" w:cs="AdvGulliv-R"/>
          <w:sz w:val="18"/>
          <w:szCs w:val="18"/>
          <w:lang w:bidi="he-IL"/>
        </w:rPr>
        <w:instrText xml:space="preserve"> \* MERGEFORMAT </w:instrText>
      </w:r>
      <w:r w:rsidR="00FB0424" w:rsidRPr="0037513D">
        <w:rPr>
          <w:rFonts w:ascii="Garamond" w:eastAsia="Times New Roman" w:hAnsi="Garamond" w:cs="AdvGulliv-R"/>
          <w:sz w:val="18"/>
          <w:szCs w:val="18"/>
          <w:lang w:bidi="he-IL"/>
        </w:rPr>
      </w:r>
      <w:r w:rsidR="00FB0424" w:rsidRPr="0037513D">
        <w:rPr>
          <w:rFonts w:ascii="Garamond" w:eastAsia="Times New Roman" w:hAnsi="Garamond" w:cs="AdvGulliv-R"/>
          <w:sz w:val="18"/>
          <w:szCs w:val="18"/>
          <w:lang w:bidi="he-IL"/>
        </w:rPr>
        <w:fldChar w:fldCharType="separate"/>
      </w:r>
      <w:r w:rsidR="00FB0424" w:rsidRPr="0037513D">
        <w:rPr>
          <w:rFonts w:ascii="Garamond" w:hAnsi="Garamond" w:cs="AdvGulliv-R"/>
          <w:sz w:val="18"/>
          <w:szCs w:val="18"/>
        </w:rPr>
        <w:t>122</w:t>
      </w:r>
      <w:r w:rsidR="00FB0424" w:rsidRPr="0037513D">
        <w:rPr>
          <w:rFonts w:ascii="Garamond" w:eastAsia="Times New Roman" w:hAnsi="Garamond" w:cs="AdvGulliv-R"/>
          <w:sz w:val="18"/>
          <w:szCs w:val="18"/>
          <w:lang w:bidi="he-IL"/>
        </w:rPr>
        <w:fldChar w:fldCharType="end"/>
      </w:r>
      <w:r w:rsidR="00FB0424" w:rsidRPr="0037513D">
        <w:rPr>
          <w:rFonts w:ascii="Garamond" w:hAnsi="Garamond" w:cs="AdvGulliv-R"/>
          <w:sz w:val="18"/>
          <w:szCs w:val="18"/>
          <w:lang w:bidi="he-IL"/>
        </w:rPr>
        <w:t>,</w:t>
      </w:r>
      <w:r w:rsidR="00FB0424" w:rsidRPr="0037513D">
        <w:rPr>
          <w:rFonts w:ascii="Garamond" w:hAnsi="Garamond" w:cs="AdvGulliv-R"/>
          <w:sz w:val="18"/>
          <w:szCs w:val="18"/>
        </w:rPr>
        <w:t xml:space="preserve"> </w:t>
      </w:r>
      <w:r w:rsidR="00FB0424" w:rsidRPr="0037513D">
        <w:rPr>
          <w:rFonts w:ascii="Garamond" w:hAnsi="Garamond" w:cstheme="majorBidi"/>
          <w:sz w:val="18"/>
          <w:szCs w:val="18"/>
        </w:rPr>
        <w:t>at 26</w:t>
      </w:r>
      <w:r w:rsidR="002049A1" w:rsidRPr="0037513D">
        <w:rPr>
          <w:rFonts w:ascii="Garamond" w:hAnsi="Garamond" w:cstheme="majorBidi"/>
          <w:sz w:val="18"/>
          <w:szCs w:val="18"/>
        </w:rPr>
        <w:t>9;</w:t>
      </w:r>
      <w:r w:rsidR="00F81C42" w:rsidRPr="0037513D">
        <w:rPr>
          <w:rFonts w:ascii="Garamond" w:hAnsi="Garamond"/>
          <w:sz w:val="18"/>
          <w:szCs w:val="18"/>
        </w:rPr>
        <w:t xml:space="preserve"> </w:t>
      </w:r>
      <w:r w:rsidR="00F81C42" w:rsidRPr="0037513D">
        <w:rPr>
          <w:rStyle w:val="Strong"/>
          <w:rFonts w:ascii="Garamond" w:hAnsi="Garamond"/>
          <w:b w:val="0"/>
          <w:bCs w:val="0"/>
          <w:sz w:val="18"/>
          <w:szCs w:val="18"/>
        </w:rPr>
        <w:t xml:space="preserve">Andrea Giuffredi-Kähr, Alisa Petrova &amp; Lucia Malär, </w:t>
      </w:r>
      <w:r w:rsidR="00F81C42" w:rsidRPr="0037513D">
        <w:rPr>
          <w:rStyle w:val="Strong"/>
          <w:rFonts w:ascii="Garamond" w:hAnsi="Garamond"/>
          <w:b w:val="0"/>
          <w:bCs w:val="0"/>
          <w:i/>
          <w:iCs/>
          <w:sz w:val="18"/>
          <w:szCs w:val="18"/>
        </w:rPr>
        <w:t>Sponsorship Disclosure of Influencers—A Curse or a Blessing?</w:t>
      </w:r>
      <w:r w:rsidR="00F81C42" w:rsidRPr="0037513D">
        <w:rPr>
          <w:rStyle w:val="Strong"/>
          <w:rFonts w:ascii="Garamond" w:hAnsi="Garamond"/>
          <w:b w:val="0"/>
          <w:bCs w:val="0"/>
          <w:sz w:val="18"/>
          <w:szCs w:val="18"/>
        </w:rPr>
        <w:t xml:space="preserve">, </w:t>
      </w:r>
      <w:r w:rsidR="00F81C42" w:rsidRPr="0037513D">
        <w:rPr>
          <w:rStyle w:val="Strong"/>
          <w:rFonts w:ascii="Garamond" w:hAnsi="Garamond"/>
          <w:b w:val="0"/>
          <w:bCs w:val="0"/>
          <w:smallCaps/>
          <w:sz w:val="18"/>
          <w:szCs w:val="18"/>
        </w:rPr>
        <w:t>57 J. I</w:t>
      </w:r>
      <w:r w:rsidR="00F81C42" w:rsidRPr="0037513D">
        <w:rPr>
          <w:rStyle w:val="Strong"/>
          <w:rFonts w:ascii="Garamond" w:eastAsiaTheme="majorEastAsia" w:hAnsi="Garamond"/>
          <w:b w:val="0"/>
          <w:bCs w:val="0"/>
          <w:smallCaps/>
          <w:sz w:val="18"/>
          <w:szCs w:val="18"/>
        </w:rPr>
        <w:t xml:space="preserve">nteractive </w:t>
      </w:r>
      <w:r w:rsidR="00F81C42" w:rsidRPr="0037513D">
        <w:rPr>
          <w:rStyle w:val="Strong"/>
          <w:rFonts w:ascii="Garamond" w:hAnsi="Garamond"/>
          <w:b w:val="0"/>
          <w:bCs w:val="0"/>
          <w:smallCaps/>
          <w:sz w:val="18"/>
          <w:szCs w:val="18"/>
        </w:rPr>
        <w:t>M</w:t>
      </w:r>
      <w:r w:rsidR="00F81C42" w:rsidRPr="0037513D">
        <w:rPr>
          <w:rStyle w:val="Strong"/>
          <w:rFonts w:ascii="Garamond" w:eastAsiaTheme="majorEastAsia" w:hAnsi="Garamond"/>
          <w:b w:val="0"/>
          <w:bCs w:val="0"/>
          <w:smallCaps/>
          <w:sz w:val="18"/>
          <w:szCs w:val="18"/>
        </w:rPr>
        <w:t xml:space="preserve">ktg. </w:t>
      </w:r>
      <w:r w:rsidR="00F81C42" w:rsidRPr="0037513D">
        <w:rPr>
          <w:rStyle w:val="Strong"/>
          <w:rFonts w:ascii="Garamond" w:hAnsi="Garamond"/>
          <w:b w:val="0"/>
          <w:bCs w:val="0"/>
          <w:sz w:val="18"/>
          <w:szCs w:val="18"/>
        </w:rPr>
        <w:t>18, 32 (2022)</w:t>
      </w:r>
      <w:r w:rsidR="00F81C42" w:rsidRPr="0037513D">
        <w:rPr>
          <w:rFonts w:ascii="Garamond" w:hAnsi="Garamond"/>
          <w:sz w:val="18"/>
          <w:szCs w:val="18"/>
          <w:lang w:bidi="he-IL"/>
        </w:rPr>
        <w:t>;</w:t>
      </w:r>
      <w:r w:rsidR="00F81C42" w:rsidRPr="0037513D">
        <w:rPr>
          <w:rFonts w:ascii="Garamond" w:hAnsi="Garamond"/>
          <w:sz w:val="18"/>
          <w:szCs w:val="18"/>
        </w:rPr>
        <w:t xml:space="preserve"> Jhawar, Varshney, &amp; Kumar, </w:t>
      </w:r>
      <w:r w:rsidR="00F81C42" w:rsidRPr="0037513D">
        <w:rPr>
          <w:rFonts w:ascii="Garamond" w:hAnsi="Garamond"/>
          <w:i/>
          <w:iCs/>
          <w:sz w:val="18"/>
          <w:szCs w:val="18"/>
        </w:rPr>
        <w:t xml:space="preserve">supra </w:t>
      </w:r>
      <w:r w:rsidR="00F81C42" w:rsidRPr="0037513D">
        <w:rPr>
          <w:rFonts w:ascii="Garamond" w:hAnsi="Garamond"/>
          <w:sz w:val="18"/>
          <w:szCs w:val="18"/>
        </w:rPr>
        <w:t xml:space="preserve">note </w:t>
      </w:r>
      <w:r w:rsidR="002049A1" w:rsidRPr="0037513D">
        <w:rPr>
          <w:rFonts w:ascii="Garamond" w:hAnsi="Garamond"/>
          <w:sz w:val="18"/>
          <w:szCs w:val="18"/>
        </w:rPr>
        <w:fldChar w:fldCharType="begin"/>
      </w:r>
      <w:r w:rsidR="002049A1" w:rsidRPr="0037513D">
        <w:rPr>
          <w:rFonts w:ascii="Garamond" w:hAnsi="Garamond"/>
          <w:sz w:val="18"/>
          <w:szCs w:val="18"/>
        </w:rPr>
        <w:instrText xml:space="preserve"> NOTEREF _Ref214374427 \h  \* MERGEFORMAT </w:instrText>
      </w:r>
      <w:r w:rsidR="002049A1" w:rsidRPr="0037513D">
        <w:rPr>
          <w:rFonts w:ascii="Garamond" w:hAnsi="Garamond"/>
          <w:sz w:val="18"/>
          <w:szCs w:val="18"/>
        </w:rPr>
      </w:r>
      <w:r w:rsidR="002049A1" w:rsidRPr="0037513D">
        <w:rPr>
          <w:rFonts w:ascii="Garamond" w:hAnsi="Garamond"/>
          <w:sz w:val="18"/>
          <w:szCs w:val="18"/>
        </w:rPr>
        <w:fldChar w:fldCharType="separate"/>
      </w:r>
      <w:r w:rsidR="002049A1" w:rsidRPr="0037513D">
        <w:rPr>
          <w:rFonts w:ascii="Garamond" w:hAnsi="Garamond"/>
          <w:sz w:val="18"/>
          <w:szCs w:val="18"/>
        </w:rPr>
        <w:t>42</w:t>
      </w:r>
      <w:r w:rsidR="002049A1" w:rsidRPr="0037513D">
        <w:rPr>
          <w:rFonts w:ascii="Garamond" w:hAnsi="Garamond"/>
          <w:sz w:val="18"/>
          <w:szCs w:val="18"/>
        </w:rPr>
        <w:fldChar w:fldCharType="end"/>
      </w:r>
      <w:r w:rsidR="00F81C42" w:rsidRPr="0037513D">
        <w:rPr>
          <w:rFonts w:ascii="Garamond" w:hAnsi="Garamond"/>
          <w:sz w:val="18"/>
          <w:szCs w:val="18"/>
        </w:rPr>
        <w:t>, at 1605</w:t>
      </w:r>
      <w:r w:rsidR="00F81C42" w:rsidRPr="0037513D">
        <w:rPr>
          <w:rFonts w:ascii="Garamond" w:hAnsi="Garamond"/>
          <w:sz w:val="18"/>
          <w:szCs w:val="18"/>
          <w:lang w:bidi="he-IL"/>
        </w:rPr>
        <w:t xml:space="preserve">; </w:t>
      </w:r>
      <w:r w:rsidR="00F81C42" w:rsidRPr="0037513D">
        <w:rPr>
          <w:rStyle w:val="Strong"/>
          <w:rFonts w:ascii="Garamond" w:hAnsi="Garamond"/>
          <w:b w:val="0"/>
          <w:bCs w:val="0"/>
          <w:sz w:val="18"/>
          <w:szCs w:val="18"/>
        </w:rPr>
        <w:t xml:space="preserve">Chung, Lee &amp; Kim, </w:t>
      </w:r>
      <w:r w:rsidR="00F81C42" w:rsidRPr="0037513D">
        <w:rPr>
          <w:rStyle w:val="Strong"/>
          <w:rFonts w:ascii="Garamond" w:hAnsi="Garamond"/>
          <w:b w:val="0"/>
          <w:bCs w:val="0"/>
          <w:i/>
          <w:iCs/>
          <w:sz w:val="18"/>
          <w:szCs w:val="18"/>
        </w:rPr>
        <w:t>supra</w:t>
      </w:r>
      <w:r w:rsidR="00F81C42" w:rsidRPr="0037513D">
        <w:rPr>
          <w:rStyle w:val="Strong"/>
          <w:rFonts w:ascii="Garamond" w:hAnsi="Garamond"/>
          <w:b w:val="0"/>
          <w:bCs w:val="0"/>
          <w:sz w:val="18"/>
          <w:szCs w:val="18"/>
        </w:rPr>
        <w:t xml:space="preserve"> note </w:t>
      </w:r>
      <w:r w:rsidR="002049A1" w:rsidRPr="0037513D">
        <w:rPr>
          <w:rStyle w:val="Strong"/>
          <w:rFonts w:ascii="Garamond" w:hAnsi="Garamond"/>
          <w:b w:val="0"/>
          <w:bCs w:val="0"/>
          <w:sz w:val="18"/>
          <w:szCs w:val="18"/>
        </w:rPr>
        <w:fldChar w:fldCharType="begin"/>
      </w:r>
      <w:r w:rsidR="002049A1" w:rsidRPr="0037513D">
        <w:rPr>
          <w:rStyle w:val="Strong"/>
          <w:rFonts w:ascii="Garamond" w:hAnsi="Garamond"/>
          <w:b w:val="0"/>
          <w:bCs w:val="0"/>
          <w:sz w:val="18"/>
          <w:szCs w:val="18"/>
        </w:rPr>
        <w:instrText xml:space="preserve"> NOTEREF _Ref214553366 \h  \* MERGEFORMAT </w:instrText>
      </w:r>
      <w:r w:rsidR="002049A1" w:rsidRPr="0037513D">
        <w:rPr>
          <w:rStyle w:val="Strong"/>
          <w:rFonts w:ascii="Garamond" w:hAnsi="Garamond"/>
          <w:b w:val="0"/>
          <w:bCs w:val="0"/>
          <w:sz w:val="18"/>
          <w:szCs w:val="18"/>
        </w:rPr>
      </w:r>
      <w:r w:rsidR="002049A1" w:rsidRPr="0037513D">
        <w:rPr>
          <w:rStyle w:val="Strong"/>
          <w:rFonts w:ascii="Garamond" w:hAnsi="Garamond"/>
          <w:b w:val="0"/>
          <w:bCs w:val="0"/>
          <w:sz w:val="18"/>
          <w:szCs w:val="18"/>
        </w:rPr>
        <w:fldChar w:fldCharType="separate"/>
      </w:r>
      <w:r w:rsidR="002049A1" w:rsidRPr="0037513D">
        <w:rPr>
          <w:rStyle w:val="Strong"/>
          <w:rFonts w:ascii="Garamond" w:hAnsi="Garamond"/>
          <w:b w:val="0"/>
          <w:bCs w:val="0"/>
          <w:sz w:val="18"/>
          <w:szCs w:val="18"/>
        </w:rPr>
        <w:t>122</w:t>
      </w:r>
      <w:r w:rsidR="002049A1" w:rsidRPr="0037513D">
        <w:rPr>
          <w:rStyle w:val="Strong"/>
          <w:rFonts w:ascii="Garamond" w:hAnsi="Garamond"/>
          <w:b w:val="0"/>
          <w:bCs w:val="0"/>
          <w:sz w:val="18"/>
          <w:szCs w:val="18"/>
        </w:rPr>
        <w:fldChar w:fldCharType="end"/>
      </w:r>
      <w:r w:rsidR="00F81C42" w:rsidRPr="0037513D">
        <w:rPr>
          <w:rStyle w:val="Strong"/>
          <w:rFonts w:ascii="Garamond" w:hAnsi="Garamond"/>
          <w:b w:val="0"/>
          <w:bCs w:val="0"/>
          <w:sz w:val="18"/>
          <w:szCs w:val="18"/>
        </w:rPr>
        <w:t>, at 194</w:t>
      </w:r>
      <w:r w:rsidR="00F81C42" w:rsidRPr="0037513D">
        <w:rPr>
          <w:rFonts w:ascii="Garamond" w:hAnsi="Garamond"/>
          <w:sz w:val="18"/>
          <w:szCs w:val="18"/>
          <w:lang w:bidi="he-IL"/>
        </w:rPr>
        <w:t xml:space="preserve">; </w:t>
      </w:r>
      <w:r w:rsidR="00F81C42" w:rsidRPr="0037513D">
        <w:rPr>
          <w:rStyle w:val="Strong"/>
          <w:rFonts w:ascii="Garamond" w:hAnsi="Garamond"/>
          <w:b w:val="0"/>
          <w:bCs w:val="0"/>
          <w:sz w:val="18"/>
          <w:szCs w:val="18"/>
        </w:rPr>
        <w:t xml:space="preserve">Roberta De Cicco, Serena Iacobucci &amp; Stefano Pagliaro, </w:t>
      </w:r>
      <w:r w:rsidR="00F81C42" w:rsidRPr="0037513D">
        <w:rPr>
          <w:rStyle w:val="Emphasis"/>
          <w:rFonts w:ascii="Garamond" w:hAnsi="Garamond"/>
          <w:sz w:val="18"/>
          <w:szCs w:val="18"/>
        </w:rPr>
        <w:t>The Effect of Influencer–Product Fit on Advertising Recognition and the Role of an Enhanced Disclosure in Increasing Sponsorship Transparency</w:t>
      </w:r>
      <w:r w:rsidR="00F81C42" w:rsidRPr="0037513D">
        <w:rPr>
          <w:rStyle w:val="Strong"/>
          <w:rFonts w:ascii="Garamond" w:hAnsi="Garamond"/>
          <w:b w:val="0"/>
          <w:bCs w:val="0"/>
          <w:sz w:val="18"/>
          <w:szCs w:val="18"/>
        </w:rPr>
        <w:t xml:space="preserve">, 40(5) </w:t>
      </w:r>
      <w:r w:rsidR="00F81C42" w:rsidRPr="0037513D">
        <w:rPr>
          <w:rStyle w:val="Strong"/>
          <w:rFonts w:ascii="Garamond" w:hAnsi="Garamond"/>
          <w:b w:val="0"/>
          <w:bCs w:val="0"/>
          <w:smallCaps/>
          <w:sz w:val="18"/>
          <w:szCs w:val="18"/>
        </w:rPr>
        <w:t xml:space="preserve">Int’l J. Advertising </w:t>
      </w:r>
      <w:r w:rsidR="00F81C42" w:rsidRPr="0037513D">
        <w:rPr>
          <w:rStyle w:val="Strong"/>
          <w:rFonts w:ascii="Garamond" w:hAnsi="Garamond"/>
          <w:b w:val="0"/>
          <w:bCs w:val="0"/>
          <w:sz w:val="18"/>
          <w:szCs w:val="18"/>
        </w:rPr>
        <w:t>733, 735 (2021)</w:t>
      </w:r>
      <w:r w:rsidR="00F81C42" w:rsidRPr="0037513D">
        <w:rPr>
          <w:rFonts w:ascii="Garamond" w:hAnsi="Garamond"/>
          <w:sz w:val="18"/>
          <w:szCs w:val="18"/>
          <w:lang w:bidi="he-IL"/>
        </w:rPr>
        <w:t>.</w:t>
      </w:r>
    </w:p>
  </w:footnote>
  <w:footnote w:id="139">
    <w:p w14:paraId="58240191" w14:textId="77777777" w:rsidR="00E47A4A" w:rsidRPr="0037513D" w:rsidRDefault="00E47A4A" w:rsidP="00E47A4A">
      <w:pPr>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heme="minorHAnsi" w:hAnsi="Garamond"/>
          <w:sz w:val="18"/>
          <w:szCs w:val="18"/>
        </w:rPr>
        <w:t xml:space="preserve">Baek, Kim &amp; Kim, supra note </w:t>
      </w:r>
      <w:r w:rsidRPr="0037513D">
        <w:rPr>
          <w:rFonts w:ascii="Garamond" w:hAnsi="Garamond"/>
          <w:sz w:val="18"/>
          <w:szCs w:val="18"/>
        </w:rPr>
        <w:fldChar w:fldCharType="begin"/>
      </w:r>
      <w:r w:rsidRPr="0037513D">
        <w:rPr>
          <w:rFonts w:ascii="Garamond" w:hAnsi="Garamond"/>
          <w:sz w:val="18"/>
          <w:szCs w:val="18"/>
        </w:rPr>
        <w:instrText xml:space="preserve"> NOTEREF _Ref214388286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80</w:t>
      </w:r>
      <w:r w:rsidRPr="0037513D">
        <w:rPr>
          <w:rFonts w:ascii="Garamond" w:hAnsi="Garamond"/>
          <w:sz w:val="18"/>
          <w:szCs w:val="18"/>
        </w:rPr>
        <w:fldChar w:fldCharType="end"/>
      </w:r>
      <w:r w:rsidRPr="0037513D">
        <w:rPr>
          <w:rFonts w:ascii="Garamond" w:eastAsiaTheme="minorHAnsi" w:hAnsi="Garamond"/>
          <w:sz w:val="18"/>
          <w:szCs w:val="18"/>
        </w:rPr>
        <w:t>, at 5–7</w:t>
      </w:r>
      <w:r w:rsidRPr="0037513D">
        <w:rPr>
          <w:rFonts w:ascii="Garamond" w:eastAsia="Times New Roman" w:hAnsi="Garamond" w:cstheme="majorBidi"/>
          <w:sz w:val="18"/>
          <w:szCs w:val="18"/>
          <w:lang w:bidi="he-IL"/>
        </w:rPr>
        <w:t>.</w:t>
      </w:r>
    </w:p>
  </w:footnote>
  <w:footnote w:id="140">
    <w:p w14:paraId="172C6586" w14:textId="77777777" w:rsidR="00E47A4A" w:rsidRPr="0037513D" w:rsidRDefault="00E47A4A" w:rsidP="00E47A4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i/>
          <w:iCs/>
          <w:sz w:val="18"/>
          <w:szCs w:val="18"/>
          <w:lang w:bidi="he-IL"/>
        </w:rPr>
        <w:t>See generally</w:t>
      </w:r>
      <w:r w:rsidRPr="0037513D">
        <w:rPr>
          <w:rFonts w:ascii="Garamond" w:hAnsi="Garamond" w:cstheme="majorBidi"/>
          <w:sz w:val="18"/>
          <w:szCs w:val="18"/>
          <w:lang w:bidi="he-IL"/>
        </w:rPr>
        <w:t xml:space="preserve">, </w:t>
      </w:r>
      <w:r w:rsidRPr="0037513D">
        <w:rPr>
          <w:rStyle w:val="Strong"/>
          <w:rFonts w:ascii="Garamond" w:hAnsi="Garamond"/>
          <w:b w:val="0"/>
          <w:bCs w:val="0"/>
          <w:sz w:val="18"/>
          <w:szCs w:val="18"/>
        </w:rPr>
        <w:t xml:space="preserve">Jennifer M. Logg, Julia A. Minson &amp; Don A. Moore, </w:t>
      </w:r>
      <w:r w:rsidRPr="0037513D">
        <w:rPr>
          <w:rStyle w:val="Emphasis"/>
          <w:rFonts w:ascii="Garamond" w:hAnsi="Garamond"/>
          <w:sz w:val="18"/>
          <w:szCs w:val="18"/>
        </w:rPr>
        <w:t>Algorithm Appreciation: People Prefer Algorithmic to Human Judgment</w:t>
      </w:r>
      <w:r w:rsidRPr="0037513D">
        <w:rPr>
          <w:rStyle w:val="Strong"/>
          <w:rFonts w:ascii="Garamond" w:hAnsi="Garamond"/>
          <w:b w:val="0"/>
          <w:bCs w:val="0"/>
          <w:sz w:val="18"/>
          <w:szCs w:val="18"/>
        </w:rPr>
        <w:t xml:space="preserve">, 151 </w:t>
      </w:r>
      <w:r w:rsidRPr="0037513D">
        <w:rPr>
          <w:rStyle w:val="Strong"/>
          <w:rFonts w:ascii="Garamond" w:hAnsi="Garamond"/>
          <w:b w:val="0"/>
          <w:bCs w:val="0"/>
          <w:smallCaps/>
          <w:sz w:val="18"/>
          <w:szCs w:val="18"/>
        </w:rPr>
        <w:t xml:space="preserve">Organizational </w:t>
      </w:r>
      <w:proofErr w:type="spellStart"/>
      <w:r w:rsidRPr="0037513D">
        <w:rPr>
          <w:rStyle w:val="Strong"/>
          <w:rFonts w:ascii="Garamond" w:hAnsi="Garamond"/>
          <w:b w:val="0"/>
          <w:bCs w:val="0"/>
          <w:smallCaps/>
          <w:sz w:val="18"/>
          <w:szCs w:val="18"/>
        </w:rPr>
        <w:t>Behav</w:t>
      </w:r>
      <w:proofErr w:type="spellEnd"/>
      <w:r w:rsidRPr="0037513D">
        <w:rPr>
          <w:rStyle w:val="Strong"/>
          <w:rFonts w:ascii="Garamond" w:hAnsi="Garamond"/>
          <w:b w:val="0"/>
          <w:bCs w:val="0"/>
          <w:smallCaps/>
          <w:sz w:val="18"/>
          <w:szCs w:val="18"/>
        </w:rPr>
        <w:t>. &amp; Hum. Decision Processes</w:t>
      </w:r>
      <w:r w:rsidRPr="0037513D">
        <w:rPr>
          <w:rStyle w:val="Strong"/>
          <w:rFonts w:ascii="Garamond" w:hAnsi="Garamond"/>
          <w:b w:val="0"/>
          <w:bCs w:val="0"/>
          <w:sz w:val="18"/>
          <w:szCs w:val="18"/>
        </w:rPr>
        <w:t xml:space="preserve"> 90 (2019)</w:t>
      </w:r>
      <w:r w:rsidRPr="0037513D">
        <w:rPr>
          <w:rFonts w:ascii="Garamond" w:hAnsi="Garamond" w:cstheme="majorBidi"/>
          <w:sz w:val="18"/>
          <w:szCs w:val="18"/>
          <w:lang w:bidi="he-IL"/>
        </w:rPr>
        <w:t>;</w:t>
      </w:r>
      <w:r w:rsidRPr="0037513D">
        <w:rPr>
          <w:rFonts w:ascii="Garamond" w:hAnsi="Garamond"/>
          <w:sz w:val="18"/>
          <w:szCs w:val="18"/>
        </w:rPr>
        <w:t xml:space="preserve"> John D. Lee &amp; Katrina A. See, </w:t>
      </w:r>
      <w:r w:rsidRPr="0037513D">
        <w:rPr>
          <w:rStyle w:val="Emphasis"/>
          <w:rFonts w:ascii="Garamond" w:hAnsi="Garamond"/>
          <w:sz w:val="18"/>
          <w:szCs w:val="18"/>
        </w:rPr>
        <w:t>Trust in Automation: Designing for Appropriate Reliance</w:t>
      </w:r>
      <w:r w:rsidRPr="0037513D">
        <w:rPr>
          <w:rFonts w:ascii="Garamond" w:hAnsi="Garamond"/>
          <w:sz w:val="18"/>
          <w:szCs w:val="18"/>
        </w:rPr>
        <w:t xml:space="preserve">, 46 </w:t>
      </w:r>
      <w:r w:rsidRPr="0037513D">
        <w:rPr>
          <w:rStyle w:val="Strong"/>
          <w:rFonts w:ascii="Garamond" w:hAnsi="Garamond"/>
          <w:b w:val="0"/>
          <w:bCs w:val="0"/>
          <w:smallCaps/>
          <w:sz w:val="18"/>
          <w:szCs w:val="18"/>
        </w:rPr>
        <w:t>Hum. Factors</w:t>
      </w:r>
      <w:r w:rsidRPr="0037513D">
        <w:rPr>
          <w:rFonts w:ascii="Garamond" w:hAnsi="Garamond"/>
          <w:b/>
          <w:bCs/>
          <w:smallCaps/>
          <w:sz w:val="18"/>
          <w:szCs w:val="18"/>
        </w:rPr>
        <w:t xml:space="preserve"> </w:t>
      </w:r>
      <w:r w:rsidRPr="0037513D">
        <w:rPr>
          <w:rFonts w:ascii="Garamond" w:hAnsi="Garamond"/>
          <w:sz w:val="18"/>
          <w:szCs w:val="18"/>
        </w:rPr>
        <w:t>50 (2004).</w:t>
      </w:r>
      <w:r w:rsidRPr="0037513D">
        <w:rPr>
          <w:rFonts w:ascii="Garamond" w:hAnsi="Garamond" w:cstheme="majorBidi"/>
          <w:sz w:val="18"/>
          <w:szCs w:val="18"/>
          <w:lang w:bidi="he-IL"/>
        </w:rPr>
        <w:t xml:space="preserve"> </w:t>
      </w:r>
      <w:hyperlink r:id="rId23" w:history="1">
        <w:r w:rsidRPr="0037513D">
          <w:rPr>
            <w:rStyle w:val="Hyperlink"/>
            <w:rFonts w:ascii="Garamond" w:hAnsi="Garamond" w:cstheme="majorBidi"/>
            <w:sz w:val="18"/>
            <w:szCs w:val="18"/>
            <w:lang w:bidi="he-IL"/>
          </w:rPr>
          <w:t>https://journals.sagepub.com/doi/10.1518/hfes.46.1.50_30392?utm_source=chatgpt.com</w:t>
        </w:r>
      </w:hyperlink>
      <w:r w:rsidRPr="0037513D">
        <w:rPr>
          <w:rFonts w:ascii="Garamond" w:hAnsi="Garamond" w:cstheme="majorBidi"/>
          <w:sz w:val="18"/>
          <w:szCs w:val="18"/>
          <w:lang w:bidi="he-IL"/>
        </w:rPr>
        <w:t xml:space="preserve">.  </w:t>
      </w:r>
    </w:p>
  </w:footnote>
  <w:footnote w:id="141">
    <w:p w14:paraId="084445C4" w14:textId="77777777" w:rsidR="00E47A4A" w:rsidRPr="0037513D" w:rsidRDefault="00E47A4A" w:rsidP="00E47A4A">
      <w:pPr>
        <w:pStyle w:val="FootnoteText"/>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w:t>
      </w:r>
      <w:r w:rsidRPr="0037513D">
        <w:rPr>
          <w:rFonts w:ascii="Garamond" w:eastAsiaTheme="minorHAnsi" w:hAnsi="Garamond"/>
          <w:sz w:val="18"/>
          <w:szCs w:val="18"/>
        </w:rPr>
        <w:t xml:space="preserve">Baek, Kim &amp; Kim, </w:t>
      </w:r>
      <w:r w:rsidRPr="0037513D">
        <w:rPr>
          <w:rFonts w:ascii="Garamond" w:eastAsiaTheme="minorHAnsi" w:hAnsi="Garamond"/>
          <w:i/>
          <w:iCs/>
          <w:sz w:val="18"/>
          <w:szCs w:val="18"/>
        </w:rPr>
        <w:t>supra</w:t>
      </w:r>
      <w:r w:rsidRPr="0037513D">
        <w:rPr>
          <w:rFonts w:ascii="Garamond" w:eastAsiaTheme="minorHAnsi"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_Ref214388286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80</w:t>
      </w:r>
      <w:r w:rsidRPr="0037513D">
        <w:rPr>
          <w:rFonts w:ascii="Garamond" w:hAnsi="Garamond"/>
          <w:sz w:val="18"/>
          <w:szCs w:val="18"/>
        </w:rPr>
        <w:fldChar w:fldCharType="end"/>
      </w:r>
      <w:r w:rsidRPr="0037513D">
        <w:rPr>
          <w:rFonts w:ascii="Garamond" w:eastAsiaTheme="minorHAnsi" w:hAnsi="Garamond"/>
          <w:sz w:val="18"/>
          <w:szCs w:val="18"/>
        </w:rPr>
        <w:t xml:space="preserve">, at </w:t>
      </w:r>
      <w:r w:rsidRPr="0037513D">
        <w:rPr>
          <w:rFonts w:ascii="Garamond" w:hAnsi="Garamond"/>
          <w:sz w:val="18"/>
          <w:szCs w:val="18"/>
        </w:rPr>
        <w:t>6</w:t>
      </w:r>
      <w:r w:rsidRPr="0037513D">
        <w:rPr>
          <w:rFonts w:ascii="Garamond" w:eastAsiaTheme="minorHAnsi" w:hAnsi="Garamond"/>
          <w:sz w:val="18"/>
          <w:szCs w:val="18"/>
        </w:rPr>
        <w:t>–7</w:t>
      </w:r>
      <w:r w:rsidRPr="0037513D">
        <w:rPr>
          <w:rFonts w:ascii="Garamond" w:hAnsi="Garamond" w:cstheme="majorBidi"/>
          <w:sz w:val="18"/>
          <w:szCs w:val="18"/>
          <w:lang w:bidi="he-IL"/>
        </w:rPr>
        <w:t>.</w:t>
      </w:r>
    </w:p>
  </w:footnote>
  <w:footnote w:id="142">
    <w:p w14:paraId="5413C09E" w14:textId="77777777" w:rsidR="00E47A4A" w:rsidRPr="0037513D" w:rsidRDefault="00E47A4A" w:rsidP="00E47A4A">
      <w:pPr>
        <w:pStyle w:val="FootnoteText"/>
        <w:spacing w:after="0" w:line="240" w:lineRule="auto"/>
        <w:contextualSpacing/>
        <w:jc w:val="both"/>
        <w:rPr>
          <w:rFonts w:ascii="Garamond" w:hAnsi="Garamond" w:cstheme="majorBidi"/>
          <w:sz w:val="18"/>
          <w:szCs w:val="18"/>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i/>
          <w:iCs/>
          <w:sz w:val="18"/>
          <w:szCs w:val="18"/>
        </w:rPr>
        <w:t>See</w:t>
      </w:r>
      <w:r w:rsidRPr="0037513D">
        <w:rPr>
          <w:rFonts w:ascii="Garamond" w:hAnsi="Garamond"/>
          <w:sz w:val="18"/>
          <w:szCs w:val="18"/>
        </w:rPr>
        <w:t xml:space="preserve"> 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at</w:t>
      </w:r>
      <w:r w:rsidRPr="0037513D">
        <w:rPr>
          <w:rFonts w:ascii="Garamond" w:hAnsi="Garamond" w:cstheme="majorBidi"/>
          <w:sz w:val="18"/>
          <w:szCs w:val="18"/>
        </w:rPr>
        <w:t xml:space="preserve"> 2</w:t>
      </w:r>
      <w:r w:rsidRPr="0037513D">
        <w:rPr>
          <w:rFonts w:ascii="Garamond" w:eastAsia="Times New Roman" w:hAnsi="Garamond"/>
          <w:sz w:val="18"/>
          <w:szCs w:val="18"/>
        </w:rPr>
        <w:t xml:space="preserve"> (“</w:t>
      </w:r>
      <w:r w:rsidRPr="0037513D">
        <w:rPr>
          <w:rFonts w:ascii="Garamond" w:eastAsia="Times New Roman" w:hAnsi="Garamond" w:cstheme="majorBidi"/>
          <w:sz w:val="18"/>
          <w:szCs w:val="18"/>
          <w:lang w:bidi="he-IL"/>
        </w:rPr>
        <w:t xml:space="preserve">The LLM advertisement responses were found to be more credible and helpful than the control when the responses did not include a disclosure.”). But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Pr>
        <w:t>,</w:t>
      </w:r>
      <w:r w:rsidRPr="0037513D">
        <w:rPr>
          <w:rFonts w:ascii="Garamond" w:hAnsi="Garamond"/>
          <w:sz w:val="18"/>
          <w:szCs w:val="18"/>
          <w:rtl/>
        </w:rPr>
        <w:t xml:space="preserve"> </w:t>
      </w:r>
      <w:r w:rsidRPr="0037513D">
        <w:rPr>
          <w:rFonts w:ascii="Garamond" w:hAnsi="Garamond"/>
          <w:sz w:val="18"/>
          <w:szCs w:val="18"/>
        </w:rPr>
        <w:t xml:space="preserve">at </w:t>
      </w:r>
      <w:r w:rsidRPr="0037513D">
        <w:rPr>
          <w:rFonts w:ascii="Garamond" w:hAnsi="Garamond"/>
          <w:color w:val="000000" w:themeColor="text1"/>
          <w:sz w:val="18"/>
          <w:szCs w:val="18"/>
        </w:rPr>
        <w:t>147</w:t>
      </w:r>
      <w:r w:rsidRPr="0037513D">
        <w:rPr>
          <w:rFonts w:ascii="Garamond" w:eastAsia="Times New Roman" w:hAnsi="Garamond" w:cstheme="majorBidi"/>
          <w:sz w:val="18"/>
          <w:szCs w:val="18"/>
          <w:lang w:bidi="he-IL"/>
        </w:rPr>
        <w:t xml:space="preserve"> (finding mixed results in this issue. While some participants said that the percentage of sponsorship disclosures “did not change [their] ratings,” and that “[they] have no problem with it, as long as it is disclosed,” others more critical after disclosure, calling ads “obvious” or even “dangerous to be suggesting brands on </w:t>
      </w:r>
      <w:proofErr w:type="gramStart"/>
      <w:r w:rsidRPr="0037513D">
        <w:rPr>
          <w:rFonts w:ascii="Garamond" w:eastAsia="Times New Roman" w:hAnsi="Garamond" w:cstheme="majorBidi"/>
          <w:sz w:val="18"/>
          <w:szCs w:val="18"/>
          <w:lang w:bidi="he-IL"/>
        </w:rPr>
        <w:t>health related</w:t>
      </w:r>
      <w:proofErr w:type="gramEnd"/>
      <w:r w:rsidRPr="0037513D">
        <w:rPr>
          <w:rFonts w:ascii="Garamond" w:eastAsia="Times New Roman" w:hAnsi="Garamond" w:cstheme="majorBidi"/>
          <w:sz w:val="18"/>
          <w:szCs w:val="18"/>
          <w:lang w:bidi="he-IL"/>
        </w:rPr>
        <w:t xml:space="preserve"> questions”).</w:t>
      </w:r>
    </w:p>
  </w:footnote>
  <w:footnote w:id="143">
    <w:p w14:paraId="29E06270" w14:textId="77777777" w:rsidR="00E47A4A" w:rsidRPr="0037513D" w:rsidRDefault="00E47A4A" w:rsidP="00E47A4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eastAsia="Times New Roman" w:hAnsi="Garamond"/>
          <w:i/>
          <w:iCs/>
          <w:sz w:val="18"/>
          <w:szCs w:val="18"/>
        </w:rPr>
        <w:t>See</w:t>
      </w:r>
      <w:r w:rsidRPr="0037513D">
        <w:rPr>
          <w:rFonts w:ascii="Garamond" w:hAnsi="Garamond"/>
          <w:sz w:val="18"/>
          <w:szCs w:val="18"/>
        </w:rPr>
        <w:t xml:space="preserve"> 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at 1.</w:t>
      </w:r>
    </w:p>
  </w:footnote>
  <w:footnote w:id="144">
    <w:p w14:paraId="5401857E" w14:textId="77777777" w:rsidR="00E47A4A" w:rsidRPr="0037513D" w:rsidRDefault="00E47A4A" w:rsidP="00E47A4A">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sz w:val="18"/>
          <w:szCs w:val="18"/>
          <w:lang w:bidi="he-IL"/>
        </w:rPr>
        <w:t xml:space="preserve"> </w:t>
      </w:r>
      <w:r w:rsidRPr="0037513D">
        <w:rPr>
          <w:rStyle w:val="Strong"/>
          <w:rFonts w:ascii="Garamond" w:hAnsi="Garamond"/>
          <w:b w:val="0"/>
          <w:bCs w:val="0"/>
          <w:i/>
          <w:iCs/>
          <w:sz w:val="18"/>
          <w:szCs w:val="18"/>
        </w:rPr>
        <w:t>See</w:t>
      </w:r>
      <w:r w:rsidRPr="0037513D">
        <w:rPr>
          <w:rStyle w:val="Strong"/>
          <w:rFonts w:ascii="Garamond" w:hAnsi="Garamond"/>
          <w:b w:val="0"/>
          <w:bCs w:val="0"/>
          <w:sz w:val="18"/>
          <w:szCs w:val="18"/>
        </w:rPr>
        <w:t xml:space="preserve"> </w:t>
      </w:r>
      <w:r w:rsidRPr="0037513D">
        <w:rPr>
          <w:rFonts w:ascii="Garamond" w:hAnsi="Garamond"/>
          <w:sz w:val="18"/>
          <w:szCs w:val="18"/>
        </w:rPr>
        <w:t>Zelch et al.,</w:t>
      </w:r>
      <w:r w:rsidRPr="0037513D">
        <w:rPr>
          <w:rStyle w:val="Strong"/>
          <w:rFonts w:ascii="Garamond" w:hAnsi="Garamond"/>
          <w:b w:val="0"/>
          <w:bCs w:val="0"/>
          <w:sz w:val="18"/>
          <w:szCs w:val="18"/>
        </w:rPr>
        <w:t xml:space="preserve"> supra</w:t>
      </w:r>
      <w:r w:rsidRPr="0037513D">
        <w:rPr>
          <w:rFonts w:ascii="Garamond" w:hAnsi="Garamond"/>
          <w:b/>
          <w:bCs/>
          <w:sz w:val="18"/>
          <w:szCs w:val="18"/>
        </w:rPr>
        <w:t xml:space="preserve"> </w:t>
      </w:r>
      <w:r w:rsidRPr="0037513D">
        <w:rPr>
          <w:rFonts w:ascii="Garamond" w:eastAsia="Times New Roman" w:hAnsi="Garamond"/>
          <w:sz w:val="18"/>
          <w:szCs w:val="18"/>
        </w:rPr>
        <w:t xml:space="preserve">note </w:t>
      </w:r>
      <w:r w:rsidRPr="0037513D">
        <w:rPr>
          <w:rFonts w:ascii="Garamond" w:eastAsia="Times New Roman" w:hAnsi="Garamond"/>
          <w:sz w:val="18"/>
          <w:szCs w:val="18"/>
        </w:rPr>
        <w:fldChar w:fldCharType="begin"/>
      </w:r>
      <w:r w:rsidRPr="0037513D">
        <w:rPr>
          <w:rFonts w:ascii="Garamond" w:eastAsia="Times New Roman" w:hAnsi="Garamond"/>
          <w:sz w:val="18"/>
          <w:szCs w:val="18"/>
        </w:rPr>
        <w:instrText xml:space="preserve"> NOTEREF _Ref212655002 \h  \* MERGEFORMAT </w:instrText>
      </w:r>
      <w:r w:rsidRPr="0037513D">
        <w:rPr>
          <w:rFonts w:ascii="Garamond" w:eastAsia="Times New Roman" w:hAnsi="Garamond"/>
          <w:sz w:val="18"/>
          <w:szCs w:val="18"/>
        </w:rPr>
      </w:r>
      <w:r w:rsidRPr="0037513D">
        <w:rPr>
          <w:rFonts w:ascii="Garamond" w:eastAsia="Times New Roman" w:hAnsi="Garamond"/>
          <w:sz w:val="18"/>
          <w:szCs w:val="18"/>
        </w:rPr>
        <w:fldChar w:fldCharType="separate"/>
      </w:r>
      <w:r w:rsidRPr="0037513D">
        <w:rPr>
          <w:rFonts w:ascii="Garamond" w:eastAsia="Times New Roman" w:hAnsi="Garamond"/>
          <w:sz w:val="18"/>
          <w:szCs w:val="18"/>
        </w:rPr>
        <w:t>3</w:t>
      </w:r>
      <w:r w:rsidRPr="0037513D">
        <w:rPr>
          <w:rFonts w:ascii="Garamond" w:eastAsia="Times New Roman" w:hAnsi="Garamond"/>
          <w:sz w:val="18"/>
          <w:szCs w:val="18"/>
        </w:rPr>
        <w:fldChar w:fldCharType="end"/>
      </w:r>
      <w:r w:rsidRPr="0037513D">
        <w:rPr>
          <w:rFonts w:ascii="Garamond" w:hAnsi="Garamond"/>
          <w:sz w:val="18"/>
          <w:szCs w:val="18"/>
          <w:rtl/>
        </w:rPr>
        <w:t xml:space="preserve"> </w:t>
      </w:r>
      <w:r w:rsidRPr="0037513D">
        <w:rPr>
          <w:rFonts w:ascii="Garamond" w:hAnsi="Garamond"/>
          <w:sz w:val="18"/>
          <w:szCs w:val="18"/>
        </w:rPr>
        <w:t xml:space="preserve">at </w:t>
      </w:r>
      <w:r w:rsidRPr="0037513D">
        <w:rPr>
          <w:rFonts w:ascii="Garamond" w:hAnsi="Garamond"/>
          <w:color w:val="000000" w:themeColor="text1"/>
          <w:sz w:val="18"/>
          <w:szCs w:val="18"/>
        </w:rPr>
        <w:t xml:space="preserve">150 </w:t>
      </w:r>
      <w:r w:rsidRPr="0037513D">
        <w:rPr>
          <w:rFonts w:ascii="Garamond" w:eastAsia="Times New Roman" w:hAnsi="Garamond" w:cstheme="majorBidi"/>
          <w:sz w:val="18"/>
          <w:szCs w:val="18"/>
          <w:lang w:bidi="he-IL"/>
        </w:rPr>
        <w:t>(“</w:t>
      </w:r>
      <w:r w:rsidRPr="0037513D">
        <w:rPr>
          <w:rFonts w:ascii="Garamond" w:eastAsia="Times New Roman" w:hAnsi="Garamond"/>
          <w:sz w:val="18"/>
          <w:szCs w:val="18"/>
        </w:rPr>
        <w:t>The expressed opinions range from negative (“its insidious”) over “necessary evil” and “Neutral).</w:t>
      </w:r>
    </w:p>
  </w:footnote>
  <w:footnote w:id="145">
    <w:p w14:paraId="6F87EE85" w14:textId="36ACDF72" w:rsidR="00F565D8" w:rsidRPr="0037513D" w:rsidRDefault="00F565D8"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DB79DB" w:rsidRPr="0037513D">
        <w:rPr>
          <w:rFonts w:ascii="Garamond" w:hAnsi="Garamond"/>
          <w:sz w:val="18"/>
          <w:szCs w:val="18"/>
        </w:rPr>
        <w:t>I</w:t>
      </w:r>
      <w:r w:rsidR="002F31D2" w:rsidRPr="0037513D">
        <w:rPr>
          <w:rFonts w:ascii="Garamond" w:eastAsia="Times New Roman" w:hAnsi="Garamond"/>
          <w:sz w:val="18"/>
          <w:szCs w:val="18"/>
        </w:rPr>
        <w:t xml:space="preserve">n advertorials </w:t>
      </w:r>
      <w:r w:rsidR="002F31D2" w:rsidRPr="0037513D">
        <w:rPr>
          <w:rFonts w:ascii="Garamond" w:hAnsi="Garamond"/>
          <w:i/>
          <w:iCs/>
          <w:sz w:val="18"/>
          <w:szCs w:val="18"/>
        </w:rPr>
        <w:t>Se</w:t>
      </w:r>
      <w:r w:rsidR="00DB79DB" w:rsidRPr="0037513D">
        <w:rPr>
          <w:rFonts w:ascii="Garamond" w:hAnsi="Garamond"/>
          <w:i/>
          <w:iCs/>
          <w:sz w:val="18"/>
          <w:szCs w:val="18"/>
        </w:rPr>
        <w:t xml:space="preserve">e e.g., </w:t>
      </w:r>
      <w:r w:rsidR="002F31D2" w:rsidRPr="0037513D">
        <w:rPr>
          <w:rFonts w:ascii="Garamond" w:hAnsi="Garamond"/>
          <w:sz w:val="18"/>
          <w:szCs w:val="18"/>
        </w:rPr>
        <w:t xml:space="preserve">Sahni &amp; Nair, </w:t>
      </w:r>
      <w:r w:rsidR="002F31D2" w:rsidRPr="0037513D">
        <w:rPr>
          <w:rFonts w:ascii="Garamond" w:hAnsi="Garamond"/>
          <w:i/>
          <w:iCs/>
          <w:sz w:val="18"/>
          <w:szCs w:val="18"/>
        </w:rPr>
        <w:t>supra</w:t>
      </w:r>
      <w:r w:rsidR="002F31D2" w:rsidRPr="0037513D">
        <w:rPr>
          <w:rFonts w:ascii="Garamond" w:hAnsi="Garamond"/>
          <w:sz w:val="18"/>
          <w:szCs w:val="18"/>
        </w:rPr>
        <w:t xml:space="preserve"> note </w:t>
      </w:r>
      <w:r w:rsidR="00DB79DB" w:rsidRPr="0037513D">
        <w:rPr>
          <w:rFonts w:ascii="Garamond" w:hAnsi="Garamond"/>
          <w:sz w:val="18"/>
          <w:szCs w:val="18"/>
        </w:rPr>
        <w:fldChar w:fldCharType="begin"/>
      </w:r>
      <w:r w:rsidR="00DB79DB" w:rsidRPr="0037513D">
        <w:rPr>
          <w:rFonts w:ascii="Garamond" w:hAnsi="Garamond"/>
          <w:sz w:val="18"/>
          <w:szCs w:val="18"/>
        </w:rPr>
        <w:instrText xml:space="preserve"> NOTEREF _Ref214554537 \h  \* MERGEFORMAT </w:instrText>
      </w:r>
      <w:r w:rsidR="00DB79DB" w:rsidRPr="0037513D">
        <w:rPr>
          <w:rFonts w:ascii="Garamond" w:hAnsi="Garamond"/>
          <w:sz w:val="18"/>
          <w:szCs w:val="18"/>
        </w:rPr>
      </w:r>
      <w:r w:rsidR="00DB79DB" w:rsidRPr="0037513D">
        <w:rPr>
          <w:rFonts w:ascii="Garamond" w:hAnsi="Garamond"/>
          <w:sz w:val="18"/>
          <w:szCs w:val="18"/>
        </w:rPr>
        <w:fldChar w:fldCharType="separate"/>
      </w:r>
      <w:r w:rsidR="00DB79DB" w:rsidRPr="0037513D">
        <w:rPr>
          <w:rFonts w:ascii="Garamond" w:hAnsi="Garamond"/>
          <w:sz w:val="18"/>
          <w:szCs w:val="18"/>
        </w:rPr>
        <w:t>72</w:t>
      </w:r>
      <w:r w:rsidR="00DB79DB" w:rsidRPr="0037513D">
        <w:rPr>
          <w:rFonts w:ascii="Garamond" w:hAnsi="Garamond"/>
          <w:sz w:val="18"/>
          <w:szCs w:val="18"/>
        </w:rPr>
        <w:fldChar w:fldCharType="end"/>
      </w:r>
      <w:r w:rsidR="002F31D2" w:rsidRPr="0037513D">
        <w:rPr>
          <w:rFonts w:ascii="Garamond" w:hAnsi="Garamond"/>
          <w:sz w:val="18"/>
          <w:szCs w:val="18"/>
        </w:rPr>
        <w:t>, at 39</w:t>
      </w:r>
      <w:r w:rsidR="00DB79DB" w:rsidRPr="0037513D">
        <w:rPr>
          <w:rFonts w:ascii="Garamond" w:hAnsi="Garamond"/>
          <w:sz w:val="18"/>
          <w:szCs w:val="18"/>
        </w:rPr>
        <w:t xml:space="preserve"> </w:t>
      </w:r>
      <w:r w:rsidR="002F31D2" w:rsidRPr="0037513D">
        <w:rPr>
          <w:rFonts w:ascii="Garamond" w:eastAsia="Times New Roman" w:hAnsi="Garamond"/>
          <w:sz w:val="18"/>
          <w:szCs w:val="18"/>
        </w:rPr>
        <w:t xml:space="preserve">(finding that adding disclosure </w:t>
      </w:r>
      <w:proofErr w:type="gramStart"/>
      <w:r w:rsidR="002F31D2" w:rsidRPr="0037513D">
        <w:rPr>
          <w:rFonts w:ascii="Garamond" w:eastAsia="Times New Roman" w:hAnsi="Garamond"/>
          <w:sz w:val="18"/>
          <w:szCs w:val="18"/>
        </w:rPr>
        <w:t>actually increased</w:t>
      </w:r>
      <w:proofErr w:type="gramEnd"/>
      <w:r w:rsidR="002F31D2" w:rsidRPr="0037513D">
        <w:rPr>
          <w:rFonts w:ascii="Garamond" w:eastAsia="Times New Roman" w:hAnsi="Garamond"/>
          <w:sz w:val="18"/>
          <w:szCs w:val="18"/>
        </w:rPr>
        <w:t xml:space="preserve"> calls and visits to restaurants, compared to no disclosure. </w:t>
      </w:r>
      <w:r w:rsidR="002F31D2" w:rsidRPr="0037513D">
        <w:rPr>
          <w:rFonts w:ascii="Garamond" w:eastAsia="Times New Roman" w:hAnsi="Garamond"/>
          <w:i/>
          <w:iCs/>
          <w:sz w:val="18"/>
          <w:szCs w:val="18"/>
        </w:rPr>
        <w:t>“We do detect a significant scope for deception because consumer behavior changes when disclosure is removed.”</w:t>
      </w:r>
      <w:r w:rsidR="002F31D2" w:rsidRPr="0037513D">
        <w:rPr>
          <w:rFonts w:ascii="Garamond" w:eastAsia="Times New Roman" w:hAnsi="Garamond"/>
          <w:sz w:val="18"/>
          <w:szCs w:val="18"/>
        </w:rPr>
        <w:t xml:space="preserve"> (p. 39)); </w:t>
      </w:r>
      <w:r w:rsidR="002F31D2" w:rsidRPr="0037513D">
        <w:rPr>
          <w:rFonts w:ascii="Garamond" w:hAnsi="Garamond"/>
          <w:sz w:val="18"/>
          <w:szCs w:val="18"/>
        </w:rPr>
        <w:t xml:space="preserve">Tutaj &amp; van </w:t>
      </w:r>
      <w:proofErr w:type="spellStart"/>
      <w:r w:rsidR="002F31D2" w:rsidRPr="0037513D">
        <w:rPr>
          <w:rFonts w:ascii="Garamond" w:hAnsi="Garamond"/>
          <w:sz w:val="18"/>
          <w:szCs w:val="18"/>
        </w:rPr>
        <w:t>Reijmersdal</w:t>
      </w:r>
      <w:proofErr w:type="spellEnd"/>
      <w:r w:rsidR="002F31D2" w:rsidRPr="0037513D">
        <w:rPr>
          <w:rFonts w:ascii="Garamond" w:hAnsi="Garamond"/>
          <w:sz w:val="18"/>
          <w:szCs w:val="18"/>
        </w:rPr>
        <w:t xml:space="preserve">, </w:t>
      </w:r>
      <w:r w:rsidR="002F31D2" w:rsidRPr="0037513D">
        <w:rPr>
          <w:rFonts w:ascii="Garamond" w:hAnsi="Garamond"/>
          <w:i/>
          <w:iCs/>
          <w:sz w:val="18"/>
          <w:szCs w:val="18"/>
        </w:rPr>
        <w:t>supra</w:t>
      </w:r>
      <w:r w:rsidR="002F31D2" w:rsidRPr="0037513D">
        <w:rPr>
          <w:rFonts w:ascii="Garamond" w:hAnsi="Garamond"/>
          <w:sz w:val="18"/>
          <w:szCs w:val="18"/>
        </w:rPr>
        <w:t xml:space="preserve"> note </w:t>
      </w:r>
      <w:r w:rsidR="00DB79DB" w:rsidRPr="0037513D">
        <w:rPr>
          <w:rFonts w:ascii="Garamond" w:hAnsi="Garamond"/>
          <w:sz w:val="18"/>
          <w:szCs w:val="18"/>
        </w:rPr>
        <w:fldChar w:fldCharType="begin"/>
      </w:r>
      <w:r w:rsidR="00DB79DB" w:rsidRPr="0037513D">
        <w:rPr>
          <w:rFonts w:ascii="Garamond" w:hAnsi="Garamond"/>
          <w:sz w:val="18"/>
          <w:szCs w:val="18"/>
        </w:rPr>
        <w:instrText xml:space="preserve"> NOTEREF _Ref214554592 \h  \* MERGEFORMAT </w:instrText>
      </w:r>
      <w:r w:rsidR="00DB79DB" w:rsidRPr="0037513D">
        <w:rPr>
          <w:rFonts w:ascii="Garamond" w:hAnsi="Garamond"/>
          <w:sz w:val="18"/>
          <w:szCs w:val="18"/>
        </w:rPr>
      </w:r>
      <w:r w:rsidR="00DB79DB" w:rsidRPr="0037513D">
        <w:rPr>
          <w:rFonts w:ascii="Garamond" w:hAnsi="Garamond"/>
          <w:sz w:val="18"/>
          <w:szCs w:val="18"/>
        </w:rPr>
        <w:fldChar w:fldCharType="separate"/>
      </w:r>
      <w:r w:rsidR="00DB79DB" w:rsidRPr="0037513D">
        <w:rPr>
          <w:rFonts w:ascii="Garamond" w:hAnsi="Garamond"/>
          <w:sz w:val="18"/>
          <w:szCs w:val="18"/>
        </w:rPr>
        <w:t>121</w:t>
      </w:r>
      <w:r w:rsidR="00DB79DB" w:rsidRPr="0037513D">
        <w:rPr>
          <w:rFonts w:ascii="Garamond" w:hAnsi="Garamond"/>
          <w:sz w:val="18"/>
          <w:szCs w:val="18"/>
        </w:rPr>
        <w:fldChar w:fldCharType="end"/>
      </w:r>
      <w:r w:rsidR="002F31D2" w:rsidRPr="0037513D">
        <w:rPr>
          <w:rFonts w:ascii="Garamond" w:hAnsi="Garamond"/>
          <w:sz w:val="18"/>
          <w:szCs w:val="18"/>
        </w:rPr>
        <w:t xml:space="preserve">, at 12. </w:t>
      </w:r>
    </w:p>
  </w:footnote>
  <w:footnote w:id="146">
    <w:p w14:paraId="79AF06CF" w14:textId="366D4786" w:rsidR="00F565D8" w:rsidRPr="0037513D" w:rsidRDefault="00F565D8"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531596" w:rsidRPr="0037513D">
        <w:rPr>
          <w:rFonts w:ascii="Garamond" w:hAnsi="Garamond"/>
          <w:i/>
          <w:iCs/>
          <w:sz w:val="18"/>
          <w:szCs w:val="18"/>
        </w:rPr>
        <w:t>See</w:t>
      </w:r>
      <w:r w:rsidR="00531596" w:rsidRPr="0037513D">
        <w:rPr>
          <w:rFonts w:ascii="Garamond" w:hAnsi="Garamond"/>
          <w:sz w:val="18"/>
          <w:szCs w:val="18"/>
        </w:rPr>
        <w:t xml:space="preserve"> </w:t>
      </w:r>
      <w:proofErr w:type="spellStart"/>
      <w:r w:rsidR="00531596" w:rsidRPr="0037513D">
        <w:rPr>
          <w:rFonts w:ascii="Garamond" w:hAnsi="Garamond"/>
          <w:sz w:val="18"/>
          <w:szCs w:val="18"/>
        </w:rPr>
        <w:t>Wojdynski</w:t>
      </w:r>
      <w:proofErr w:type="spellEnd"/>
      <w:r w:rsidR="00531596" w:rsidRPr="0037513D">
        <w:rPr>
          <w:rFonts w:ascii="Garamond" w:hAnsi="Garamond"/>
          <w:sz w:val="18"/>
          <w:szCs w:val="18"/>
        </w:rPr>
        <w:t xml:space="preserve"> &amp; Evans, </w:t>
      </w:r>
      <w:r w:rsidR="00531596" w:rsidRPr="0037513D">
        <w:rPr>
          <w:rStyle w:val="Emphasis"/>
          <w:rFonts w:ascii="Garamond" w:hAnsi="Garamond"/>
          <w:sz w:val="18"/>
          <w:szCs w:val="18"/>
        </w:rPr>
        <w:t>supra</w:t>
      </w:r>
      <w:r w:rsidR="00531596" w:rsidRPr="0037513D">
        <w:rPr>
          <w:rFonts w:ascii="Garamond" w:hAnsi="Garamond"/>
          <w:sz w:val="18"/>
          <w:szCs w:val="18"/>
        </w:rPr>
        <w:t xml:space="preserve"> note </w:t>
      </w:r>
      <w:r w:rsidR="00204807" w:rsidRPr="0037513D">
        <w:rPr>
          <w:rFonts w:ascii="Garamond" w:hAnsi="Garamond"/>
          <w:sz w:val="18"/>
          <w:szCs w:val="18"/>
        </w:rPr>
        <w:fldChar w:fldCharType="begin"/>
      </w:r>
      <w:r w:rsidR="00204807" w:rsidRPr="0037513D">
        <w:rPr>
          <w:rFonts w:ascii="Garamond" w:hAnsi="Garamond"/>
          <w:sz w:val="18"/>
          <w:szCs w:val="18"/>
        </w:rPr>
        <w:instrText xml:space="preserve"> NOTEREF _Ref214551083 \h  \* MERGEFORMAT </w:instrText>
      </w:r>
      <w:r w:rsidR="00204807" w:rsidRPr="0037513D">
        <w:rPr>
          <w:rFonts w:ascii="Garamond" w:hAnsi="Garamond"/>
          <w:sz w:val="18"/>
          <w:szCs w:val="18"/>
        </w:rPr>
      </w:r>
      <w:r w:rsidR="00204807" w:rsidRPr="0037513D">
        <w:rPr>
          <w:rFonts w:ascii="Garamond" w:hAnsi="Garamond"/>
          <w:sz w:val="18"/>
          <w:szCs w:val="18"/>
        </w:rPr>
        <w:fldChar w:fldCharType="separate"/>
      </w:r>
      <w:r w:rsidR="00204807" w:rsidRPr="0037513D">
        <w:rPr>
          <w:rFonts w:ascii="Garamond" w:hAnsi="Garamond"/>
          <w:sz w:val="18"/>
          <w:szCs w:val="18"/>
        </w:rPr>
        <w:t>101</w:t>
      </w:r>
      <w:r w:rsidR="00204807" w:rsidRPr="0037513D">
        <w:rPr>
          <w:rFonts w:ascii="Garamond" w:hAnsi="Garamond"/>
          <w:sz w:val="18"/>
          <w:szCs w:val="18"/>
        </w:rPr>
        <w:fldChar w:fldCharType="end"/>
      </w:r>
      <w:r w:rsidR="00531596" w:rsidRPr="0037513D">
        <w:rPr>
          <w:rFonts w:ascii="Garamond" w:eastAsia="Times New Roman" w:hAnsi="Garamond" w:cs="Times New Roman"/>
          <w:color w:val="000000" w:themeColor="text1"/>
          <w:kern w:val="0"/>
          <w:sz w:val="18"/>
          <w:szCs w:val="18"/>
          <w14:ligatures w14:val="none"/>
        </w:rPr>
        <w:t xml:space="preserve">, at </w:t>
      </w:r>
      <w:r w:rsidR="00531596" w:rsidRPr="0037513D">
        <w:rPr>
          <w:rFonts w:ascii="Garamond" w:eastAsia="Times New Roman" w:hAnsi="Garamond" w:cs="Times New Roman"/>
          <w:color w:val="000000" w:themeColor="text1"/>
          <w:kern w:val="0"/>
          <w:sz w:val="18"/>
          <w:szCs w:val="18"/>
          <w:rtl/>
          <w14:ligatures w14:val="none"/>
        </w:rPr>
        <w:t>161</w:t>
      </w:r>
      <w:r w:rsidR="00531596" w:rsidRPr="0037513D">
        <w:rPr>
          <w:rFonts w:ascii="Garamond" w:eastAsia="Times New Roman" w:hAnsi="Garamond" w:cs="Times New Roman"/>
          <w:color w:val="000000" w:themeColor="text1"/>
          <w:kern w:val="0"/>
          <w:sz w:val="18"/>
          <w:szCs w:val="18"/>
          <w14:ligatures w14:val="none"/>
        </w:rPr>
        <w:t>.</w:t>
      </w:r>
    </w:p>
  </w:footnote>
  <w:footnote w:id="147">
    <w:p w14:paraId="6B4900D2" w14:textId="2432E7EF" w:rsidR="00F565D8" w:rsidRPr="0037513D" w:rsidRDefault="00F565D8"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3B470B" w:rsidRPr="0037513D">
        <w:rPr>
          <w:rFonts w:ascii="Garamond" w:hAnsi="Garamond"/>
          <w:sz w:val="18"/>
          <w:szCs w:val="18"/>
        </w:rPr>
        <w:t xml:space="preserve">Edelman &amp; Gilchrist, </w:t>
      </w:r>
      <w:r w:rsidR="003B470B" w:rsidRPr="0037513D">
        <w:rPr>
          <w:rStyle w:val="Emphasis"/>
          <w:rFonts w:ascii="Garamond" w:hAnsi="Garamond"/>
          <w:sz w:val="18"/>
          <w:szCs w:val="18"/>
        </w:rPr>
        <w:t>supra</w:t>
      </w:r>
      <w:r w:rsidR="003B470B" w:rsidRPr="0037513D">
        <w:rPr>
          <w:rFonts w:ascii="Garamond" w:hAnsi="Garamond"/>
          <w:sz w:val="18"/>
          <w:szCs w:val="18"/>
        </w:rPr>
        <w:t xml:space="preserve"> note </w:t>
      </w:r>
      <w:r w:rsidR="00204807" w:rsidRPr="0037513D">
        <w:rPr>
          <w:rFonts w:ascii="Garamond" w:hAnsi="Garamond"/>
          <w:sz w:val="18"/>
          <w:szCs w:val="18"/>
        </w:rPr>
        <w:fldChar w:fldCharType="begin"/>
      </w:r>
      <w:r w:rsidR="00204807" w:rsidRPr="0037513D">
        <w:rPr>
          <w:rFonts w:ascii="Garamond" w:hAnsi="Garamond"/>
          <w:sz w:val="18"/>
          <w:szCs w:val="18"/>
        </w:rPr>
        <w:instrText xml:space="preserve"> NOTEREF _Ref214554592 \h  \* MERGEFORMAT </w:instrText>
      </w:r>
      <w:r w:rsidR="00204807" w:rsidRPr="0037513D">
        <w:rPr>
          <w:rFonts w:ascii="Garamond" w:hAnsi="Garamond"/>
          <w:sz w:val="18"/>
          <w:szCs w:val="18"/>
        </w:rPr>
      </w:r>
      <w:r w:rsidR="00204807" w:rsidRPr="0037513D">
        <w:rPr>
          <w:rFonts w:ascii="Garamond" w:hAnsi="Garamond"/>
          <w:sz w:val="18"/>
          <w:szCs w:val="18"/>
        </w:rPr>
        <w:fldChar w:fldCharType="separate"/>
      </w:r>
      <w:r w:rsidR="00204807" w:rsidRPr="0037513D">
        <w:rPr>
          <w:rFonts w:ascii="Garamond" w:hAnsi="Garamond"/>
          <w:sz w:val="18"/>
          <w:szCs w:val="18"/>
        </w:rPr>
        <w:t>121</w:t>
      </w:r>
      <w:r w:rsidR="00204807" w:rsidRPr="0037513D">
        <w:rPr>
          <w:rFonts w:ascii="Garamond" w:hAnsi="Garamond"/>
          <w:sz w:val="18"/>
          <w:szCs w:val="18"/>
        </w:rPr>
        <w:fldChar w:fldCharType="end"/>
      </w:r>
      <w:r w:rsidR="003B470B" w:rsidRPr="0037513D">
        <w:rPr>
          <w:rFonts w:ascii="Garamond" w:hAnsi="Garamond"/>
          <w:color w:val="000000" w:themeColor="text1"/>
          <w:sz w:val="18"/>
          <w:szCs w:val="18"/>
        </w:rPr>
        <w:t>, at 82.</w:t>
      </w:r>
      <w:r w:rsidR="003B470B" w:rsidRPr="0037513D">
        <w:rPr>
          <w:rFonts w:ascii="Garamond" w:eastAsia="Times New Roman" w:hAnsi="Garamond"/>
          <w:sz w:val="18"/>
          <w:szCs w:val="18"/>
        </w:rPr>
        <w:t xml:space="preserve"> </w:t>
      </w:r>
    </w:p>
  </w:footnote>
  <w:footnote w:id="148">
    <w:p w14:paraId="348A2702" w14:textId="73527FC1" w:rsidR="009A5B0B" w:rsidRPr="0037513D" w:rsidRDefault="009A5B0B"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00674F" w:rsidRPr="0037513D">
        <w:rPr>
          <w:rFonts w:ascii="Garamond" w:hAnsi="Garamond"/>
          <w:sz w:val="18"/>
          <w:szCs w:val="18"/>
        </w:rPr>
        <w:t xml:space="preserve">Evans et al., </w:t>
      </w:r>
      <w:r w:rsidR="0000674F" w:rsidRPr="0037513D">
        <w:rPr>
          <w:rStyle w:val="Emphasis"/>
          <w:rFonts w:ascii="Garamond" w:hAnsi="Garamond"/>
          <w:sz w:val="18"/>
          <w:szCs w:val="18"/>
        </w:rPr>
        <w:t>supra</w:t>
      </w:r>
      <w:r w:rsidR="0000674F" w:rsidRPr="0037513D">
        <w:rPr>
          <w:rFonts w:ascii="Garamond" w:hAnsi="Garamond"/>
          <w:sz w:val="18"/>
          <w:szCs w:val="18"/>
        </w:rPr>
        <w:t xml:space="preserve"> note </w:t>
      </w:r>
      <w:r w:rsidR="00806EE1" w:rsidRPr="0037513D">
        <w:rPr>
          <w:rFonts w:ascii="Garamond" w:hAnsi="Garamond"/>
          <w:sz w:val="18"/>
          <w:szCs w:val="18"/>
        </w:rPr>
        <w:fldChar w:fldCharType="begin"/>
      </w:r>
      <w:r w:rsidR="00806EE1" w:rsidRPr="0037513D">
        <w:rPr>
          <w:rFonts w:ascii="Garamond" w:hAnsi="Garamond"/>
          <w:sz w:val="18"/>
          <w:szCs w:val="18"/>
        </w:rPr>
        <w:instrText xml:space="preserve"> NOTEREF _Ref214374427 \h  \* MERGEFORMAT </w:instrText>
      </w:r>
      <w:r w:rsidR="00806EE1" w:rsidRPr="0037513D">
        <w:rPr>
          <w:rFonts w:ascii="Garamond" w:hAnsi="Garamond"/>
          <w:sz w:val="18"/>
          <w:szCs w:val="18"/>
        </w:rPr>
      </w:r>
      <w:r w:rsidR="00806EE1" w:rsidRPr="0037513D">
        <w:rPr>
          <w:rFonts w:ascii="Garamond" w:hAnsi="Garamond"/>
          <w:sz w:val="18"/>
          <w:szCs w:val="18"/>
        </w:rPr>
        <w:fldChar w:fldCharType="separate"/>
      </w:r>
      <w:r w:rsidR="00806EE1" w:rsidRPr="0037513D">
        <w:rPr>
          <w:rFonts w:ascii="Garamond" w:hAnsi="Garamond"/>
          <w:sz w:val="18"/>
          <w:szCs w:val="18"/>
        </w:rPr>
        <w:t>42</w:t>
      </w:r>
      <w:r w:rsidR="00806EE1" w:rsidRPr="0037513D">
        <w:rPr>
          <w:rFonts w:ascii="Garamond" w:hAnsi="Garamond"/>
          <w:sz w:val="18"/>
          <w:szCs w:val="18"/>
        </w:rPr>
        <w:fldChar w:fldCharType="end"/>
      </w:r>
      <w:r w:rsidR="00806EE1" w:rsidRPr="0037513D">
        <w:rPr>
          <w:rFonts w:ascii="Garamond" w:hAnsi="Garamond"/>
          <w:sz w:val="18"/>
          <w:szCs w:val="18"/>
        </w:rPr>
        <w:t>,</w:t>
      </w:r>
      <w:r w:rsidR="0000674F" w:rsidRPr="0037513D">
        <w:rPr>
          <w:rFonts w:ascii="Garamond" w:hAnsi="Garamond"/>
          <w:sz w:val="18"/>
          <w:szCs w:val="18"/>
        </w:rPr>
        <w:t xml:space="preserve"> </w:t>
      </w:r>
      <w:r w:rsidR="0000674F" w:rsidRPr="0037513D">
        <w:rPr>
          <w:rFonts w:ascii="Garamond" w:hAnsi="Garamond"/>
          <w:color w:val="000000" w:themeColor="text1"/>
          <w:sz w:val="18"/>
          <w:szCs w:val="18"/>
        </w:rPr>
        <w:t>at 145</w:t>
      </w:r>
      <w:r w:rsidR="0000674F" w:rsidRPr="0037513D">
        <w:rPr>
          <w:rFonts w:ascii="Garamond" w:eastAsia="Times New Roman" w:hAnsi="Garamond"/>
          <w:sz w:val="18"/>
          <w:szCs w:val="18"/>
        </w:rPr>
        <w:t xml:space="preserve">. </w:t>
      </w:r>
      <w:r w:rsidR="0000674F" w:rsidRPr="0037513D">
        <w:rPr>
          <w:rFonts w:ascii="Garamond" w:eastAsia="Times New Roman" w:hAnsi="Garamond"/>
          <w:i/>
          <w:iCs/>
          <w:sz w:val="18"/>
          <w:szCs w:val="18"/>
        </w:rPr>
        <w:t>See also</w:t>
      </w:r>
      <w:r w:rsidR="0000674F" w:rsidRPr="0037513D">
        <w:rPr>
          <w:rFonts w:ascii="Garamond" w:hAnsi="Garamond"/>
          <w:i/>
          <w:iCs/>
          <w:sz w:val="18"/>
          <w:szCs w:val="18"/>
        </w:rPr>
        <w:t xml:space="preserve"> </w:t>
      </w:r>
      <w:r w:rsidR="0000674F" w:rsidRPr="0037513D">
        <w:rPr>
          <w:rFonts w:ascii="Garamond" w:hAnsi="Garamond" w:cstheme="majorBidi"/>
          <w:color w:val="000000"/>
          <w:sz w:val="18"/>
          <w:szCs w:val="18"/>
          <w:lang w:bidi="he-IL"/>
        </w:rPr>
        <w:t xml:space="preserve">Boerman, Willemsen &amp; Der Aa, </w:t>
      </w:r>
      <w:r w:rsidR="0000674F" w:rsidRPr="0037513D">
        <w:rPr>
          <w:rFonts w:ascii="Garamond" w:hAnsi="Garamond" w:cstheme="majorBidi"/>
          <w:i/>
          <w:iCs/>
          <w:color w:val="000000"/>
          <w:sz w:val="18"/>
          <w:szCs w:val="18"/>
          <w:lang w:bidi="he-IL"/>
        </w:rPr>
        <w:t xml:space="preserve">supra </w:t>
      </w:r>
      <w:r w:rsidR="0000674F" w:rsidRPr="0037513D">
        <w:rPr>
          <w:rFonts w:ascii="Garamond" w:hAnsi="Garamond" w:cstheme="majorBidi"/>
          <w:color w:val="000000"/>
          <w:sz w:val="18"/>
          <w:szCs w:val="18"/>
          <w:lang w:bidi="he-IL"/>
        </w:rPr>
        <w:t xml:space="preserve">note </w:t>
      </w:r>
      <w:r w:rsidR="00204807" w:rsidRPr="0037513D">
        <w:rPr>
          <w:rFonts w:ascii="Garamond" w:hAnsi="Garamond" w:cstheme="majorBidi"/>
          <w:color w:val="000000"/>
          <w:sz w:val="18"/>
          <w:szCs w:val="18"/>
          <w:lang w:bidi="he-IL"/>
        </w:rPr>
        <w:t xml:space="preserve"> </w:t>
      </w:r>
      <w:r w:rsidR="00204807" w:rsidRPr="0037513D">
        <w:rPr>
          <w:rFonts w:ascii="Garamond" w:hAnsi="Garamond"/>
          <w:sz w:val="18"/>
          <w:szCs w:val="18"/>
        </w:rPr>
        <w:fldChar w:fldCharType="begin"/>
      </w:r>
      <w:r w:rsidR="00204807" w:rsidRPr="0037513D">
        <w:rPr>
          <w:rFonts w:ascii="Garamond" w:hAnsi="Garamond"/>
          <w:sz w:val="18"/>
          <w:szCs w:val="18"/>
        </w:rPr>
        <w:instrText xml:space="preserve"> NOTEREF _Ref214466941 \h  \* MERGEFORMAT </w:instrText>
      </w:r>
      <w:r w:rsidR="00204807" w:rsidRPr="0037513D">
        <w:rPr>
          <w:rFonts w:ascii="Garamond" w:hAnsi="Garamond"/>
          <w:sz w:val="18"/>
          <w:szCs w:val="18"/>
        </w:rPr>
      </w:r>
      <w:r w:rsidR="00204807" w:rsidRPr="0037513D">
        <w:rPr>
          <w:rFonts w:ascii="Garamond" w:hAnsi="Garamond"/>
          <w:sz w:val="18"/>
          <w:szCs w:val="18"/>
        </w:rPr>
        <w:fldChar w:fldCharType="separate"/>
      </w:r>
      <w:r w:rsidR="00204807" w:rsidRPr="0037513D">
        <w:rPr>
          <w:rFonts w:ascii="Garamond" w:hAnsi="Garamond"/>
          <w:sz w:val="18"/>
          <w:szCs w:val="18"/>
        </w:rPr>
        <w:t>98</w:t>
      </w:r>
      <w:r w:rsidR="00204807" w:rsidRPr="0037513D">
        <w:rPr>
          <w:rFonts w:ascii="Garamond" w:hAnsi="Garamond"/>
          <w:sz w:val="18"/>
          <w:szCs w:val="18"/>
        </w:rPr>
        <w:fldChar w:fldCharType="end"/>
      </w:r>
      <w:r w:rsidR="00204807" w:rsidRPr="0037513D">
        <w:rPr>
          <w:rFonts w:ascii="Garamond" w:hAnsi="Garamond"/>
          <w:sz w:val="18"/>
          <w:szCs w:val="18"/>
        </w:rPr>
        <w:t xml:space="preserve"> </w:t>
      </w:r>
      <w:r w:rsidR="0000674F" w:rsidRPr="0037513D">
        <w:rPr>
          <w:rFonts w:ascii="Garamond" w:hAnsi="Garamond" w:cstheme="majorBidi"/>
          <w:color w:val="000000"/>
          <w:sz w:val="18"/>
          <w:szCs w:val="18"/>
          <w:lang w:bidi="he-IL"/>
        </w:rPr>
        <w:t>at</w:t>
      </w:r>
      <w:r w:rsidR="0000674F" w:rsidRPr="0037513D">
        <w:rPr>
          <w:rFonts w:ascii="Garamond" w:hAnsi="Garamond"/>
          <w:sz w:val="18"/>
          <w:szCs w:val="18"/>
        </w:rPr>
        <w:t xml:space="preserve"> </w:t>
      </w:r>
      <w:proofErr w:type="spellStart"/>
      <w:r w:rsidR="0000674F" w:rsidRPr="0037513D">
        <w:rPr>
          <w:rFonts w:ascii="Garamond" w:hAnsi="Garamond"/>
          <w:sz w:val="18"/>
          <w:szCs w:val="18"/>
        </w:rPr>
        <w:t>at</w:t>
      </w:r>
      <w:proofErr w:type="spellEnd"/>
      <w:r w:rsidR="0000674F" w:rsidRPr="0037513D">
        <w:rPr>
          <w:rFonts w:ascii="Garamond" w:hAnsi="Garamond"/>
          <w:sz w:val="18"/>
          <w:szCs w:val="18"/>
        </w:rPr>
        <w:t xml:space="preserve"> 86. </w:t>
      </w:r>
    </w:p>
  </w:footnote>
  <w:footnote w:id="149">
    <w:p w14:paraId="1FAA815D" w14:textId="77777777" w:rsidR="00F55327" w:rsidRPr="0037513D" w:rsidRDefault="00F55327" w:rsidP="00F553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Style w:val="Strong"/>
          <w:rFonts w:ascii="Garamond" w:hAnsi="Garamond"/>
          <w:b w:val="0"/>
          <w:bCs w:val="0"/>
          <w:sz w:val="18"/>
          <w:szCs w:val="18"/>
        </w:rPr>
        <w:t xml:space="preserve"> </w:t>
      </w:r>
      <w:proofErr w:type="spellStart"/>
      <w:r w:rsidRPr="0037513D">
        <w:rPr>
          <w:rStyle w:val="Strong"/>
          <w:rFonts w:ascii="Garamond" w:hAnsi="Garamond"/>
          <w:b w:val="0"/>
          <w:bCs w:val="0"/>
          <w:sz w:val="18"/>
          <w:szCs w:val="18"/>
        </w:rPr>
        <w:t>ForbesPro</w:t>
      </w:r>
      <w:proofErr w:type="spellEnd"/>
      <w:r w:rsidRPr="0037513D">
        <w:rPr>
          <w:rStyle w:val="Strong"/>
          <w:rFonts w:ascii="Garamond" w:hAnsi="Garamond"/>
          <w:b w:val="0"/>
          <w:bCs w:val="0"/>
          <w:sz w:val="18"/>
          <w:szCs w:val="18"/>
        </w:rPr>
        <w:t xml:space="preserve">, </w:t>
      </w:r>
      <w:r w:rsidRPr="0037513D">
        <w:rPr>
          <w:rStyle w:val="Emphasis"/>
          <w:rFonts w:ascii="Garamond" w:hAnsi="Garamond"/>
          <w:sz w:val="18"/>
          <w:szCs w:val="18"/>
        </w:rPr>
        <w:t>A Look at the Groundbreaking Research Behind A</w:t>
      </w:r>
      <w:r w:rsidRPr="0037513D">
        <w:rPr>
          <w:rStyle w:val="Emphasis"/>
          <w:rFonts w:ascii="Cambria" w:hAnsi="Cambria" w:cs="Cambria"/>
          <w:sz w:val="18"/>
          <w:szCs w:val="18"/>
        </w:rPr>
        <w:t>ǹ</w:t>
      </w:r>
      <w:r w:rsidRPr="0037513D">
        <w:rPr>
          <w:rStyle w:val="Emphasis"/>
          <w:rFonts w:ascii="Garamond" w:hAnsi="Garamond"/>
          <w:sz w:val="18"/>
          <w:szCs w:val="18"/>
        </w:rPr>
        <w:t>alemma’s Coherent Water</w:t>
      </w:r>
      <w:r w:rsidRPr="0037513D">
        <w:rPr>
          <w:rStyle w:val="Strong"/>
          <w:rFonts w:ascii="Garamond" w:hAnsi="Garamond"/>
          <w:b w:val="0"/>
          <w:bCs w:val="0"/>
          <w:sz w:val="18"/>
          <w:szCs w:val="18"/>
        </w:rPr>
        <w:t xml:space="preserve">, </w:t>
      </w:r>
      <w:r w:rsidRPr="0037513D">
        <w:rPr>
          <w:rStyle w:val="Strong"/>
          <w:rFonts w:ascii="Garamond" w:hAnsi="Garamond"/>
          <w:b w:val="0"/>
          <w:bCs w:val="0"/>
          <w:smallCaps/>
          <w:sz w:val="18"/>
          <w:szCs w:val="18"/>
        </w:rPr>
        <w:t>Forbes</w:t>
      </w:r>
      <w:r w:rsidRPr="0037513D">
        <w:rPr>
          <w:rStyle w:val="Strong"/>
          <w:rFonts w:ascii="Garamond" w:hAnsi="Garamond"/>
          <w:b w:val="0"/>
          <w:bCs w:val="0"/>
          <w:sz w:val="18"/>
          <w:szCs w:val="18"/>
        </w:rPr>
        <w:t xml:space="preserve"> (June 5, 2025),</w:t>
      </w:r>
      <w:r w:rsidRPr="0037513D">
        <w:rPr>
          <w:rStyle w:val="Strong"/>
          <w:rFonts w:ascii="Garamond" w:hAnsi="Garamond"/>
          <w:sz w:val="18"/>
          <w:szCs w:val="18"/>
        </w:rPr>
        <w:t xml:space="preserve"> </w:t>
      </w:r>
      <w:hyperlink r:id="rId24" w:tgtFrame="_new" w:history="1">
        <w:r w:rsidRPr="0037513D">
          <w:rPr>
            <w:rStyle w:val="Hyperlink"/>
            <w:rFonts w:ascii="Garamond" w:hAnsi="Garamond"/>
            <w:b/>
            <w:bCs/>
            <w:sz w:val="18"/>
            <w:szCs w:val="18"/>
          </w:rPr>
          <w:t>https://forbes.co.il/e/a-look-at-the-groundbreaking-research-behind-a%C7%B9alemmas-coherent-water/</w:t>
        </w:r>
      </w:hyperlink>
      <w:r w:rsidRPr="0037513D">
        <w:rPr>
          <w:rFonts w:ascii="Garamond" w:hAnsi="Garamond"/>
          <w:sz w:val="18"/>
          <w:szCs w:val="18"/>
        </w:rPr>
        <w:t xml:space="preserve">. Federal Trade Commission, </w:t>
      </w:r>
      <w:r w:rsidRPr="0037513D">
        <w:rPr>
          <w:rStyle w:val="Emphasis"/>
          <w:rFonts w:ascii="Garamond" w:hAnsi="Garamond"/>
          <w:sz w:val="18"/>
          <w:szCs w:val="18"/>
        </w:rPr>
        <w:t>Blurred Lines: Advertising or</w:t>
      </w:r>
      <w:r w:rsidRPr="0037513D">
        <w:rPr>
          <w:rFonts w:ascii="Garamond" w:hAnsi="Garamond"/>
          <w:sz w:val="18"/>
          <w:szCs w:val="18"/>
          <w:rtl/>
        </w:rPr>
        <w:t xml:space="preserve"> </w:t>
      </w:r>
      <w:r w:rsidRPr="0037513D">
        <w:rPr>
          <w:rStyle w:val="Emphasis"/>
          <w:rFonts w:ascii="Garamond" w:hAnsi="Garamond"/>
          <w:sz w:val="18"/>
          <w:szCs w:val="18"/>
        </w:rPr>
        <w:t>Content? – An FTC Workshop on Native Advertising</w:t>
      </w:r>
      <w:r w:rsidRPr="0037513D">
        <w:rPr>
          <w:rFonts w:ascii="Garamond" w:hAnsi="Garamond"/>
          <w:sz w:val="18"/>
          <w:szCs w:val="18"/>
        </w:rPr>
        <w:t xml:space="preserve"> (Dec. 4, 2013)</w:t>
      </w:r>
      <w:r w:rsidRPr="0037513D">
        <w:rPr>
          <w:rFonts w:ascii="Garamond" w:hAnsi="Garamond"/>
          <w:sz w:val="18"/>
          <w:szCs w:val="18"/>
          <w:rtl/>
        </w:rPr>
        <w:t>,</w:t>
      </w:r>
      <w:r w:rsidRPr="0037513D">
        <w:rPr>
          <w:rFonts w:ascii="Garamond" w:hAnsi="Garamond"/>
          <w:sz w:val="18"/>
          <w:szCs w:val="18"/>
        </w:rPr>
        <w:t xml:space="preserve"> </w:t>
      </w:r>
      <w:hyperlink r:id="rId25" w:history="1">
        <w:r w:rsidRPr="0037513D">
          <w:rPr>
            <w:rStyle w:val="Hyperlink"/>
            <w:rFonts w:ascii="Garamond" w:hAnsi="Garamond"/>
            <w:sz w:val="18"/>
            <w:szCs w:val="18"/>
          </w:rPr>
          <w:t>https://www.ftc.gov/news-events/events/2013/12/blurred-lines-advertising-or-content-ftc-workshop-native-advertising</w:t>
        </w:r>
      </w:hyperlink>
      <w:r w:rsidRPr="0037513D">
        <w:rPr>
          <w:rFonts w:ascii="Garamond" w:hAnsi="Garamond" w:cstheme="majorBidi"/>
          <w:sz w:val="18"/>
          <w:szCs w:val="18"/>
        </w:rPr>
        <w:t xml:space="preserve"> (“The problem is that this is the digital world that we’re talking about.  That content may be born under a brand voice logo on Forbes.com, but it doesn’t stay there.  No, it migrates.  And within eight hours of this native ad being posted, it has also shown up, no doubt with the sponsor’s help, on 162 other sites.  And as far as those sites were concerned, the source was not the native advertising section of Forbes; it was simply Forbes.” (Bob Garfield)).</w:t>
      </w:r>
    </w:p>
  </w:footnote>
  <w:footnote w:id="150">
    <w:p w14:paraId="2C88106F" w14:textId="77777777" w:rsidR="00F55327" w:rsidRPr="0037513D" w:rsidRDefault="00F55327" w:rsidP="00F553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Sponsored Content, </w:t>
      </w:r>
      <w:r w:rsidRPr="0037513D">
        <w:rPr>
          <w:rFonts w:ascii="Garamond" w:hAnsi="Garamond"/>
          <w:i/>
          <w:iCs/>
          <w:sz w:val="18"/>
          <w:szCs w:val="18"/>
        </w:rPr>
        <w:t>The Rise of Nutrient-Based Beverages: 10 Types of Nutrition-Focused Drinks,</w:t>
      </w:r>
      <w:r w:rsidRPr="0037513D">
        <w:rPr>
          <w:rFonts w:ascii="Garamond" w:hAnsi="Garamond"/>
          <w:sz w:val="18"/>
          <w:szCs w:val="18"/>
        </w:rPr>
        <w:t xml:space="preserve"> USA TODAY, </w:t>
      </w:r>
      <w:hyperlink r:id="rId26" w:history="1">
        <w:r w:rsidRPr="0037513D">
          <w:rPr>
            <w:rStyle w:val="Hyperlink"/>
            <w:rFonts w:ascii="Garamond" w:hAnsi="Garamond"/>
            <w:sz w:val="18"/>
            <w:szCs w:val="18"/>
          </w:rPr>
          <w:t>https://classifieds.usatoday.com/blog/the-rise-of-nutrient-based-beverages-10-types-of-nutrition-focused-drinks/</w:t>
        </w:r>
      </w:hyperlink>
    </w:p>
  </w:footnote>
  <w:footnote w:id="151">
    <w:p w14:paraId="24A16F57" w14:textId="77777777" w:rsidR="00F55327" w:rsidRPr="0037513D" w:rsidRDefault="00F55327" w:rsidP="00F553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Mary Ann Caram, </w:t>
      </w:r>
      <w:r w:rsidRPr="0037513D">
        <w:rPr>
          <w:rStyle w:val="Emphasis"/>
          <w:rFonts w:ascii="Garamond" w:hAnsi="Garamond"/>
          <w:sz w:val="18"/>
          <w:szCs w:val="18"/>
        </w:rPr>
        <w:t>Move Customers Into Action with Content</w:t>
      </w:r>
      <w:r w:rsidRPr="0037513D">
        <w:rPr>
          <w:rFonts w:ascii="Garamond" w:hAnsi="Garamond"/>
          <w:sz w:val="18"/>
          <w:szCs w:val="18"/>
        </w:rPr>
        <w:t xml:space="preserve">, Forbes </w:t>
      </w:r>
      <w:proofErr w:type="spellStart"/>
      <w:r w:rsidRPr="0037513D">
        <w:rPr>
          <w:rFonts w:ascii="Garamond" w:hAnsi="Garamond"/>
          <w:sz w:val="18"/>
          <w:szCs w:val="18"/>
        </w:rPr>
        <w:t>BrandVoice</w:t>
      </w:r>
      <w:proofErr w:type="spellEnd"/>
      <w:r w:rsidRPr="0037513D">
        <w:rPr>
          <w:rFonts w:ascii="Garamond" w:hAnsi="Garamond"/>
          <w:sz w:val="18"/>
          <w:szCs w:val="18"/>
        </w:rPr>
        <w:t xml:space="preserve">, </w:t>
      </w:r>
      <w:hyperlink r:id="rId27" w:history="1">
        <w:r w:rsidRPr="0037513D">
          <w:rPr>
            <w:rStyle w:val="Hyperlink"/>
            <w:rFonts w:ascii="Garamond" w:hAnsi="Garamond"/>
            <w:sz w:val="18"/>
            <w:szCs w:val="18"/>
          </w:rPr>
          <w:t>https://www.forbes.com/connect/content-solution/brandvoice</w:t>
        </w:r>
        <w:r w:rsidRPr="0037513D">
          <w:rPr>
            <w:rStyle w:val="Hyperlink"/>
            <w:rFonts w:ascii="Garamond" w:hAnsi="Garamond"/>
            <w:sz w:val="18"/>
            <w:szCs w:val="18"/>
            <w:rtl/>
            <w:lang w:bidi="he-IL"/>
          </w:rPr>
          <w:t>/</w:t>
        </w:r>
      </w:hyperlink>
      <w:r w:rsidRPr="0037513D">
        <w:rPr>
          <w:rFonts w:ascii="Garamond" w:hAnsi="Garamond"/>
          <w:sz w:val="18"/>
          <w:szCs w:val="18"/>
        </w:rPr>
        <w:t xml:space="preserve"> </w:t>
      </w:r>
    </w:p>
  </w:footnote>
  <w:footnote w:id="152">
    <w:p w14:paraId="56FA5F0B" w14:textId="77777777" w:rsidR="00F55327" w:rsidRPr="0037513D" w:rsidRDefault="00F55327" w:rsidP="00F553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hyperlink r:id="rId28" w:history="1">
        <w:r w:rsidRPr="0037513D">
          <w:rPr>
            <w:rStyle w:val="Hyperlink"/>
            <w:rFonts w:ascii="Garamond" w:hAnsi="Garamond"/>
            <w:sz w:val="18"/>
            <w:szCs w:val="18"/>
          </w:rPr>
          <w:t>https://www.rtings.com/blender/tools/compare/magic-bullet-portable-blender-vs-nutribullet-portable/42434/86176</w:t>
        </w:r>
      </w:hyperlink>
      <w:r w:rsidRPr="0037513D">
        <w:rPr>
          <w:rFonts w:ascii="Garamond" w:hAnsi="Garamond"/>
          <w:sz w:val="18"/>
          <w:szCs w:val="18"/>
        </w:rPr>
        <w:t xml:space="preserve"> (“The Magic Bullet Portable Blender and the </w:t>
      </w:r>
      <w:proofErr w:type="spellStart"/>
      <w:r w:rsidRPr="0037513D">
        <w:rPr>
          <w:rFonts w:ascii="Garamond" w:hAnsi="Garamond"/>
          <w:sz w:val="18"/>
          <w:szCs w:val="18"/>
        </w:rPr>
        <w:t>nutribullet</w:t>
      </w:r>
      <w:proofErr w:type="spellEnd"/>
      <w:r w:rsidRPr="0037513D">
        <w:rPr>
          <w:rFonts w:ascii="Garamond" w:hAnsi="Garamond"/>
          <w:sz w:val="18"/>
          <w:szCs w:val="18"/>
        </w:rPr>
        <w:t xml:space="preserve"> Portable are essentially identical.”). see also </w:t>
      </w:r>
      <w:hyperlink r:id="rId29" w:history="1">
        <w:r w:rsidRPr="0037513D">
          <w:rPr>
            <w:rStyle w:val="Hyperlink"/>
            <w:rFonts w:ascii="Garamond" w:hAnsi="Garamond"/>
            <w:sz w:val="18"/>
            <w:szCs w:val="18"/>
          </w:rPr>
          <w:t>https://www.homesandgardens.com/buying-guides/best-portable-travel-blenders</w:t>
        </w:r>
      </w:hyperlink>
      <w:r w:rsidRPr="0037513D">
        <w:rPr>
          <w:rFonts w:ascii="Garamond" w:hAnsi="Garamond"/>
          <w:sz w:val="18"/>
          <w:szCs w:val="18"/>
        </w:rPr>
        <w:t xml:space="preserve"> ((list </w:t>
      </w:r>
      <w:proofErr w:type="spellStart"/>
      <w:r w:rsidRPr="0037513D">
        <w:rPr>
          <w:rFonts w:ascii="Garamond" w:hAnsi="Garamond"/>
          <w:sz w:val="18"/>
          <w:szCs w:val="18"/>
        </w:rPr>
        <w:t>nutribullet</w:t>
      </w:r>
      <w:proofErr w:type="spellEnd"/>
      <w:r w:rsidRPr="0037513D">
        <w:rPr>
          <w:rFonts w:ascii="Garamond" w:hAnsi="Garamond"/>
          <w:sz w:val="18"/>
          <w:szCs w:val="18"/>
        </w:rPr>
        <w:t xml:space="preserve"> Portable as among the best personal blenders in 2025); </w:t>
      </w:r>
      <w:hyperlink r:id="rId30" w:history="1">
        <w:r w:rsidRPr="0037513D">
          <w:rPr>
            <w:rStyle w:val="Hyperlink"/>
            <w:rFonts w:ascii="Garamond" w:hAnsi="Garamond"/>
            <w:sz w:val="18"/>
            <w:szCs w:val="18"/>
          </w:rPr>
          <w:t>https://www.tastingtable.com/1792265/best-portable-blenders-reviews/</w:t>
        </w:r>
      </w:hyperlink>
      <w:r w:rsidRPr="0037513D">
        <w:rPr>
          <w:rFonts w:ascii="Garamond" w:hAnsi="Garamond"/>
          <w:sz w:val="18"/>
          <w:szCs w:val="18"/>
        </w:rPr>
        <w:t xml:space="preserve"> (same); </w:t>
      </w:r>
      <w:hyperlink r:id="rId31" w:history="1">
        <w:r w:rsidRPr="0037513D">
          <w:rPr>
            <w:rStyle w:val="Hyperlink"/>
            <w:rFonts w:ascii="Garamond" w:hAnsi="Garamond"/>
            <w:sz w:val="18"/>
            <w:szCs w:val="18"/>
          </w:rPr>
          <w:t>https://www.menshealth.com/technology-gear/g61795785/best-portable-blender/</w:t>
        </w:r>
      </w:hyperlink>
      <w:r w:rsidRPr="0037513D">
        <w:rPr>
          <w:rFonts w:ascii="Garamond" w:hAnsi="Garamond"/>
          <w:sz w:val="18"/>
          <w:szCs w:val="18"/>
        </w:rPr>
        <w:t xml:space="preserve"> (list Magic Bullet Portable as among the best personal blenders in 2025); </w:t>
      </w:r>
      <w:hyperlink r:id="rId32" w:history="1">
        <w:r w:rsidRPr="0037513D">
          <w:rPr>
            <w:rStyle w:val="Hyperlink"/>
            <w:rFonts w:ascii="Garamond" w:hAnsi="Garamond"/>
            <w:sz w:val="18"/>
            <w:szCs w:val="18"/>
          </w:rPr>
          <w:t>https://www.rtings.com/blender/reviews/best/portable</w:t>
        </w:r>
      </w:hyperlink>
      <w:r w:rsidRPr="0037513D">
        <w:rPr>
          <w:rFonts w:ascii="Garamond" w:hAnsi="Garamond"/>
          <w:sz w:val="18"/>
          <w:szCs w:val="18"/>
        </w:rPr>
        <w:t xml:space="preserve"> (same)</w:t>
      </w:r>
    </w:p>
  </w:footnote>
  <w:footnote w:id="153">
    <w:p w14:paraId="6F18DFA8" w14:textId="77777777" w:rsidR="00F55327" w:rsidRPr="0037513D" w:rsidRDefault="00F55327" w:rsidP="00F5532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The bonus was credited through the Prolific platform. And could also be used for any other purpose. </w:t>
      </w:r>
    </w:p>
  </w:footnote>
  <w:footnote w:id="154">
    <w:p w14:paraId="7F63F01F" w14:textId="6F3EE4AF" w:rsidR="001E5249" w:rsidRPr="0037513D" w:rsidRDefault="001E5249"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3C519A" w:rsidRPr="0037513D">
        <w:rPr>
          <w:rFonts w:ascii="Garamond" w:hAnsi="Garamond"/>
          <w:sz w:val="18"/>
          <w:szCs w:val="18"/>
        </w:rPr>
        <w:t>Study II did not include the first</w:t>
      </w:r>
      <w:r w:rsidR="009D2791" w:rsidRPr="0037513D">
        <w:rPr>
          <w:rFonts w:ascii="Garamond" w:hAnsi="Garamond"/>
          <w:sz w:val="18"/>
          <w:szCs w:val="18"/>
        </w:rPr>
        <w:t xml:space="preserve"> (benchmark)</w:t>
      </w:r>
      <w:r w:rsidR="003C519A" w:rsidRPr="0037513D">
        <w:rPr>
          <w:rFonts w:ascii="Garamond" w:hAnsi="Garamond"/>
          <w:sz w:val="18"/>
          <w:szCs w:val="18"/>
        </w:rPr>
        <w:t xml:space="preserve"> condition because, unlike text formulation, currently product recommendations in chatbots are always accompanied by source references. </w:t>
      </w:r>
    </w:p>
  </w:footnote>
  <w:footnote w:id="155">
    <w:p w14:paraId="7E67243F" w14:textId="77777777" w:rsidR="008F14ED" w:rsidRPr="0037513D" w:rsidRDefault="008F14ED" w:rsidP="008F14ED">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supra </w:t>
      </w:r>
      <w:r w:rsidRPr="0037513D">
        <w:rPr>
          <w:rFonts w:ascii="Garamond" w:hAnsi="Garamond"/>
          <w:sz w:val="18"/>
          <w:szCs w:val="18"/>
        </w:rPr>
        <w:t xml:space="preserve">notes </w:t>
      </w:r>
      <w:r w:rsidRPr="0037513D">
        <w:rPr>
          <w:rFonts w:ascii="Garamond" w:hAnsi="Garamond"/>
          <w:sz w:val="18"/>
          <w:szCs w:val="18"/>
        </w:rPr>
        <w:fldChar w:fldCharType="begin"/>
      </w:r>
      <w:r w:rsidRPr="0037513D">
        <w:rPr>
          <w:rFonts w:ascii="Garamond" w:hAnsi="Garamond"/>
          <w:sz w:val="18"/>
          <w:szCs w:val="18"/>
        </w:rPr>
        <w:instrText xml:space="preserve"> NOTEREF _Ref214554981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108</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sz w:val="18"/>
          <w:szCs w:val="18"/>
        </w:rPr>
        <w:fldChar w:fldCharType="begin"/>
      </w:r>
      <w:r w:rsidRPr="0037513D">
        <w:rPr>
          <w:rFonts w:ascii="Garamond" w:hAnsi="Garamond"/>
          <w:sz w:val="18"/>
          <w:szCs w:val="18"/>
        </w:rPr>
        <w:instrText xml:space="preserve"> NOTEREF _Ref214554985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112</w:t>
      </w:r>
      <w:r w:rsidRPr="0037513D">
        <w:rPr>
          <w:rFonts w:ascii="Garamond" w:hAnsi="Garamond"/>
          <w:sz w:val="18"/>
          <w:szCs w:val="18"/>
        </w:rPr>
        <w:fldChar w:fldCharType="end"/>
      </w:r>
      <w:r w:rsidRPr="0037513D">
        <w:rPr>
          <w:rFonts w:ascii="Garamond" w:hAnsi="Garamond"/>
          <w:sz w:val="18"/>
          <w:szCs w:val="18"/>
        </w:rPr>
        <w:t xml:space="preserve">, and accompanying text. </w:t>
      </w:r>
    </w:p>
  </w:footnote>
  <w:footnote w:id="156">
    <w:p w14:paraId="4745FB14" w14:textId="77777777" w:rsidR="00495BA5" w:rsidRPr="0037513D" w:rsidRDefault="00495BA5" w:rsidP="00495BA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lang w:bidi="he-IL"/>
        </w:rPr>
        <w:t xml:space="preserve">See </w:t>
      </w:r>
      <w:r w:rsidRPr="0037513D">
        <w:rPr>
          <w:rFonts w:ascii="Garamond" w:hAnsi="Garamond"/>
          <w:sz w:val="18"/>
          <w:szCs w:val="18"/>
          <w:lang w:bidi="he-IL"/>
        </w:rPr>
        <w:t>sources in</w:t>
      </w:r>
      <w:r w:rsidRPr="0037513D">
        <w:rPr>
          <w:rFonts w:ascii="Garamond" w:hAnsi="Garamond"/>
          <w:i/>
          <w:iCs/>
          <w:sz w:val="18"/>
          <w:szCs w:val="18"/>
          <w:lang w:bidi="he-IL"/>
        </w:rPr>
        <w:t xml:space="preserve"> </w:t>
      </w:r>
      <w:r w:rsidRPr="0037513D">
        <w:rPr>
          <w:rFonts w:ascii="Garamond" w:hAnsi="Garamond"/>
          <w:sz w:val="18"/>
          <w:szCs w:val="18"/>
          <w:lang w:bidi="he-IL"/>
        </w:rPr>
        <w:t xml:space="preserve">note </w:t>
      </w:r>
      <w:r w:rsidRPr="0037513D">
        <w:rPr>
          <w:rFonts w:ascii="Garamond" w:hAnsi="Garamond"/>
          <w:sz w:val="18"/>
          <w:szCs w:val="18"/>
          <w:lang w:bidi="he-IL"/>
        </w:rPr>
        <w:fldChar w:fldCharType="begin"/>
      </w:r>
      <w:r w:rsidRPr="0037513D">
        <w:rPr>
          <w:rFonts w:ascii="Garamond" w:hAnsi="Garamond"/>
          <w:sz w:val="18"/>
          <w:szCs w:val="18"/>
          <w:lang w:bidi="he-IL"/>
        </w:rPr>
        <w:instrText xml:space="preserve"> NOTEREF _Ref214555477 \h  \* MERGEFORMAT </w:instrText>
      </w:r>
      <w:r w:rsidRPr="0037513D">
        <w:rPr>
          <w:rFonts w:ascii="Garamond" w:hAnsi="Garamond"/>
          <w:sz w:val="18"/>
          <w:szCs w:val="18"/>
          <w:lang w:bidi="he-IL"/>
        </w:rPr>
      </w:r>
      <w:r w:rsidRPr="0037513D">
        <w:rPr>
          <w:rFonts w:ascii="Garamond" w:hAnsi="Garamond"/>
          <w:sz w:val="18"/>
          <w:szCs w:val="18"/>
          <w:lang w:bidi="he-IL"/>
        </w:rPr>
        <w:fldChar w:fldCharType="separate"/>
      </w:r>
      <w:r w:rsidRPr="0037513D">
        <w:rPr>
          <w:rFonts w:ascii="Garamond" w:hAnsi="Garamond"/>
          <w:sz w:val="18"/>
          <w:szCs w:val="18"/>
          <w:lang w:bidi="he-IL"/>
        </w:rPr>
        <w:t>113</w:t>
      </w:r>
      <w:r w:rsidRPr="0037513D">
        <w:rPr>
          <w:rFonts w:ascii="Garamond" w:hAnsi="Garamond"/>
          <w:sz w:val="18"/>
          <w:szCs w:val="18"/>
          <w:lang w:bidi="he-IL"/>
        </w:rPr>
        <w:fldChar w:fldCharType="end"/>
      </w:r>
      <w:r w:rsidRPr="0037513D">
        <w:rPr>
          <w:rFonts w:ascii="Garamond" w:hAnsi="Garamond"/>
          <w:sz w:val="18"/>
          <w:szCs w:val="18"/>
          <w:lang w:bidi="he-IL"/>
        </w:rPr>
        <w:t xml:space="preserve">, </w:t>
      </w:r>
      <w:r w:rsidRPr="0037513D">
        <w:rPr>
          <w:rFonts w:ascii="Garamond" w:hAnsi="Garamond"/>
          <w:i/>
          <w:iCs/>
          <w:sz w:val="18"/>
          <w:szCs w:val="18"/>
          <w:lang w:bidi="he-IL"/>
        </w:rPr>
        <w:t>supra.</w:t>
      </w:r>
    </w:p>
  </w:footnote>
  <w:footnote w:id="157">
    <w:p w14:paraId="0C3B8938" w14:textId="279CF19B" w:rsidR="00F36CB2" w:rsidRPr="0037513D" w:rsidRDefault="00F36CB2" w:rsidP="00982077">
      <w:pPr>
        <w:pStyle w:val="FootnoteText"/>
        <w:spacing w:after="0" w:line="240" w:lineRule="auto"/>
        <w:contextualSpacing/>
        <w:jc w:val="both"/>
        <w:rPr>
          <w:rFonts w:ascii="Garamond" w:hAnsi="Garamond"/>
          <w:i/>
          <w:iCs/>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8A79F2" w:rsidRPr="0037513D">
        <w:rPr>
          <w:rFonts w:ascii="Garamond" w:hAnsi="Garamond"/>
          <w:i/>
          <w:iCs/>
          <w:sz w:val="18"/>
          <w:szCs w:val="18"/>
        </w:rPr>
        <w:t>See</w:t>
      </w:r>
      <w:r w:rsidR="008A79F2" w:rsidRPr="0037513D">
        <w:rPr>
          <w:rFonts w:ascii="Garamond" w:hAnsi="Garamond"/>
          <w:sz w:val="18"/>
          <w:szCs w:val="18"/>
        </w:rPr>
        <w:t xml:space="preserve"> </w:t>
      </w:r>
      <w:r w:rsidR="00A422FB" w:rsidRPr="0037513D">
        <w:rPr>
          <w:rFonts w:ascii="Garamond" w:hAnsi="Garamond"/>
          <w:sz w:val="18"/>
          <w:szCs w:val="18"/>
        </w:rPr>
        <w:t>A</w:t>
      </w:r>
      <w:r w:rsidR="008A79F2" w:rsidRPr="0037513D">
        <w:rPr>
          <w:rFonts w:ascii="Garamond" w:hAnsi="Garamond"/>
          <w:sz w:val="18"/>
          <w:szCs w:val="18"/>
        </w:rPr>
        <w:t>ppendix III</w:t>
      </w:r>
      <w:r w:rsidR="00A422FB" w:rsidRPr="0037513D">
        <w:rPr>
          <w:rFonts w:ascii="Garamond" w:hAnsi="Garamond"/>
          <w:sz w:val="18"/>
          <w:szCs w:val="18"/>
        </w:rPr>
        <w:t xml:space="preserve">, </w:t>
      </w:r>
      <w:r w:rsidR="00A422FB" w:rsidRPr="0037513D">
        <w:rPr>
          <w:rFonts w:ascii="Garamond" w:hAnsi="Garamond"/>
          <w:i/>
          <w:iCs/>
          <w:sz w:val="18"/>
          <w:szCs w:val="18"/>
        </w:rPr>
        <w:t xml:space="preserve">infra. </w:t>
      </w:r>
    </w:p>
  </w:footnote>
  <w:footnote w:id="158">
    <w:p w14:paraId="3FAB3270" w14:textId="77777777" w:rsidR="00711D18" w:rsidRPr="0037513D" w:rsidRDefault="00711D18" w:rsidP="00711D18">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Appendix I, </w:t>
      </w:r>
      <w:r w:rsidRPr="0037513D">
        <w:rPr>
          <w:rFonts w:ascii="Garamond" w:hAnsi="Garamond"/>
          <w:i/>
          <w:iCs/>
          <w:sz w:val="18"/>
          <w:szCs w:val="18"/>
        </w:rPr>
        <w:t xml:space="preserve">infra. </w:t>
      </w:r>
    </w:p>
  </w:footnote>
  <w:footnote w:id="159">
    <w:p w14:paraId="276E62AF" w14:textId="77777777" w:rsidR="00301165" w:rsidRPr="0037513D" w:rsidRDefault="00301165" w:rsidP="00301165">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Reece Rogers, </w:t>
      </w:r>
      <w:r w:rsidRPr="0037513D">
        <w:rPr>
          <w:rFonts w:ascii="Garamond" w:hAnsi="Garamond"/>
          <w:i/>
          <w:iCs/>
          <w:sz w:val="18"/>
          <w:szCs w:val="18"/>
        </w:rPr>
        <w:t xml:space="preserve">OpenAI Adds Shopping to ChatGPT in a Challenge to Google, </w:t>
      </w:r>
      <w:r w:rsidRPr="0037513D">
        <w:rPr>
          <w:rFonts w:ascii="Garamond" w:hAnsi="Garamond"/>
          <w:smallCaps/>
          <w:sz w:val="18"/>
          <w:szCs w:val="18"/>
        </w:rPr>
        <w:t>Wired</w:t>
      </w:r>
      <w:r w:rsidRPr="0037513D">
        <w:rPr>
          <w:rFonts w:ascii="Garamond" w:hAnsi="Garamond"/>
          <w:sz w:val="18"/>
          <w:szCs w:val="18"/>
        </w:rPr>
        <w:t xml:space="preserve"> (Apr. 20, 2025) (“There is one major difference between shopping through ChatGPT versus Google, for now: The results you see in OpenAI searches are not paid placements, but organic results. “They are not ads,” says Fry. “They are not sponsored.”).</w:t>
      </w:r>
    </w:p>
  </w:footnote>
  <w:footnote w:id="160">
    <w:p w14:paraId="79FAC59F" w14:textId="49254624" w:rsidR="00896AA2" w:rsidRPr="0037513D" w:rsidRDefault="00E2299D" w:rsidP="00896AA2">
      <w:pPr>
        <w:pStyle w:val="FootnoteText"/>
        <w:spacing w:after="0" w:line="240" w:lineRule="auto"/>
        <w:contextualSpacing/>
        <w:jc w:val="both"/>
        <w:rPr>
          <w:rFonts w:ascii="Garamond" w:hAnsi="Garamond"/>
          <w:i/>
          <w:iCs/>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w:t>
      </w:r>
      <w:r w:rsidR="00896AA2" w:rsidRPr="0037513D">
        <w:rPr>
          <w:rFonts w:ascii="Garamond" w:hAnsi="Garamond"/>
          <w:sz w:val="18"/>
          <w:szCs w:val="18"/>
        </w:rPr>
        <w:t xml:space="preserve">Andrea Giuffredi-Kähr, Alisa Petrova, &amp; Lucia Malär, </w:t>
      </w:r>
      <w:r w:rsidR="00896AA2" w:rsidRPr="0037513D">
        <w:rPr>
          <w:rFonts w:ascii="Garamond" w:hAnsi="Garamond"/>
          <w:i/>
          <w:iCs/>
          <w:sz w:val="18"/>
          <w:szCs w:val="18"/>
        </w:rPr>
        <w:t>Sponsorship Disclosure of Influencers – A Curse or a Blessing?</w:t>
      </w:r>
      <w:r w:rsidR="00896AA2" w:rsidRPr="0037513D">
        <w:rPr>
          <w:rFonts w:ascii="Garamond" w:hAnsi="Garamond"/>
          <w:sz w:val="18"/>
          <w:szCs w:val="18"/>
        </w:rPr>
        <w:t xml:space="preserve">, 57(1) </w:t>
      </w:r>
      <w:r w:rsidR="00896AA2" w:rsidRPr="0037513D">
        <w:rPr>
          <w:rFonts w:ascii="Garamond" w:hAnsi="Garamond" w:cstheme="majorBidi"/>
          <w:smallCaps/>
          <w:sz w:val="18"/>
          <w:szCs w:val="18"/>
        </w:rPr>
        <w:t>Journal of Interactive Marketing</w:t>
      </w:r>
      <w:r w:rsidR="00896AA2" w:rsidRPr="0037513D">
        <w:rPr>
          <w:rFonts w:ascii="Garamond" w:hAnsi="Garamond"/>
          <w:sz w:val="18"/>
          <w:szCs w:val="18"/>
        </w:rPr>
        <w:t>, 18, 19 (2022).</w:t>
      </w:r>
    </w:p>
  </w:footnote>
  <w:footnote w:id="161">
    <w:p w14:paraId="428828B0" w14:textId="32B3098C" w:rsidR="002239A2" w:rsidRPr="0037513D" w:rsidRDefault="002239A2" w:rsidP="00304A2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Posit Team</w:t>
      </w:r>
      <w:r w:rsidR="00693895" w:rsidRPr="0037513D">
        <w:rPr>
          <w:rFonts w:ascii="Garamond" w:hAnsi="Garamond"/>
          <w:sz w:val="18"/>
          <w:szCs w:val="18"/>
        </w:rPr>
        <w:t xml:space="preserve">, </w:t>
      </w:r>
      <w:r w:rsidRPr="0037513D">
        <w:rPr>
          <w:rFonts w:ascii="Garamond" w:hAnsi="Garamond"/>
          <w:sz w:val="18"/>
          <w:szCs w:val="18"/>
        </w:rPr>
        <w:t xml:space="preserve"> </w:t>
      </w:r>
      <w:r w:rsidRPr="0037513D">
        <w:rPr>
          <w:rFonts w:ascii="Garamond" w:hAnsi="Garamond"/>
          <w:i/>
          <w:iCs/>
          <w:sz w:val="18"/>
          <w:szCs w:val="18"/>
        </w:rPr>
        <w:t xml:space="preserve">RStudio: Integrated Development Environment for R. Posit </w:t>
      </w:r>
      <w:proofErr w:type="spellStart"/>
      <w:r w:rsidRPr="0037513D">
        <w:rPr>
          <w:rFonts w:ascii="Garamond" w:hAnsi="Garamond"/>
          <w:i/>
          <w:iCs/>
          <w:sz w:val="18"/>
          <w:szCs w:val="18"/>
        </w:rPr>
        <w:t>Softwre</w:t>
      </w:r>
      <w:proofErr w:type="spellEnd"/>
      <w:r w:rsidR="00693895" w:rsidRPr="0037513D">
        <w:rPr>
          <w:rFonts w:ascii="Garamond" w:hAnsi="Garamond"/>
          <w:i/>
          <w:iCs/>
          <w:sz w:val="18"/>
          <w:szCs w:val="18"/>
        </w:rPr>
        <w:t xml:space="preserve"> </w:t>
      </w:r>
      <w:r w:rsidR="00693895" w:rsidRPr="0037513D">
        <w:rPr>
          <w:rFonts w:ascii="Garamond" w:hAnsi="Garamond"/>
          <w:sz w:val="18"/>
          <w:szCs w:val="18"/>
        </w:rPr>
        <w:t xml:space="preserve"> (2024), </w:t>
      </w:r>
      <w:hyperlink r:id="rId33" w:history="1">
        <w:r w:rsidR="00693895" w:rsidRPr="0037513D">
          <w:rPr>
            <w:rStyle w:val="Hyperlink"/>
            <w:rFonts w:ascii="Garamond" w:hAnsi="Garamond"/>
            <w:sz w:val="18"/>
            <w:szCs w:val="18"/>
          </w:rPr>
          <w:t>http://www.posit.co/</w:t>
        </w:r>
      </w:hyperlink>
      <w:r w:rsidR="00693895" w:rsidRPr="0037513D">
        <w:rPr>
          <w:rFonts w:ascii="Garamond" w:hAnsi="Garamond"/>
          <w:sz w:val="18"/>
          <w:szCs w:val="18"/>
        </w:rPr>
        <w:t xml:space="preserve"> </w:t>
      </w:r>
    </w:p>
  </w:footnote>
  <w:footnote w:id="162">
    <w:p w14:paraId="7C8DBDE0" w14:textId="0E023234" w:rsidR="002239A2" w:rsidRPr="0037513D" w:rsidRDefault="002239A2"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Wickham, H., Averick, M., Bryan, J., Chang, W., McGowan, L., François, R., Grolemund, </w:t>
      </w:r>
      <w:proofErr w:type="spellStart"/>
      <w:r w:rsidRPr="0037513D">
        <w:rPr>
          <w:rFonts w:ascii="Garamond" w:hAnsi="Garamond"/>
          <w:sz w:val="18"/>
          <w:szCs w:val="18"/>
        </w:rPr>
        <w:t>G.,Hayes</w:t>
      </w:r>
      <w:proofErr w:type="spellEnd"/>
      <w:r w:rsidRPr="0037513D">
        <w:rPr>
          <w:rFonts w:ascii="Garamond" w:hAnsi="Garamond"/>
          <w:sz w:val="18"/>
          <w:szCs w:val="18"/>
        </w:rPr>
        <w:t xml:space="preserve">, A., Henry, L., Hester, J., Kuhn, M., Pedersen, T., Miller, E., Bache, S., Müller, </w:t>
      </w:r>
      <w:proofErr w:type="spellStart"/>
      <w:r w:rsidRPr="0037513D">
        <w:rPr>
          <w:rFonts w:ascii="Garamond" w:hAnsi="Garamond"/>
          <w:sz w:val="18"/>
          <w:szCs w:val="18"/>
        </w:rPr>
        <w:t>K.,Ooms</w:t>
      </w:r>
      <w:proofErr w:type="spellEnd"/>
      <w:r w:rsidRPr="0037513D">
        <w:rPr>
          <w:rFonts w:ascii="Garamond" w:hAnsi="Garamond"/>
          <w:sz w:val="18"/>
          <w:szCs w:val="18"/>
        </w:rPr>
        <w:t>, J., Robinson, D., Seidel, D., Spinu, V., … Yutani, H.</w:t>
      </w:r>
      <w:r w:rsidR="00B52D48" w:rsidRPr="0037513D">
        <w:rPr>
          <w:rFonts w:ascii="Garamond" w:hAnsi="Garamond"/>
          <w:sz w:val="18"/>
          <w:szCs w:val="18"/>
        </w:rPr>
        <w:t>,</w:t>
      </w:r>
      <w:r w:rsidRPr="0037513D">
        <w:rPr>
          <w:rFonts w:ascii="Garamond" w:hAnsi="Garamond"/>
          <w:sz w:val="18"/>
          <w:szCs w:val="18"/>
        </w:rPr>
        <w:t xml:space="preserve"> </w:t>
      </w:r>
      <w:r w:rsidRPr="0037513D">
        <w:rPr>
          <w:rFonts w:ascii="Garamond" w:hAnsi="Garamond"/>
          <w:i/>
          <w:iCs/>
          <w:sz w:val="18"/>
          <w:szCs w:val="18"/>
        </w:rPr>
        <w:t xml:space="preserve">Welcome to the </w:t>
      </w:r>
      <w:proofErr w:type="spellStart"/>
      <w:r w:rsidRPr="0037513D">
        <w:rPr>
          <w:rFonts w:ascii="Garamond" w:hAnsi="Garamond"/>
          <w:i/>
          <w:iCs/>
          <w:sz w:val="18"/>
          <w:szCs w:val="18"/>
        </w:rPr>
        <w:t>Tidyverse</w:t>
      </w:r>
      <w:proofErr w:type="spellEnd"/>
      <w:r w:rsidRPr="0037513D">
        <w:rPr>
          <w:rFonts w:ascii="Garamond" w:hAnsi="Garamond"/>
          <w:i/>
          <w:iCs/>
          <w:sz w:val="18"/>
          <w:szCs w:val="18"/>
        </w:rPr>
        <w:t xml:space="preserve">. </w:t>
      </w:r>
      <w:r w:rsidR="00B52D48" w:rsidRPr="0037513D">
        <w:rPr>
          <w:rFonts w:ascii="Garamond" w:hAnsi="Garamond"/>
          <w:sz w:val="18"/>
          <w:szCs w:val="18"/>
        </w:rPr>
        <w:t xml:space="preserve">4(43) </w:t>
      </w:r>
      <w:r w:rsidRPr="0037513D">
        <w:rPr>
          <w:rFonts w:ascii="Garamond" w:hAnsi="Garamond"/>
          <w:smallCaps/>
          <w:sz w:val="18"/>
          <w:szCs w:val="18"/>
        </w:rPr>
        <w:t>Journal of Open-Source Software,</w:t>
      </w:r>
      <w:r w:rsidRPr="0037513D">
        <w:rPr>
          <w:rFonts w:ascii="Garamond" w:hAnsi="Garamond"/>
          <w:sz w:val="18"/>
          <w:szCs w:val="18"/>
        </w:rPr>
        <w:t xml:space="preserve"> 1686</w:t>
      </w:r>
      <w:r w:rsidR="00B52D48" w:rsidRPr="0037513D">
        <w:rPr>
          <w:rFonts w:ascii="Garamond" w:hAnsi="Garamond"/>
          <w:sz w:val="18"/>
          <w:szCs w:val="18"/>
        </w:rPr>
        <w:t xml:space="preserve"> (2019)</w:t>
      </w:r>
      <w:r w:rsidRPr="0037513D">
        <w:rPr>
          <w:rFonts w:ascii="Garamond" w:hAnsi="Garamond"/>
          <w:sz w:val="18"/>
          <w:szCs w:val="18"/>
        </w:rPr>
        <w:t xml:space="preserve"> https://doi.org/10.21105/joss.01686</w:t>
      </w:r>
    </w:p>
  </w:footnote>
  <w:footnote w:id="163">
    <w:p w14:paraId="64BA47B0" w14:textId="2B85EDA7" w:rsidR="002239A2" w:rsidRPr="0037513D" w:rsidRDefault="002239A2" w:rsidP="00982077">
      <w:pPr>
        <w:pStyle w:val="FootnoteText"/>
        <w:spacing w:after="0" w:line="240" w:lineRule="auto"/>
        <w:contextualSpacing/>
        <w:jc w:val="both"/>
        <w:rPr>
          <w:rFonts w:ascii="Garamond" w:hAnsi="Garamond"/>
          <w:sz w:val="18"/>
          <w:szCs w:val="18"/>
          <w:rtl/>
          <w:lang w:bidi="he-IL"/>
        </w:rPr>
      </w:pPr>
      <w:r w:rsidRPr="0037513D">
        <w:rPr>
          <w:rStyle w:val="FootnoteReference"/>
          <w:rFonts w:ascii="Garamond" w:hAnsi="Garamond"/>
          <w:sz w:val="18"/>
          <w:szCs w:val="18"/>
        </w:rPr>
        <w:footnoteRef/>
      </w:r>
      <w:r w:rsidRPr="0037513D">
        <w:rPr>
          <w:rFonts w:ascii="Garamond" w:hAnsi="Garamond"/>
          <w:sz w:val="18"/>
          <w:szCs w:val="18"/>
        </w:rPr>
        <w:t xml:space="preserve"> Lenth, R. V. </w:t>
      </w:r>
      <w:proofErr w:type="spellStart"/>
      <w:r w:rsidRPr="0037513D">
        <w:rPr>
          <w:rFonts w:ascii="Garamond" w:hAnsi="Garamond"/>
          <w:i/>
          <w:iCs/>
          <w:sz w:val="18"/>
          <w:szCs w:val="18"/>
        </w:rPr>
        <w:t>emmeans</w:t>
      </w:r>
      <w:proofErr w:type="spellEnd"/>
      <w:r w:rsidRPr="0037513D">
        <w:rPr>
          <w:rFonts w:ascii="Garamond" w:hAnsi="Garamond"/>
          <w:i/>
          <w:iCs/>
          <w:sz w:val="18"/>
          <w:szCs w:val="18"/>
        </w:rPr>
        <w:t>: Estimated Marginal Means, aka Least-Squares Means: Vol. Version 1.10.6</w:t>
      </w:r>
      <w:r w:rsidRPr="0037513D">
        <w:rPr>
          <w:rFonts w:ascii="Garamond" w:hAnsi="Garamond"/>
          <w:sz w:val="18"/>
          <w:szCs w:val="18"/>
        </w:rPr>
        <w:t xml:space="preserve">. </w:t>
      </w:r>
      <w:r w:rsidR="009C4D3E" w:rsidRPr="0037513D">
        <w:rPr>
          <w:rFonts w:ascii="Garamond" w:hAnsi="Garamond"/>
          <w:sz w:val="18"/>
          <w:szCs w:val="18"/>
        </w:rPr>
        <w:t xml:space="preserve"> (2024) </w:t>
      </w:r>
      <w:hyperlink r:id="rId34" w:history="1">
        <w:r w:rsidR="009C4D3E" w:rsidRPr="0037513D">
          <w:rPr>
            <w:rStyle w:val="Hyperlink"/>
            <w:rFonts w:ascii="Garamond" w:hAnsi="Garamond"/>
            <w:sz w:val="18"/>
            <w:szCs w:val="18"/>
          </w:rPr>
          <w:t>https://doi.org/10.32614/CRAN.package.emmeans</w:t>
        </w:r>
      </w:hyperlink>
    </w:p>
  </w:footnote>
  <w:footnote w:id="164">
    <w:p w14:paraId="247D2B3B" w14:textId="21892D3F" w:rsidR="00304A2F" w:rsidRPr="0037513D" w:rsidRDefault="00304A2F" w:rsidP="00304A2F">
      <w:pPr>
        <w:pStyle w:val="FootnoteText"/>
        <w:spacing w:after="0" w:line="240" w:lineRule="auto"/>
        <w:contextualSpacing/>
        <w:jc w:val="both"/>
        <w:rPr>
          <w:rFonts w:ascii="Garamond" w:hAnsi="Garamond"/>
          <w:i/>
          <w:iCs/>
          <w:sz w:val="18"/>
          <w:szCs w:val="18"/>
          <w:rtl/>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Figures 1 and 4, </w:t>
      </w:r>
      <w:r w:rsidRPr="0037513D">
        <w:rPr>
          <w:rFonts w:ascii="Garamond" w:hAnsi="Garamond"/>
          <w:i/>
          <w:iCs/>
          <w:sz w:val="18"/>
          <w:szCs w:val="18"/>
        </w:rPr>
        <w:t xml:space="preserve">Supra. </w:t>
      </w:r>
      <w:r w:rsidR="0057788C" w:rsidRPr="0037513D">
        <w:rPr>
          <w:rFonts w:ascii="Garamond" w:hAnsi="Garamond" w:cstheme="majorBidi"/>
          <w:sz w:val="18"/>
          <w:szCs w:val="18"/>
          <w:lang w:bidi="he-IL"/>
        </w:rPr>
        <w:t xml:space="preserve">As expected, findings also demonstrate that advertising recognition increases consumers’ awareness of its influence. </w:t>
      </w:r>
      <w:r w:rsidR="0057788C" w:rsidRPr="0037513D">
        <w:rPr>
          <w:rFonts w:ascii="Garamond" w:hAnsi="Garamond" w:cstheme="majorBidi"/>
          <w:i/>
          <w:iCs/>
          <w:sz w:val="18"/>
          <w:szCs w:val="18"/>
          <w:lang w:bidi="he-IL"/>
        </w:rPr>
        <w:t xml:space="preserve">See </w:t>
      </w:r>
      <w:r w:rsidR="0057788C" w:rsidRPr="0037513D">
        <w:rPr>
          <w:rFonts w:ascii="Garamond" w:hAnsi="Garamond" w:cstheme="majorBidi"/>
          <w:sz w:val="18"/>
          <w:szCs w:val="18"/>
          <w:lang w:bidi="he-IL"/>
        </w:rPr>
        <w:t xml:space="preserve">Figure S1, in Appendix IV, </w:t>
      </w:r>
      <w:r w:rsidR="0057788C" w:rsidRPr="0037513D">
        <w:rPr>
          <w:rFonts w:ascii="Garamond" w:hAnsi="Garamond" w:cstheme="majorBidi"/>
          <w:i/>
          <w:iCs/>
          <w:sz w:val="18"/>
          <w:szCs w:val="18"/>
          <w:lang w:bidi="he-IL"/>
        </w:rPr>
        <w:t>infra.</w:t>
      </w:r>
    </w:p>
  </w:footnote>
  <w:footnote w:id="165">
    <w:p w14:paraId="081DD7F5" w14:textId="77777777" w:rsidR="00F4749E" w:rsidRPr="0037513D" w:rsidRDefault="00F4749E" w:rsidP="00F4749E">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Style w:val="FootnoteReference"/>
          <w:rFonts w:ascii="Garamond" w:hAnsi="Garamond"/>
          <w:sz w:val="18"/>
          <w:szCs w:val="18"/>
        </w:rPr>
        <w:t xml:space="preserve"> </w:t>
      </w:r>
      <w:r w:rsidRPr="0037513D">
        <w:rPr>
          <w:rFonts w:ascii="Garamond" w:hAnsi="Garamond"/>
          <w:i/>
          <w:iCs/>
          <w:sz w:val="18"/>
          <w:szCs w:val="18"/>
        </w:rPr>
        <w:t xml:space="preserve">See generally </w:t>
      </w:r>
      <w:r w:rsidRPr="0037513D">
        <w:rPr>
          <w:rFonts w:ascii="Garamond" w:eastAsia="Times New Roman" w:hAnsi="Garamond"/>
          <w:sz w:val="18"/>
          <w:szCs w:val="18"/>
        </w:rPr>
        <w:t>Hoofnagle &amp;</w:t>
      </w:r>
      <w:r w:rsidRPr="0037513D">
        <w:rPr>
          <w:rFonts w:ascii="Garamond" w:hAnsi="Garamond"/>
          <w:sz w:val="18"/>
          <w:szCs w:val="18"/>
        </w:rPr>
        <w:t xml:space="preserve"> </w:t>
      </w:r>
      <w:proofErr w:type="spellStart"/>
      <w:r w:rsidRPr="0037513D">
        <w:rPr>
          <w:rFonts w:ascii="Garamond" w:eastAsia="Times New Roman" w:hAnsi="Garamond"/>
          <w:sz w:val="18"/>
          <w:szCs w:val="18"/>
        </w:rPr>
        <w:t>Meleshinsky</w:t>
      </w:r>
      <w:proofErr w:type="spellEnd"/>
      <w:r w:rsidRPr="0037513D">
        <w:rPr>
          <w:rFonts w:ascii="Garamond" w:hAnsi="Garamond"/>
          <w:sz w:val="18"/>
          <w:szCs w:val="18"/>
        </w:rPr>
        <w:t xml:space="preserve">, </w:t>
      </w:r>
      <w:r w:rsidRPr="0037513D">
        <w:rPr>
          <w:rFonts w:ascii="Garamond" w:eastAsia="Times New Roman" w:hAnsi="Garamond" w:cs="Times New Roman"/>
          <w:i/>
          <w:iCs/>
          <w:color w:val="000000"/>
          <w:kern w:val="0"/>
          <w:sz w:val="18"/>
          <w:szCs w:val="18"/>
          <w14:ligatures w14:val="none"/>
        </w:rPr>
        <w:t>supra</w:t>
      </w:r>
      <w:r w:rsidRPr="0037513D">
        <w:rPr>
          <w:rFonts w:ascii="Garamond" w:eastAsia="Times New Roman" w:hAnsi="Garamond" w:cs="Times New Roman"/>
          <w:i/>
          <w:iCs/>
          <w:color w:val="000000"/>
          <w:kern w:val="0"/>
          <w:sz w:val="18"/>
          <w:szCs w:val="18"/>
          <w:rtl/>
          <w14:ligatures w14:val="none"/>
        </w:rPr>
        <w:t> </w:t>
      </w:r>
      <w:r w:rsidRPr="0037513D">
        <w:rPr>
          <w:rFonts w:ascii="Garamond" w:eastAsia="Times New Roman" w:hAnsi="Garamond" w:cs="Times New Roman"/>
          <w:color w:val="000000"/>
          <w:kern w:val="0"/>
          <w:sz w:val="18"/>
          <w:szCs w:val="18"/>
          <w14:ligatures w14:val="none"/>
        </w:rPr>
        <w:t>note</w:t>
      </w:r>
      <w:r w:rsidRPr="0037513D">
        <w:rPr>
          <w:rFonts w:ascii="Garamond" w:eastAsia="Times New Roman" w:hAnsi="Garamond" w:cs="Times New Roman"/>
          <w:color w:val="000000"/>
          <w:kern w:val="0"/>
          <w:sz w:val="18"/>
          <w:szCs w:val="18"/>
          <w:shd w:val="clear" w:color="auto" w:fill="FFFF00"/>
          <w14:ligatures w14:val="none"/>
        </w:rPr>
        <w:t xml:space="preserve">  </w:t>
      </w:r>
      <w:r w:rsidRPr="0037513D">
        <w:rPr>
          <w:rFonts w:ascii="Garamond" w:eastAsia="Times New Roman" w:hAnsi="Garamond" w:cs="Times New Roman"/>
          <w:color w:val="000000"/>
          <w:kern w:val="0"/>
          <w:sz w:val="18"/>
          <w:szCs w:val="18"/>
          <w14:ligatures w14:val="none"/>
        </w:rPr>
        <w:fldChar w:fldCharType="begin"/>
      </w:r>
      <w:r w:rsidRPr="0037513D">
        <w:rPr>
          <w:rFonts w:ascii="Garamond" w:eastAsia="Times New Roman" w:hAnsi="Garamond" w:cs="Times New Roman"/>
          <w:color w:val="000000"/>
          <w:kern w:val="0"/>
          <w:sz w:val="18"/>
          <w:szCs w:val="18"/>
          <w14:ligatures w14:val="none"/>
        </w:rPr>
        <w:instrText xml:space="preserve"> NOTEREF _Ref214374373 \h  \* MERGEFORMAT </w:instrText>
      </w:r>
      <w:r w:rsidRPr="0037513D">
        <w:rPr>
          <w:rFonts w:ascii="Garamond" w:eastAsia="Times New Roman" w:hAnsi="Garamond" w:cs="Times New Roman"/>
          <w:color w:val="000000"/>
          <w:kern w:val="0"/>
          <w:sz w:val="18"/>
          <w:szCs w:val="18"/>
          <w14:ligatures w14:val="none"/>
        </w:rPr>
      </w:r>
      <w:r w:rsidRPr="0037513D">
        <w:rPr>
          <w:rFonts w:ascii="Garamond" w:eastAsia="Times New Roman" w:hAnsi="Garamond" w:cs="Times New Roman"/>
          <w:color w:val="000000"/>
          <w:kern w:val="0"/>
          <w:sz w:val="18"/>
          <w:szCs w:val="18"/>
          <w14:ligatures w14:val="none"/>
        </w:rPr>
        <w:fldChar w:fldCharType="separate"/>
      </w:r>
      <w:r w:rsidRPr="0037513D">
        <w:rPr>
          <w:rFonts w:ascii="Garamond" w:eastAsia="Times New Roman" w:hAnsi="Garamond" w:cs="Times New Roman"/>
          <w:color w:val="000000"/>
          <w:kern w:val="0"/>
          <w:sz w:val="18"/>
          <w:szCs w:val="18"/>
          <w14:ligatures w14:val="none"/>
        </w:rPr>
        <w:t>40</w:t>
      </w:r>
      <w:r w:rsidRPr="0037513D">
        <w:rPr>
          <w:rFonts w:ascii="Garamond" w:eastAsia="Times New Roman" w:hAnsi="Garamond" w:cs="Times New Roman"/>
          <w:color w:val="000000"/>
          <w:kern w:val="0"/>
          <w:sz w:val="18"/>
          <w:szCs w:val="18"/>
          <w14:ligatures w14:val="none"/>
        </w:rPr>
        <w:fldChar w:fldCharType="end"/>
      </w:r>
      <w:r w:rsidRPr="0037513D">
        <w:rPr>
          <w:rFonts w:ascii="Garamond" w:hAnsi="Garamond"/>
          <w:color w:val="000000"/>
          <w:sz w:val="18"/>
          <w:szCs w:val="18"/>
          <w:shd w:val="clear" w:color="auto" w:fill="FFFF00"/>
        </w:rPr>
        <w:t xml:space="preserve">, </w:t>
      </w:r>
      <w:r w:rsidRPr="0037513D">
        <w:rPr>
          <w:rFonts w:ascii="Garamond" w:eastAsia="Times New Roman" w:hAnsi="Garamond" w:cs="Times New Roman"/>
          <w:color w:val="000000"/>
          <w:kern w:val="0"/>
          <w:sz w:val="18"/>
          <w:szCs w:val="18"/>
          <w14:ligatures w14:val="none"/>
        </w:rPr>
        <w:t>at</w:t>
      </w:r>
      <w:r w:rsidRPr="0037513D">
        <w:rPr>
          <w:rFonts w:ascii="Garamond" w:hAnsi="Garamond"/>
          <w:color w:val="000000" w:themeColor="text1"/>
          <w:sz w:val="18"/>
          <w:szCs w:val="18"/>
        </w:rPr>
        <w:t xml:space="preserve"> 5.</w:t>
      </w:r>
      <w:r w:rsidRPr="0037513D">
        <w:rPr>
          <w:rFonts w:ascii="Garamond" w:hAnsi="Garamond"/>
          <w:sz w:val="18"/>
          <w:szCs w:val="18"/>
          <w:rtl/>
          <w:lang w:bidi="he-IL"/>
        </w:rPr>
        <w:t xml:space="preserve"> </w:t>
      </w:r>
      <w:r w:rsidRPr="0037513D">
        <w:rPr>
          <w:rFonts w:ascii="Garamond" w:hAnsi="Garamond"/>
          <w:sz w:val="18"/>
          <w:szCs w:val="18"/>
        </w:rPr>
        <w:t xml:space="preserve">Many previous studies revealed a relationship between recognition of native advertising via passive disclosures and counterarguing. </w:t>
      </w:r>
      <w:r w:rsidRPr="0037513D">
        <w:rPr>
          <w:rFonts w:ascii="Garamond" w:hAnsi="Garamond"/>
          <w:i/>
          <w:iCs/>
          <w:sz w:val="18"/>
          <w:szCs w:val="18"/>
        </w:rPr>
        <w:t xml:space="preserve">See e.g., </w:t>
      </w:r>
      <w:r w:rsidRPr="0037513D">
        <w:rPr>
          <w:rFonts w:ascii="Garamond" w:hAnsi="Garamond"/>
          <w:sz w:val="18"/>
          <w:szCs w:val="18"/>
        </w:rPr>
        <w:t xml:space="preserve">Amazeen, M. A., &amp; Bucy, E. P., </w:t>
      </w:r>
      <w:r w:rsidRPr="0037513D">
        <w:rPr>
          <w:rFonts w:ascii="Garamond" w:hAnsi="Garamond"/>
          <w:i/>
          <w:iCs/>
          <w:sz w:val="18"/>
          <w:szCs w:val="18"/>
        </w:rPr>
        <w:t xml:space="preserve">Conferring resistance to digital disinformation: The inoculating influence of procedural news knowledge, </w:t>
      </w:r>
      <w:r w:rsidRPr="0037513D">
        <w:rPr>
          <w:rFonts w:ascii="Garamond" w:hAnsi="Garamond"/>
          <w:smallCaps/>
          <w:sz w:val="18"/>
          <w:szCs w:val="18"/>
        </w:rPr>
        <w:t>Journal of Broadcasting &amp; Electronic Media,</w:t>
      </w:r>
      <w:r w:rsidRPr="0037513D">
        <w:rPr>
          <w:rFonts w:ascii="Garamond" w:hAnsi="Garamond"/>
          <w:sz w:val="18"/>
          <w:szCs w:val="18"/>
        </w:rPr>
        <w:t xml:space="preserve"> 63(3), 415–432 (2019); </w:t>
      </w:r>
      <w:r w:rsidRPr="0037513D">
        <w:rPr>
          <w:rStyle w:val="Strong"/>
          <w:rFonts w:ascii="Garamond" w:hAnsi="Garamond"/>
          <w:b w:val="0"/>
          <w:bCs w:val="0"/>
          <w:sz w:val="18"/>
          <w:szCs w:val="18"/>
        </w:rPr>
        <w:t xml:space="preserve">Amazeen &amp; Bartosz W. Wojdynski, </w:t>
      </w:r>
      <w:r w:rsidRPr="0037513D">
        <w:rPr>
          <w:rStyle w:val="Strong"/>
          <w:rFonts w:ascii="Garamond" w:hAnsi="Garamond"/>
          <w:b w:val="0"/>
          <w:bCs w:val="0"/>
          <w:i/>
          <w:iCs/>
          <w:sz w:val="18"/>
          <w:szCs w:val="18"/>
        </w:rPr>
        <w:t xml:space="preserve">supra </w:t>
      </w:r>
      <w:r w:rsidRPr="0037513D">
        <w:rPr>
          <w:rStyle w:val="Strong"/>
          <w:rFonts w:ascii="Garamond" w:hAnsi="Garamond"/>
          <w:b w:val="0"/>
          <w:bCs w:val="0"/>
          <w:sz w:val="18"/>
          <w:szCs w:val="18"/>
        </w:rPr>
        <w:t xml:space="preserve">note </w:t>
      </w:r>
      <w:r w:rsidRPr="0037513D">
        <w:rPr>
          <w:rStyle w:val="Strong"/>
          <w:rFonts w:ascii="Garamond" w:hAnsi="Garamond"/>
          <w:b w:val="0"/>
          <w:bCs w:val="0"/>
          <w:sz w:val="18"/>
          <w:szCs w:val="18"/>
        </w:rPr>
        <w:fldChar w:fldCharType="begin"/>
      </w:r>
      <w:r w:rsidRPr="0037513D">
        <w:rPr>
          <w:rStyle w:val="Strong"/>
          <w:rFonts w:ascii="Garamond" w:hAnsi="Garamond"/>
          <w:b w:val="0"/>
          <w:bCs w:val="0"/>
          <w:sz w:val="18"/>
          <w:szCs w:val="18"/>
        </w:rPr>
        <w:instrText xml:space="preserve"> NOTEREF _Ref214554592 \h  \* MERGEFORMAT </w:instrText>
      </w:r>
      <w:r w:rsidRPr="0037513D">
        <w:rPr>
          <w:rStyle w:val="Strong"/>
          <w:rFonts w:ascii="Garamond" w:hAnsi="Garamond"/>
          <w:b w:val="0"/>
          <w:bCs w:val="0"/>
          <w:sz w:val="18"/>
          <w:szCs w:val="18"/>
        </w:rPr>
      </w:r>
      <w:r w:rsidRPr="0037513D">
        <w:rPr>
          <w:rStyle w:val="Strong"/>
          <w:rFonts w:ascii="Garamond" w:hAnsi="Garamond"/>
          <w:b w:val="0"/>
          <w:bCs w:val="0"/>
          <w:sz w:val="18"/>
          <w:szCs w:val="18"/>
        </w:rPr>
        <w:fldChar w:fldCharType="separate"/>
      </w:r>
      <w:r w:rsidRPr="0037513D">
        <w:rPr>
          <w:rStyle w:val="Strong"/>
          <w:rFonts w:ascii="Garamond" w:hAnsi="Garamond"/>
          <w:b w:val="0"/>
          <w:bCs w:val="0"/>
          <w:sz w:val="18"/>
          <w:szCs w:val="18"/>
        </w:rPr>
        <w:t>121</w:t>
      </w:r>
      <w:r w:rsidRPr="0037513D">
        <w:rPr>
          <w:rStyle w:val="Strong"/>
          <w:rFonts w:ascii="Garamond" w:hAnsi="Garamond"/>
          <w:b w:val="0"/>
          <w:bCs w:val="0"/>
          <w:sz w:val="18"/>
          <w:szCs w:val="18"/>
        </w:rPr>
        <w:fldChar w:fldCharType="end"/>
      </w:r>
      <w:r w:rsidRPr="0037513D">
        <w:rPr>
          <w:rStyle w:val="Strong"/>
          <w:rFonts w:ascii="Garamond" w:hAnsi="Garamond"/>
          <w:b w:val="0"/>
          <w:bCs w:val="0"/>
          <w:sz w:val="18"/>
          <w:szCs w:val="18"/>
        </w:rPr>
        <w:t xml:space="preserve"> at 222–247.</w:t>
      </w:r>
    </w:p>
  </w:footnote>
  <w:footnote w:id="166">
    <w:p w14:paraId="081080D7" w14:textId="575DB118" w:rsidR="002532A3" w:rsidRPr="0037513D" w:rsidRDefault="002203DA"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253A63" w:rsidRPr="0037513D">
        <w:rPr>
          <w:rFonts w:ascii="Garamond" w:hAnsi="Garamond"/>
          <w:sz w:val="18"/>
          <w:szCs w:val="18"/>
        </w:rPr>
        <w:t>Michelle A.</w:t>
      </w:r>
      <w:r w:rsidRPr="0037513D">
        <w:rPr>
          <w:rFonts w:ascii="Garamond" w:hAnsi="Garamond"/>
          <w:sz w:val="18"/>
          <w:szCs w:val="18"/>
        </w:rPr>
        <w:t xml:space="preserve"> Amazeen &amp;</w:t>
      </w:r>
      <w:r w:rsidR="00253A63" w:rsidRPr="0037513D">
        <w:rPr>
          <w:rFonts w:ascii="Garamond" w:hAnsi="Garamond"/>
          <w:sz w:val="18"/>
          <w:szCs w:val="18"/>
        </w:rPr>
        <w:t xml:space="preserve"> Bartosz W.</w:t>
      </w:r>
      <w:r w:rsidRPr="0037513D">
        <w:rPr>
          <w:rFonts w:ascii="Garamond" w:hAnsi="Garamond"/>
          <w:sz w:val="18"/>
          <w:szCs w:val="18"/>
        </w:rPr>
        <w:t xml:space="preserve"> Wojdynski</w:t>
      </w:r>
      <w:r w:rsidR="00F526C0" w:rsidRPr="0037513D">
        <w:rPr>
          <w:rFonts w:ascii="Garamond" w:hAnsi="Garamond"/>
          <w:sz w:val="18"/>
          <w:szCs w:val="18"/>
        </w:rPr>
        <w:t xml:space="preserve">, </w:t>
      </w:r>
      <w:r w:rsidR="00F526C0" w:rsidRPr="0037513D">
        <w:rPr>
          <w:rFonts w:ascii="Garamond" w:hAnsi="Garamond"/>
          <w:i/>
          <w:iCs/>
          <w:sz w:val="18"/>
          <w:szCs w:val="18"/>
        </w:rPr>
        <w:t>The effects of disclosure format on native advertising recognition and audience perceptions of legacy and online news publishers</w:t>
      </w:r>
      <w:r w:rsidR="000233C2" w:rsidRPr="0037513D">
        <w:rPr>
          <w:rFonts w:ascii="Garamond" w:hAnsi="Garamond"/>
          <w:sz w:val="18"/>
          <w:szCs w:val="18"/>
        </w:rPr>
        <w:t xml:space="preserve">, </w:t>
      </w:r>
      <w:r w:rsidR="007E3B3D" w:rsidRPr="0037513D">
        <w:rPr>
          <w:rFonts w:ascii="Garamond" w:hAnsi="Garamond"/>
          <w:sz w:val="18"/>
          <w:szCs w:val="18"/>
        </w:rPr>
        <w:t xml:space="preserve">21(12) </w:t>
      </w:r>
      <w:r w:rsidR="007E3B3D" w:rsidRPr="0037513D">
        <w:rPr>
          <w:rFonts w:ascii="Garamond" w:hAnsi="Garamond"/>
          <w:smallCaps/>
          <w:sz w:val="18"/>
          <w:szCs w:val="18"/>
        </w:rPr>
        <w:t>Journalism</w:t>
      </w:r>
      <w:r w:rsidR="007E3B3D" w:rsidRPr="0037513D">
        <w:rPr>
          <w:rFonts w:ascii="Garamond" w:hAnsi="Garamond"/>
          <w:sz w:val="18"/>
          <w:szCs w:val="18"/>
        </w:rPr>
        <w:t xml:space="preserve"> 1965</w:t>
      </w:r>
      <w:r w:rsidR="007603D5" w:rsidRPr="0037513D">
        <w:rPr>
          <w:rFonts w:ascii="Garamond" w:hAnsi="Garamond"/>
          <w:sz w:val="18"/>
          <w:szCs w:val="18"/>
        </w:rPr>
        <w:t xml:space="preserve">, 1973 </w:t>
      </w:r>
      <w:r w:rsidR="000233C2" w:rsidRPr="0037513D">
        <w:rPr>
          <w:rFonts w:ascii="Garamond" w:hAnsi="Garamond"/>
          <w:sz w:val="18"/>
          <w:szCs w:val="18"/>
        </w:rPr>
        <w:t>(</w:t>
      </w:r>
      <w:r w:rsidR="007E3B3D" w:rsidRPr="0037513D">
        <w:rPr>
          <w:rFonts w:ascii="Garamond" w:hAnsi="Garamond"/>
          <w:sz w:val="18"/>
          <w:szCs w:val="18"/>
        </w:rPr>
        <w:t>2018</w:t>
      </w:r>
      <w:r w:rsidR="000233C2" w:rsidRPr="0037513D">
        <w:rPr>
          <w:rFonts w:ascii="Garamond" w:hAnsi="Garamond"/>
          <w:sz w:val="18"/>
          <w:szCs w:val="18"/>
        </w:rPr>
        <w:t xml:space="preserve">) </w:t>
      </w:r>
      <w:r w:rsidR="000A548C" w:rsidRPr="0037513D">
        <w:rPr>
          <w:rFonts w:ascii="Garamond" w:hAnsi="Garamond"/>
          <w:sz w:val="18"/>
          <w:szCs w:val="18"/>
        </w:rPr>
        <w:t>(“Among participants in the native advertising conditions, only 9 percent recognized the content as advertising.”)</w:t>
      </w:r>
      <w:r w:rsidR="007603D5" w:rsidRPr="0037513D">
        <w:rPr>
          <w:rFonts w:ascii="Garamond" w:hAnsi="Garamond"/>
          <w:sz w:val="18"/>
          <w:szCs w:val="18"/>
        </w:rPr>
        <w:t>;</w:t>
      </w:r>
      <w:r w:rsidR="00E83C14" w:rsidRPr="0037513D">
        <w:rPr>
          <w:rFonts w:ascii="Garamond" w:hAnsi="Garamond"/>
          <w:sz w:val="18"/>
          <w:szCs w:val="18"/>
        </w:rPr>
        <w:t xml:space="preserve"> </w:t>
      </w:r>
      <w:r w:rsidR="00CF4B9B" w:rsidRPr="0037513D">
        <w:rPr>
          <w:rFonts w:ascii="Garamond" w:hAnsi="Garamond"/>
          <w:sz w:val="18"/>
          <w:szCs w:val="18"/>
        </w:rPr>
        <w:t xml:space="preserve">Michelle A. Amazeen, </w:t>
      </w:r>
      <w:r w:rsidR="00CF4B9B" w:rsidRPr="0037513D">
        <w:rPr>
          <w:rFonts w:ascii="Garamond" w:hAnsi="Garamond"/>
          <w:i/>
          <w:iCs/>
          <w:sz w:val="18"/>
          <w:szCs w:val="18"/>
        </w:rPr>
        <w:t>Resisting Covert Persuasion in Digital News: Comparing Inoculation and Reactance in the Processing of Native Advertising Disclosures and in Article Engagement Intentions</w:t>
      </w:r>
      <w:r w:rsidR="00E83C14" w:rsidRPr="0037513D">
        <w:rPr>
          <w:rFonts w:ascii="Garamond" w:hAnsi="Garamond"/>
          <w:sz w:val="18"/>
          <w:szCs w:val="18"/>
        </w:rPr>
        <w:t xml:space="preserve">, </w:t>
      </w:r>
      <w:r w:rsidR="00D5093E" w:rsidRPr="0037513D">
        <w:rPr>
          <w:rFonts w:ascii="Garamond" w:hAnsi="Garamond"/>
          <w:sz w:val="18"/>
          <w:szCs w:val="18"/>
        </w:rPr>
        <w:t>98(4)</w:t>
      </w:r>
      <w:r w:rsidR="00D5093E" w:rsidRPr="0037513D">
        <w:rPr>
          <w:rFonts w:ascii="Garamond" w:hAnsi="Garamond"/>
          <w:smallCaps/>
          <w:sz w:val="18"/>
          <w:szCs w:val="18"/>
        </w:rPr>
        <w:t xml:space="preserve"> </w:t>
      </w:r>
      <w:r w:rsidR="002532A3" w:rsidRPr="0037513D">
        <w:rPr>
          <w:rFonts w:ascii="Garamond" w:hAnsi="Garamond"/>
          <w:smallCaps/>
          <w:sz w:val="18"/>
          <w:szCs w:val="18"/>
        </w:rPr>
        <w:t>Journalism &amp; Mass Communication Quarterly</w:t>
      </w:r>
      <w:r w:rsidR="002532A3" w:rsidRPr="0037513D">
        <w:rPr>
          <w:rFonts w:ascii="Garamond" w:hAnsi="Garamond"/>
          <w:sz w:val="18"/>
          <w:szCs w:val="18"/>
        </w:rPr>
        <w:t xml:space="preserve"> </w:t>
      </w:r>
      <w:r w:rsidR="00D5093E" w:rsidRPr="0037513D">
        <w:rPr>
          <w:rFonts w:ascii="Garamond" w:hAnsi="Garamond"/>
          <w:sz w:val="18"/>
          <w:szCs w:val="18"/>
        </w:rPr>
        <w:t xml:space="preserve">1129, </w:t>
      </w:r>
      <w:r w:rsidR="00E22D2D" w:rsidRPr="0037513D">
        <w:rPr>
          <w:rFonts w:ascii="Garamond" w:hAnsi="Garamond"/>
          <w:sz w:val="18"/>
          <w:szCs w:val="18"/>
        </w:rPr>
        <w:t xml:space="preserve">1142 </w:t>
      </w:r>
      <w:r w:rsidR="00D5093E" w:rsidRPr="0037513D">
        <w:rPr>
          <w:rFonts w:ascii="Garamond" w:hAnsi="Garamond"/>
          <w:sz w:val="18"/>
          <w:szCs w:val="18"/>
        </w:rPr>
        <w:t xml:space="preserve">(2021) </w:t>
      </w:r>
      <w:r w:rsidR="004F7379" w:rsidRPr="0037513D">
        <w:rPr>
          <w:rFonts w:ascii="Garamond" w:hAnsi="Garamond"/>
          <w:sz w:val="18"/>
          <w:szCs w:val="18"/>
        </w:rPr>
        <w:t>(</w:t>
      </w:r>
      <w:r w:rsidR="002532A3" w:rsidRPr="0037513D">
        <w:rPr>
          <w:rFonts w:ascii="Garamond" w:hAnsi="Garamond"/>
          <w:sz w:val="18"/>
          <w:szCs w:val="18"/>
        </w:rPr>
        <w:t>“</w:t>
      </w:r>
      <w:r w:rsidR="004F7379" w:rsidRPr="0037513D">
        <w:rPr>
          <w:rFonts w:ascii="Garamond" w:hAnsi="Garamond"/>
          <w:sz w:val="18"/>
          <w:szCs w:val="18"/>
        </w:rPr>
        <w:t>participants exposed to only a disclosure</w:t>
      </w:r>
      <w:r w:rsidR="002532A3" w:rsidRPr="0037513D">
        <w:rPr>
          <w:rFonts w:ascii="Garamond" w:hAnsi="Garamond"/>
          <w:sz w:val="18"/>
          <w:szCs w:val="18"/>
        </w:rPr>
        <w:t xml:space="preserve"> </w:t>
      </w:r>
      <w:r w:rsidR="004F7379" w:rsidRPr="0037513D">
        <w:rPr>
          <w:rFonts w:ascii="Garamond" w:hAnsi="Garamond"/>
          <w:sz w:val="18"/>
          <w:szCs w:val="18"/>
        </w:rPr>
        <w:t>were more likely to recognize native advertising (20%) than those with no disclosure</w:t>
      </w:r>
      <w:r w:rsidR="002532A3" w:rsidRPr="0037513D">
        <w:rPr>
          <w:rFonts w:ascii="Garamond" w:hAnsi="Garamond"/>
          <w:sz w:val="18"/>
          <w:szCs w:val="18"/>
        </w:rPr>
        <w:t xml:space="preserve"> </w:t>
      </w:r>
      <w:r w:rsidR="004F7379" w:rsidRPr="0037513D">
        <w:rPr>
          <w:rFonts w:ascii="Garamond" w:hAnsi="Garamond"/>
          <w:sz w:val="18"/>
          <w:szCs w:val="18"/>
        </w:rPr>
        <w:t>(2%)</w:t>
      </w:r>
      <w:r w:rsidR="002532A3" w:rsidRPr="0037513D">
        <w:rPr>
          <w:rFonts w:ascii="Garamond" w:hAnsi="Garamond"/>
          <w:sz w:val="18"/>
          <w:szCs w:val="18"/>
        </w:rPr>
        <w:t xml:space="preserve">.”); </w:t>
      </w:r>
      <w:proofErr w:type="spellStart"/>
      <w:r w:rsidR="004834B0" w:rsidRPr="0037513D">
        <w:rPr>
          <w:rFonts w:ascii="Garamond" w:hAnsi="Garamond"/>
          <w:sz w:val="18"/>
          <w:szCs w:val="18"/>
        </w:rPr>
        <w:t>Anocha</w:t>
      </w:r>
      <w:proofErr w:type="spellEnd"/>
      <w:r w:rsidR="004834B0" w:rsidRPr="0037513D">
        <w:rPr>
          <w:rFonts w:ascii="Garamond" w:hAnsi="Garamond"/>
          <w:sz w:val="18"/>
          <w:szCs w:val="18"/>
        </w:rPr>
        <w:t xml:space="preserve"> </w:t>
      </w:r>
      <w:proofErr w:type="spellStart"/>
      <w:r w:rsidR="004834B0" w:rsidRPr="0037513D">
        <w:rPr>
          <w:rFonts w:ascii="Garamond" w:hAnsi="Garamond"/>
          <w:sz w:val="18"/>
          <w:szCs w:val="18"/>
        </w:rPr>
        <w:t>Aribarg</w:t>
      </w:r>
      <w:proofErr w:type="spellEnd"/>
      <w:r w:rsidR="004834B0" w:rsidRPr="0037513D">
        <w:rPr>
          <w:rFonts w:ascii="Garamond" w:hAnsi="Garamond"/>
          <w:sz w:val="18"/>
          <w:szCs w:val="18"/>
        </w:rPr>
        <w:t xml:space="preserve"> &amp; Eric M. Schwartz, </w:t>
      </w:r>
      <w:r w:rsidR="004834B0" w:rsidRPr="0037513D">
        <w:rPr>
          <w:rFonts w:ascii="Garamond" w:hAnsi="Garamond"/>
          <w:i/>
          <w:iCs/>
          <w:sz w:val="18"/>
          <w:szCs w:val="18"/>
        </w:rPr>
        <w:t xml:space="preserve">Native Advertising in Online News: Trade-Offs Among Clicks, Brand Recognition, and Website Trustworthiness, </w:t>
      </w:r>
      <w:r w:rsidR="00880F09" w:rsidRPr="0037513D">
        <w:rPr>
          <w:rFonts w:ascii="Garamond" w:hAnsi="Garamond"/>
          <w:sz w:val="18"/>
          <w:szCs w:val="18"/>
        </w:rPr>
        <w:t xml:space="preserve">57(1) </w:t>
      </w:r>
      <w:r w:rsidR="00880F09" w:rsidRPr="0037513D">
        <w:rPr>
          <w:rFonts w:ascii="Garamond" w:hAnsi="Garamond"/>
          <w:smallCaps/>
          <w:sz w:val="18"/>
          <w:szCs w:val="18"/>
        </w:rPr>
        <w:t>Journal of Marketing Research</w:t>
      </w:r>
      <w:r w:rsidR="00880F09" w:rsidRPr="0037513D">
        <w:rPr>
          <w:rFonts w:ascii="Garamond" w:hAnsi="Garamond"/>
          <w:sz w:val="18"/>
          <w:szCs w:val="18"/>
        </w:rPr>
        <w:t xml:space="preserve"> 20, 25 (2020) </w:t>
      </w:r>
      <w:r w:rsidR="000F2C2C" w:rsidRPr="0037513D">
        <w:rPr>
          <w:rFonts w:ascii="Garamond" w:hAnsi="Garamond"/>
          <w:sz w:val="18"/>
          <w:szCs w:val="18"/>
        </w:rPr>
        <w:t>(</w:t>
      </w:r>
      <w:r w:rsidR="00BD1911" w:rsidRPr="0037513D">
        <w:rPr>
          <w:rFonts w:ascii="Garamond" w:hAnsi="Garamond"/>
          <w:sz w:val="18"/>
          <w:szCs w:val="18"/>
        </w:rPr>
        <w:t xml:space="preserve">finding a recognition rate of </w:t>
      </w:r>
      <w:r w:rsidR="000F2C2C" w:rsidRPr="0037513D">
        <w:rPr>
          <w:rFonts w:ascii="Garamond" w:hAnsi="Garamond"/>
          <w:sz w:val="18"/>
          <w:szCs w:val="18"/>
        </w:rPr>
        <w:t>15.6% for native</w:t>
      </w:r>
      <w:r w:rsidR="00BD1911" w:rsidRPr="0037513D">
        <w:rPr>
          <w:rFonts w:ascii="Garamond" w:hAnsi="Garamond"/>
          <w:sz w:val="18"/>
          <w:szCs w:val="18"/>
        </w:rPr>
        <w:t xml:space="preserve"> ads plus disclosure)</w:t>
      </w:r>
      <w:r w:rsidR="00496B18" w:rsidRPr="0037513D">
        <w:rPr>
          <w:rFonts w:ascii="Garamond" w:hAnsi="Garamond"/>
          <w:sz w:val="18"/>
          <w:szCs w:val="18"/>
        </w:rPr>
        <w:t>.</w:t>
      </w:r>
      <w:r w:rsidR="00721FEC" w:rsidRPr="0037513D">
        <w:rPr>
          <w:rFonts w:ascii="Garamond" w:hAnsi="Garamond"/>
          <w:sz w:val="18"/>
          <w:szCs w:val="18"/>
        </w:rPr>
        <w:t xml:space="preserve"> </w:t>
      </w:r>
    </w:p>
  </w:footnote>
  <w:footnote w:id="167">
    <w:p w14:paraId="6EBE8878" w14:textId="4D06AED5" w:rsidR="00F62967" w:rsidRPr="0037513D" w:rsidRDefault="00F62967" w:rsidP="00F62967">
      <w:pPr>
        <w:pStyle w:val="FootnoteText"/>
        <w:spacing w:after="0" w:line="240" w:lineRule="auto"/>
        <w:contextualSpacing/>
        <w:jc w:val="both"/>
        <w:rPr>
          <w:rFonts w:ascii="Garamond" w:hAnsi="Garamond"/>
          <w:i/>
          <w:iCs/>
          <w:sz w:val="18"/>
          <w:szCs w:val="18"/>
          <w:rtl/>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Figures 3, </w:t>
      </w:r>
      <w:r w:rsidRPr="0037513D">
        <w:rPr>
          <w:rFonts w:ascii="Garamond" w:hAnsi="Garamond"/>
          <w:i/>
          <w:iCs/>
          <w:sz w:val="18"/>
          <w:szCs w:val="18"/>
        </w:rPr>
        <w:t xml:space="preserve">Supra. </w:t>
      </w:r>
    </w:p>
  </w:footnote>
  <w:footnote w:id="168">
    <w:p w14:paraId="653091C9" w14:textId="11D68802" w:rsidR="000A3B26" w:rsidRPr="0037513D" w:rsidRDefault="000A3B26" w:rsidP="000A3B26">
      <w:pPr>
        <w:pStyle w:val="FootnoteText"/>
        <w:spacing w:after="0" w:line="240" w:lineRule="auto"/>
        <w:contextualSpacing/>
        <w:jc w:val="both"/>
        <w:rPr>
          <w:rFonts w:ascii="Garamond" w:hAnsi="Garamond"/>
          <w:i/>
          <w:iCs/>
          <w:sz w:val="18"/>
          <w:szCs w:val="18"/>
          <w:rtl/>
          <w:lang w:bidi="he-IL"/>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See</w:t>
      </w:r>
      <w:r w:rsidRPr="0037513D">
        <w:rPr>
          <w:rFonts w:ascii="Garamond" w:hAnsi="Garamond"/>
          <w:sz w:val="18"/>
          <w:szCs w:val="18"/>
        </w:rPr>
        <w:t xml:space="preserve"> Figures 7, </w:t>
      </w:r>
      <w:r w:rsidRPr="0037513D">
        <w:rPr>
          <w:rFonts w:ascii="Garamond" w:hAnsi="Garamond"/>
          <w:i/>
          <w:iCs/>
          <w:sz w:val="18"/>
          <w:szCs w:val="18"/>
        </w:rPr>
        <w:t xml:space="preserve">Supra. </w:t>
      </w:r>
    </w:p>
  </w:footnote>
  <w:footnote w:id="169">
    <w:p w14:paraId="2F89CA82" w14:textId="77635011" w:rsidR="007D748E" w:rsidRPr="0037513D" w:rsidRDefault="001F44C3" w:rsidP="00982077">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00062D28" w:rsidRPr="0037513D">
        <w:rPr>
          <w:rFonts w:ascii="Garamond" w:hAnsi="Garamond" w:cstheme="majorBidi"/>
          <w:sz w:val="18"/>
          <w:szCs w:val="18"/>
          <w:lang w:bidi="he-IL"/>
        </w:rPr>
        <w:t xml:space="preserve">Furthermore, given their access to rich behavioral data and analytics capabilities, GenAI providers could optimize and personalize disclosure practices to ensure that consumers are better informed—and potentially even nudged to reconsider their purchasing intentions </w:t>
      </w:r>
      <w:proofErr w:type="gramStart"/>
      <w:r w:rsidR="00062D28" w:rsidRPr="0037513D">
        <w:rPr>
          <w:rFonts w:ascii="Garamond" w:hAnsi="Garamond" w:cstheme="majorBidi"/>
          <w:sz w:val="18"/>
          <w:szCs w:val="18"/>
          <w:lang w:bidi="he-IL"/>
        </w:rPr>
        <w:t>in light of</w:t>
      </w:r>
      <w:proofErr w:type="gramEnd"/>
      <w:r w:rsidR="00062D28" w:rsidRPr="0037513D">
        <w:rPr>
          <w:rFonts w:ascii="Garamond" w:hAnsi="Garamond" w:cstheme="majorBidi"/>
          <w:sz w:val="18"/>
          <w:szCs w:val="18"/>
          <w:lang w:bidi="he-IL"/>
        </w:rPr>
        <w:t xml:space="preserve"> that information. </w:t>
      </w:r>
      <w:r w:rsidR="00D22871" w:rsidRPr="0037513D">
        <w:rPr>
          <w:rFonts w:ascii="Garamond" w:hAnsi="Garamond"/>
          <w:i/>
          <w:iCs/>
          <w:sz w:val="18"/>
          <w:szCs w:val="18"/>
        </w:rPr>
        <w:t xml:space="preserve">See </w:t>
      </w:r>
      <w:r w:rsidR="007D748E" w:rsidRPr="0037513D">
        <w:rPr>
          <w:rFonts w:ascii="Garamond" w:hAnsi="Garamond"/>
          <w:sz w:val="18"/>
          <w:szCs w:val="18"/>
        </w:rPr>
        <w:t xml:space="preserve">Uri Y. Hacohen, </w:t>
      </w:r>
      <w:r w:rsidR="007D748E" w:rsidRPr="0037513D">
        <w:rPr>
          <w:rFonts w:ascii="Garamond" w:hAnsi="Garamond"/>
          <w:i/>
          <w:iCs/>
          <w:sz w:val="18"/>
          <w:szCs w:val="18"/>
        </w:rPr>
        <w:t>The Policy Implications of User-Generated Data Network Effects</w:t>
      </w:r>
      <w:r w:rsidR="007D748E" w:rsidRPr="0037513D">
        <w:rPr>
          <w:rFonts w:ascii="Garamond" w:hAnsi="Garamond"/>
          <w:sz w:val="18"/>
          <w:szCs w:val="18"/>
        </w:rPr>
        <w:t xml:space="preserve">, 33 </w:t>
      </w:r>
      <w:r w:rsidR="007D748E" w:rsidRPr="0037513D">
        <w:rPr>
          <w:rFonts w:ascii="Garamond" w:hAnsi="Garamond"/>
          <w:smallCaps/>
          <w:sz w:val="18"/>
          <w:szCs w:val="18"/>
        </w:rPr>
        <w:t>Fordham Intellectual Property, Media, &amp; Entertainment Law Journal</w:t>
      </w:r>
      <w:r w:rsidR="007D748E" w:rsidRPr="0037513D">
        <w:rPr>
          <w:rFonts w:ascii="Garamond" w:hAnsi="Garamond"/>
          <w:sz w:val="18"/>
          <w:szCs w:val="18"/>
        </w:rPr>
        <w:t xml:space="preserve"> 340</w:t>
      </w:r>
      <w:r w:rsidR="00D22871" w:rsidRPr="0037513D">
        <w:rPr>
          <w:rFonts w:ascii="Garamond" w:hAnsi="Garamond"/>
          <w:sz w:val="18"/>
          <w:szCs w:val="18"/>
        </w:rPr>
        <w:t>, [_]</w:t>
      </w:r>
      <w:r w:rsidR="007D748E" w:rsidRPr="0037513D">
        <w:rPr>
          <w:rFonts w:ascii="Garamond" w:hAnsi="Garamond"/>
          <w:sz w:val="18"/>
          <w:szCs w:val="18"/>
        </w:rPr>
        <w:t xml:space="preserve"> (2023)</w:t>
      </w:r>
      <w:r w:rsidR="00D22871" w:rsidRPr="0037513D">
        <w:rPr>
          <w:rFonts w:ascii="Garamond" w:hAnsi="Garamond"/>
          <w:sz w:val="18"/>
          <w:szCs w:val="18"/>
        </w:rPr>
        <w:t>.</w:t>
      </w:r>
    </w:p>
  </w:footnote>
  <w:footnote w:id="170">
    <w:p w14:paraId="3C69FCE3" w14:textId="77777777" w:rsidR="00A13CC1" w:rsidRPr="0037513D" w:rsidRDefault="00A13CC1" w:rsidP="00A13CC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 xml:space="preserve">See supra </w:t>
      </w:r>
      <w:r w:rsidRPr="0037513D">
        <w:rPr>
          <w:rFonts w:ascii="Garamond" w:hAnsi="Garamond"/>
          <w:sz w:val="18"/>
          <w:szCs w:val="18"/>
        </w:rPr>
        <w:t xml:space="preserve">notes </w:t>
      </w:r>
      <w:r w:rsidRPr="0037513D">
        <w:rPr>
          <w:rFonts w:ascii="Garamond" w:hAnsi="Garamond"/>
          <w:sz w:val="18"/>
          <w:szCs w:val="18"/>
        </w:rPr>
        <w:fldChar w:fldCharType="begin"/>
      </w:r>
      <w:r w:rsidRPr="0037513D">
        <w:rPr>
          <w:rFonts w:ascii="Garamond" w:hAnsi="Garamond"/>
          <w:sz w:val="18"/>
          <w:szCs w:val="18"/>
        </w:rPr>
        <w:instrText xml:space="preserve"> NOTEREF _Ref214807812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115</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sz w:val="18"/>
          <w:szCs w:val="18"/>
        </w:rPr>
        <w:fldChar w:fldCharType="begin"/>
      </w:r>
      <w:r w:rsidRPr="0037513D">
        <w:rPr>
          <w:rFonts w:ascii="Garamond" w:hAnsi="Garamond"/>
          <w:sz w:val="18"/>
          <w:szCs w:val="18"/>
        </w:rPr>
        <w:instrText xml:space="preserve"> NOTEREF _Ref201068905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123</w:t>
      </w:r>
      <w:r w:rsidRPr="0037513D">
        <w:rPr>
          <w:rFonts w:ascii="Garamond" w:hAnsi="Garamond"/>
          <w:sz w:val="18"/>
          <w:szCs w:val="18"/>
        </w:rPr>
        <w:fldChar w:fldCharType="end"/>
      </w:r>
      <w:r w:rsidRPr="0037513D">
        <w:rPr>
          <w:rFonts w:ascii="Garamond" w:hAnsi="Garamond"/>
          <w:sz w:val="18"/>
          <w:szCs w:val="18"/>
        </w:rPr>
        <w:t xml:space="preserve">, and accompanying text. </w:t>
      </w:r>
      <w:r w:rsidRPr="0037513D">
        <w:rPr>
          <w:rFonts w:ascii="Garamond" w:hAnsi="Garamond"/>
          <w:i/>
          <w:iCs/>
          <w:sz w:val="18"/>
          <w:szCs w:val="18"/>
        </w:rPr>
        <w:t>But see</w:t>
      </w:r>
      <w:r w:rsidRPr="0037513D">
        <w:rPr>
          <w:rFonts w:ascii="Garamond" w:hAnsi="Garamond"/>
          <w:sz w:val="18"/>
          <w:szCs w:val="18"/>
        </w:rPr>
        <w:t xml:space="preserve"> </w:t>
      </w:r>
      <w:r w:rsidRPr="0037513D">
        <w:rPr>
          <w:rFonts w:ascii="Garamond" w:hAnsi="Garamond"/>
          <w:i/>
          <w:iCs/>
          <w:sz w:val="18"/>
          <w:szCs w:val="18"/>
        </w:rPr>
        <w:t xml:space="preserve">supra </w:t>
      </w:r>
      <w:r w:rsidRPr="0037513D">
        <w:rPr>
          <w:rFonts w:ascii="Garamond" w:hAnsi="Garamond"/>
          <w:sz w:val="18"/>
          <w:szCs w:val="18"/>
        </w:rPr>
        <w:t xml:space="preserve">notes </w:t>
      </w:r>
      <w:r w:rsidRPr="0037513D">
        <w:rPr>
          <w:rFonts w:ascii="Garamond" w:hAnsi="Garamond"/>
          <w:sz w:val="18"/>
          <w:szCs w:val="18"/>
        </w:rPr>
        <w:fldChar w:fldCharType="begin"/>
      </w:r>
      <w:r w:rsidRPr="0037513D">
        <w:rPr>
          <w:rFonts w:ascii="Garamond" w:hAnsi="Garamond"/>
          <w:sz w:val="18"/>
          <w:szCs w:val="18"/>
        </w:rPr>
        <w:instrText xml:space="preserve"> NOTEREF _Ref214874441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124</w:t>
      </w:r>
      <w:r w:rsidRPr="0037513D">
        <w:rPr>
          <w:rFonts w:ascii="Garamond" w:hAnsi="Garamond"/>
          <w:sz w:val="18"/>
          <w:szCs w:val="18"/>
        </w:rPr>
        <w:fldChar w:fldCharType="end"/>
      </w:r>
      <w:r w:rsidRPr="0037513D">
        <w:rPr>
          <w:rFonts w:ascii="Garamond" w:hAnsi="Garamond"/>
          <w:sz w:val="18"/>
          <w:szCs w:val="18"/>
        </w:rPr>
        <w:t>–</w:t>
      </w:r>
      <w:r w:rsidRPr="0037513D">
        <w:rPr>
          <w:rFonts w:ascii="Garamond" w:hAnsi="Garamond"/>
          <w:sz w:val="18"/>
          <w:szCs w:val="18"/>
        </w:rPr>
        <w:fldChar w:fldCharType="begin"/>
      </w:r>
      <w:r w:rsidRPr="0037513D">
        <w:rPr>
          <w:rFonts w:ascii="Garamond" w:hAnsi="Garamond"/>
          <w:sz w:val="18"/>
          <w:szCs w:val="18"/>
        </w:rPr>
        <w:instrText xml:space="preserve"> NOTEREF _Ref201060041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125</w:t>
      </w:r>
      <w:r w:rsidRPr="0037513D">
        <w:rPr>
          <w:rFonts w:ascii="Garamond" w:hAnsi="Garamond"/>
          <w:sz w:val="18"/>
          <w:szCs w:val="18"/>
        </w:rPr>
        <w:fldChar w:fldCharType="end"/>
      </w:r>
      <w:r w:rsidRPr="0037513D">
        <w:rPr>
          <w:rFonts w:ascii="Garamond" w:hAnsi="Garamond"/>
          <w:sz w:val="18"/>
          <w:szCs w:val="18"/>
        </w:rPr>
        <w:t xml:space="preserve"> (revealing a more nuanced picture that also considers countervailing positive influences due to the transparency signals attributed to disclosures). </w:t>
      </w:r>
    </w:p>
  </w:footnote>
  <w:footnote w:id="171">
    <w:p w14:paraId="61D72095" w14:textId="77777777" w:rsidR="00A13CC1" w:rsidRPr="0037513D" w:rsidRDefault="00A13CC1" w:rsidP="00A13CC1">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Tang </w:t>
      </w:r>
      <w:r w:rsidRPr="0037513D">
        <w:rPr>
          <w:rStyle w:val="Emphasis"/>
          <w:rFonts w:ascii="Garamond" w:hAnsi="Garamond"/>
          <w:sz w:val="18"/>
          <w:szCs w:val="18"/>
        </w:rPr>
        <w:t>et al.</w:t>
      </w:r>
      <w:r w:rsidRPr="0037513D">
        <w:rPr>
          <w:rFonts w:ascii="Garamond" w:hAnsi="Garamond"/>
          <w:sz w:val="18"/>
          <w:szCs w:val="18"/>
        </w:rPr>
        <w:t xml:space="preserve">, </w:t>
      </w:r>
      <w:r w:rsidRPr="0037513D">
        <w:rPr>
          <w:rStyle w:val="Emphasis"/>
          <w:rFonts w:ascii="Garamond" w:hAnsi="Garamond"/>
          <w:sz w:val="18"/>
          <w:szCs w:val="18"/>
        </w:rPr>
        <w:t>supra</w:t>
      </w:r>
      <w:r w:rsidRPr="0037513D">
        <w:rPr>
          <w:rFonts w:ascii="Garamond" w:hAnsi="Garamond"/>
          <w:sz w:val="18"/>
          <w:szCs w:val="18"/>
        </w:rPr>
        <w:t xml:space="preserve"> note </w:t>
      </w:r>
      <w:r w:rsidRPr="0037513D">
        <w:rPr>
          <w:rFonts w:ascii="Garamond" w:hAnsi="Garamond"/>
          <w:sz w:val="18"/>
          <w:szCs w:val="18"/>
        </w:rPr>
        <w:fldChar w:fldCharType="begin"/>
      </w:r>
      <w:r w:rsidRPr="0037513D">
        <w:rPr>
          <w:rFonts w:ascii="Garamond" w:hAnsi="Garamond"/>
          <w:sz w:val="18"/>
          <w:szCs w:val="18"/>
        </w:rPr>
        <w:instrText xml:space="preserve"> NOTEREF _Ref214387167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69</w:t>
      </w:r>
      <w:r w:rsidRPr="0037513D">
        <w:rPr>
          <w:rFonts w:ascii="Garamond" w:hAnsi="Garamond"/>
          <w:sz w:val="18"/>
          <w:szCs w:val="18"/>
        </w:rPr>
        <w:fldChar w:fldCharType="end"/>
      </w:r>
      <w:r w:rsidRPr="0037513D">
        <w:rPr>
          <w:rFonts w:ascii="Garamond" w:hAnsi="Garamond"/>
          <w:sz w:val="18"/>
          <w:szCs w:val="18"/>
        </w:rPr>
        <w:t>, at 14</w:t>
      </w:r>
    </w:p>
  </w:footnote>
  <w:footnote w:id="172">
    <w:p w14:paraId="2254CCB4" w14:textId="77777777" w:rsidR="00EC13BC" w:rsidRPr="0037513D" w:rsidRDefault="00EC13BC" w:rsidP="00EC13BC">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cstheme="majorBidi"/>
          <w:sz w:val="18"/>
          <w:szCs w:val="18"/>
          <w:lang w:bidi="he-IL"/>
        </w:rPr>
        <w:t xml:space="preserve">The finding that the disclosures did not degrade consumers’ attitude toward the chatbots raises the possibility that GenAI companies’ commercial interests might not be misaligned with the public interest in consumer </w:t>
      </w:r>
      <w:proofErr w:type="gramStart"/>
      <w:r w:rsidRPr="0037513D">
        <w:rPr>
          <w:rFonts w:ascii="Garamond" w:hAnsi="Garamond" w:cstheme="majorBidi"/>
          <w:sz w:val="18"/>
          <w:szCs w:val="18"/>
          <w:lang w:bidi="he-IL"/>
        </w:rPr>
        <w:t>awareness, and</w:t>
      </w:r>
      <w:proofErr w:type="gramEnd"/>
      <w:r w:rsidRPr="0037513D">
        <w:rPr>
          <w:rFonts w:ascii="Garamond" w:hAnsi="Garamond" w:cstheme="majorBidi"/>
          <w:sz w:val="18"/>
          <w:szCs w:val="18"/>
          <w:lang w:bidi="he-IL"/>
        </w:rPr>
        <w:t xml:space="preserve"> are thus likely to implement disclosures protocols even without regulatory intervention. </w:t>
      </w:r>
      <w:r w:rsidRPr="0037513D">
        <w:rPr>
          <w:rFonts w:ascii="Garamond" w:hAnsi="Garamond"/>
          <w:i/>
          <w:iCs/>
          <w:sz w:val="18"/>
          <w:szCs w:val="18"/>
        </w:rPr>
        <w:t>Cf</w:t>
      </w:r>
      <w:r w:rsidRPr="0037513D">
        <w:rPr>
          <w:rFonts w:ascii="Garamond" w:hAnsi="Garamond"/>
          <w:sz w:val="18"/>
          <w:szCs w:val="18"/>
        </w:rPr>
        <w:t xml:space="preserve">. Hacohen,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_Ref214874603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73</w:t>
      </w:r>
      <w:r w:rsidRPr="0037513D">
        <w:rPr>
          <w:rFonts w:ascii="Garamond" w:hAnsi="Garamond"/>
          <w:sz w:val="18"/>
          <w:szCs w:val="18"/>
        </w:rPr>
        <w:fldChar w:fldCharType="end"/>
      </w:r>
      <w:r w:rsidRPr="0037513D">
        <w:rPr>
          <w:rFonts w:ascii="Garamond" w:hAnsi="Garamond"/>
          <w:sz w:val="18"/>
          <w:szCs w:val="18"/>
        </w:rPr>
        <w:t xml:space="preserve"> at [_] (make a similar claim concerning influencers). </w:t>
      </w:r>
      <w:r w:rsidRPr="0037513D">
        <w:rPr>
          <w:rFonts w:ascii="Garamond" w:hAnsi="Garamond" w:cstheme="majorBidi"/>
          <w:sz w:val="18"/>
          <w:szCs w:val="18"/>
          <w:lang w:bidi="he-IL"/>
        </w:rPr>
        <w:t>Nonetheless, given ongoing industry evolution and shifting consumer expectations, regulators should continue to enforce transparency requirements.</w:t>
      </w:r>
    </w:p>
  </w:footnote>
  <w:footnote w:id="173">
    <w:p w14:paraId="490D944C" w14:textId="77777777" w:rsidR="00CA5036" w:rsidRPr="0037513D" w:rsidRDefault="00CA5036" w:rsidP="00CA5036">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John J. </w:t>
      </w:r>
      <w:proofErr w:type="spellStart"/>
      <w:r w:rsidRPr="0037513D">
        <w:rPr>
          <w:rFonts w:ascii="Garamond" w:hAnsi="Garamond"/>
          <w:sz w:val="18"/>
          <w:szCs w:val="18"/>
        </w:rPr>
        <w:t>Rolecki</w:t>
      </w:r>
      <w:proofErr w:type="spellEnd"/>
      <w:r w:rsidRPr="0037513D">
        <w:rPr>
          <w:rFonts w:ascii="Garamond" w:hAnsi="Garamond"/>
          <w:sz w:val="18"/>
          <w:szCs w:val="18"/>
        </w:rPr>
        <w:t xml:space="preserve"> &amp; Amy L. Baddley, </w:t>
      </w:r>
      <w:r w:rsidRPr="0037513D">
        <w:rPr>
          <w:rFonts w:ascii="Garamond" w:hAnsi="Garamond"/>
          <w:i/>
          <w:iCs/>
          <w:sz w:val="18"/>
          <w:szCs w:val="18"/>
        </w:rPr>
        <w:t>Emerging Trends in AI Governance: Insights from State-Level Regulations Enacted in 2024,</w:t>
      </w:r>
      <w:r w:rsidRPr="0037513D">
        <w:rPr>
          <w:rFonts w:ascii="Garamond" w:hAnsi="Garamond"/>
          <w:sz w:val="18"/>
          <w:szCs w:val="18"/>
        </w:rPr>
        <w:t xml:space="preserve"> </w:t>
      </w:r>
      <w:r w:rsidRPr="0037513D">
        <w:rPr>
          <w:rFonts w:ascii="Garamond" w:hAnsi="Garamond"/>
          <w:smallCaps/>
          <w:sz w:val="18"/>
          <w:szCs w:val="18"/>
        </w:rPr>
        <w:t>Varnum</w:t>
      </w:r>
      <w:r w:rsidRPr="0037513D">
        <w:rPr>
          <w:rFonts w:ascii="Garamond" w:hAnsi="Garamond"/>
          <w:sz w:val="18"/>
          <w:szCs w:val="18"/>
        </w:rPr>
        <w:t xml:space="preserve"> (Jan. 6, 2025).</w:t>
      </w:r>
    </w:p>
  </w:footnote>
  <w:footnote w:id="174">
    <w:p w14:paraId="73F2FF4F" w14:textId="77777777" w:rsidR="00CA5036" w:rsidRPr="0037513D" w:rsidRDefault="00CA5036" w:rsidP="00CA5036">
      <w:pPr>
        <w:pStyle w:val="FootnoteText"/>
        <w:spacing w:after="0" w:line="240" w:lineRule="auto"/>
        <w:contextualSpacing/>
        <w:jc w:val="both"/>
        <w:rPr>
          <w:rFonts w:ascii="Garamond" w:hAnsi="Garamond"/>
          <w:i/>
          <w:iCs/>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Id</w:t>
      </w:r>
      <w:r w:rsidRPr="0037513D">
        <w:rPr>
          <w:rFonts w:ascii="Garamond" w:hAnsi="Garamond"/>
          <w:sz w:val="18"/>
          <w:szCs w:val="18"/>
        </w:rPr>
        <w:t xml:space="preserve">. Specifically on point is the Utah Act that emphasizes consumer protection. </w:t>
      </w:r>
      <w:r w:rsidRPr="0037513D">
        <w:rPr>
          <w:rFonts w:ascii="Garamond" w:hAnsi="Garamond"/>
          <w:i/>
          <w:iCs/>
          <w:sz w:val="18"/>
          <w:szCs w:val="18"/>
        </w:rPr>
        <w:t>See</w:t>
      </w:r>
      <w:r w:rsidRPr="0037513D">
        <w:rPr>
          <w:rFonts w:ascii="Garamond" w:hAnsi="Garamond"/>
          <w:sz w:val="18"/>
          <w:szCs w:val="18"/>
        </w:rPr>
        <w:t xml:space="preserve"> Stuart D. Levi et al., </w:t>
      </w:r>
      <w:r w:rsidRPr="0037513D">
        <w:rPr>
          <w:rFonts w:ascii="Garamond" w:hAnsi="Garamond"/>
          <w:i/>
          <w:iCs/>
          <w:sz w:val="18"/>
          <w:szCs w:val="18"/>
        </w:rPr>
        <w:t>Utah Becomes First State To Enact AI-Centric Consumer Protection Law,</w:t>
      </w:r>
      <w:r w:rsidRPr="0037513D">
        <w:rPr>
          <w:rFonts w:ascii="Garamond" w:hAnsi="Garamond"/>
          <w:sz w:val="18"/>
          <w:szCs w:val="18"/>
        </w:rPr>
        <w:t xml:space="preserve"> </w:t>
      </w:r>
      <w:r w:rsidRPr="0037513D">
        <w:rPr>
          <w:rFonts w:ascii="Garamond" w:hAnsi="Garamond"/>
          <w:smallCaps/>
          <w:sz w:val="18"/>
          <w:szCs w:val="18"/>
        </w:rPr>
        <w:t>Skadden</w:t>
      </w:r>
      <w:r w:rsidRPr="0037513D">
        <w:rPr>
          <w:rFonts w:ascii="Garamond" w:hAnsi="Garamond"/>
          <w:sz w:val="18"/>
          <w:szCs w:val="18"/>
        </w:rPr>
        <w:t xml:space="preserve"> (Apr. 5, 2024)</w:t>
      </w:r>
    </w:p>
  </w:footnote>
  <w:footnote w:id="175">
    <w:p w14:paraId="7D5307C4" w14:textId="77777777" w:rsidR="00CA5036" w:rsidRPr="0037513D" w:rsidRDefault="00CA5036" w:rsidP="00CA5036">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rPr>
        <w:t xml:space="preserve">Cobun Zweifel-Keegan &amp; Andrew Folks, </w:t>
      </w:r>
      <w:r w:rsidRPr="0037513D">
        <w:rPr>
          <w:rFonts w:ascii="Garamond" w:hAnsi="Garamond"/>
          <w:i/>
          <w:iCs/>
        </w:rPr>
        <w:t>The Colorado AI Act: What you need to know</w:t>
      </w:r>
      <w:r w:rsidRPr="0037513D">
        <w:rPr>
          <w:rFonts w:ascii="Garamond" w:hAnsi="Garamond"/>
        </w:rPr>
        <w:t xml:space="preserve">, </w:t>
      </w:r>
      <w:proofErr w:type="spellStart"/>
      <w:r w:rsidRPr="0037513D">
        <w:rPr>
          <w:rFonts w:ascii="Garamond" w:hAnsi="Garamond"/>
          <w:smallCaps/>
          <w:sz w:val="18"/>
          <w:szCs w:val="18"/>
        </w:rPr>
        <w:t>iapp</w:t>
      </w:r>
      <w:proofErr w:type="spellEnd"/>
      <w:r w:rsidRPr="0037513D">
        <w:rPr>
          <w:rFonts w:ascii="Garamond" w:hAnsi="Garamond"/>
        </w:rPr>
        <w:t xml:space="preserve"> (May 21, 2024).</w:t>
      </w:r>
    </w:p>
  </w:footnote>
  <w:footnote w:id="176">
    <w:p w14:paraId="1589D6F9" w14:textId="77777777" w:rsidR="006D0B8F" w:rsidRPr="00A31276" w:rsidRDefault="006D0B8F" w:rsidP="006D0B8F">
      <w:pPr>
        <w:pStyle w:val="FootnoteText"/>
        <w:spacing w:after="0" w:line="240" w:lineRule="auto"/>
        <w:contextualSpacing/>
        <w:jc w:val="both"/>
        <w:rPr>
          <w:rFonts w:ascii="Garamond" w:hAnsi="Garamond"/>
          <w:sz w:val="18"/>
          <w:szCs w:val="18"/>
        </w:rPr>
      </w:pPr>
      <w:r w:rsidRPr="0037513D">
        <w:rPr>
          <w:rStyle w:val="FootnoteReference"/>
          <w:rFonts w:ascii="Garamond" w:hAnsi="Garamond"/>
          <w:sz w:val="18"/>
          <w:szCs w:val="18"/>
        </w:rPr>
        <w:footnoteRef/>
      </w:r>
      <w:r w:rsidRPr="0037513D">
        <w:rPr>
          <w:rFonts w:ascii="Garamond" w:hAnsi="Garamond"/>
          <w:sz w:val="18"/>
          <w:szCs w:val="18"/>
        </w:rPr>
        <w:t xml:space="preserve"> </w:t>
      </w:r>
      <w:r w:rsidRPr="0037513D">
        <w:rPr>
          <w:rFonts w:ascii="Garamond" w:hAnsi="Garamond"/>
          <w:i/>
          <w:iCs/>
          <w:sz w:val="18"/>
          <w:szCs w:val="18"/>
        </w:rPr>
        <w:t>Cf.</w:t>
      </w:r>
      <w:r w:rsidRPr="0037513D">
        <w:rPr>
          <w:rFonts w:ascii="Garamond" w:hAnsi="Garamond"/>
          <w:sz w:val="18"/>
          <w:szCs w:val="18"/>
        </w:rPr>
        <w:t xml:space="preserve"> Hacohen, </w:t>
      </w:r>
      <w:r w:rsidRPr="0037513D">
        <w:rPr>
          <w:rFonts w:ascii="Garamond" w:hAnsi="Garamond"/>
          <w:i/>
          <w:iCs/>
          <w:sz w:val="18"/>
          <w:szCs w:val="18"/>
        </w:rPr>
        <w:t xml:space="preserve">supra </w:t>
      </w:r>
      <w:r w:rsidRPr="0037513D">
        <w:rPr>
          <w:rFonts w:ascii="Garamond" w:hAnsi="Garamond"/>
          <w:sz w:val="18"/>
          <w:szCs w:val="18"/>
        </w:rPr>
        <w:t xml:space="preserve">note </w:t>
      </w:r>
      <w:r w:rsidRPr="0037513D">
        <w:rPr>
          <w:rFonts w:ascii="Garamond" w:hAnsi="Garamond"/>
          <w:sz w:val="18"/>
          <w:szCs w:val="18"/>
        </w:rPr>
        <w:fldChar w:fldCharType="begin"/>
      </w:r>
      <w:r w:rsidRPr="0037513D">
        <w:rPr>
          <w:rFonts w:ascii="Garamond" w:hAnsi="Garamond"/>
          <w:sz w:val="18"/>
          <w:szCs w:val="18"/>
        </w:rPr>
        <w:instrText xml:space="preserve"> NOTEREF _Ref214382481 \h  \* MERGEFORMAT </w:instrText>
      </w:r>
      <w:r w:rsidRPr="0037513D">
        <w:rPr>
          <w:rFonts w:ascii="Garamond" w:hAnsi="Garamond"/>
          <w:sz w:val="18"/>
          <w:szCs w:val="18"/>
        </w:rPr>
      </w:r>
      <w:r w:rsidRPr="0037513D">
        <w:rPr>
          <w:rFonts w:ascii="Garamond" w:hAnsi="Garamond"/>
          <w:sz w:val="18"/>
          <w:szCs w:val="18"/>
        </w:rPr>
        <w:fldChar w:fldCharType="separate"/>
      </w:r>
      <w:r w:rsidRPr="0037513D">
        <w:rPr>
          <w:rFonts w:ascii="Garamond" w:hAnsi="Garamond"/>
          <w:sz w:val="18"/>
          <w:szCs w:val="18"/>
        </w:rPr>
        <w:t>36</w:t>
      </w:r>
      <w:r w:rsidRPr="0037513D">
        <w:rPr>
          <w:rFonts w:ascii="Garamond" w:hAnsi="Garamond"/>
          <w:sz w:val="18"/>
          <w:szCs w:val="18"/>
        </w:rPr>
        <w:fldChar w:fldCharType="end"/>
      </w:r>
      <w:r w:rsidRPr="0037513D">
        <w:rPr>
          <w:rFonts w:ascii="Garamond" w:hAnsi="Garamond"/>
          <w:sz w:val="18"/>
          <w:szCs w:val="18"/>
        </w:rPr>
        <w:t xml:space="preserve"> at [_] (discusses current liability mechanisms).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F237" w14:textId="66DD2FAE" w:rsidR="0000279C" w:rsidRPr="00D95EC1" w:rsidRDefault="0000279C" w:rsidP="008E6E11">
    <w:pPr>
      <w:pStyle w:val="Header"/>
      <w:tabs>
        <w:tab w:val="center" w:pos="2966"/>
        <w:tab w:val="right" w:pos="5933"/>
      </w:tabs>
      <w:rPr>
        <w:rFonts w:ascii="Garamond" w:hAnsi="Garamond"/>
        <w:iCs/>
      </w:rPr>
    </w:pPr>
    <w:r w:rsidRPr="00D95EC1">
      <w:rPr>
        <w:rStyle w:val="PageNumber"/>
        <w:rFonts w:ascii="Garamond" w:hAnsi="Garamond"/>
        <w:sz w:val="21"/>
        <w:szCs w:val="21"/>
      </w:rPr>
      <w:fldChar w:fldCharType="begin"/>
    </w:r>
    <w:r w:rsidRPr="00D95EC1">
      <w:rPr>
        <w:rStyle w:val="PageNumber"/>
        <w:rFonts w:ascii="Garamond" w:hAnsi="Garamond"/>
        <w:sz w:val="21"/>
        <w:szCs w:val="21"/>
      </w:rPr>
      <w:instrText xml:space="preserve"> PAGE </w:instrText>
    </w:r>
    <w:r w:rsidRPr="00D95EC1">
      <w:rPr>
        <w:rStyle w:val="PageNumber"/>
        <w:rFonts w:ascii="Garamond" w:hAnsi="Garamond"/>
        <w:sz w:val="21"/>
        <w:szCs w:val="21"/>
      </w:rPr>
      <w:fldChar w:fldCharType="separate"/>
    </w:r>
    <w:r w:rsidR="00CB374A" w:rsidRPr="00D95EC1">
      <w:rPr>
        <w:rStyle w:val="PageNumber"/>
        <w:rFonts w:ascii="Garamond" w:hAnsi="Garamond"/>
        <w:noProof/>
        <w:sz w:val="21"/>
        <w:szCs w:val="21"/>
      </w:rPr>
      <w:t>8</w:t>
    </w:r>
    <w:r w:rsidRPr="00D95EC1">
      <w:rPr>
        <w:rStyle w:val="PageNumber"/>
        <w:rFonts w:ascii="Garamond" w:hAnsi="Garamond"/>
        <w:sz w:val="21"/>
        <w:szCs w:val="21"/>
      </w:rPr>
      <w:fldChar w:fldCharType="end"/>
    </w:r>
    <w:r w:rsidRPr="00D95EC1">
      <w:rPr>
        <w:rStyle w:val="PageNumber"/>
        <w:rFonts w:ascii="Garamond" w:hAnsi="Garamond"/>
        <w:sz w:val="21"/>
        <w:szCs w:val="21"/>
      </w:rPr>
      <w:tab/>
    </w:r>
    <w:r w:rsidR="006314A8">
      <w:rPr>
        <w:rStyle w:val="PageNumber"/>
        <w:rFonts w:ascii="Garamond" w:hAnsi="Garamond"/>
        <w:sz w:val="21"/>
        <w:szCs w:val="21"/>
      </w:rPr>
      <w:t xml:space="preserve">   </w:t>
    </w:r>
    <w:r w:rsidR="00D20BB3" w:rsidRPr="00D95EC1">
      <w:rPr>
        <w:rStyle w:val="PageNumber"/>
        <w:rFonts w:ascii="Garamond" w:hAnsi="Garamond"/>
        <w:sz w:val="21"/>
        <w:szCs w:val="21"/>
      </w:rPr>
      <w:t xml:space="preserve">Hacohen, </w:t>
    </w:r>
    <w:proofErr w:type="spellStart"/>
    <w:r w:rsidR="00A76434">
      <w:rPr>
        <w:rStyle w:val="PageNumber"/>
        <w:rFonts w:ascii="Garamond" w:hAnsi="Garamond"/>
        <w:i/>
        <w:iCs/>
        <w:sz w:val="21"/>
        <w:szCs w:val="21"/>
      </w:rPr>
      <w:t>Gener</w:t>
    </w:r>
    <w:r w:rsidR="009C4BF0">
      <w:rPr>
        <w:rStyle w:val="PageNumber"/>
        <w:rFonts w:ascii="Garamond" w:hAnsi="Garamond"/>
        <w:i/>
        <w:iCs/>
        <w:sz w:val="21"/>
        <w:szCs w:val="21"/>
      </w:rPr>
      <w:t>n</w:t>
    </w:r>
    <w:r w:rsidR="00A76434">
      <w:rPr>
        <w:rStyle w:val="PageNumber"/>
        <w:rFonts w:ascii="Garamond" w:hAnsi="Garamond"/>
        <w:i/>
        <w:iCs/>
        <w:sz w:val="21"/>
        <w:szCs w:val="21"/>
      </w:rPr>
      <w:t>ative</w:t>
    </w:r>
    <w:proofErr w:type="spellEnd"/>
    <w:r w:rsidR="00A76434">
      <w:rPr>
        <w:rStyle w:val="PageNumber"/>
        <w:rFonts w:ascii="Garamond" w:hAnsi="Garamond"/>
        <w:i/>
        <w:iCs/>
        <w:sz w:val="21"/>
        <w:szCs w:val="21"/>
      </w:rPr>
      <w:t xml:space="preserve"> </w:t>
    </w:r>
    <w:r w:rsidR="00C025CC">
      <w:rPr>
        <w:rStyle w:val="PageNumber"/>
        <w:rFonts w:ascii="Garamond" w:hAnsi="Garamond"/>
        <w:i/>
        <w:iCs/>
        <w:sz w:val="21"/>
        <w:szCs w:val="21"/>
      </w:rPr>
      <w:t>Advertising</w:t>
    </w:r>
    <w:r w:rsidRPr="00D95EC1">
      <w:rPr>
        <w:rStyle w:val="PageNumber"/>
        <w:rFonts w:ascii="Garamond" w:hAnsi="Garamond"/>
        <w:i/>
        <w:sz w:val="21"/>
        <w:szCs w:val="21"/>
      </w:rPr>
      <w:tab/>
    </w:r>
    <w:r w:rsidRPr="00D95EC1">
      <w:rPr>
        <w:rStyle w:val="PageNumber"/>
        <w:rFonts w:ascii="Garamond" w:hAnsi="Garamond"/>
        <w:i/>
        <w:sz w:val="21"/>
        <w:szCs w:val="21"/>
      </w:rPr>
      <w:tab/>
      <w:t xml:space="preserve"> </w:t>
    </w:r>
    <w:r w:rsidRPr="00D95EC1">
      <w:rPr>
        <w:rStyle w:val="PageNumber"/>
        <w:rFonts w:ascii="Garamond" w:hAnsi="Garamond"/>
        <w:iCs/>
        <w:sz w:val="21"/>
        <w:szCs w:val="21"/>
      </w:rPr>
      <w:t>202</w:t>
    </w:r>
    <w:r w:rsidR="00C776E7">
      <w:rPr>
        <w:rStyle w:val="PageNumber"/>
        <w:rFonts w:ascii="Garamond" w:hAnsi="Garamond"/>
        <w:iCs/>
        <w:sz w:val="21"/>
        <w:szCs w:val="21"/>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7513" w14:textId="35C5B34A" w:rsidR="0000279C" w:rsidRPr="007F44AD" w:rsidRDefault="0000279C" w:rsidP="000078E3">
    <w:pPr>
      <w:pStyle w:val="Header"/>
      <w:tabs>
        <w:tab w:val="clear" w:pos="4320"/>
        <w:tab w:val="clear" w:pos="8640"/>
        <w:tab w:val="center" w:pos="2966"/>
        <w:tab w:val="right" w:pos="5933"/>
      </w:tabs>
      <w:rPr>
        <w:rStyle w:val="PageNumber"/>
        <w:rFonts w:ascii="Garamond" w:hAnsi="Garamond"/>
        <w:sz w:val="21"/>
        <w:szCs w:val="21"/>
      </w:rPr>
    </w:pPr>
    <w:r w:rsidRPr="007F44AD">
      <w:rPr>
        <w:rFonts w:ascii="Garamond" w:hAnsi="Garamond"/>
        <w:sz w:val="21"/>
        <w:szCs w:val="21"/>
      </w:rPr>
      <w:t>2023</w:t>
    </w:r>
    <w:r w:rsidRPr="007F44AD">
      <w:rPr>
        <w:rFonts w:ascii="Garamond" w:hAnsi="Garamond"/>
        <w:sz w:val="21"/>
        <w:szCs w:val="21"/>
      </w:rPr>
      <w:tab/>
    </w:r>
    <w:r w:rsidRPr="007F44AD">
      <w:rPr>
        <w:rFonts w:ascii="Garamond" w:hAnsi="Garamond"/>
        <w:i/>
        <w:sz w:val="21"/>
        <w:szCs w:val="21"/>
      </w:rPr>
      <w:tab/>
    </w:r>
    <w:r w:rsidRPr="007F44AD">
      <w:rPr>
        <w:rStyle w:val="PageNumber"/>
        <w:rFonts w:ascii="Garamond" w:hAnsi="Garamond"/>
        <w:sz w:val="21"/>
        <w:szCs w:val="21"/>
      </w:rPr>
      <w:fldChar w:fldCharType="begin"/>
    </w:r>
    <w:r w:rsidRPr="007F44AD">
      <w:rPr>
        <w:rStyle w:val="PageNumber"/>
        <w:rFonts w:ascii="Garamond" w:hAnsi="Garamond"/>
        <w:sz w:val="21"/>
        <w:szCs w:val="21"/>
      </w:rPr>
      <w:instrText xml:space="preserve"> PAGE </w:instrText>
    </w:r>
    <w:r w:rsidRPr="007F44AD">
      <w:rPr>
        <w:rStyle w:val="PageNumber"/>
        <w:rFonts w:ascii="Garamond" w:hAnsi="Garamond"/>
        <w:sz w:val="21"/>
        <w:szCs w:val="21"/>
      </w:rPr>
      <w:fldChar w:fldCharType="separate"/>
    </w:r>
    <w:r w:rsidR="00CB374A" w:rsidRPr="007F44AD">
      <w:rPr>
        <w:rStyle w:val="PageNumber"/>
        <w:rFonts w:ascii="Garamond" w:hAnsi="Garamond"/>
        <w:noProof/>
        <w:sz w:val="21"/>
        <w:szCs w:val="21"/>
      </w:rPr>
      <w:t>9</w:t>
    </w:r>
    <w:r w:rsidRPr="007F44AD">
      <w:rPr>
        <w:rStyle w:val="PageNumber"/>
        <w:rFonts w:ascii="Garamond" w:hAnsi="Garamond"/>
        <w:sz w:val="21"/>
        <w:szCs w:val="21"/>
      </w:rPr>
      <w:fldChar w:fldCharType="end"/>
    </w:r>
  </w:p>
  <w:p w14:paraId="62F045CA" w14:textId="77777777" w:rsidR="0000279C" w:rsidRPr="007F44AD" w:rsidRDefault="0000279C">
    <w:pPr>
      <w:pStyle w:val="Header"/>
      <w:rPr>
        <w:rFonts w:ascii="Garamond" w:hAnsi="Garamon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1232" w14:textId="6A9C9EFD" w:rsidR="0000279C" w:rsidRPr="00C07B70" w:rsidRDefault="004631A5" w:rsidP="00A66A5F">
    <w:pPr>
      <w:spacing w:after="120"/>
      <w:rPr>
        <w:rFonts w:asciiTheme="majorBidi" w:eastAsia="Times New Roman" w:hAnsiTheme="majorBidi" w:cstheme="majorBidi"/>
        <w:i/>
        <w:iCs/>
        <w:smallCaps/>
        <w:color w:val="000000"/>
        <w:sz w:val="16"/>
        <w:szCs w:val="16"/>
      </w:rPr>
    </w:pPr>
    <w:r w:rsidRPr="00D95EC1">
      <w:rPr>
        <w:rStyle w:val="PageNumber"/>
        <w:rFonts w:ascii="Garamond" w:hAnsi="Garamond"/>
        <w:sz w:val="21"/>
        <w:szCs w:val="21"/>
      </w:rPr>
      <w:t xml:space="preserve">Hacohen, </w:t>
    </w:r>
    <w:proofErr w:type="spellStart"/>
    <w:r w:rsidR="00C776E7">
      <w:rPr>
        <w:rStyle w:val="PageNumber"/>
        <w:rFonts w:ascii="Garamond" w:hAnsi="Garamond"/>
        <w:i/>
        <w:iCs/>
        <w:sz w:val="21"/>
        <w:szCs w:val="21"/>
      </w:rPr>
      <w:t>Genernative</w:t>
    </w:r>
    <w:proofErr w:type="spellEnd"/>
    <w:r w:rsidR="00C776E7">
      <w:rPr>
        <w:rStyle w:val="PageNumber"/>
        <w:rFonts w:ascii="Garamond" w:hAnsi="Garamond"/>
        <w:i/>
        <w:iCs/>
        <w:sz w:val="21"/>
        <w:szCs w:val="21"/>
      </w:rPr>
      <w:t xml:space="preserve"> Advertising </w:t>
    </w:r>
    <w:r w:rsidR="0000279C" w:rsidRPr="00C07B70">
      <w:rPr>
        <w:rFonts w:asciiTheme="majorBidi" w:eastAsia="Times New Roman" w:hAnsiTheme="majorBidi" w:cstheme="majorBidi"/>
        <w:i/>
        <w:iCs/>
        <w:color w:val="000000"/>
        <w:sz w:val="16"/>
        <w:szCs w:val="16"/>
      </w:rPr>
      <w:t>(</w:t>
    </w:r>
    <w:r w:rsidR="00C776E7">
      <w:rPr>
        <w:rFonts w:asciiTheme="majorBidi" w:eastAsia="Times New Roman" w:hAnsiTheme="majorBidi" w:cstheme="majorBidi"/>
        <w:i/>
        <w:iCs/>
        <w:color w:val="000000"/>
        <w:sz w:val="16"/>
        <w:szCs w:val="16"/>
      </w:rPr>
      <w:t>10</w:t>
    </w:r>
    <w:r w:rsidR="00C732BD">
      <w:rPr>
        <w:rFonts w:asciiTheme="majorBidi" w:eastAsia="Times New Roman" w:hAnsiTheme="majorBidi" w:cstheme="majorBidi"/>
        <w:i/>
        <w:iCs/>
        <w:color w:val="000000"/>
        <w:sz w:val="16"/>
        <w:szCs w:val="16"/>
      </w:rPr>
      <w:t>.</w:t>
    </w:r>
    <w:r w:rsidR="00EA7658">
      <w:rPr>
        <w:rFonts w:asciiTheme="majorBidi" w:eastAsia="Times New Roman" w:hAnsiTheme="majorBidi" w:cstheme="majorBidi"/>
        <w:i/>
        <w:iCs/>
        <w:color w:val="000000"/>
        <w:sz w:val="16"/>
        <w:szCs w:val="16"/>
      </w:rPr>
      <w:t>29</w:t>
    </w:r>
    <w:r w:rsidR="00C732BD">
      <w:rPr>
        <w:rFonts w:asciiTheme="majorBidi" w:eastAsia="Times New Roman" w:hAnsiTheme="majorBidi" w:cstheme="majorBidi"/>
        <w:i/>
        <w:iCs/>
        <w:color w:val="000000"/>
        <w:sz w:val="16"/>
        <w:szCs w:val="16"/>
      </w:rPr>
      <w:t>.</w:t>
    </w:r>
    <w:r w:rsidR="0000279C" w:rsidRPr="00C07B70">
      <w:rPr>
        <w:rFonts w:asciiTheme="majorBidi" w:eastAsia="Times New Roman" w:hAnsiTheme="majorBidi" w:cstheme="majorBidi"/>
        <w:i/>
        <w:iCs/>
        <w:color w:val="000000"/>
        <w:sz w:val="16"/>
        <w:szCs w:val="16"/>
      </w:rPr>
      <w:t>202</w:t>
    </w:r>
    <w:r w:rsidR="00C732BD">
      <w:rPr>
        <w:rFonts w:asciiTheme="majorBidi" w:eastAsia="Times New Roman" w:hAnsiTheme="majorBidi" w:cstheme="majorBidi"/>
        <w:i/>
        <w:iCs/>
        <w:color w:val="000000"/>
        <w:sz w:val="16"/>
        <w:szCs w:val="16"/>
      </w:rPr>
      <w:t>5</w:t>
    </w:r>
    <w:r w:rsidR="0000279C" w:rsidRPr="00C07B70">
      <w:rPr>
        <w:rFonts w:asciiTheme="majorBidi" w:eastAsia="Times New Roman" w:hAnsiTheme="majorBidi" w:cstheme="majorBidi"/>
        <w:i/>
        <w:iCs/>
        <w:color w:val="00000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1"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09AD7316"/>
    <w:multiLevelType w:val="hybridMultilevel"/>
    <w:tmpl w:val="3482BCB0"/>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0BF6"/>
    <w:multiLevelType w:val="multilevel"/>
    <w:tmpl w:val="0409001D"/>
    <w:numStyleLink w:val="Singlepunch"/>
  </w:abstractNum>
  <w:abstractNum w:abstractNumId="4" w15:restartNumberingAfterBreak="0">
    <w:nsid w:val="0D1C12F9"/>
    <w:multiLevelType w:val="multilevel"/>
    <w:tmpl w:val="0409001D"/>
    <w:styleLink w:val="Style1"/>
    <w:lvl w:ilvl="0">
      <w:start w:val="1"/>
      <w:numFmt w:val="decimal"/>
      <w:lvlText w:val="%1)"/>
      <w:lvlJc w:val="left"/>
      <w:pPr>
        <w:ind w:left="360" w:hanging="360"/>
      </w:pPr>
      <w:rPr>
        <w:rFonts w:ascii="Times New Roman" w:hAnsi="Times New Roman"/>
        <w:b/>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0B0805"/>
    <w:multiLevelType w:val="hybridMultilevel"/>
    <w:tmpl w:val="880CB05A"/>
    <w:lvl w:ilvl="0" w:tplc="0876FA04">
      <w:start w:val="1"/>
      <w:numFmt w:val="lowerRoman"/>
      <w:pStyle w:val="Style2"/>
      <w:lvlText w:val="%1."/>
      <w:lvlJc w:val="right"/>
      <w:pPr>
        <w:ind w:left="1080" w:hanging="360"/>
      </w:pPr>
      <w:rPr>
        <w:rFonts w:ascii="Garamond" w:hAnsi="Garamon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8E1CE2"/>
    <w:multiLevelType w:val="multilevel"/>
    <w:tmpl w:val="0409001D"/>
    <w:numStyleLink w:val="Multipunch"/>
  </w:abstractNum>
  <w:abstractNum w:abstractNumId="7"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F97331"/>
    <w:multiLevelType w:val="multilevel"/>
    <w:tmpl w:val="6C0200F6"/>
    <w:styleLink w:val="1JOLTListText"/>
    <w:lvl w:ilvl="0">
      <w:start w:val="1"/>
      <w:numFmt w:val="decimal"/>
      <w:lvlText w:val="(%1)"/>
      <w:lvlJc w:val="left"/>
      <w:pPr>
        <w:ind w:left="720" w:hanging="360"/>
      </w:pPr>
      <w:rPr>
        <w:rFonts w:hint="default"/>
        <w:sz w:val="21"/>
        <w:szCs w:val="21"/>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2C033F"/>
    <w:multiLevelType w:val="hybridMultilevel"/>
    <w:tmpl w:val="AE5C8318"/>
    <w:lvl w:ilvl="0" w:tplc="E878DEE0">
      <w:start w:val="1"/>
      <w:numFmt w:val="decimal"/>
      <w:pStyle w:val="Heading3"/>
      <w:lvlText w:val="%1."/>
      <w:lvlJc w:val="left"/>
      <w:pPr>
        <w:ind w:left="720" w:hanging="360"/>
      </w:pPr>
      <w:rPr>
        <w:rFonts w:ascii="Garamond" w:hAnsi="Garamond"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5C6699"/>
    <w:multiLevelType w:val="hybridMultilevel"/>
    <w:tmpl w:val="AE8A64F6"/>
    <w:lvl w:ilvl="0" w:tplc="CBE4A300">
      <w:start w:val="1"/>
      <w:numFmt w:val="upperLetter"/>
      <w:pStyle w:val="Heading2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833861"/>
    <w:multiLevelType w:val="multilevel"/>
    <w:tmpl w:val="26E2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CC0104"/>
    <w:multiLevelType w:val="hybridMultilevel"/>
    <w:tmpl w:val="90381EFC"/>
    <w:lvl w:ilvl="0" w:tplc="04090013">
      <w:start w:val="1"/>
      <w:numFmt w:val="upperRoman"/>
      <w:pStyle w:val="Heading1"/>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A9509A"/>
    <w:multiLevelType w:val="multilevel"/>
    <w:tmpl w:val="BE78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C62784"/>
    <w:multiLevelType w:val="hybridMultilevel"/>
    <w:tmpl w:val="4C2CC93E"/>
    <w:lvl w:ilvl="0" w:tplc="5500549C">
      <w:start w:val="3"/>
      <w:numFmt w:val="bullet"/>
      <w:lvlText w:val=""/>
      <w:lvlJc w:val="left"/>
      <w:pPr>
        <w:ind w:left="720" w:hanging="360"/>
      </w:pPr>
      <w:rPr>
        <w:rFonts w:ascii="Symbol" w:eastAsia="MS Mincho"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2871B3"/>
    <w:multiLevelType w:val="multilevel"/>
    <w:tmpl w:val="0032E780"/>
    <w:lvl w:ilvl="0">
      <w:start w:val="1"/>
      <w:numFmt w:val="decimal"/>
      <w:pStyle w:val="1JOLTLists"/>
      <w:lvlText w:val="(%1)"/>
      <w:lvlJc w:val="left"/>
      <w:pPr>
        <w:ind w:left="864" w:hanging="504"/>
      </w:pPr>
      <w:rPr>
        <w:rFonts w:hint="default"/>
        <w:sz w:val="21"/>
        <w:szCs w:val="21"/>
      </w:rPr>
    </w:lvl>
    <w:lvl w:ilvl="1">
      <w:start w:val="1"/>
      <w:numFmt w:val="lowerLetter"/>
      <w:lvlText w:val="(%2)"/>
      <w:lvlJc w:val="left"/>
      <w:pPr>
        <w:ind w:left="1728" w:hanging="504"/>
      </w:pPr>
      <w:rPr>
        <w:rFonts w:hint="default"/>
      </w:rPr>
    </w:lvl>
    <w:lvl w:ilvl="2">
      <w:start w:val="1"/>
      <w:numFmt w:val="lowerRoman"/>
      <w:lvlText w:val="(%3)"/>
      <w:lvlJc w:val="left"/>
      <w:pPr>
        <w:ind w:left="2592" w:hanging="504"/>
      </w:pPr>
      <w:rPr>
        <w:rFonts w:hint="default"/>
      </w:rPr>
    </w:lvl>
    <w:lvl w:ilvl="3">
      <w:start w:val="1"/>
      <w:numFmt w:val="bullet"/>
      <w:lvlText w:val=""/>
      <w:lvlJc w:val="left"/>
      <w:pPr>
        <w:ind w:left="3456" w:hanging="504"/>
      </w:pPr>
      <w:rPr>
        <w:rFonts w:ascii="Symbol" w:hAnsi="Symbol" w:hint="default"/>
      </w:rPr>
    </w:lvl>
    <w:lvl w:ilvl="4">
      <w:start w:val="1"/>
      <w:numFmt w:val="bullet"/>
      <w:lvlText w:val="o"/>
      <w:lvlJc w:val="left"/>
      <w:pPr>
        <w:ind w:left="4320" w:hanging="504"/>
      </w:pPr>
      <w:rPr>
        <w:rFonts w:ascii="Courier New" w:hAnsi="Courier New" w:cs="Courier New" w:hint="default"/>
      </w:rPr>
    </w:lvl>
    <w:lvl w:ilvl="5">
      <w:start w:val="1"/>
      <w:numFmt w:val="bullet"/>
      <w:lvlText w:val=""/>
      <w:lvlJc w:val="left"/>
      <w:pPr>
        <w:ind w:left="5184" w:hanging="504"/>
      </w:pPr>
      <w:rPr>
        <w:rFonts w:ascii="Wingdings" w:hAnsi="Wingdings" w:hint="default"/>
      </w:rPr>
    </w:lvl>
    <w:lvl w:ilvl="6">
      <w:start w:val="1"/>
      <w:numFmt w:val="bullet"/>
      <w:lvlText w:val=""/>
      <w:lvlJc w:val="left"/>
      <w:pPr>
        <w:ind w:left="6048" w:hanging="504"/>
      </w:pPr>
      <w:rPr>
        <w:rFonts w:ascii="Symbol" w:hAnsi="Symbol" w:hint="default"/>
      </w:rPr>
    </w:lvl>
    <w:lvl w:ilvl="7">
      <w:start w:val="1"/>
      <w:numFmt w:val="bullet"/>
      <w:lvlText w:val="o"/>
      <w:lvlJc w:val="left"/>
      <w:pPr>
        <w:ind w:left="6912" w:hanging="504"/>
      </w:pPr>
      <w:rPr>
        <w:rFonts w:ascii="Courier New" w:hAnsi="Courier New" w:cs="Courier New" w:hint="default"/>
      </w:rPr>
    </w:lvl>
    <w:lvl w:ilvl="8">
      <w:start w:val="1"/>
      <w:numFmt w:val="bullet"/>
      <w:lvlText w:val=""/>
      <w:lvlJc w:val="left"/>
      <w:pPr>
        <w:ind w:left="7776" w:hanging="504"/>
      </w:pPr>
      <w:rPr>
        <w:rFonts w:ascii="Wingdings" w:hAnsi="Wingdings" w:hint="default"/>
      </w:rPr>
    </w:lvl>
  </w:abstractNum>
  <w:num w:numId="1" w16cid:durableId="1204100">
    <w:abstractNumId w:val="4"/>
  </w:num>
  <w:num w:numId="2" w16cid:durableId="192692601">
    <w:abstractNumId w:val="8"/>
  </w:num>
  <w:num w:numId="3" w16cid:durableId="997614536">
    <w:abstractNumId w:val="16"/>
  </w:num>
  <w:num w:numId="4" w16cid:durableId="1919971547">
    <w:abstractNumId w:val="1"/>
  </w:num>
  <w:num w:numId="5" w16cid:durableId="481773126">
    <w:abstractNumId w:val="0"/>
  </w:num>
  <w:num w:numId="6" w16cid:durableId="1436638216">
    <w:abstractNumId w:val="13"/>
  </w:num>
  <w:num w:numId="7" w16cid:durableId="398479525">
    <w:abstractNumId w:val="9"/>
  </w:num>
  <w:num w:numId="8" w16cid:durableId="2120830519">
    <w:abstractNumId w:val="11"/>
  </w:num>
  <w:num w:numId="9" w16cid:durableId="199048922">
    <w:abstractNumId w:val="11"/>
    <w:lvlOverride w:ilvl="0">
      <w:startOverride w:val="1"/>
    </w:lvlOverride>
  </w:num>
  <w:num w:numId="10" w16cid:durableId="1337995617">
    <w:abstractNumId w:val="14"/>
  </w:num>
  <w:num w:numId="11" w16cid:durableId="7568589">
    <w:abstractNumId w:val="9"/>
    <w:lvlOverride w:ilvl="0">
      <w:startOverride w:val="1"/>
    </w:lvlOverride>
  </w:num>
  <w:num w:numId="12" w16cid:durableId="1205291471">
    <w:abstractNumId w:val="9"/>
    <w:lvlOverride w:ilvl="0">
      <w:startOverride w:val="1"/>
    </w:lvlOverride>
  </w:num>
  <w:num w:numId="13" w16cid:durableId="1871062336">
    <w:abstractNumId w:val="7"/>
  </w:num>
  <w:num w:numId="14" w16cid:durableId="1955863333">
    <w:abstractNumId w:val="6"/>
  </w:num>
  <w:num w:numId="15" w16cid:durableId="812791094">
    <w:abstractNumId w:val="10"/>
  </w:num>
  <w:num w:numId="16" w16cid:durableId="1510287597">
    <w:abstractNumId w:val="3"/>
  </w:num>
  <w:num w:numId="17" w16cid:durableId="508058624">
    <w:abstractNumId w:val="11"/>
    <w:lvlOverride w:ilvl="0">
      <w:startOverride w:val="1"/>
    </w:lvlOverride>
  </w:num>
  <w:num w:numId="18" w16cid:durableId="1508247484">
    <w:abstractNumId w:val="9"/>
    <w:lvlOverride w:ilvl="0">
      <w:startOverride w:val="1"/>
    </w:lvlOverride>
  </w:num>
  <w:num w:numId="19" w16cid:durableId="1507358475">
    <w:abstractNumId w:val="9"/>
  </w:num>
  <w:num w:numId="20" w16cid:durableId="1804274373">
    <w:abstractNumId w:val="9"/>
    <w:lvlOverride w:ilvl="0">
      <w:startOverride w:val="1"/>
    </w:lvlOverride>
  </w:num>
  <w:num w:numId="21" w16cid:durableId="203490030">
    <w:abstractNumId w:val="5"/>
  </w:num>
  <w:num w:numId="22" w16cid:durableId="1796215796">
    <w:abstractNumId w:val="5"/>
  </w:num>
  <w:num w:numId="23" w16cid:durableId="771045902">
    <w:abstractNumId w:val="5"/>
  </w:num>
  <w:num w:numId="24" w16cid:durableId="870076229">
    <w:abstractNumId w:val="9"/>
    <w:lvlOverride w:ilvl="0">
      <w:startOverride w:val="1"/>
    </w:lvlOverride>
  </w:num>
  <w:num w:numId="25" w16cid:durableId="930507483">
    <w:abstractNumId w:val="15"/>
  </w:num>
  <w:num w:numId="26" w16cid:durableId="1690255946">
    <w:abstractNumId w:val="2"/>
  </w:num>
  <w:num w:numId="27" w16cid:durableId="1323194132">
    <w:abstractNumId w:val="5"/>
    <w:lvlOverride w:ilvl="0">
      <w:startOverride w:val="1"/>
    </w:lvlOverride>
  </w:num>
  <w:num w:numId="28" w16cid:durableId="541864983">
    <w:abstractNumId w:val="5"/>
    <w:lvlOverride w:ilvl="0">
      <w:startOverride w:val="1"/>
    </w:lvlOverride>
  </w:num>
  <w:num w:numId="29" w16cid:durableId="923221659">
    <w:abstractNumId w:val="5"/>
  </w:num>
  <w:num w:numId="30" w16cid:durableId="1307975828">
    <w:abstractNumId w:val="5"/>
    <w:lvlOverride w:ilvl="0">
      <w:startOverride w:val="1"/>
    </w:lvlOverride>
  </w:num>
  <w:num w:numId="31" w16cid:durableId="161314244">
    <w:abstractNumId w:val="5"/>
    <w:lvlOverride w:ilvl="0">
      <w:startOverride w:val="1"/>
    </w:lvlOverride>
  </w:num>
  <w:num w:numId="32" w16cid:durableId="1966958623">
    <w:abstractNumId w:val="5"/>
    <w:lvlOverride w:ilvl="0">
      <w:startOverride w:val="1"/>
    </w:lvlOverride>
  </w:num>
  <w:num w:numId="33" w16cid:durableId="982542983">
    <w:abstractNumId w:val="9"/>
    <w:lvlOverride w:ilvl="0">
      <w:startOverride w:val="1"/>
    </w:lvlOverride>
  </w:num>
  <w:num w:numId="34" w16cid:durableId="1250115739">
    <w:abstractNumId w:val="9"/>
    <w:lvlOverride w:ilvl="0">
      <w:startOverride w:val="1"/>
    </w:lvlOverride>
  </w:num>
  <w:num w:numId="35" w16cid:durableId="979844473">
    <w:abstractNumId w:val="9"/>
    <w:lvlOverride w:ilvl="0">
      <w:startOverride w:val="1"/>
    </w:lvlOverride>
  </w:num>
  <w:num w:numId="36" w16cid:durableId="32088693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activeWritingStyle w:appName="MSWord" w:lang="ar-SA"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ar-SA" w:vendorID="64" w:dllVersion="4096" w:nlCheck="1" w:checkStyle="0"/>
  <w:activeWritingStyle w:appName="MSWord" w:lang="it-IT" w:vendorID="64" w:dllVersion="0" w:nlCheck="1" w:checkStyle="0"/>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I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doNotHyphenateCaps/>
  <w:evenAndOddHeaders/>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2MTOyMDAyMDAwtDRQ0lEKTi0uzszPAykwNa4FAOFEFustAAAA"/>
  </w:docVars>
  <w:rsids>
    <w:rsidRoot w:val="005336C9"/>
    <w:rsid w:val="0000006B"/>
    <w:rsid w:val="00000192"/>
    <w:rsid w:val="000005DB"/>
    <w:rsid w:val="000008BD"/>
    <w:rsid w:val="00000911"/>
    <w:rsid w:val="00000C22"/>
    <w:rsid w:val="00000D71"/>
    <w:rsid w:val="00000E64"/>
    <w:rsid w:val="00000F1E"/>
    <w:rsid w:val="00001210"/>
    <w:rsid w:val="00001871"/>
    <w:rsid w:val="000018AF"/>
    <w:rsid w:val="00001991"/>
    <w:rsid w:val="00001A9C"/>
    <w:rsid w:val="000020D5"/>
    <w:rsid w:val="000021F6"/>
    <w:rsid w:val="000022D5"/>
    <w:rsid w:val="00002309"/>
    <w:rsid w:val="0000258F"/>
    <w:rsid w:val="0000259A"/>
    <w:rsid w:val="0000279C"/>
    <w:rsid w:val="00002959"/>
    <w:rsid w:val="000029DB"/>
    <w:rsid w:val="00002AD6"/>
    <w:rsid w:val="00002ED1"/>
    <w:rsid w:val="0000319C"/>
    <w:rsid w:val="000039EB"/>
    <w:rsid w:val="00003D6A"/>
    <w:rsid w:val="00003F76"/>
    <w:rsid w:val="0000415D"/>
    <w:rsid w:val="0000463B"/>
    <w:rsid w:val="00004778"/>
    <w:rsid w:val="00004AAC"/>
    <w:rsid w:val="00004CAF"/>
    <w:rsid w:val="00004CDF"/>
    <w:rsid w:val="00004E3B"/>
    <w:rsid w:val="00004FE2"/>
    <w:rsid w:val="00005174"/>
    <w:rsid w:val="00005212"/>
    <w:rsid w:val="000053B7"/>
    <w:rsid w:val="000053F8"/>
    <w:rsid w:val="0000560D"/>
    <w:rsid w:val="00005655"/>
    <w:rsid w:val="00005829"/>
    <w:rsid w:val="00005A0D"/>
    <w:rsid w:val="00005B17"/>
    <w:rsid w:val="00005B9E"/>
    <w:rsid w:val="00005C34"/>
    <w:rsid w:val="00005DD5"/>
    <w:rsid w:val="00006017"/>
    <w:rsid w:val="00006042"/>
    <w:rsid w:val="00006056"/>
    <w:rsid w:val="00006152"/>
    <w:rsid w:val="00006322"/>
    <w:rsid w:val="0000650F"/>
    <w:rsid w:val="000065F5"/>
    <w:rsid w:val="0000674F"/>
    <w:rsid w:val="000067AA"/>
    <w:rsid w:val="00006F53"/>
    <w:rsid w:val="0000721B"/>
    <w:rsid w:val="00007340"/>
    <w:rsid w:val="0000768F"/>
    <w:rsid w:val="000078DD"/>
    <w:rsid w:val="000078E3"/>
    <w:rsid w:val="0001002B"/>
    <w:rsid w:val="00010031"/>
    <w:rsid w:val="0001066F"/>
    <w:rsid w:val="000106F4"/>
    <w:rsid w:val="000108B9"/>
    <w:rsid w:val="00010A3E"/>
    <w:rsid w:val="00010B1E"/>
    <w:rsid w:val="00010DE8"/>
    <w:rsid w:val="000110BD"/>
    <w:rsid w:val="00011133"/>
    <w:rsid w:val="000113E3"/>
    <w:rsid w:val="0001175E"/>
    <w:rsid w:val="00011AC6"/>
    <w:rsid w:val="00011DF2"/>
    <w:rsid w:val="00012011"/>
    <w:rsid w:val="00012126"/>
    <w:rsid w:val="0001218E"/>
    <w:rsid w:val="000124D3"/>
    <w:rsid w:val="00012512"/>
    <w:rsid w:val="000125E3"/>
    <w:rsid w:val="000126DE"/>
    <w:rsid w:val="00012A35"/>
    <w:rsid w:val="00012A9A"/>
    <w:rsid w:val="00012CCB"/>
    <w:rsid w:val="00012D06"/>
    <w:rsid w:val="00012E11"/>
    <w:rsid w:val="00013121"/>
    <w:rsid w:val="0001353A"/>
    <w:rsid w:val="0001374E"/>
    <w:rsid w:val="00013A1D"/>
    <w:rsid w:val="00013AF2"/>
    <w:rsid w:val="00013C38"/>
    <w:rsid w:val="00013C85"/>
    <w:rsid w:val="00013CC3"/>
    <w:rsid w:val="00014008"/>
    <w:rsid w:val="0001405D"/>
    <w:rsid w:val="00014402"/>
    <w:rsid w:val="00014870"/>
    <w:rsid w:val="00014985"/>
    <w:rsid w:val="00014A4C"/>
    <w:rsid w:val="00014C1C"/>
    <w:rsid w:val="00014D11"/>
    <w:rsid w:val="000152F8"/>
    <w:rsid w:val="000154CE"/>
    <w:rsid w:val="0001559F"/>
    <w:rsid w:val="0001574A"/>
    <w:rsid w:val="00015885"/>
    <w:rsid w:val="00015AED"/>
    <w:rsid w:val="00015AF9"/>
    <w:rsid w:val="00015FD9"/>
    <w:rsid w:val="00016456"/>
    <w:rsid w:val="000167FC"/>
    <w:rsid w:val="00016906"/>
    <w:rsid w:val="00016CCD"/>
    <w:rsid w:val="00016E41"/>
    <w:rsid w:val="000170DC"/>
    <w:rsid w:val="000173AD"/>
    <w:rsid w:val="000175D3"/>
    <w:rsid w:val="000176EB"/>
    <w:rsid w:val="000179F2"/>
    <w:rsid w:val="00017A09"/>
    <w:rsid w:val="00017C65"/>
    <w:rsid w:val="00017DF7"/>
    <w:rsid w:val="00020231"/>
    <w:rsid w:val="0002025A"/>
    <w:rsid w:val="000202F6"/>
    <w:rsid w:val="00020327"/>
    <w:rsid w:val="00020352"/>
    <w:rsid w:val="0002065A"/>
    <w:rsid w:val="000206E0"/>
    <w:rsid w:val="000207FD"/>
    <w:rsid w:val="00020BD9"/>
    <w:rsid w:val="00020DA5"/>
    <w:rsid w:val="00020DAE"/>
    <w:rsid w:val="00020E6E"/>
    <w:rsid w:val="00020EED"/>
    <w:rsid w:val="00021031"/>
    <w:rsid w:val="00021115"/>
    <w:rsid w:val="00021164"/>
    <w:rsid w:val="000212A4"/>
    <w:rsid w:val="000214A8"/>
    <w:rsid w:val="000214C6"/>
    <w:rsid w:val="000214EB"/>
    <w:rsid w:val="00021565"/>
    <w:rsid w:val="00021AF8"/>
    <w:rsid w:val="00021B12"/>
    <w:rsid w:val="000220DC"/>
    <w:rsid w:val="00022116"/>
    <w:rsid w:val="0002251D"/>
    <w:rsid w:val="00022926"/>
    <w:rsid w:val="00022C26"/>
    <w:rsid w:val="00022F15"/>
    <w:rsid w:val="00022F54"/>
    <w:rsid w:val="000233C2"/>
    <w:rsid w:val="000233F7"/>
    <w:rsid w:val="000235BB"/>
    <w:rsid w:val="00023797"/>
    <w:rsid w:val="00023886"/>
    <w:rsid w:val="000238E3"/>
    <w:rsid w:val="00023949"/>
    <w:rsid w:val="00023DB3"/>
    <w:rsid w:val="000241B7"/>
    <w:rsid w:val="00024798"/>
    <w:rsid w:val="00024941"/>
    <w:rsid w:val="00024DB2"/>
    <w:rsid w:val="00024E4E"/>
    <w:rsid w:val="000250C8"/>
    <w:rsid w:val="0002515A"/>
    <w:rsid w:val="00025362"/>
    <w:rsid w:val="00025394"/>
    <w:rsid w:val="00025952"/>
    <w:rsid w:val="000259A0"/>
    <w:rsid w:val="00025B69"/>
    <w:rsid w:val="00025B93"/>
    <w:rsid w:val="00025D28"/>
    <w:rsid w:val="000260D5"/>
    <w:rsid w:val="00026409"/>
    <w:rsid w:val="000277E1"/>
    <w:rsid w:val="000278E9"/>
    <w:rsid w:val="00027AE2"/>
    <w:rsid w:val="00027CD0"/>
    <w:rsid w:val="00027D1E"/>
    <w:rsid w:val="00027E5F"/>
    <w:rsid w:val="00027EEB"/>
    <w:rsid w:val="000300C7"/>
    <w:rsid w:val="00030744"/>
    <w:rsid w:val="00030760"/>
    <w:rsid w:val="000308D6"/>
    <w:rsid w:val="000309CC"/>
    <w:rsid w:val="00030B9C"/>
    <w:rsid w:val="00031052"/>
    <w:rsid w:val="0003115D"/>
    <w:rsid w:val="000312F4"/>
    <w:rsid w:val="00031366"/>
    <w:rsid w:val="0003165B"/>
    <w:rsid w:val="00031854"/>
    <w:rsid w:val="00031D02"/>
    <w:rsid w:val="00031F63"/>
    <w:rsid w:val="00031FED"/>
    <w:rsid w:val="000320A9"/>
    <w:rsid w:val="0003211A"/>
    <w:rsid w:val="00032125"/>
    <w:rsid w:val="0003215E"/>
    <w:rsid w:val="000324F8"/>
    <w:rsid w:val="000328E6"/>
    <w:rsid w:val="0003294E"/>
    <w:rsid w:val="00032A92"/>
    <w:rsid w:val="00032B66"/>
    <w:rsid w:val="00032DF3"/>
    <w:rsid w:val="00032EEE"/>
    <w:rsid w:val="00032EF6"/>
    <w:rsid w:val="000330C7"/>
    <w:rsid w:val="000333BA"/>
    <w:rsid w:val="00033513"/>
    <w:rsid w:val="000336BC"/>
    <w:rsid w:val="000338EC"/>
    <w:rsid w:val="00033A7E"/>
    <w:rsid w:val="00033D27"/>
    <w:rsid w:val="00034305"/>
    <w:rsid w:val="000343FE"/>
    <w:rsid w:val="00034663"/>
    <w:rsid w:val="0003469F"/>
    <w:rsid w:val="00034734"/>
    <w:rsid w:val="00034821"/>
    <w:rsid w:val="000348D4"/>
    <w:rsid w:val="0003494E"/>
    <w:rsid w:val="000349E8"/>
    <w:rsid w:val="00034A31"/>
    <w:rsid w:val="00034A37"/>
    <w:rsid w:val="00034AA8"/>
    <w:rsid w:val="00034C5F"/>
    <w:rsid w:val="0003581A"/>
    <w:rsid w:val="0003590E"/>
    <w:rsid w:val="000359B5"/>
    <w:rsid w:val="00035A27"/>
    <w:rsid w:val="00035A92"/>
    <w:rsid w:val="00035D3A"/>
    <w:rsid w:val="00035D9A"/>
    <w:rsid w:val="00036194"/>
    <w:rsid w:val="000364BD"/>
    <w:rsid w:val="00036615"/>
    <w:rsid w:val="00036956"/>
    <w:rsid w:val="00036C01"/>
    <w:rsid w:val="000374BA"/>
    <w:rsid w:val="000376D7"/>
    <w:rsid w:val="00037969"/>
    <w:rsid w:val="00037B7D"/>
    <w:rsid w:val="00037C1A"/>
    <w:rsid w:val="00037F98"/>
    <w:rsid w:val="0004014C"/>
    <w:rsid w:val="00040273"/>
    <w:rsid w:val="000402A7"/>
    <w:rsid w:val="0004048B"/>
    <w:rsid w:val="0004067C"/>
    <w:rsid w:val="0004085F"/>
    <w:rsid w:val="0004097D"/>
    <w:rsid w:val="00040A5F"/>
    <w:rsid w:val="00040C7C"/>
    <w:rsid w:val="00040F90"/>
    <w:rsid w:val="00041298"/>
    <w:rsid w:val="000418C1"/>
    <w:rsid w:val="00041B93"/>
    <w:rsid w:val="00041BC4"/>
    <w:rsid w:val="00042210"/>
    <w:rsid w:val="00042309"/>
    <w:rsid w:val="0004235C"/>
    <w:rsid w:val="0004241A"/>
    <w:rsid w:val="0004278B"/>
    <w:rsid w:val="00042CCB"/>
    <w:rsid w:val="00042D56"/>
    <w:rsid w:val="00042F9A"/>
    <w:rsid w:val="00043398"/>
    <w:rsid w:val="0004349D"/>
    <w:rsid w:val="0004351F"/>
    <w:rsid w:val="000439E1"/>
    <w:rsid w:val="00043DCA"/>
    <w:rsid w:val="00043F4A"/>
    <w:rsid w:val="000442A1"/>
    <w:rsid w:val="000442DA"/>
    <w:rsid w:val="000444A6"/>
    <w:rsid w:val="000444F4"/>
    <w:rsid w:val="00044549"/>
    <w:rsid w:val="00044869"/>
    <w:rsid w:val="00044906"/>
    <w:rsid w:val="000449FB"/>
    <w:rsid w:val="00044D7A"/>
    <w:rsid w:val="000452B8"/>
    <w:rsid w:val="000453C5"/>
    <w:rsid w:val="0004544E"/>
    <w:rsid w:val="00045748"/>
    <w:rsid w:val="00045814"/>
    <w:rsid w:val="00045956"/>
    <w:rsid w:val="00045A95"/>
    <w:rsid w:val="00045EA3"/>
    <w:rsid w:val="00045F07"/>
    <w:rsid w:val="00046078"/>
    <w:rsid w:val="0004618B"/>
    <w:rsid w:val="00046422"/>
    <w:rsid w:val="00046603"/>
    <w:rsid w:val="0004660A"/>
    <w:rsid w:val="00046869"/>
    <w:rsid w:val="000469F8"/>
    <w:rsid w:val="00046E1F"/>
    <w:rsid w:val="00046F9D"/>
    <w:rsid w:val="000472BB"/>
    <w:rsid w:val="000474B7"/>
    <w:rsid w:val="00047C44"/>
    <w:rsid w:val="00047C64"/>
    <w:rsid w:val="00047E7C"/>
    <w:rsid w:val="0005045F"/>
    <w:rsid w:val="00050501"/>
    <w:rsid w:val="00050678"/>
    <w:rsid w:val="00050C36"/>
    <w:rsid w:val="00050DA7"/>
    <w:rsid w:val="00051446"/>
    <w:rsid w:val="0005145B"/>
    <w:rsid w:val="0005147F"/>
    <w:rsid w:val="00051551"/>
    <w:rsid w:val="000516D1"/>
    <w:rsid w:val="000518DC"/>
    <w:rsid w:val="000518E9"/>
    <w:rsid w:val="00051AA4"/>
    <w:rsid w:val="00051C77"/>
    <w:rsid w:val="00051ECA"/>
    <w:rsid w:val="00052085"/>
    <w:rsid w:val="000520BD"/>
    <w:rsid w:val="0005221F"/>
    <w:rsid w:val="000528E0"/>
    <w:rsid w:val="00052BA7"/>
    <w:rsid w:val="00053126"/>
    <w:rsid w:val="00053310"/>
    <w:rsid w:val="000536B5"/>
    <w:rsid w:val="000537BC"/>
    <w:rsid w:val="0005388F"/>
    <w:rsid w:val="00053AD5"/>
    <w:rsid w:val="00053B25"/>
    <w:rsid w:val="00053BEB"/>
    <w:rsid w:val="00054030"/>
    <w:rsid w:val="000540B4"/>
    <w:rsid w:val="00054119"/>
    <w:rsid w:val="00054452"/>
    <w:rsid w:val="0005447C"/>
    <w:rsid w:val="00054634"/>
    <w:rsid w:val="00054761"/>
    <w:rsid w:val="0005479A"/>
    <w:rsid w:val="000548D7"/>
    <w:rsid w:val="00054E7D"/>
    <w:rsid w:val="00054ECA"/>
    <w:rsid w:val="00054F94"/>
    <w:rsid w:val="00055268"/>
    <w:rsid w:val="000552EE"/>
    <w:rsid w:val="00055461"/>
    <w:rsid w:val="00055506"/>
    <w:rsid w:val="00055871"/>
    <w:rsid w:val="000558F5"/>
    <w:rsid w:val="00055C7E"/>
    <w:rsid w:val="00055C84"/>
    <w:rsid w:val="00055EAC"/>
    <w:rsid w:val="00055EC5"/>
    <w:rsid w:val="00056089"/>
    <w:rsid w:val="00056128"/>
    <w:rsid w:val="00056543"/>
    <w:rsid w:val="000568B1"/>
    <w:rsid w:val="0005699C"/>
    <w:rsid w:val="000569B4"/>
    <w:rsid w:val="00056B09"/>
    <w:rsid w:val="00056B4E"/>
    <w:rsid w:val="00056B54"/>
    <w:rsid w:val="0005701C"/>
    <w:rsid w:val="00057089"/>
    <w:rsid w:val="000570D8"/>
    <w:rsid w:val="00057263"/>
    <w:rsid w:val="000572B2"/>
    <w:rsid w:val="00057651"/>
    <w:rsid w:val="00057692"/>
    <w:rsid w:val="000577AE"/>
    <w:rsid w:val="00057A1D"/>
    <w:rsid w:val="00057A5B"/>
    <w:rsid w:val="0006012B"/>
    <w:rsid w:val="00060199"/>
    <w:rsid w:val="0006042F"/>
    <w:rsid w:val="00060831"/>
    <w:rsid w:val="00060B4B"/>
    <w:rsid w:val="00060E24"/>
    <w:rsid w:val="00060F27"/>
    <w:rsid w:val="00061004"/>
    <w:rsid w:val="0006104B"/>
    <w:rsid w:val="000614C6"/>
    <w:rsid w:val="000615BC"/>
    <w:rsid w:val="000616DD"/>
    <w:rsid w:val="00061AA7"/>
    <w:rsid w:val="00061C9B"/>
    <w:rsid w:val="00061D72"/>
    <w:rsid w:val="00061EA6"/>
    <w:rsid w:val="00061EE9"/>
    <w:rsid w:val="00062136"/>
    <w:rsid w:val="00062355"/>
    <w:rsid w:val="0006246A"/>
    <w:rsid w:val="0006263A"/>
    <w:rsid w:val="0006299D"/>
    <w:rsid w:val="00062C28"/>
    <w:rsid w:val="00062D28"/>
    <w:rsid w:val="00062D65"/>
    <w:rsid w:val="00062E42"/>
    <w:rsid w:val="00062F3F"/>
    <w:rsid w:val="00063098"/>
    <w:rsid w:val="000634B9"/>
    <w:rsid w:val="00063601"/>
    <w:rsid w:val="0006370B"/>
    <w:rsid w:val="000637EB"/>
    <w:rsid w:val="00063930"/>
    <w:rsid w:val="00063D22"/>
    <w:rsid w:val="00063FC6"/>
    <w:rsid w:val="00064251"/>
    <w:rsid w:val="00064256"/>
    <w:rsid w:val="000642CB"/>
    <w:rsid w:val="0006459C"/>
    <w:rsid w:val="000647C4"/>
    <w:rsid w:val="00064A59"/>
    <w:rsid w:val="00064AB0"/>
    <w:rsid w:val="00064C5E"/>
    <w:rsid w:val="00064F8A"/>
    <w:rsid w:val="0006551D"/>
    <w:rsid w:val="00065872"/>
    <w:rsid w:val="000658ED"/>
    <w:rsid w:val="00065AA1"/>
    <w:rsid w:val="00065B02"/>
    <w:rsid w:val="00065D77"/>
    <w:rsid w:val="00065E0D"/>
    <w:rsid w:val="0006611A"/>
    <w:rsid w:val="00066498"/>
    <w:rsid w:val="00066599"/>
    <w:rsid w:val="0006660B"/>
    <w:rsid w:val="00066766"/>
    <w:rsid w:val="00066AE5"/>
    <w:rsid w:val="00066CD2"/>
    <w:rsid w:val="00066E4E"/>
    <w:rsid w:val="00066E9F"/>
    <w:rsid w:val="00067008"/>
    <w:rsid w:val="0006719A"/>
    <w:rsid w:val="0006719E"/>
    <w:rsid w:val="00067466"/>
    <w:rsid w:val="0006754A"/>
    <w:rsid w:val="000678CD"/>
    <w:rsid w:val="00067D95"/>
    <w:rsid w:val="00070240"/>
    <w:rsid w:val="00070BBA"/>
    <w:rsid w:val="00070ED5"/>
    <w:rsid w:val="000710BB"/>
    <w:rsid w:val="00071138"/>
    <w:rsid w:val="000712FB"/>
    <w:rsid w:val="00071412"/>
    <w:rsid w:val="00071BB7"/>
    <w:rsid w:val="0007211A"/>
    <w:rsid w:val="000722F1"/>
    <w:rsid w:val="0007234F"/>
    <w:rsid w:val="0007248F"/>
    <w:rsid w:val="00072864"/>
    <w:rsid w:val="00072D97"/>
    <w:rsid w:val="00073047"/>
    <w:rsid w:val="000730FF"/>
    <w:rsid w:val="000738FE"/>
    <w:rsid w:val="00073D37"/>
    <w:rsid w:val="00073E5E"/>
    <w:rsid w:val="00073F6F"/>
    <w:rsid w:val="00073F93"/>
    <w:rsid w:val="000744E5"/>
    <w:rsid w:val="00074776"/>
    <w:rsid w:val="00074A9E"/>
    <w:rsid w:val="00074B6C"/>
    <w:rsid w:val="00074DE2"/>
    <w:rsid w:val="00074E22"/>
    <w:rsid w:val="00074E71"/>
    <w:rsid w:val="00074EE7"/>
    <w:rsid w:val="00075027"/>
    <w:rsid w:val="0007513A"/>
    <w:rsid w:val="00075202"/>
    <w:rsid w:val="0007533F"/>
    <w:rsid w:val="00075359"/>
    <w:rsid w:val="0007559C"/>
    <w:rsid w:val="000757B8"/>
    <w:rsid w:val="00075878"/>
    <w:rsid w:val="0007593B"/>
    <w:rsid w:val="000759B7"/>
    <w:rsid w:val="00075B6E"/>
    <w:rsid w:val="00075D11"/>
    <w:rsid w:val="00075D5E"/>
    <w:rsid w:val="00076325"/>
    <w:rsid w:val="00076543"/>
    <w:rsid w:val="0007657B"/>
    <w:rsid w:val="000765DF"/>
    <w:rsid w:val="000765FA"/>
    <w:rsid w:val="00076C85"/>
    <w:rsid w:val="00076FCD"/>
    <w:rsid w:val="0007705E"/>
    <w:rsid w:val="000770EF"/>
    <w:rsid w:val="0007722E"/>
    <w:rsid w:val="0007750E"/>
    <w:rsid w:val="00077CB0"/>
    <w:rsid w:val="00077E3C"/>
    <w:rsid w:val="00080498"/>
    <w:rsid w:val="000806A4"/>
    <w:rsid w:val="000806DA"/>
    <w:rsid w:val="00080809"/>
    <w:rsid w:val="0008085C"/>
    <w:rsid w:val="00080B07"/>
    <w:rsid w:val="00080B2F"/>
    <w:rsid w:val="00080BDF"/>
    <w:rsid w:val="00080D6E"/>
    <w:rsid w:val="000811D0"/>
    <w:rsid w:val="00081A06"/>
    <w:rsid w:val="00081B87"/>
    <w:rsid w:val="00081E90"/>
    <w:rsid w:val="00081F4A"/>
    <w:rsid w:val="00082144"/>
    <w:rsid w:val="000821FA"/>
    <w:rsid w:val="00082487"/>
    <w:rsid w:val="000828FC"/>
    <w:rsid w:val="00082C8D"/>
    <w:rsid w:val="00082DE1"/>
    <w:rsid w:val="0008307C"/>
    <w:rsid w:val="000831C1"/>
    <w:rsid w:val="0008327C"/>
    <w:rsid w:val="00083622"/>
    <w:rsid w:val="000837B0"/>
    <w:rsid w:val="00083A05"/>
    <w:rsid w:val="00083D65"/>
    <w:rsid w:val="000840BF"/>
    <w:rsid w:val="00084153"/>
    <w:rsid w:val="00084232"/>
    <w:rsid w:val="000842BC"/>
    <w:rsid w:val="000843AE"/>
    <w:rsid w:val="000844F4"/>
    <w:rsid w:val="00084808"/>
    <w:rsid w:val="00084900"/>
    <w:rsid w:val="00084BE3"/>
    <w:rsid w:val="0008504E"/>
    <w:rsid w:val="000853F1"/>
    <w:rsid w:val="000854E6"/>
    <w:rsid w:val="00085591"/>
    <w:rsid w:val="000858AD"/>
    <w:rsid w:val="00085ABC"/>
    <w:rsid w:val="00085B99"/>
    <w:rsid w:val="00085E3F"/>
    <w:rsid w:val="0008609F"/>
    <w:rsid w:val="00086113"/>
    <w:rsid w:val="00086265"/>
    <w:rsid w:val="000862C5"/>
    <w:rsid w:val="0008642A"/>
    <w:rsid w:val="0008643F"/>
    <w:rsid w:val="000864F0"/>
    <w:rsid w:val="0008680B"/>
    <w:rsid w:val="00086837"/>
    <w:rsid w:val="000869C8"/>
    <w:rsid w:val="000869DA"/>
    <w:rsid w:val="00086B21"/>
    <w:rsid w:val="00086B71"/>
    <w:rsid w:val="00086D08"/>
    <w:rsid w:val="000873B9"/>
    <w:rsid w:val="000876CB"/>
    <w:rsid w:val="00087826"/>
    <w:rsid w:val="000878AD"/>
    <w:rsid w:val="00090479"/>
    <w:rsid w:val="00090708"/>
    <w:rsid w:val="00090809"/>
    <w:rsid w:val="00090A43"/>
    <w:rsid w:val="00090A4B"/>
    <w:rsid w:val="00090AB4"/>
    <w:rsid w:val="00090C99"/>
    <w:rsid w:val="00090E12"/>
    <w:rsid w:val="000910B3"/>
    <w:rsid w:val="0009110B"/>
    <w:rsid w:val="00091265"/>
    <w:rsid w:val="00091404"/>
    <w:rsid w:val="000915D1"/>
    <w:rsid w:val="000916D2"/>
    <w:rsid w:val="000919CA"/>
    <w:rsid w:val="00091E25"/>
    <w:rsid w:val="00091EE0"/>
    <w:rsid w:val="0009207A"/>
    <w:rsid w:val="0009238C"/>
    <w:rsid w:val="00092507"/>
    <w:rsid w:val="0009261D"/>
    <w:rsid w:val="0009297B"/>
    <w:rsid w:val="00092B21"/>
    <w:rsid w:val="00092B42"/>
    <w:rsid w:val="00092D79"/>
    <w:rsid w:val="00092FB2"/>
    <w:rsid w:val="000931F8"/>
    <w:rsid w:val="00093222"/>
    <w:rsid w:val="00093726"/>
    <w:rsid w:val="00093960"/>
    <w:rsid w:val="00093ADF"/>
    <w:rsid w:val="00093BEF"/>
    <w:rsid w:val="00093F11"/>
    <w:rsid w:val="00094195"/>
    <w:rsid w:val="000941D5"/>
    <w:rsid w:val="000949E6"/>
    <w:rsid w:val="00094CCD"/>
    <w:rsid w:val="00094D99"/>
    <w:rsid w:val="00095039"/>
    <w:rsid w:val="0009509D"/>
    <w:rsid w:val="000950FE"/>
    <w:rsid w:val="000951BF"/>
    <w:rsid w:val="0009556B"/>
    <w:rsid w:val="000957B5"/>
    <w:rsid w:val="000957F8"/>
    <w:rsid w:val="0009592D"/>
    <w:rsid w:val="00095E71"/>
    <w:rsid w:val="00095FE8"/>
    <w:rsid w:val="000961A0"/>
    <w:rsid w:val="000961F2"/>
    <w:rsid w:val="000962F3"/>
    <w:rsid w:val="00096324"/>
    <w:rsid w:val="00096700"/>
    <w:rsid w:val="000969AC"/>
    <w:rsid w:val="00096A3E"/>
    <w:rsid w:val="00096AF7"/>
    <w:rsid w:val="00096C0D"/>
    <w:rsid w:val="00096FC1"/>
    <w:rsid w:val="00097339"/>
    <w:rsid w:val="00097368"/>
    <w:rsid w:val="00097388"/>
    <w:rsid w:val="00097723"/>
    <w:rsid w:val="00097B5D"/>
    <w:rsid w:val="00097E60"/>
    <w:rsid w:val="00097EF6"/>
    <w:rsid w:val="00097F6F"/>
    <w:rsid w:val="00097FF5"/>
    <w:rsid w:val="000A0174"/>
    <w:rsid w:val="000A02FC"/>
    <w:rsid w:val="000A0905"/>
    <w:rsid w:val="000A0AC2"/>
    <w:rsid w:val="000A0CCB"/>
    <w:rsid w:val="000A0D89"/>
    <w:rsid w:val="000A0DA0"/>
    <w:rsid w:val="000A0DAD"/>
    <w:rsid w:val="000A12D7"/>
    <w:rsid w:val="000A1552"/>
    <w:rsid w:val="000A172A"/>
    <w:rsid w:val="000A1970"/>
    <w:rsid w:val="000A1A1B"/>
    <w:rsid w:val="000A1B61"/>
    <w:rsid w:val="000A1C21"/>
    <w:rsid w:val="000A1CFE"/>
    <w:rsid w:val="000A2134"/>
    <w:rsid w:val="000A21C0"/>
    <w:rsid w:val="000A23DD"/>
    <w:rsid w:val="000A250B"/>
    <w:rsid w:val="000A2665"/>
    <w:rsid w:val="000A26AD"/>
    <w:rsid w:val="000A2883"/>
    <w:rsid w:val="000A2BA3"/>
    <w:rsid w:val="000A2C15"/>
    <w:rsid w:val="000A2FB9"/>
    <w:rsid w:val="000A3253"/>
    <w:rsid w:val="000A35E7"/>
    <w:rsid w:val="000A39C4"/>
    <w:rsid w:val="000A3A01"/>
    <w:rsid w:val="000A3A43"/>
    <w:rsid w:val="000A3B26"/>
    <w:rsid w:val="000A3B34"/>
    <w:rsid w:val="000A3C78"/>
    <w:rsid w:val="000A40C8"/>
    <w:rsid w:val="000A4189"/>
    <w:rsid w:val="000A4362"/>
    <w:rsid w:val="000A4375"/>
    <w:rsid w:val="000A43A1"/>
    <w:rsid w:val="000A43A7"/>
    <w:rsid w:val="000A43A8"/>
    <w:rsid w:val="000A46EC"/>
    <w:rsid w:val="000A4965"/>
    <w:rsid w:val="000A4B78"/>
    <w:rsid w:val="000A4C41"/>
    <w:rsid w:val="000A4E08"/>
    <w:rsid w:val="000A5173"/>
    <w:rsid w:val="000A53C8"/>
    <w:rsid w:val="000A545C"/>
    <w:rsid w:val="000A548C"/>
    <w:rsid w:val="000A54C8"/>
    <w:rsid w:val="000A5599"/>
    <w:rsid w:val="000A5675"/>
    <w:rsid w:val="000A59B0"/>
    <w:rsid w:val="000A5A6F"/>
    <w:rsid w:val="000A5B5C"/>
    <w:rsid w:val="000A5EB0"/>
    <w:rsid w:val="000A5EF6"/>
    <w:rsid w:val="000A632D"/>
    <w:rsid w:val="000A6666"/>
    <w:rsid w:val="000A66AB"/>
    <w:rsid w:val="000A66D5"/>
    <w:rsid w:val="000A67C2"/>
    <w:rsid w:val="000A6866"/>
    <w:rsid w:val="000A6A23"/>
    <w:rsid w:val="000A6DDB"/>
    <w:rsid w:val="000A73D4"/>
    <w:rsid w:val="000A76DD"/>
    <w:rsid w:val="000A76F7"/>
    <w:rsid w:val="000A78D6"/>
    <w:rsid w:val="000A78E9"/>
    <w:rsid w:val="000A7AE9"/>
    <w:rsid w:val="000A7DF2"/>
    <w:rsid w:val="000A7E11"/>
    <w:rsid w:val="000B0555"/>
    <w:rsid w:val="000B0960"/>
    <w:rsid w:val="000B0CFF"/>
    <w:rsid w:val="000B0E43"/>
    <w:rsid w:val="000B143D"/>
    <w:rsid w:val="000B14EE"/>
    <w:rsid w:val="000B1534"/>
    <w:rsid w:val="000B18BE"/>
    <w:rsid w:val="000B1E12"/>
    <w:rsid w:val="000B1F34"/>
    <w:rsid w:val="000B2074"/>
    <w:rsid w:val="000B20C6"/>
    <w:rsid w:val="000B22E7"/>
    <w:rsid w:val="000B2332"/>
    <w:rsid w:val="000B24A4"/>
    <w:rsid w:val="000B274A"/>
    <w:rsid w:val="000B28B0"/>
    <w:rsid w:val="000B2CD2"/>
    <w:rsid w:val="000B3143"/>
    <w:rsid w:val="000B346F"/>
    <w:rsid w:val="000B349B"/>
    <w:rsid w:val="000B4170"/>
    <w:rsid w:val="000B42A4"/>
    <w:rsid w:val="000B4579"/>
    <w:rsid w:val="000B46D9"/>
    <w:rsid w:val="000B4861"/>
    <w:rsid w:val="000B4B5D"/>
    <w:rsid w:val="000B4C57"/>
    <w:rsid w:val="000B4E57"/>
    <w:rsid w:val="000B5050"/>
    <w:rsid w:val="000B530C"/>
    <w:rsid w:val="000B547F"/>
    <w:rsid w:val="000B5C64"/>
    <w:rsid w:val="000B5D6C"/>
    <w:rsid w:val="000B5DCC"/>
    <w:rsid w:val="000B625F"/>
    <w:rsid w:val="000B6345"/>
    <w:rsid w:val="000B6375"/>
    <w:rsid w:val="000B6415"/>
    <w:rsid w:val="000B6AB1"/>
    <w:rsid w:val="000B6B6D"/>
    <w:rsid w:val="000B6D38"/>
    <w:rsid w:val="000B6EC6"/>
    <w:rsid w:val="000B6FB1"/>
    <w:rsid w:val="000B702F"/>
    <w:rsid w:val="000B714B"/>
    <w:rsid w:val="000B720B"/>
    <w:rsid w:val="000B776D"/>
    <w:rsid w:val="000B7A11"/>
    <w:rsid w:val="000B7A6F"/>
    <w:rsid w:val="000B7D31"/>
    <w:rsid w:val="000B7D88"/>
    <w:rsid w:val="000B7E1E"/>
    <w:rsid w:val="000B7F23"/>
    <w:rsid w:val="000C02B0"/>
    <w:rsid w:val="000C02EE"/>
    <w:rsid w:val="000C03F3"/>
    <w:rsid w:val="000C05D4"/>
    <w:rsid w:val="000C07D2"/>
    <w:rsid w:val="000C0B95"/>
    <w:rsid w:val="000C0C3C"/>
    <w:rsid w:val="000C0F15"/>
    <w:rsid w:val="000C0F9B"/>
    <w:rsid w:val="000C10C5"/>
    <w:rsid w:val="000C10E6"/>
    <w:rsid w:val="000C11E1"/>
    <w:rsid w:val="000C13A5"/>
    <w:rsid w:val="000C16D7"/>
    <w:rsid w:val="000C17CF"/>
    <w:rsid w:val="000C17F3"/>
    <w:rsid w:val="000C1A62"/>
    <w:rsid w:val="000C1B06"/>
    <w:rsid w:val="000C1FBC"/>
    <w:rsid w:val="000C230E"/>
    <w:rsid w:val="000C274D"/>
    <w:rsid w:val="000C2C26"/>
    <w:rsid w:val="000C2D48"/>
    <w:rsid w:val="000C2E66"/>
    <w:rsid w:val="000C2FAB"/>
    <w:rsid w:val="000C34AA"/>
    <w:rsid w:val="000C36CD"/>
    <w:rsid w:val="000C38B9"/>
    <w:rsid w:val="000C3A34"/>
    <w:rsid w:val="000C3B7C"/>
    <w:rsid w:val="000C3D82"/>
    <w:rsid w:val="000C3D8D"/>
    <w:rsid w:val="000C3D8E"/>
    <w:rsid w:val="000C3F1E"/>
    <w:rsid w:val="000C3F2F"/>
    <w:rsid w:val="000C43AF"/>
    <w:rsid w:val="000C4649"/>
    <w:rsid w:val="000C46D6"/>
    <w:rsid w:val="000C4701"/>
    <w:rsid w:val="000C473C"/>
    <w:rsid w:val="000C49F9"/>
    <w:rsid w:val="000C4A1A"/>
    <w:rsid w:val="000C4CD9"/>
    <w:rsid w:val="000C4E87"/>
    <w:rsid w:val="000C4F3C"/>
    <w:rsid w:val="000C500B"/>
    <w:rsid w:val="000C50FD"/>
    <w:rsid w:val="000C532D"/>
    <w:rsid w:val="000C5490"/>
    <w:rsid w:val="000C5730"/>
    <w:rsid w:val="000C581C"/>
    <w:rsid w:val="000C591F"/>
    <w:rsid w:val="000C5AB3"/>
    <w:rsid w:val="000C5C80"/>
    <w:rsid w:val="000C6082"/>
    <w:rsid w:val="000C6127"/>
    <w:rsid w:val="000C631D"/>
    <w:rsid w:val="000C66A2"/>
    <w:rsid w:val="000C66B0"/>
    <w:rsid w:val="000C6A11"/>
    <w:rsid w:val="000C6A59"/>
    <w:rsid w:val="000C6BF0"/>
    <w:rsid w:val="000C6F3B"/>
    <w:rsid w:val="000C6FCC"/>
    <w:rsid w:val="000C7271"/>
    <w:rsid w:val="000C7302"/>
    <w:rsid w:val="000C7429"/>
    <w:rsid w:val="000C7570"/>
    <w:rsid w:val="000C765A"/>
    <w:rsid w:val="000C7925"/>
    <w:rsid w:val="000C7B3E"/>
    <w:rsid w:val="000C7BE8"/>
    <w:rsid w:val="000D0460"/>
    <w:rsid w:val="000D0497"/>
    <w:rsid w:val="000D09F3"/>
    <w:rsid w:val="000D0C72"/>
    <w:rsid w:val="000D0D1D"/>
    <w:rsid w:val="000D0E70"/>
    <w:rsid w:val="000D0F0C"/>
    <w:rsid w:val="000D1463"/>
    <w:rsid w:val="000D1470"/>
    <w:rsid w:val="000D157A"/>
    <w:rsid w:val="000D15CE"/>
    <w:rsid w:val="000D1650"/>
    <w:rsid w:val="000D1C31"/>
    <w:rsid w:val="000D1D0B"/>
    <w:rsid w:val="000D1E6B"/>
    <w:rsid w:val="000D1E73"/>
    <w:rsid w:val="000D1E95"/>
    <w:rsid w:val="000D1EEB"/>
    <w:rsid w:val="000D239B"/>
    <w:rsid w:val="000D2528"/>
    <w:rsid w:val="000D25D7"/>
    <w:rsid w:val="000D2DF0"/>
    <w:rsid w:val="000D3266"/>
    <w:rsid w:val="000D3311"/>
    <w:rsid w:val="000D3493"/>
    <w:rsid w:val="000D3652"/>
    <w:rsid w:val="000D36B4"/>
    <w:rsid w:val="000D38F6"/>
    <w:rsid w:val="000D3CD5"/>
    <w:rsid w:val="000D3EB8"/>
    <w:rsid w:val="000D3F79"/>
    <w:rsid w:val="000D3FE9"/>
    <w:rsid w:val="000D4205"/>
    <w:rsid w:val="000D42B9"/>
    <w:rsid w:val="000D4660"/>
    <w:rsid w:val="000D4B7D"/>
    <w:rsid w:val="000D4D63"/>
    <w:rsid w:val="000D4DD2"/>
    <w:rsid w:val="000D4ED1"/>
    <w:rsid w:val="000D4EF3"/>
    <w:rsid w:val="000D4F9B"/>
    <w:rsid w:val="000D5333"/>
    <w:rsid w:val="000D533E"/>
    <w:rsid w:val="000D5442"/>
    <w:rsid w:val="000D5635"/>
    <w:rsid w:val="000D58A3"/>
    <w:rsid w:val="000D58C6"/>
    <w:rsid w:val="000D5C2C"/>
    <w:rsid w:val="000D5CD3"/>
    <w:rsid w:val="000D5ED3"/>
    <w:rsid w:val="000D604D"/>
    <w:rsid w:val="000D60CE"/>
    <w:rsid w:val="000D6105"/>
    <w:rsid w:val="000D6190"/>
    <w:rsid w:val="000D643F"/>
    <w:rsid w:val="000D6487"/>
    <w:rsid w:val="000D6803"/>
    <w:rsid w:val="000D694B"/>
    <w:rsid w:val="000D6D45"/>
    <w:rsid w:val="000D70DF"/>
    <w:rsid w:val="000D73CA"/>
    <w:rsid w:val="000D762E"/>
    <w:rsid w:val="000D78FE"/>
    <w:rsid w:val="000D79B7"/>
    <w:rsid w:val="000D7A16"/>
    <w:rsid w:val="000D7C5A"/>
    <w:rsid w:val="000D7CA6"/>
    <w:rsid w:val="000D7CDA"/>
    <w:rsid w:val="000D7D0C"/>
    <w:rsid w:val="000D7D15"/>
    <w:rsid w:val="000D7D32"/>
    <w:rsid w:val="000D7DD0"/>
    <w:rsid w:val="000E03AF"/>
    <w:rsid w:val="000E0853"/>
    <w:rsid w:val="000E0A1A"/>
    <w:rsid w:val="000E0A55"/>
    <w:rsid w:val="000E0A90"/>
    <w:rsid w:val="000E0ABB"/>
    <w:rsid w:val="000E1150"/>
    <w:rsid w:val="000E1431"/>
    <w:rsid w:val="000E14A7"/>
    <w:rsid w:val="000E157B"/>
    <w:rsid w:val="000E158F"/>
    <w:rsid w:val="000E16D1"/>
    <w:rsid w:val="000E18FC"/>
    <w:rsid w:val="000E193A"/>
    <w:rsid w:val="000E19A7"/>
    <w:rsid w:val="000E1A86"/>
    <w:rsid w:val="000E1B92"/>
    <w:rsid w:val="000E1D85"/>
    <w:rsid w:val="000E1EC5"/>
    <w:rsid w:val="000E2252"/>
    <w:rsid w:val="000E24FE"/>
    <w:rsid w:val="000E255F"/>
    <w:rsid w:val="000E27D6"/>
    <w:rsid w:val="000E2ABB"/>
    <w:rsid w:val="000E2CFC"/>
    <w:rsid w:val="000E2D1D"/>
    <w:rsid w:val="000E2E0A"/>
    <w:rsid w:val="000E2E3E"/>
    <w:rsid w:val="000E3152"/>
    <w:rsid w:val="000E31D2"/>
    <w:rsid w:val="000E330D"/>
    <w:rsid w:val="000E338B"/>
    <w:rsid w:val="000E33B0"/>
    <w:rsid w:val="000E35FB"/>
    <w:rsid w:val="000E3872"/>
    <w:rsid w:val="000E38F2"/>
    <w:rsid w:val="000E3984"/>
    <w:rsid w:val="000E3B0A"/>
    <w:rsid w:val="000E3B78"/>
    <w:rsid w:val="000E3C87"/>
    <w:rsid w:val="000E3D92"/>
    <w:rsid w:val="000E409B"/>
    <w:rsid w:val="000E41A3"/>
    <w:rsid w:val="000E431A"/>
    <w:rsid w:val="000E5147"/>
    <w:rsid w:val="000E5234"/>
    <w:rsid w:val="000E54DF"/>
    <w:rsid w:val="000E5560"/>
    <w:rsid w:val="000E57F2"/>
    <w:rsid w:val="000E5820"/>
    <w:rsid w:val="000E5897"/>
    <w:rsid w:val="000E5914"/>
    <w:rsid w:val="000E5945"/>
    <w:rsid w:val="000E5A01"/>
    <w:rsid w:val="000E5E31"/>
    <w:rsid w:val="000E5E9F"/>
    <w:rsid w:val="000E5F9D"/>
    <w:rsid w:val="000E6190"/>
    <w:rsid w:val="000E641B"/>
    <w:rsid w:val="000E69A6"/>
    <w:rsid w:val="000E6C6D"/>
    <w:rsid w:val="000E7420"/>
    <w:rsid w:val="000E74EC"/>
    <w:rsid w:val="000E76E9"/>
    <w:rsid w:val="000E7AA2"/>
    <w:rsid w:val="000E7E84"/>
    <w:rsid w:val="000E7EA6"/>
    <w:rsid w:val="000F0753"/>
    <w:rsid w:val="000F07A8"/>
    <w:rsid w:val="000F0AC4"/>
    <w:rsid w:val="000F0AEE"/>
    <w:rsid w:val="000F0E81"/>
    <w:rsid w:val="000F0F0F"/>
    <w:rsid w:val="000F102E"/>
    <w:rsid w:val="000F133D"/>
    <w:rsid w:val="000F14D9"/>
    <w:rsid w:val="000F1818"/>
    <w:rsid w:val="000F188B"/>
    <w:rsid w:val="000F1D89"/>
    <w:rsid w:val="000F20BB"/>
    <w:rsid w:val="000F216B"/>
    <w:rsid w:val="000F26C1"/>
    <w:rsid w:val="000F274B"/>
    <w:rsid w:val="000F29C1"/>
    <w:rsid w:val="000F2C2C"/>
    <w:rsid w:val="000F3083"/>
    <w:rsid w:val="000F3195"/>
    <w:rsid w:val="000F36C6"/>
    <w:rsid w:val="000F37F3"/>
    <w:rsid w:val="000F3A72"/>
    <w:rsid w:val="000F4280"/>
    <w:rsid w:val="000F4481"/>
    <w:rsid w:val="000F4516"/>
    <w:rsid w:val="000F4553"/>
    <w:rsid w:val="000F4610"/>
    <w:rsid w:val="000F4929"/>
    <w:rsid w:val="000F4B70"/>
    <w:rsid w:val="000F4CB1"/>
    <w:rsid w:val="000F4CF2"/>
    <w:rsid w:val="000F5273"/>
    <w:rsid w:val="000F53AA"/>
    <w:rsid w:val="000F567F"/>
    <w:rsid w:val="000F57B3"/>
    <w:rsid w:val="000F5936"/>
    <w:rsid w:val="000F5AD9"/>
    <w:rsid w:val="000F5BE8"/>
    <w:rsid w:val="000F5C66"/>
    <w:rsid w:val="000F6011"/>
    <w:rsid w:val="000F63EF"/>
    <w:rsid w:val="000F645D"/>
    <w:rsid w:val="000F6590"/>
    <w:rsid w:val="000F6684"/>
    <w:rsid w:val="000F66C4"/>
    <w:rsid w:val="000F674E"/>
    <w:rsid w:val="000F686F"/>
    <w:rsid w:val="000F68C4"/>
    <w:rsid w:val="000F6993"/>
    <w:rsid w:val="000F6AA1"/>
    <w:rsid w:val="000F6BB8"/>
    <w:rsid w:val="000F6BF1"/>
    <w:rsid w:val="000F6E6B"/>
    <w:rsid w:val="000F6EA7"/>
    <w:rsid w:val="000F6FE8"/>
    <w:rsid w:val="000F7249"/>
    <w:rsid w:val="000F76C5"/>
    <w:rsid w:val="000F794B"/>
    <w:rsid w:val="000F7AF0"/>
    <w:rsid w:val="000F7B10"/>
    <w:rsid w:val="000F7B88"/>
    <w:rsid w:val="000F7D1C"/>
    <w:rsid w:val="000F7ECE"/>
    <w:rsid w:val="00100043"/>
    <w:rsid w:val="001000CA"/>
    <w:rsid w:val="001002DF"/>
    <w:rsid w:val="00100802"/>
    <w:rsid w:val="0010086C"/>
    <w:rsid w:val="001009D8"/>
    <w:rsid w:val="00100AF5"/>
    <w:rsid w:val="00100D28"/>
    <w:rsid w:val="001012DC"/>
    <w:rsid w:val="00101611"/>
    <w:rsid w:val="0010195E"/>
    <w:rsid w:val="00101B99"/>
    <w:rsid w:val="00101C00"/>
    <w:rsid w:val="00101D36"/>
    <w:rsid w:val="00101F1D"/>
    <w:rsid w:val="0010221A"/>
    <w:rsid w:val="001023C4"/>
    <w:rsid w:val="001023E0"/>
    <w:rsid w:val="0010245E"/>
    <w:rsid w:val="001025BD"/>
    <w:rsid w:val="00102722"/>
    <w:rsid w:val="0010293A"/>
    <w:rsid w:val="00102C0B"/>
    <w:rsid w:val="00102C19"/>
    <w:rsid w:val="00102D77"/>
    <w:rsid w:val="00102E7A"/>
    <w:rsid w:val="00102EBF"/>
    <w:rsid w:val="00103092"/>
    <w:rsid w:val="00103790"/>
    <w:rsid w:val="00103920"/>
    <w:rsid w:val="001042AD"/>
    <w:rsid w:val="00104333"/>
    <w:rsid w:val="00104A64"/>
    <w:rsid w:val="00104B44"/>
    <w:rsid w:val="00104B92"/>
    <w:rsid w:val="00104D08"/>
    <w:rsid w:val="00104E74"/>
    <w:rsid w:val="001053FD"/>
    <w:rsid w:val="00105710"/>
    <w:rsid w:val="001058E5"/>
    <w:rsid w:val="001059F8"/>
    <w:rsid w:val="00105A84"/>
    <w:rsid w:val="00105CF8"/>
    <w:rsid w:val="00105EA6"/>
    <w:rsid w:val="00105EF6"/>
    <w:rsid w:val="00106905"/>
    <w:rsid w:val="00106917"/>
    <w:rsid w:val="00106AE2"/>
    <w:rsid w:val="00106C89"/>
    <w:rsid w:val="00106D8F"/>
    <w:rsid w:val="00106F68"/>
    <w:rsid w:val="00106F76"/>
    <w:rsid w:val="00107395"/>
    <w:rsid w:val="0010744C"/>
    <w:rsid w:val="001074E3"/>
    <w:rsid w:val="0010788F"/>
    <w:rsid w:val="001079FD"/>
    <w:rsid w:val="00107B07"/>
    <w:rsid w:val="00107D71"/>
    <w:rsid w:val="0011027B"/>
    <w:rsid w:val="001105DF"/>
    <w:rsid w:val="0011074F"/>
    <w:rsid w:val="00110760"/>
    <w:rsid w:val="0011076E"/>
    <w:rsid w:val="001107D4"/>
    <w:rsid w:val="00110805"/>
    <w:rsid w:val="00110832"/>
    <w:rsid w:val="001111E2"/>
    <w:rsid w:val="0011120B"/>
    <w:rsid w:val="001114B9"/>
    <w:rsid w:val="001116AD"/>
    <w:rsid w:val="001118D5"/>
    <w:rsid w:val="00111C72"/>
    <w:rsid w:val="00111D2B"/>
    <w:rsid w:val="00111D33"/>
    <w:rsid w:val="00111FB7"/>
    <w:rsid w:val="00111FE7"/>
    <w:rsid w:val="00112087"/>
    <w:rsid w:val="00112171"/>
    <w:rsid w:val="00112613"/>
    <w:rsid w:val="00112812"/>
    <w:rsid w:val="001129D8"/>
    <w:rsid w:val="001129F8"/>
    <w:rsid w:val="001130CD"/>
    <w:rsid w:val="001131AF"/>
    <w:rsid w:val="00113315"/>
    <w:rsid w:val="00113328"/>
    <w:rsid w:val="001134BA"/>
    <w:rsid w:val="001136BA"/>
    <w:rsid w:val="00113767"/>
    <w:rsid w:val="00113AA2"/>
    <w:rsid w:val="00113F3D"/>
    <w:rsid w:val="0011407C"/>
    <w:rsid w:val="001140CD"/>
    <w:rsid w:val="0011416C"/>
    <w:rsid w:val="0011448D"/>
    <w:rsid w:val="00114786"/>
    <w:rsid w:val="00115002"/>
    <w:rsid w:val="001152B6"/>
    <w:rsid w:val="001153D5"/>
    <w:rsid w:val="001157EC"/>
    <w:rsid w:val="0011594B"/>
    <w:rsid w:val="001159B0"/>
    <w:rsid w:val="00115B69"/>
    <w:rsid w:val="00115C0D"/>
    <w:rsid w:val="00115DE6"/>
    <w:rsid w:val="00115E36"/>
    <w:rsid w:val="00115E77"/>
    <w:rsid w:val="00115F3C"/>
    <w:rsid w:val="00115FD8"/>
    <w:rsid w:val="0011614F"/>
    <w:rsid w:val="001161FF"/>
    <w:rsid w:val="001162D0"/>
    <w:rsid w:val="00116376"/>
    <w:rsid w:val="00116799"/>
    <w:rsid w:val="001167A6"/>
    <w:rsid w:val="0011684F"/>
    <w:rsid w:val="00116887"/>
    <w:rsid w:val="00116FBA"/>
    <w:rsid w:val="00117039"/>
    <w:rsid w:val="001171B8"/>
    <w:rsid w:val="00117803"/>
    <w:rsid w:val="00117A87"/>
    <w:rsid w:val="00117C5C"/>
    <w:rsid w:val="00117E7D"/>
    <w:rsid w:val="00117EAA"/>
    <w:rsid w:val="0012021C"/>
    <w:rsid w:val="001205A2"/>
    <w:rsid w:val="00120624"/>
    <w:rsid w:val="001206AF"/>
    <w:rsid w:val="00120987"/>
    <w:rsid w:val="00120A09"/>
    <w:rsid w:val="00120A6C"/>
    <w:rsid w:val="00120C46"/>
    <w:rsid w:val="00120CE5"/>
    <w:rsid w:val="00120E4F"/>
    <w:rsid w:val="00120EC9"/>
    <w:rsid w:val="00120F52"/>
    <w:rsid w:val="00120F95"/>
    <w:rsid w:val="001212BD"/>
    <w:rsid w:val="001215F0"/>
    <w:rsid w:val="0012197D"/>
    <w:rsid w:val="00121B56"/>
    <w:rsid w:val="00121BEB"/>
    <w:rsid w:val="00121EB9"/>
    <w:rsid w:val="00122007"/>
    <w:rsid w:val="001221F9"/>
    <w:rsid w:val="00122213"/>
    <w:rsid w:val="00122343"/>
    <w:rsid w:val="00122496"/>
    <w:rsid w:val="00122BE7"/>
    <w:rsid w:val="00122D2C"/>
    <w:rsid w:val="001230BF"/>
    <w:rsid w:val="001230FA"/>
    <w:rsid w:val="001235ED"/>
    <w:rsid w:val="001237F7"/>
    <w:rsid w:val="001238BB"/>
    <w:rsid w:val="001239FD"/>
    <w:rsid w:val="00123A9C"/>
    <w:rsid w:val="00123D1E"/>
    <w:rsid w:val="00123FFC"/>
    <w:rsid w:val="001240F0"/>
    <w:rsid w:val="00124122"/>
    <w:rsid w:val="0012436B"/>
    <w:rsid w:val="00124423"/>
    <w:rsid w:val="00124628"/>
    <w:rsid w:val="00124650"/>
    <w:rsid w:val="001247B4"/>
    <w:rsid w:val="00124802"/>
    <w:rsid w:val="00124862"/>
    <w:rsid w:val="00124CEB"/>
    <w:rsid w:val="00124D8F"/>
    <w:rsid w:val="00124ECA"/>
    <w:rsid w:val="00124F81"/>
    <w:rsid w:val="001250AC"/>
    <w:rsid w:val="00125333"/>
    <w:rsid w:val="00125821"/>
    <w:rsid w:val="00125973"/>
    <w:rsid w:val="0012598A"/>
    <w:rsid w:val="001259F5"/>
    <w:rsid w:val="00125A96"/>
    <w:rsid w:val="00126859"/>
    <w:rsid w:val="00126F3E"/>
    <w:rsid w:val="00126FAC"/>
    <w:rsid w:val="00126FB2"/>
    <w:rsid w:val="00126FE5"/>
    <w:rsid w:val="001270CB"/>
    <w:rsid w:val="001272C4"/>
    <w:rsid w:val="0012752A"/>
    <w:rsid w:val="00127626"/>
    <w:rsid w:val="0012766D"/>
    <w:rsid w:val="001277A2"/>
    <w:rsid w:val="001277C6"/>
    <w:rsid w:val="001279F4"/>
    <w:rsid w:val="00127A4A"/>
    <w:rsid w:val="00127C3E"/>
    <w:rsid w:val="0013002B"/>
    <w:rsid w:val="001302D5"/>
    <w:rsid w:val="00130442"/>
    <w:rsid w:val="0013053C"/>
    <w:rsid w:val="001305CE"/>
    <w:rsid w:val="00130C57"/>
    <w:rsid w:val="00130F4B"/>
    <w:rsid w:val="0013161D"/>
    <w:rsid w:val="00131646"/>
    <w:rsid w:val="001317A0"/>
    <w:rsid w:val="001319C7"/>
    <w:rsid w:val="00131A34"/>
    <w:rsid w:val="00131A97"/>
    <w:rsid w:val="00131CB9"/>
    <w:rsid w:val="00131DC2"/>
    <w:rsid w:val="00131EAE"/>
    <w:rsid w:val="001320ED"/>
    <w:rsid w:val="0013236A"/>
    <w:rsid w:val="001325F4"/>
    <w:rsid w:val="00132696"/>
    <w:rsid w:val="00132711"/>
    <w:rsid w:val="001327F9"/>
    <w:rsid w:val="00132CD2"/>
    <w:rsid w:val="001330BB"/>
    <w:rsid w:val="001330E6"/>
    <w:rsid w:val="0013378E"/>
    <w:rsid w:val="00133A13"/>
    <w:rsid w:val="00133E6A"/>
    <w:rsid w:val="00134075"/>
    <w:rsid w:val="0013411D"/>
    <w:rsid w:val="00134136"/>
    <w:rsid w:val="001344D3"/>
    <w:rsid w:val="001347A6"/>
    <w:rsid w:val="00134A2B"/>
    <w:rsid w:val="00134ABC"/>
    <w:rsid w:val="00134CA3"/>
    <w:rsid w:val="00134D01"/>
    <w:rsid w:val="00134E54"/>
    <w:rsid w:val="00134FF9"/>
    <w:rsid w:val="001350F2"/>
    <w:rsid w:val="00135762"/>
    <w:rsid w:val="00135C73"/>
    <w:rsid w:val="00135DE8"/>
    <w:rsid w:val="00135F10"/>
    <w:rsid w:val="00135F8E"/>
    <w:rsid w:val="00135F8F"/>
    <w:rsid w:val="001364B1"/>
    <w:rsid w:val="001364DE"/>
    <w:rsid w:val="0013655C"/>
    <w:rsid w:val="001367BA"/>
    <w:rsid w:val="00136A6C"/>
    <w:rsid w:val="00136B0D"/>
    <w:rsid w:val="00136D4D"/>
    <w:rsid w:val="00136DB7"/>
    <w:rsid w:val="00136E4C"/>
    <w:rsid w:val="00136EF0"/>
    <w:rsid w:val="0013715E"/>
    <w:rsid w:val="001371BF"/>
    <w:rsid w:val="0013731A"/>
    <w:rsid w:val="0013731B"/>
    <w:rsid w:val="001375C2"/>
    <w:rsid w:val="00137D9E"/>
    <w:rsid w:val="00137E0C"/>
    <w:rsid w:val="00137E3A"/>
    <w:rsid w:val="00137E63"/>
    <w:rsid w:val="0014034E"/>
    <w:rsid w:val="0014057B"/>
    <w:rsid w:val="00140604"/>
    <w:rsid w:val="00140738"/>
    <w:rsid w:val="0014091F"/>
    <w:rsid w:val="00140947"/>
    <w:rsid w:val="00140D97"/>
    <w:rsid w:val="00141023"/>
    <w:rsid w:val="00141544"/>
    <w:rsid w:val="00141562"/>
    <w:rsid w:val="00141563"/>
    <w:rsid w:val="001415C0"/>
    <w:rsid w:val="001416E3"/>
    <w:rsid w:val="001419AE"/>
    <w:rsid w:val="00141A05"/>
    <w:rsid w:val="00141B71"/>
    <w:rsid w:val="00141BF3"/>
    <w:rsid w:val="00141E23"/>
    <w:rsid w:val="00141FAE"/>
    <w:rsid w:val="00141FC9"/>
    <w:rsid w:val="0014213C"/>
    <w:rsid w:val="001424DA"/>
    <w:rsid w:val="00142581"/>
    <w:rsid w:val="00142596"/>
    <w:rsid w:val="00142613"/>
    <w:rsid w:val="0014263E"/>
    <w:rsid w:val="0014268E"/>
    <w:rsid w:val="00142A61"/>
    <w:rsid w:val="00142C46"/>
    <w:rsid w:val="00142EFF"/>
    <w:rsid w:val="00142F05"/>
    <w:rsid w:val="001432F6"/>
    <w:rsid w:val="001433E5"/>
    <w:rsid w:val="0014348D"/>
    <w:rsid w:val="00143516"/>
    <w:rsid w:val="0014354F"/>
    <w:rsid w:val="001436ED"/>
    <w:rsid w:val="00143725"/>
    <w:rsid w:val="00143EBB"/>
    <w:rsid w:val="00143EFC"/>
    <w:rsid w:val="00143FED"/>
    <w:rsid w:val="001441E4"/>
    <w:rsid w:val="0014451F"/>
    <w:rsid w:val="001446E5"/>
    <w:rsid w:val="0014479B"/>
    <w:rsid w:val="0014497C"/>
    <w:rsid w:val="00144A44"/>
    <w:rsid w:val="00144D45"/>
    <w:rsid w:val="00144FD3"/>
    <w:rsid w:val="00145026"/>
    <w:rsid w:val="0014523E"/>
    <w:rsid w:val="00145961"/>
    <w:rsid w:val="00145A91"/>
    <w:rsid w:val="00145B67"/>
    <w:rsid w:val="00145E04"/>
    <w:rsid w:val="00145E88"/>
    <w:rsid w:val="00146028"/>
    <w:rsid w:val="00146102"/>
    <w:rsid w:val="001464A9"/>
    <w:rsid w:val="001468E7"/>
    <w:rsid w:val="00146C36"/>
    <w:rsid w:val="00146C91"/>
    <w:rsid w:val="00146E04"/>
    <w:rsid w:val="00146F7E"/>
    <w:rsid w:val="001470B1"/>
    <w:rsid w:val="001473D1"/>
    <w:rsid w:val="00147450"/>
    <w:rsid w:val="00147451"/>
    <w:rsid w:val="0014789E"/>
    <w:rsid w:val="001478A1"/>
    <w:rsid w:val="00147A61"/>
    <w:rsid w:val="00147C64"/>
    <w:rsid w:val="00147E2A"/>
    <w:rsid w:val="00147E31"/>
    <w:rsid w:val="0015050A"/>
    <w:rsid w:val="00150604"/>
    <w:rsid w:val="00150987"/>
    <w:rsid w:val="00150B86"/>
    <w:rsid w:val="00150D0B"/>
    <w:rsid w:val="00151047"/>
    <w:rsid w:val="0015104A"/>
    <w:rsid w:val="001513E9"/>
    <w:rsid w:val="001515E3"/>
    <w:rsid w:val="00151B8A"/>
    <w:rsid w:val="00151C0B"/>
    <w:rsid w:val="00151C1B"/>
    <w:rsid w:val="00151EC1"/>
    <w:rsid w:val="00151FF6"/>
    <w:rsid w:val="0015208E"/>
    <w:rsid w:val="00152162"/>
    <w:rsid w:val="001521CC"/>
    <w:rsid w:val="00152343"/>
    <w:rsid w:val="0015240E"/>
    <w:rsid w:val="001526E3"/>
    <w:rsid w:val="001527EB"/>
    <w:rsid w:val="00152B9D"/>
    <w:rsid w:val="00152BB9"/>
    <w:rsid w:val="00152D6F"/>
    <w:rsid w:val="0015301D"/>
    <w:rsid w:val="00153371"/>
    <w:rsid w:val="001534F7"/>
    <w:rsid w:val="0015391C"/>
    <w:rsid w:val="00153FC2"/>
    <w:rsid w:val="0015410E"/>
    <w:rsid w:val="0015418E"/>
    <w:rsid w:val="001541A0"/>
    <w:rsid w:val="001541C7"/>
    <w:rsid w:val="0015421C"/>
    <w:rsid w:val="00154246"/>
    <w:rsid w:val="001543E5"/>
    <w:rsid w:val="001544FF"/>
    <w:rsid w:val="00154708"/>
    <w:rsid w:val="00154831"/>
    <w:rsid w:val="0015489F"/>
    <w:rsid w:val="0015499D"/>
    <w:rsid w:val="00154A1F"/>
    <w:rsid w:val="00154CBD"/>
    <w:rsid w:val="00154FEC"/>
    <w:rsid w:val="001551AE"/>
    <w:rsid w:val="001551DF"/>
    <w:rsid w:val="0015525B"/>
    <w:rsid w:val="0015562F"/>
    <w:rsid w:val="00155633"/>
    <w:rsid w:val="00155645"/>
    <w:rsid w:val="0015571A"/>
    <w:rsid w:val="001557AA"/>
    <w:rsid w:val="001558CA"/>
    <w:rsid w:val="001558FC"/>
    <w:rsid w:val="001559F6"/>
    <w:rsid w:val="00155A38"/>
    <w:rsid w:val="00155FA8"/>
    <w:rsid w:val="00155FC4"/>
    <w:rsid w:val="00156114"/>
    <w:rsid w:val="001561CA"/>
    <w:rsid w:val="00156424"/>
    <w:rsid w:val="001564DC"/>
    <w:rsid w:val="00156D2E"/>
    <w:rsid w:val="00156DCA"/>
    <w:rsid w:val="00156F2D"/>
    <w:rsid w:val="001570D1"/>
    <w:rsid w:val="00157393"/>
    <w:rsid w:val="0015745C"/>
    <w:rsid w:val="001577BC"/>
    <w:rsid w:val="001578BD"/>
    <w:rsid w:val="00157C95"/>
    <w:rsid w:val="00157D12"/>
    <w:rsid w:val="00157D85"/>
    <w:rsid w:val="00157DB1"/>
    <w:rsid w:val="00157DFE"/>
    <w:rsid w:val="00157E5A"/>
    <w:rsid w:val="00157EF1"/>
    <w:rsid w:val="00160114"/>
    <w:rsid w:val="00160B26"/>
    <w:rsid w:val="00160BDF"/>
    <w:rsid w:val="00160C39"/>
    <w:rsid w:val="00161026"/>
    <w:rsid w:val="001612D1"/>
    <w:rsid w:val="001612EC"/>
    <w:rsid w:val="001613AA"/>
    <w:rsid w:val="001615B7"/>
    <w:rsid w:val="0016213B"/>
    <w:rsid w:val="00162491"/>
    <w:rsid w:val="00162594"/>
    <w:rsid w:val="00162639"/>
    <w:rsid w:val="001626FA"/>
    <w:rsid w:val="00162AFF"/>
    <w:rsid w:val="00162DE7"/>
    <w:rsid w:val="001632EC"/>
    <w:rsid w:val="00163303"/>
    <w:rsid w:val="0016347A"/>
    <w:rsid w:val="001635A8"/>
    <w:rsid w:val="0016364A"/>
    <w:rsid w:val="00163A00"/>
    <w:rsid w:val="00163B29"/>
    <w:rsid w:val="00163D91"/>
    <w:rsid w:val="00163FBD"/>
    <w:rsid w:val="0016447C"/>
    <w:rsid w:val="001644D4"/>
    <w:rsid w:val="001648AF"/>
    <w:rsid w:val="00164CDB"/>
    <w:rsid w:val="00164FCE"/>
    <w:rsid w:val="0016553D"/>
    <w:rsid w:val="001656F2"/>
    <w:rsid w:val="00165888"/>
    <w:rsid w:val="00165C13"/>
    <w:rsid w:val="00165DA9"/>
    <w:rsid w:val="00165E74"/>
    <w:rsid w:val="00165F99"/>
    <w:rsid w:val="001661B5"/>
    <w:rsid w:val="00166768"/>
    <w:rsid w:val="00166867"/>
    <w:rsid w:val="00166C9E"/>
    <w:rsid w:val="00166EA0"/>
    <w:rsid w:val="00166EF2"/>
    <w:rsid w:val="00166F59"/>
    <w:rsid w:val="00166FBB"/>
    <w:rsid w:val="00167272"/>
    <w:rsid w:val="001672FB"/>
    <w:rsid w:val="00167312"/>
    <w:rsid w:val="0016743D"/>
    <w:rsid w:val="001675A2"/>
    <w:rsid w:val="001675F1"/>
    <w:rsid w:val="00167666"/>
    <w:rsid w:val="0016783E"/>
    <w:rsid w:val="00167DCA"/>
    <w:rsid w:val="0017004F"/>
    <w:rsid w:val="00170103"/>
    <w:rsid w:val="001708C0"/>
    <w:rsid w:val="001709BB"/>
    <w:rsid w:val="00170BF7"/>
    <w:rsid w:val="00170CBC"/>
    <w:rsid w:val="00170F40"/>
    <w:rsid w:val="0017159C"/>
    <w:rsid w:val="00171654"/>
    <w:rsid w:val="001716D6"/>
    <w:rsid w:val="001716EB"/>
    <w:rsid w:val="00171F1F"/>
    <w:rsid w:val="00171FFB"/>
    <w:rsid w:val="0017237F"/>
    <w:rsid w:val="00172531"/>
    <w:rsid w:val="0017261B"/>
    <w:rsid w:val="00172713"/>
    <w:rsid w:val="001727AD"/>
    <w:rsid w:val="00172974"/>
    <w:rsid w:val="00172AB8"/>
    <w:rsid w:val="00172CB0"/>
    <w:rsid w:val="001730BE"/>
    <w:rsid w:val="00173437"/>
    <w:rsid w:val="001735D4"/>
    <w:rsid w:val="0017362C"/>
    <w:rsid w:val="00173691"/>
    <w:rsid w:val="00173911"/>
    <w:rsid w:val="00173991"/>
    <w:rsid w:val="00173BD6"/>
    <w:rsid w:val="00173F92"/>
    <w:rsid w:val="00174471"/>
    <w:rsid w:val="00174782"/>
    <w:rsid w:val="00174840"/>
    <w:rsid w:val="001749A5"/>
    <w:rsid w:val="00174CFC"/>
    <w:rsid w:val="00174D8A"/>
    <w:rsid w:val="00174EE3"/>
    <w:rsid w:val="00175614"/>
    <w:rsid w:val="001756F9"/>
    <w:rsid w:val="0017570F"/>
    <w:rsid w:val="0017573E"/>
    <w:rsid w:val="00175A60"/>
    <w:rsid w:val="00175A9D"/>
    <w:rsid w:val="00175AE0"/>
    <w:rsid w:val="00175C2B"/>
    <w:rsid w:val="00175D90"/>
    <w:rsid w:val="00175E54"/>
    <w:rsid w:val="00175F72"/>
    <w:rsid w:val="00176163"/>
    <w:rsid w:val="001767ED"/>
    <w:rsid w:val="00176AC8"/>
    <w:rsid w:val="00176B34"/>
    <w:rsid w:val="00176DA7"/>
    <w:rsid w:val="00176E78"/>
    <w:rsid w:val="00176F35"/>
    <w:rsid w:val="00177031"/>
    <w:rsid w:val="0017761E"/>
    <w:rsid w:val="001776F6"/>
    <w:rsid w:val="00177816"/>
    <w:rsid w:val="00177CF5"/>
    <w:rsid w:val="00177D24"/>
    <w:rsid w:val="00177DF5"/>
    <w:rsid w:val="00177E62"/>
    <w:rsid w:val="00177F5D"/>
    <w:rsid w:val="00177FC8"/>
    <w:rsid w:val="001801B6"/>
    <w:rsid w:val="0018021D"/>
    <w:rsid w:val="00180241"/>
    <w:rsid w:val="0018026A"/>
    <w:rsid w:val="0018027D"/>
    <w:rsid w:val="00180938"/>
    <w:rsid w:val="00180A22"/>
    <w:rsid w:val="00180D5E"/>
    <w:rsid w:val="00180ED1"/>
    <w:rsid w:val="00180EF6"/>
    <w:rsid w:val="00181105"/>
    <w:rsid w:val="00181246"/>
    <w:rsid w:val="0018154A"/>
    <w:rsid w:val="001815BD"/>
    <w:rsid w:val="0018172E"/>
    <w:rsid w:val="00181A2B"/>
    <w:rsid w:val="00181D0B"/>
    <w:rsid w:val="00181E26"/>
    <w:rsid w:val="00181E7A"/>
    <w:rsid w:val="0018201A"/>
    <w:rsid w:val="0018213E"/>
    <w:rsid w:val="0018231A"/>
    <w:rsid w:val="001824B4"/>
    <w:rsid w:val="0018286A"/>
    <w:rsid w:val="00182C8B"/>
    <w:rsid w:val="00182DBD"/>
    <w:rsid w:val="00183368"/>
    <w:rsid w:val="001833F8"/>
    <w:rsid w:val="00183932"/>
    <w:rsid w:val="00183952"/>
    <w:rsid w:val="00183C81"/>
    <w:rsid w:val="00183E9C"/>
    <w:rsid w:val="00184041"/>
    <w:rsid w:val="0018409E"/>
    <w:rsid w:val="001842A4"/>
    <w:rsid w:val="001847A8"/>
    <w:rsid w:val="00184871"/>
    <w:rsid w:val="0018487D"/>
    <w:rsid w:val="00184927"/>
    <w:rsid w:val="00184A2F"/>
    <w:rsid w:val="00184BD2"/>
    <w:rsid w:val="00184C80"/>
    <w:rsid w:val="001850A6"/>
    <w:rsid w:val="0018533C"/>
    <w:rsid w:val="00185383"/>
    <w:rsid w:val="001853A7"/>
    <w:rsid w:val="001857F0"/>
    <w:rsid w:val="0018585B"/>
    <w:rsid w:val="001858AA"/>
    <w:rsid w:val="00185AFA"/>
    <w:rsid w:val="00185E61"/>
    <w:rsid w:val="00185ED2"/>
    <w:rsid w:val="001863E7"/>
    <w:rsid w:val="001866F3"/>
    <w:rsid w:val="0018766B"/>
    <w:rsid w:val="001877D2"/>
    <w:rsid w:val="00187C43"/>
    <w:rsid w:val="00187C99"/>
    <w:rsid w:val="001901B3"/>
    <w:rsid w:val="001901F2"/>
    <w:rsid w:val="0019077C"/>
    <w:rsid w:val="001907DB"/>
    <w:rsid w:val="00190952"/>
    <w:rsid w:val="00190B5D"/>
    <w:rsid w:val="00190CFA"/>
    <w:rsid w:val="00190F86"/>
    <w:rsid w:val="00190F8F"/>
    <w:rsid w:val="0019113F"/>
    <w:rsid w:val="00191178"/>
    <w:rsid w:val="001911B3"/>
    <w:rsid w:val="001911BA"/>
    <w:rsid w:val="001914A4"/>
    <w:rsid w:val="001914FE"/>
    <w:rsid w:val="00191615"/>
    <w:rsid w:val="0019181E"/>
    <w:rsid w:val="00191F15"/>
    <w:rsid w:val="00192009"/>
    <w:rsid w:val="00192139"/>
    <w:rsid w:val="001922FE"/>
    <w:rsid w:val="00192409"/>
    <w:rsid w:val="001924C4"/>
    <w:rsid w:val="001926FE"/>
    <w:rsid w:val="00192AB2"/>
    <w:rsid w:val="00192AE4"/>
    <w:rsid w:val="00192AF1"/>
    <w:rsid w:val="00192CA6"/>
    <w:rsid w:val="00192EC1"/>
    <w:rsid w:val="00192ED0"/>
    <w:rsid w:val="0019315F"/>
    <w:rsid w:val="001932EA"/>
    <w:rsid w:val="0019331C"/>
    <w:rsid w:val="001937B3"/>
    <w:rsid w:val="00193B23"/>
    <w:rsid w:val="00193BDF"/>
    <w:rsid w:val="00193D26"/>
    <w:rsid w:val="00193E5B"/>
    <w:rsid w:val="00193F75"/>
    <w:rsid w:val="00193FE2"/>
    <w:rsid w:val="00194421"/>
    <w:rsid w:val="00194671"/>
    <w:rsid w:val="00194BA4"/>
    <w:rsid w:val="001952B6"/>
    <w:rsid w:val="001952DA"/>
    <w:rsid w:val="001954F6"/>
    <w:rsid w:val="001959C2"/>
    <w:rsid w:val="00196089"/>
    <w:rsid w:val="0019610A"/>
    <w:rsid w:val="001964F6"/>
    <w:rsid w:val="0019652A"/>
    <w:rsid w:val="001966A2"/>
    <w:rsid w:val="00196F8C"/>
    <w:rsid w:val="001970D1"/>
    <w:rsid w:val="00197309"/>
    <w:rsid w:val="00197487"/>
    <w:rsid w:val="00197566"/>
    <w:rsid w:val="001976BF"/>
    <w:rsid w:val="001976ED"/>
    <w:rsid w:val="00197D1F"/>
    <w:rsid w:val="00197E0F"/>
    <w:rsid w:val="00197E7F"/>
    <w:rsid w:val="001A00B4"/>
    <w:rsid w:val="001A0211"/>
    <w:rsid w:val="001A045C"/>
    <w:rsid w:val="001A0618"/>
    <w:rsid w:val="001A06B8"/>
    <w:rsid w:val="001A0724"/>
    <w:rsid w:val="001A0750"/>
    <w:rsid w:val="001A0C1A"/>
    <w:rsid w:val="001A0E88"/>
    <w:rsid w:val="001A0F71"/>
    <w:rsid w:val="001A1008"/>
    <w:rsid w:val="001A126D"/>
    <w:rsid w:val="001A1569"/>
    <w:rsid w:val="001A169F"/>
    <w:rsid w:val="001A1A84"/>
    <w:rsid w:val="001A1B3C"/>
    <w:rsid w:val="001A1D88"/>
    <w:rsid w:val="001A1D99"/>
    <w:rsid w:val="001A1E25"/>
    <w:rsid w:val="001A1ED0"/>
    <w:rsid w:val="001A2010"/>
    <w:rsid w:val="001A202B"/>
    <w:rsid w:val="001A2250"/>
    <w:rsid w:val="001A244E"/>
    <w:rsid w:val="001A24A2"/>
    <w:rsid w:val="001A24BD"/>
    <w:rsid w:val="001A28F9"/>
    <w:rsid w:val="001A2924"/>
    <w:rsid w:val="001A2B23"/>
    <w:rsid w:val="001A2BAF"/>
    <w:rsid w:val="001A311B"/>
    <w:rsid w:val="001A3178"/>
    <w:rsid w:val="001A330E"/>
    <w:rsid w:val="001A366C"/>
    <w:rsid w:val="001A37D2"/>
    <w:rsid w:val="001A3800"/>
    <w:rsid w:val="001A38FA"/>
    <w:rsid w:val="001A3B09"/>
    <w:rsid w:val="001A3B9E"/>
    <w:rsid w:val="001A3CD5"/>
    <w:rsid w:val="001A3FED"/>
    <w:rsid w:val="001A40E3"/>
    <w:rsid w:val="001A420D"/>
    <w:rsid w:val="001A4262"/>
    <w:rsid w:val="001A4592"/>
    <w:rsid w:val="001A45A7"/>
    <w:rsid w:val="001A464B"/>
    <w:rsid w:val="001A479D"/>
    <w:rsid w:val="001A47A6"/>
    <w:rsid w:val="001A48FF"/>
    <w:rsid w:val="001A4992"/>
    <w:rsid w:val="001A4ACF"/>
    <w:rsid w:val="001A4B47"/>
    <w:rsid w:val="001A4CD3"/>
    <w:rsid w:val="001A4D9E"/>
    <w:rsid w:val="001A4F9F"/>
    <w:rsid w:val="001A52C9"/>
    <w:rsid w:val="001A56BB"/>
    <w:rsid w:val="001A570F"/>
    <w:rsid w:val="001A5AD6"/>
    <w:rsid w:val="001A5C0D"/>
    <w:rsid w:val="001A5DF7"/>
    <w:rsid w:val="001A5F20"/>
    <w:rsid w:val="001A6079"/>
    <w:rsid w:val="001A60CA"/>
    <w:rsid w:val="001A6100"/>
    <w:rsid w:val="001A6287"/>
    <w:rsid w:val="001A6956"/>
    <w:rsid w:val="001A6B50"/>
    <w:rsid w:val="001A72B8"/>
    <w:rsid w:val="001A7426"/>
    <w:rsid w:val="001A76C5"/>
    <w:rsid w:val="001A77B8"/>
    <w:rsid w:val="001A7A86"/>
    <w:rsid w:val="001A7B6E"/>
    <w:rsid w:val="001A7F48"/>
    <w:rsid w:val="001A7F60"/>
    <w:rsid w:val="001B012A"/>
    <w:rsid w:val="001B0638"/>
    <w:rsid w:val="001B06EA"/>
    <w:rsid w:val="001B0850"/>
    <w:rsid w:val="001B0CCB"/>
    <w:rsid w:val="001B107C"/>
    <w:rsid w:val="001B15D2"/>
    <w:rsid w:val="001B16A9"/>
    <w:rsid w:val="001B16FF"/>
    <w:rsid w:val="001B18B8"/>
    <w:rsid w:val="001B1AB0"/>
    <w:rsid w:val="001B1B44"/>
    <w:rsid w:val="001B22F5"/>
    <w:rsid w:val="001B244D"/>
    <w:rsid w:val="001B27CF"/>
    <w:rsid w:val="001B2883"/>
    <w:rsid w:val="001B2EB3"/>
    <w:rsid w:val="001B3084"/>
    <w:rsid w:val="001B327B"/>
    <w:rsid w:val="001B3297"/>
    <w:rsid w:val="001B36A6"/>
    <w:rsid w:val="001B3706"/>
    <w:rsid w:val="001B37F4"/>
    <w:rsid w:val="001B398D"/>
    <w:rsid w:val="001B39E1"/>
    <w:rsid w:val="001B3DF7"/>
    <w:rsid w:val="001B41A3"/>
    <w:rsid w:val="001B42B2"/>
    <w:rsid w:val="001B45C0"/>
    <w:rsid w:val="001B4663"/>
    <w:rsid w:val="001B4704"/>
    <w:rsid w:val="001B47F0"/>
    <w:rsid w:val="001B48D4"/>
    <w:rsid w:val="001B49B5"/>
    <w:rsid w:val="001B49F6"/>
    <w:rsid w:val="001B4A08"/>
    <w:rsid w:val="001B4B14"/>
    <w:rsid w:val="001B4B50"/>
    <w:rsid w:val="001B4DEC"/>
    <w:rsid w:val="001B4EEE"/>
    <w:rsid w:val="001B5209"/>
    <w:rsid w:val="001B549B"/>
    <w:rsid w:val="001B55B5"/>
    <w:rsid w:val="001B5611"/>
    <w:rsid w:val="001B59FB"/>
    <w:rsid w:val="001B5B00"/>
    <w:rsid w:val="001B6053"/>
    <w:rsid w:val="001B611A"/>
    <w:rsid w:val="001B6736"/>
    <w:rsid w:val="001B679B"/>
    <w:rsid w:val="001B67E5"/>
    <w:rsid w:val="001B6BB0"/>
    <w:rsid w:val="001B6C7E"/>
    <w:rsid w:val="001B6D27"/>
    <w:rsid w:val="001B6D54"/>
    <w:rsid w:val="001B73B4"/>
    <w:rsid w:val="001B7BAE"/>
    <w:rsid w:val="001B7BCA"/>
    <w:rsid w:val="001B7D11"/>
    <w:rsid w:val="001B7DC9"/>
    <w:rsid w:val="001B7E03"/>
    <w:rsid w:val="001C0AA1"/>
    <w:rsid w:val="001C13B2"/>
    <w:rsid w:val="001C165B"/>
    <w:rsid w:val="001C173C"/>
    <w:rsid w:val="001C1CC5"/>
    <w:rsid w:val="001C1D03"/>
    <w:rsid w:val="001C1D8A"/>
    <w:rsid w:val="001C1FA9"/>
    <w:rsid w:val="001C1FBA"/>
    <w:rsid w:val="001C1FBF"/>
    <w:rsid w:val="001C242A"/>
    <w:rsid w:val="001C2675"/>
    <w:rsid w:val="001C2A5C"/>
    <w:rsid w:val="001C2C0C"/>
    <w:rsid w:val="001C2CC1"/>
    <w:rsid w:val="001C2F6F"/>
    <w:rsid w:val="001C304B"/>
    <w:rsid w:val="001C3126"/>
    <w:rsid w:val="001C316D"/>
    <w:rsid w:val="001C3198"/>
    <w:rsid w:val="001C3458"/>
    <w:rsid w:val="001C3D6C"/>
    <w:rsid w:val="001C3ECD"/>
    <w:rsid w:val="001C422E"/>
    <w:rsid w:val="001C42E4"/>
    <w:rsid w:val="001C4439"/>
    <w:rsid w:val="001C479F"/>
    <w:rsid w:val="001C4B26"/>
    <w:rsid w:val="001C4E3A"/>
    <w:rsid w:val="001C4FDE"/>
    <w:rsid w:val="001C517C"/>
    <w:rsid w:val="001C52C3"/>
    <w:rsid w:val="001C553C"/>
    <w:rsid w:val="001C556E"/>
    <w:rsid w:val="001C5596"/>
    <w:rsid w:val="001C55CE"/>
    <w:rsid w:val="001C58F3"/>
    <w:rsid w:val="001C58F8"/>
    <w:rsid w:val="001C5AEB"/>
    <w:rsid w:val="001C5C79"/>
    <w:rsid w:val="001C5C8D"/>
    <w:rsid w:val="001C5D1C"/>
    <w:rsid w:val="001C5D5F"/>
    <w:rsid w:val="001C5DD4"/>
    <w:rsid w:val="001C5DFC"/>
    <w:rsid w:val="001C6201"/>
    <w:rsid w:val="001C621F"/>
    <w:rsid w:val="001C63FD"/>
    <w:rsid w:val="001C655C"/>
    <w:rsid w:val="001C6941"/>
    <w:rsid w:val="001C6DD2"/>
    <w:rsid w:val="001C7003"/>
    <w:rsid w:val="001C705E"/>
    <w:rsid w:val="001C76C8"/>
    <w:rsid w:val="001C7868"/>
    <w:rsid w:val="001C7A27"/>
    <w:rsid w:val="001C7B4F"/>
    <w:rsid w:val="001D09DB"/>
    <w:rsid w:val="001D09F1"/>
    <w:rsid w:val="001D09F8"/>
    <w:rsid w:val="001D0B08"/>
    <w:rsid w:val="001D0B1B"/>
    <w:rsid w:val="001D0BCA"/>
    <w:rsid w:val="001D0F4F"/>
    <w:rsid w:val="001D124A"/>
    <w:rsid w:val="001D1356"/>
    <w:rsid w:val="001D142F"/>
    <w:rsid w:val="001D1C55"/>
    <w:rsid w:val="001D1E6C"/>
    <w:rsid w:val="001D206B"/>
    <w:rsid w:val="001D22C6"/>
    <w:rsid w:val="001D2431"/>
    <w:rsid w:val="001D2810"/>
    <w:rsid w:val="001D2937"/>
    <w:rsid w:val="001D2A9D"/>
    <w:rsid w:val="001D2AB6"/>
    <w:rsid w:val="001D2AE7"/>
    <w:rsid w:val="001D2C99"/>
    <w:rsid w:val="001D3503"/>
    <w:rsid w:val="001D3968"/>
    <w:rsid w:val="001D39E0"/>
    <w:rsid w:val="001D3D01"/>
    <w:rsid w:val="001D4335"/>
    <w:rsid w:val="001D43FA"/>
    <w:rsid w:val="001D44A1"/>
    <w:rsid w:val="001D47E3"/>
    <w:rsid w:val="001D4A54"/>
    <w:rsid w:val="001D4C14"/>
    <w:rsid w:val="001D4D72"/>
    <w:rsid w:val="001D4DD2"/>
    <w:rsid w:val="001D54F8"/>
    <w:rsid w:val="001D5618"/>
    <w:rsid w:val="001D57DA"/>
    <w:rsid w:val="001D5809"/>
    <w:rsid w:val="001D5B11"/>
    <w:rsid w:val="001D5C78"/>
    <w:rsid w:val="001D5F31"/>
    <w:rsid w:val="001D5F75"/>
    <w:rsid w:val="001D62E4"/>
    <w:rsid w:val="001D6409"/>
    <w:rsid w:val="001D648B"/>
    <w:rsid w:val="001D6528"/>
    <w:rsid w:val="001D66CF"/>
    <w:rsid w:val="001D6A46"/>
    <w:rsid w:val="001D6DC9"/>
    <w:rsid w:val="001D6EEB"/>
    <w:rsid w:val="001D73A9"/>
    <w:rsid w:val="001D7596"/>
    <w:rsid w:val="001D77A8"/>
    <w:rsid w:val="001D7C65"/>
    <w:rsid w:val="001D7C85"/>
    <w:rsid w:val="001E03E8"/>
    <w:rsid w:val="001E0439"/>
    <w:rsid w:val="001E0555"/>
    <w:rsid w:val="001E069D"/>
    <w:rsid w:val="001E07A8"/>
    <w:rsid w:val="001E089F"/>
    <w:rsid w:val="001E0900"/>
    <w:rsid w:val="001E096C"/>
    <w:rsid w:val="001E0AEC"/>
    <w:rsid w:val="001E0B52"/>
    <w:rsid w:val="001E0D3E"/>
    <w:rsid w:val="001E0DEC"/>
    <w:rsid w:val="001E0ED3"/>
    <w:rsid w:val="001E13B8"/>
    <w:rsid w:val="001E13C0"/>
    <w:rsid w:val="001E1713"/>
    <w:rsid w:val="001E19B9"/>
    <w:rsid w:val="001E1A4D"/>
    <w:rsid w:val="001E1EC3"/>
    <w:rsid w:val="001E1F1D"/>
    <w:rsid w:val="001E1FB2"/>
    <w:rsid w:val="001E1FE2"/>
    <w:rsid w:val="001E2128"/>
    <w:rsid w:val="001E2139"/>
    <w:rsid w:val="001E2261"/>
    <w:rsid w:val="001E2636"/>
    <w:rsid w:val="001E278F"/>
    <w:rsid w:val="001E2835"/>
    <w:rsid w:val="001E299A"/>
    <w:rsid w:val="001E2A44"/>
    <w:rsid w:val="001E2B16"/>
    <w:rsid w:val="001E3426"/>
    <w:rsid w:val="001E3815"/>
    <w:rsid w:val="001E3BD7"/>
    <w:rsid w:val="001E3BED"/>
    <w:rsid w:val="001E3D2D"/>
    <w:rsid w:val="001E3E28"/>
    <w:rsid w:val="001E3E47"/>
    <w:rsid w:val="001E3FFB"/>
    <w:rsid w:val="001E4233"/>
    <w:rsid w:val="001E45FA"/>
    <w:rsid w:val="001E482C"/>
    <w:rsid w:val="001E486E"/>
    <w:rsid w:val="001E490E"/>
    <w:rsid w:val="001E4CF5"/>
    <w:rsid w:val="001E4F93"/>
    <w:rsid w:val="001E515B"/>
    <w:rsid w:val="001E5249"/>
    <w:rsid w:val="001E545C"/>
    <w:rsid w:val="001E5525"/>
    <w:rsid w:val="001E55A8"/>
    <w:rsid w:val="001E55E6"/>
    <w:rsid w:val="001E5726"/>
    <w:rsid w:val="001E5A28"/>
    <w:rsid w:val="001E5D38"/>
    <w:rsid w:val="001E5E08"/>
    <w:rsid w:val="001E5EB9"/>
    <w:rsid w:val="001E6208"/>
    <w:rsid w:val="001E63EE"/>
    <w:rsid w:val="001E6714"/>
    <w:rsid w:val="001E6902"/>
    <w:rsid w:val="001E6BB7"/>
    <w:rsid w:val="001E6F3F"/>
    <w:rsid w:val="001E7064"/>
    <w:rsid w:val="001E7590"/>
    <w:rsid w:val="001E75B8"/>
    <w:rsid w:val="001E76C3"/>
    <w:rsid w:val="001E7ABC"/>
    <w:rsid w:val="001E7E74"/>
    <w:rsid w:val="001E7F3D"/>
    <w:rsid w:val="001F0214"/>
    <w:rsid w:val="001F0560"/>
    <w:rsid w:val="001F05D0"/>
    <w:rsid w:val="001F077A"/>
    <w:rsid w:val="001F0C2B"/>
    <w:rsid w:val="001F0CC5"/>
    <w:rsid w:val="001F0CFA"/>
    <w:rsid w:val="001F0D26"/>
    <w:rsid w:val="001F0D87"/>
    <w:rsid w:val="001F1106"/>
    <w:rsid w:val="001F14C3"/>
    <w:rsid w:val="001F156B"/>
    <w:rsid w:val="001F15E5"/>
    <w:rsid w:val="001F16D3"/>
    <w:rsid w:val="001F1835"/>
    <w:rsid w:val="001F1A5A"/>
    <w:rsid w:val="001F1B07"/>
    <w:rsid w:val="001F1BBB"/>
    <w:rsid w:val="001F1CAA"/>
    <w:rsid w:val="001F1D9F"/>
    <w:rsid w:val="001F1F5B"/>
    <w:rsid w:val="001F2136"/>
    <w:rsid w:val="001F22BC"/>
    <w:rsid w:val="001F27D7"/>
    <w:rsid w:val="001F2C72"/>
    <w:rsid w:val="001F2CC1"/>
    <w:rsid w:val="001F2DDD"/>
    <w:rsid w:val="001F2DFC"/>
    <w:rsid w:val="001F2E48"/>
    <w:rsid w:val="001F313E"/>
    <w:rsid w:val="001F31B8"/>
    <w:rsid w:val="001F3429"/>
    <w:rsid w:val="001F369A"/>
    <w:rsid w:val="001F372A"/>
    <w:rsid w:val="001F39C9"/>
    <w:rsid w:val="001F3CEC"/>
    <w:rsid w:val="001F3EB3"/>
    <w:rsid w:val="001F3F39"/>
    <w:rsid w:val="001F3F8B"/>
    <w:rsid w:val="001F3FAF"/>
    <w:rsid w:val="001F44C3"/>
    <w:rsid w:val="001F4508"/>
    <w:rsid w:val="001F465B"/>
    <w:rsid w:val="001F48F6"/>
    <w:rsid w:val="001F4D1E"/>
    <w:rsid w:val="001F4EA3"/>
    <w:rsid w:val="001F500B"/>
    <w:rsid w:val="001F52A3"/>
    <w:rsid w:val="001F52E5"/>
    <w:rsid w:val="001F53F5"/>
    <w:rsid w:val="001F5446"/>
    <w:rsid w:val="001F5CB3"/>
    <w:rsid w:val="001F5DF8"/>
    <w:rsid w:val="001F5F82"/>
    <w:rsid w:val="001F6238"/>
    <w:rsid w:val="001F69FB"/>
    <w:rsid w:val="001F6A3A"/>
    <w:rsid w:val="001F6D6A"/>
    <w:rsid w:val="001F6F73"/>
    <w:rsid w:val="001F72C9"/>
    <w:rsid w:val="001F7A2A"/>
    <w:rsid w:val="001F7A5D"/>
    <w:rsid w:val="001F7BA7"/>
    <w:rsid w:val="001F7E0E"/>
    <w:rsid w:val="001F7E21"/>
    <w:rsid w:val="001F7EE5"/>
    <w:rsid w:val="002002DB"/>
    <w:rsid w:val="002006ED"/>
    <w:rsid w:val="0020078A"/>
    <w:rsid w:val="002007D7"/>
    <w:rsid w:val="00200D35"/>
    <w:rsid w:val="00200E31"/>
    <w:rsid w:val="00200EFA"/>
    <w:rsid w:val="00200F35"/>
    <w:rsid w:val="002011E9"/>
    <w:rsid w:val="00201440"/>
    <w:rsid w:val="00201841"/>
    <w:rsid w:val="0020199D"/>
    <w:rsid w:val="00201A9D"/>
    <w:rsid w:val="00201ADA"/>
    <w:rsid w:val="00201E54"/>
    <w:rsid w:val="00201EA8"/>
    <w:rsid w:val="002020F6"/>
    <w:rsid w:val="00202354"/>
    <w:rsid w:val="002023DB"/>
    <w:rsid w:val="00202768"/>
    <w:rsid w:val="0020283E"/>
    <w:rsid w:val="00202966"/>
    <w:rsid w:val="002029F2"/>
    <w:rsid w:val="00202DAC"/>
    <w:rsid w:val="00202FFE"/>
    <w:rsid w:val="0020325B"/>
    <w:rsid w:val="002032AA"/>
    <w:rsid w:val="00203377"/>
    <w:rsid w:val="002033B8"/>
    <w:rsid w:val="00203458"/>
    <w:rsid w:val="00203497"/>
    <w:rsid w:val="00203DF2"/>
    <w:rsid w:val="00203E3D"/>
    <w:rsid w:val="00203EA4"/>
    <w:rsid w:val="00204807"/>
    <w:rsid w:val="0020481A"/>
    <w:rsid w:val="002048E0"/>
    <w:rsid w:val="0020490B"/>
    <w:rsid w:val="002049A1"/>
    <w:rsid w:val="00204A25"/>
    <w:rsid w:val="00204AA5"/>
    <w:rsid w:val="00204BFE"/>
    <w:rsid w:val="00204C57"/>
    <w:rsid w:val="00204D35"/>
    <w:rsid w:val="00204E89"/>
    <w:rsid w:val="00204EE8"/>
    <w:rsid w:val="002051CF"/>
    <w:rsid w:val="002052CB"/>
    <w:rsid w:val="002055FB"/>
    <w:rsid w:val="0020581D"/>
    <w:rsid w:val="00205BD9"/>
    <w:rsid w:val="00205C53"/>
    <w:rsid w:val="002061F0"/>
    <w:rsid w:val="0020621D"/>
    <w:rsid w:val="00206277"/>
    <w:rsid w:val="002062F3"/>
    <w:rsid w:val="002063CC"/>
    <w:rsid w:val="002064F9"/>
    <w:rsid w:val="0020650A"/>
    <w:rsid w:val="00206517"/>
    <w:rsid w:val="00206D85"/>
    <w:rsid w:val="00206EDC"/>
    <w:rsid w:val="00207FBA"/>
    <w:rsid w:val="00207FEC"/>
    <w:rsid w:val="00210678"/>
    <w:rsid w:val="00210943"/>
    <w:rsid w:val="00210A2D"/>
    <w:rsid w:val="00210A41"/>
    <w:rsid w:val="00210AA4"/>
    <w:rsid w:val="00210B39"/>
    <w:rsid w:val="00210C3D"/>
    <w:rsid w:val="00210D3C"/>
    <w:rsid w:val="00211A3E"/>
    <w:rsid w:val="00211BD0"/>
    <w:rsid w:val="00211C3F"/>
    <w:rsid w:val="0021228F"/>
    <w:rsid w:val="0021278E"/>
    <w:rsid w:val="00212932"/>
    <w:rsid w:val="0021293A"/>
    <w:rsid w:val="002129DD"/>
    <w:rsid w:val="00212DC5"/>
    <w:rsid w:val="0021330D"/>
    <w:rsid w:val="00213325"/>
    <w:rsid w:val="00213333"/>
    <w:rsid w:val="00213381"/>
    <w:rsid w:val="00213421"/>
    <w:rsid w:val="0021370C"/>
    <w:rsid w:val="00213946"/>
    <w:rsid w:val="00213BEA"/>
    <w:rsid w:val="00213BF5"/>
    <w:rsid w:val="00213D56"/>
    <w:rsid w:val="00213D96"/>
    <w:rsid w:val="00213E03"/>
    <w:rsid w:val="00213F7D"/>
    <w:rsid w:val="00213FC0"/>
    <w:rsid w:val="00214233"/>
    <w:rsid w:val="00214291"/>
    <w:rsid w:val="002142CA"/>
    <w:rsid w:val="002143ED"/>
    <w:rsid w:val="00214408"/>
    <w:rsid w:val="00214423"/>
    <w:rsid w:val="002144C5"/>
    <w:rsid w:val="00214871"/>
    <w:rsid w:val="00214A0E"/>
    <w:rsid w:val="00214D45"/>
    <w:rsid w:val="00214FBE"/>
    <w:rsid w:val="002152D6"/>
    <w:rsid w:val="002160EA"/>
    <w:rsid w:val="002162D8"/>
    <w:rsid w:val="0021632E"/>
    <w:rsid w:val="00216537"/>
    <w:rsid w:val="00216601"/>
    <w:rsid w:val="00216B55"/>
    <w:rsid w:val="00216C82"/>
    <w:rsid w:val="00216D0E"/>
    <w:rsid w:val="00216D80"/>
    <w:rsid w:val="00216D91"/>
    <w:rsid w:val="00216F63"/>
    <w:rsid w:val="0021741A"/>
    <w:rsid w:val="0021744A"/>
    <w:rsid w:val="00217460"/>
    <w:rsid w:val="0021748C"/>
    <w:rsid w:val="002178C9"/>
    <w:rsid w:val="002178F3"/>
    <w:rsid w:val="002179A4"/>
    <w:rsid w:val="00217AC1"/>
    <w:rsid w:val="00217C39"/>
    <w:rsid w:val="00217C45"/>
    <w:rsid w:val="00217F40"/>
    <w:rsid w:val="00217F9E"/>
    <w:rsid w:val="00217FD8"/>
    <w:rsid w:val="002203DA"/>
    <w:rsid w:val="00220426"/>
    <w:rsid w:val="002204CF"/>
    <w:rsid w:val="00220739"/>
    <w:rsid w:val="00220B74"/>
    <w:rsid w:val="00220C45"/>
    <w:rsid w:val="0022157E"/>
    <w:rsid w:val="002215DE"/>
    <w:rsid w:val="002220E0"/>
    <w:rsid w:val="002220FE"/>
    <w:rsid w:val="00222628"/>
    <w:rsid w:val="00222B17"/>
    <w:rsid w:val="00222F32"/>
    <w:rsid w:val="00222FCF"/>
    <w:rsid w:val="002231B5"/>
    <w:rsid w:val="002233D5"/>
    <w:rsid w:val="002237A4"/>
    <w:rsid w:val="00223824"/>
    <w:rsid w:val="002239A2"/>
    <w:rsid w:val="00223B41"/>
    <w:rsid w:val="00223BB5"/>
    <w:rsid w:val="00223C34"/>
    <w:rsid w:val="00224078"/>
    <w:rsid w:val="002241E9"/>
    <w:rsid w:val="002245CB"/>
    <w:rsid w:val="00224782"/>
    <w:rsid w:val="00224797"/>
    <w:rsid w:val="00224FB3"/>
    <w:rsid w:val="00224FFF"/>
    <w:rsid w:val="00225098"/>
    <w:rsid w:val="002251AA"/>
    <w:rsid w:val="00225313"/>
    <w:rsid w:val="0022571E"/>
    <w:rsid w:val="00225810"/>
    <w:rsid w:val="002258B7"/>
    <w:rsid w:val="00225907"/>
    <w:rsid w:val="0022594B"/>
    <w:rsid w:val="00225E11"/>
    <w:rsid w:val="002264E9"/>
    <w:rsid w:val="00226818"/>
    <w:rsid w:val="00226829"/>
    <w:rsid w:val="00226844"/>
    <w:rsid w:val="002269BD"/>
    <w:rsid w:val="00226AF9"/>
    <w:rsid w:val="00226DAF"/>
    <w:rsid w:val="00226F6F"/>
    <w:rsid w:val="00226FC2"/>
    <w:rsid w:val="00227122"/>
    <w:rsid w:val="00227242"/>
    <w:rsid w:val="002275E3"/>
    <w:rsid w:val="0022769F"/>
    <w:rsid w:val="002276E1"/>
    <w:rsid w:val="00227A25"/>
    <w:rsid w:val="00227D62"/>
    <w:rsid w:val="00227DF0"/>
    <w:rsid w:val="00227F9D"/>
    <w:rsid w:val="00227FF0"/>
    <w:rsid w:val="0023007C"/>
    <w:rsid w:val="002300BA"/>
    <w:rsid w:val="0023032D"/>
    <w:rsid w:val="00230465"/>
    <w:rsid w:val="002306AD"/>
    <w:rsid w:val="00230AE8"/>
    <w:rsid w:val="00230B22"/>
    <w:rsid w:val="00230D5A"/>
    <w:rsid w:val="0023101C"/>
    <w:rsid w:val="0023120D"/>
    <w:rsid w:val="0023135E"/>
    <w:rsid w:val="0023174C"/>
    <w:rsid w:val="002318F6"/>
    <w:rsid w:val="00231A20"/>
    <w:rsid w:val="00231B6D"/>
    <w:rsid w:val="00231FC2"/>
    <w:rsid w:val="002320E9"/>
    <w:rsid w:val="00232135"/>
    <w:rsid w:val="002321F0"/>
    <w:rsid w:val="00232A5A"/>
    <w:rsid w:val="00232F52"/>
    <w:rsid w:val="00233130"/>
    <w:rsid w:val="002333F4"/>
    <w:rsid w:val="002334AE"/>
    <w:rsid w:val="002336CF"/>
    <w:rsid w:val="0023384D"/>
    <w:rsid w:val="00233945"/>
    <w:rsid w:val="00233C24"/>
    <w:rsid w:val="00233E54"/>
    <w:rsid w:val="00233ECC"/>
    <w:rsid w:val="00234753"/>
    <w:rsid w:val="002349BF"/>
    <w:rsid w:val="00234A8C"/>
    <w:rsid w:val="002350D7"/>
    <w:rsid w:val="002356F6"/>
    <w:rsid w:val="00235832"/>
    <w:rsid w:val="00235891"/>
    <w:rsid w:val="00235D72"/>
    <w:rsid w:val="00235D8C"/>
    <w:rsid w:val="00235D90"/>
    <w:rsid w:val="00235E73"/>
    <w:rsid w:val="00235EB3"/>
    <w:rsid w:val="00236249"/>
    <w:rsid w:val="00236316"/>
    <w:rsid w:val="00236B19"/>
    <w:rsid w:val="00236D81"/>
    <w:rsid w:val="00236E77"/>
    <w:rsid w:val="00236F09"/>
    <w:rsid w:val="0023706F"/>
    <w:rsid w:val="002370AD"/>
    <w:rsid w:val="00237416"/>
    <w:rsid w:val="002374FA"/>
    <w:rsid w:val="002379F3"/>
    <w:rsid w:val="002379FC"/>
    <w:rsid w:val="00237C8B"/>
    <w:rsid w:val="00240062"/>
    <w:rsid w:val="0024011E"/>
    <w:rsid w:val="0024019F"/>
    <w:rsid w:val="002401AB"/>
    <w:rsid w:val="00240206"/>
    <w:rsid w:val="002402A1"/>
    <w:rsid w:val="0024048B"/>
    <w:rsid w:val="002405E9"/>
    <w:rsid w:val="002408F8"/>
    <w:rsid w:val="00240B8F"/>
    <w:rsid w:val="00240CFE"/>
    <w:rsid w:val="00240D53"/>
    <w:rsid w:val="00240E3C"/>
    <w:rsid w:val="00240E82"/>
    <w:rsid w:val="00241728"/>
    <w:rsid w:val="0024173D"/>
    <w:rsid w:val="00242270"/>
    <w:rsid w:val="00242300"/>
    <w:rsid w:val="002427CC"/>
    <w:rsid w:val="002428AD"/>
    <w:rsid w:val="0024290E"/>
    <w:rsid w:val="00242BAA"/>
    <w:rsid w:val="00242C71"/>
    <w:rsid w:val="00242E43"/>
    <w:rsid w:val="0024332C"/>
    <w:rsid w:val="0024335D"/>
    <w:rsid w:val="0024339D"/>
    <w:rsid w:val="002435AF"/>
    <w:rsid w:val="00243912"/>
    <w:rsid w:val="00243AB3"/>
    <w:rsid w:val="00244079"/>
    <w:rsid w:val="002441E8"/>
    <w:rsid w:val="0024453F"/>
    <w:rsid w:val="0024499A"/>
    <w:rsid w:val="002449BC"/>
    <w:rsid w:val="00244AC8"/>
    <w:rsid w:val="00244D6B"/>
    <w:rsid w:val="00245038"/>
    <w:rsid w:val="00245115"/>
    <w:rsid w:val="0024523D"/>
    <w:rsid w:val="002453F0"/>
    <w:rsid w:val="002453F2"/>
    <w:rsid w:val="002454D1"/>
    <w:rsid w:val="0024555B"/>
    <w:rsid w:val="0024574A"/>
    <w:rsid w:val="0024599B"/>
    <w:rsid w:val="00245A72"/>
    <w:rsid w:val="00245FC4"/>
    <w:rsid w:val="00246037"/>
    <w:rsid w:val="0024637C"/>
    <w:rsid w:val="002463C3"/>
    <w:rsid w:val="00246678"/>
    <w:rsid w:val="0024684F"/>
    <w:rsid w:val="002468E3"/>
    <w:rsid w:val="00246FE1"/>
    <w:rsid w:val="00246FE5"/>
    <w:rsid w:val="00247052"/>
    <w:rsid w:val="0024721B"/>
    <w:rsid w:val="002473A4"/>
    <w:rsid w:val="0024740B"/>
    <w:rsid w:val="002475CA"/>
    <w:rsid w:val="0024762B"/>
    <w:rsid w:val="0024799D"/>
    <w:rsid w:val="00247BE6"/>
    <w:rsid w:val="00247DB7"/>
    <w:rsid w:val="00247E3F"/>
    <w:rsid w:val="00247E5C"/>
    <w:rsid w:val="00247FDE"/>
    <w:rsid w:val="00250079"/>
    <w:rsid w:val="002500B6"/>
    <w:rsid w:val="002501D9"/>
    <w:rsid w:val="0025020B"/>
    <w:rsid w:val="002506AB"/>
    <w:rsid w:val="00250BA9"/>
    <w:rsid w:val="00250FE0"/>
    <w:rsid w:val="002515DB"/>
    <w:rsid w:val="002517BC"/>
    <w:rsid w:val="002518F2"/>
    <w:rsid w:val="00251A63"/>
    <w:rsid w:val="00251C69"/>
    <w:rsid w:val="00251DB2"/>
    <w:rsid w:val="00251EE5"/>
    <w:rsid w:val="00251F79"/>
    <w:rsid w:val="00252014"/>
    <w:rsid w:val="0025201D"/>
    <w:rsid w:val="0025202C"/>
    <w:rsid w:val="00252978"/>
    <w:rsid w:val="00252E00"/>
    <w:rsid w:val="002532A3"/>
    <w:rsid w:val="002534C1"/>
    <w:rsid w:val="0025376E"/>
    <w:rsid w:val="0025389D"/>
    <w:rsid w:val="002539A8"/>
    <w:rsid w:val="00253A63"/>
    <w:rsid w:val="00253DCE"/>
    <w:rsid w:val="00253FC7"/>
    <w:rsid w:val="002544C3"/>
    <w:rsid w:val="00254551"/>
    <w:rsid w:val="002547D2"/>
    <w:rsid w:val="002549FD"/>
    <w:rsid w:val="00254BD2"/>
    <w:rsid w:val="00255038"/>
    <w:rsid w:val="0025504F"/>
    <w:rsid w:val="00255444"/>
    <w:rsid w:val="0025559D"/>
    <w:rsid w:val="0025650C"/>
    <w:rsid w:val="0025663B"/>
    <w:rsid w:val="00256772"/>
    <w:rsid w:val="00256894"/>
    <w:rsid w:val="002569B6"/>
    <w:rsid w:val="002569E2"/>
    <w:rsid w:val="00256EEE"/>
    <w:rsid w:val="00256F60"/>
    <w:rsid w:val="0025711B"/>
    <w:rsid w:val="002571C2"/>
    <w:rsid w:val="0025739C"/>
    <w:rsid w:val="0025742C"/>
    <w:rsid w:val="002574BB"/>
    <w:rsid w:val="00257501"/>
    <w:rsid w:val="00257A36"/>
    <w:rsid w:val="00257E29"/>
    <w:rsid w:val="00257FE8"/>
    <w:rsid w:val="00257FFE"/>
    <w:rsid w:val="0026025D"/>
    <w:rsid w:val="00260271"/>
    <w:rsid w:val="0026047F"/>
    <w:rsid w:val="00260700"/>
    <w:rsid w:val="00260BC3"/>
    <w:rsid w:val="00260BEC"/>
    <w:rsid w:val="00260CA4"/>
    <w:rsid w:val="00260D47"/>
    <w:rsid w:val="00260D72"/>
    <w:rsid w:val="00260EBD"/>
    <w:rsid w:val="00260F21"/>
    <w:rsid w:val="00261322"/>
    <w:rsid w:val="002613F5"/>
    <w:rsid w:val="002614A3"/>
    <w:rsid w:val="002614FF"/>
    <w:rsid w:val="002616AE"/>
    <w:rsid w:val="002617A9"/>
    <w:rsid w:val="0026183B"/>
    <w:rsid w:val="00261888"/>
    <w:rsid w:val="00261AC9"/>
    <w:rsid w:val="00261B4C"/>
    <w:rsid w:val="00261C54"/>
    <w:rsid w:val="002620EC"/>
    <w:rsid w:val="002621F2"/>
    <w:rsid w:val="00262353"/>
    <w:rsid w:val="00262430"/>
    <w:rsid w:val="0026293B"/>
    <w:rsid w:val="00262AE4"/>
    <w:rsid w:val="00262AF6"/>
    <w:rsid w:val="00262BA4"/>
    <w:rsid w:val="002631DC"/>
    <w:rsid w:val="00263299"/>
    <w:rsid w:val="00263765"/>
    <w:rsid w:val="00263D60"/>
    <w:rsid w:val="00263FCC"/>
    <w:rsid w:val="0026408A"/>
    <w:rsid w:val="002641EB"/>
    <w:rsid w:val="002643F6"/>
    <w:rsid w:val="0026443A"/>
    <w:rsid w:val="0026461D"/>
    <w:rsid w:val="00264631"/>
    <w:rsid w:val="002646E0"/>
    <w:rsid w:val="00264942"/>
    <w:rsid w:val="0026496A"/>
    <w:rsid w:val="00264A0D"/>
    <w:rsid w:val="00264A74"/>
    <w:rsid w:val="00264AC4"/>
    <w:rsid w:val="00264B6D"/>
    <w:rsid w:val="00264B84"/>
    <w:rsid w:val="00264DB4"/>
    <w:rsid w:val="00264EA6"/>
    <w:rsid w:val="002650DE"/>
    <w:rsid w:val="00265594"/>
    <w:rsid w:val="00265AAF"/>
    <w:rsid w:val="0026608A"/>
    <w:rsid w:val="002665B2"/>
    <w:rsid w:val="00266659"/>
    <w:rsid w:val="002666D2"/>
    <w:rsid w:val="002668C1"/>
    <w:rsid w:val="002668E3"/>
    <w:rsid w:val="00266A2C"/>
    <w:rsid w:val="00266DBE"/>
    <w:rsid w:val="0026768F"/>
    <w:rsid w:val="0026771A"/>
    <w:rsid w:val="00267A36"/>
    <w:rsid w:val="00267A46"/>
    <w:rsid w:val="00267FF4"/>
    <w:rsid w:val="00270337"/>
    <w:rsid w:val="002703D3"/>
    <w:rsid w:val="00270636"/>
    <w:rsid w:val="00270733"/>
    <w:rsid w:val="002707BE"/>
    <w:rsid w:val="00270860"/>
    <w:rsid w:val="00270CEB"/>
    <w:rsid w:val="00270E2A"/>
    <w:rsid w:val="00270EAB"/>
    <w:rsid w:val="00271043"/>
    <w:rsid w:val="0027109B"/>
    <w:rsid w:val="002711DB"/>
    <w:rsid w:val="00271315"/>
    <w:rsid w:val="0027135E"/>
    <w:rsid w:val="002713A8"/>
    <w:rsid w:val="00271493"/>
    <w:rsid w:val="00271574"/>
    <w:rsid w:val="002719E2"/>
    <w:rsid w:val="002719F7"/>
    <w:rsid w:val="002720E6"/>
    <w:rsid w:val="002726E5"/>
    <w:rsid w:val="00272897"/>
    <w:rsid w:val="00272920"/>
    <w:rsid w:val="0027292E"/>
    <w:rsid w:val="00272EFA"/>
    <w:rsid w:val="00272F96"/>
    <w:rsid w:val="00273059"/>
    <w:rsid w:val="00273177"/>
    <w:rsid w:val="0027351E"/>
    <w:rsid w:val="002735E6"/>
    <w:rsid w:val="00273AE3"/>
    <w:rsid w:val="00273F03"/>
    <w:rsid w:val="0027425F"/>
    <w:rsid w:val="0027481A"/>
    <w:rsid w:val="00274843"/>
    <w:rsid w:val="00274871"/>
    <w:rsid w:val="0027508C"/>
    <w:rsid w:val="0027515A"/>
    <w:rsid w:val="0027592D"/>
    <w:rsid w:val="002759E0"/>
    <w:rsid w:val="00275D81"/>
    <w:rsid w:val="00276054"/>
    <w:rsid w:val="00276386"/>
    <w:rsid w:val="002763BB"/>
    <w:rsid w:val="00276402"/>
    <w:rsid w:val="00276426"/>
    <w:rsid w:val="002766FF"/>
    <w:rsid w:val="00276884"/>
    <w:rsid w:val="0027697F"/>
    <w:rsid w:val="00276B02"/>
    <w:rsid w:val="00276B07"/>
    <w:rsid w:val="00276E03"/>
    <w:rsid w:val="00277210"/>
    <w:rsid w:val="00277252"/>
    <w:rsid w:val="00277681"/>
    <w:rsid w:val="0027793A"/>
    <w:rsid w:val="00277AB3"/>
    <w:rsid w:val="00277ABD"/>
    <w:rsid w:val="00277D41"/>
    <w:rsid w:val="00280116"/>
    <w:rsid w:val="00280643"/>
    <w:rsid w:val="0028068C"/>
    <w:rsid w:val="00280754"/>
    <w:rsid w:val="0028078E"/>
    <w:rsid w:val="00280F76"/>
    <w:rsid w:val="00281010"/>
    <w:rsid w:val="00281017"/>
    <w:rsid w:val="002810DF"/>
    <w:rsid w:val="002810F4"/>
    <w:rsid w:val="00281464"/>
    <w:rsid w:val="0028163E"/>
    <w:rsid w:val="00281712"/>
    <w:rsid w:val="002817F2"/>
    <w:rsid w:val="00281D53"/>
    <w:rsid w:val="00281DCC"/>
    <w:rsid w:val="00281EE0"/>
    <w:rsid w:val="00281F48"/>
    <w:rsid w:val="00281F93"/>
    <w:rsid w:val="0028227D"/>
    <w:rsid w:val="00282BE7"/>
    <w:rsid w:val="00282BEA"/>
    <w:rsid w:val="00282E4A"/>
    <w:rsid w:val="002830F5"/>
    <w:rsid w:val="00283731"/>
    <w:rsid w:val="0028392D"/>
    <w:rsid w:val="00283B02"/>
    <w:rsid w:val="00283BEA"/>
    <w:rsid w:val="00283C40"/>
    <w:rsid w:val="00283DAD"/>
    <w:rsid w:val="00283E85"/>
    <w:rsid w:val="00284064"/>
    <w:rsid w:val="002843FB"/>
    <w:rsid w:val="00284467"/>
    <w:rsid w:val="00284860"/>
    <w:rsid w:val="002849CC"/>
    <w:rsid w:val="00284AA3"/>
    <w:rsid w:val="00285311"/>
    <w:rsid w:val="00285582"/>
    <w:rsid w:val="0028561F"/>
    <w:rsid w:val="0028582A"/>
    <w:rsid w:val="002859A0"/>
    <w:rsid w:val="00285A7A"/>
    <w:rsid w:val="00285BD7"/>
    <w:rsid w:val="00285F1F"/>
    <w:rsid w:val="00285FE6"/>
    <w:rsid w:val="0028607C"/>
    <w:rsid w:val="002862A1"/>
    <w:rsid w:val="00286357"/>
    <w:rsid w:val="00286400"/>
    <w:rsid w:val="00286470"/>
    <w:rsid w:val="00286519"/>
    <w:rsid w:val="00286EB5"/>
    <w:rsid w:val="0028702D"/>
    <w:rsid w:val="0028725A"/>
    <w:rsid w:val="002878A4"/>
    <w:rsid w:val="00287A40"/>
    <w:rsid w:val="00287CAB"/>
    <w:rsid w:val="00287CD8"/>
    <w:rsid w:val="00287EA0"/>
    <w:rsid w:val="0029066F"/>
    <w:rsid w:val="00290678"/>
    <w:rsid w:val="0029084E"/>
    <w:rsid w:val="002908B2"/>
    <w:rsid w:val="00290C68"/>
    <w:rsid w:val="00290EE1"/>
    <w:rsid w:val="0029101F"/>
    <w:rsid w:val="00291147"/>
    <w:rsid w:val="002911D2"/>
    <w:rsid w:val="0029160D"/>
    <w:rsid w:val="0029175C"/>
    <w:rsid w:val="002917BC"/>
    <w:rsid w:val="00291EDA"/>
    <w:rsid w:val="00291EF7"/>
    <w:rsid w:val="002920AE"/>
    <w:rsid w:val="002921D5"/>
    <w:rsid w:val="00292201"/>
    <w:rsid w:val="00292367"/>
    <w:rsid w:val="002925CE"/>
    <w:rsid w:val="0029268B"/>
    <w:rsid w:val="00292741"/>
    <w:rsid w:val="0029275F"/>
    <w:rsid w:val="002927A4"/>
    <w:rsid w:val="00292B4A"/>
    <w:rsid w:val="00292B5A"/>
    <w:rsid w:val="00292CB4"/>
    <w:rsid w:val="00293517"/>
    <w:rsid w:val="00293559"/>
    <w:rsid w:val="002937AB"/>
    <w:rsid w:val="002937B5"/>
    <w:rsid w:val="00293F31"/>
    <w:rsid w:val="00293F51"/>
    <w:rsid w:val="002943A9"/>
    <w:rsid w:val="00294D1F"/>
    <w:rsid w:val="00294EBC"/>
    <w:rsid w:val="002950CC"/>
    <w:rsid w:val="002951C2"/>
    <w:rsid w:val="002951E1"/>
    <w:rsid w:val="00295241"/>
    <w:rsid w:val="0029527D"/>
    <w:rsid w:val="002959CA"/>
    <w:rsid w:val="00295B85"/>
    <w:rsid w:val="00295E79"/>
    <w:rsid w:val="00295F5D"/>
    <w:rsid w:val="002967B6"/>
    <w:rsid w:val="00296A2F"/>
    <w:rsid w:val="00296B3B"/>
    <w:rsid w:val="00296C0E"/>
    <w:rsid w:val="00296ED6"/>
    <w:rsid w:val="00297283"/>
    <w:rsid w:val="002974CF"/>
    <w:rsid w:val="0029760A"/>
    <w:rsid w:val="00297618"/>
    <w:rsid w:val="00297667"/>
    <w:rsid w:val="00297924"/>
    <w:rsid w:val="00297A48"/>
    <w:rsid w:val="00297AF7"/>
    <w:rsid w:val="00297FAC"/>
    <w:rsid w:val="002A0178"/>
    <w:rsid w:val="002A02A7"/>
    <w:rsid w:val="002A02DA"/>
    <w:rsid w:val="002A055E"/>
    <w:rsid w:val="002A0631"/>
    <w:rsid w:val="002A08A5"/>
    <w:rsid w:val="002A0908"/>
    <w:rsid w:val="002A0A69"/>
    <w:rsid w:val="002A0BD8"/>
    <w:rsid w:val="002A0FB6"/>
    <w:rsid w:val="002A119F"/>
    <w:rsid w:val="002A1458"/>
    <w:rsid w:val="002A14BD"/>
    <w:rsid w:val="002A1655"/>
    <w:rsid w:val="002A176E"/>
    <w:rsid w:val="002A1A04"/>
    <w:rsid w:val="002A1F84"/>
    <w:rsid w:val="002A21F5"/>
    <w:rsid w:val="002A25A0"/>
    <w:rsid w:val="002A2830"/>
    <w:rsid w:val="002A2995"/>
    <w:rsid w:val="002A2A18"/>
    <w:rsid w:val="002A2B59"/>
    <w:rsid w:val="002A2BDA"/>
    <w:rsid w:val="002A2C14"/>
    <w:rsid w:val="002A2DE7"/>
    <w:rsid w:val="002A2EDC"/>
    <w:rsid w:val="002A2FB9"/>
    <w:rsid w:val="002A303F"/>
    <w:rsid w:val="002A30B8"/>
    <w:rsid w:val="002A31AB"/>
    <w:rsid w:val="002A3814"/>
    <w:rsid w:val="002A3AB4"/>
    <w:rsid w:val="002A3B0D"/>
    <w:rsid w:val="002A3B96"/>
    <w:rsid w:val="002A3DE6"/>
    <w:rsid w:val="002A3F1B"/>
    <w:rsid w:val="002A404A"/>
    <w:rsid w:val="002A417F"/>
    <w:rsid w:val="002A4537"/>
    <w:rsid w:val="002A471F"/>
    <w:rsid w:val="002A47D1"/>
    <w:rsid w:val="002A491D"/>
    <w:rsid w:val="002A4A2E"/>
    <w:rsid w:val="002A4AEE"/>
    <w:rsid w:val="002A4DE3"/>
    <w:rsid w:val="002A5129"/>
    <w:rsid w:val="002A56C2"/>
    <w:rsid w:val="002A5760"/>
    <w:rsid w:val="002A576A"/>
    <w:rsid w:val="002A5777"/>
    <w:rsid w:val="002A5B17"/>
    <w:rsid w:val="002A5B6D"/>
    <w:rsid w:val="002A5B82"/>
    <w:rsid w:val="002A607C"/>
    <w:rsid w:val="002A60E4"/>
    <w:rsid w:val="002A6396"/>
    <w:rsid w:val="002A6483"/>
    <w:rsid w:val="002A6D24"/>
    <w:rsid w:val="002A6FF4"/>
    <w:rsid w:val="002A7014"/>
    <w:rsid w:val="002A709D"/>
    <w:rsid w:val="002A72B7"/>
    <w:rsid w:val="002A76F3"/>
    <w:rsid w:val="002A7B9F"/>
    <w:rsid w:val="002A7BAB"/>
    <w:rsid w:val="002A7DF8"/>
    <w:rsid w:val="002A7DFE"/>
    <w:rsid w:val="002B00B8"/>
    <w:rsid w:val="002B024E"/>
    <w:rsid w:val="002B061C"/>
    <w:rsid w:val="002B061F"/>
    <w:rsid w:val="002B069C"/>
    <w:rsid w:val="002B0C8A"/>
    <w:rsid w:val="002B0EEC"/>
    <w:rsid w:val="002B1425"/>
    <w:rsid w:val="002B14A1"/>
    <w:rsid w:val="002B1755"/>
    <w:rsid w:val="002B1A90"/>
    <w:rsid w:val="002B1E9D"/>
    <w:rsid w:val="002B23CD"/>
    <w:rsid w:val="002B252D"/>
    <w:rsid w:val="002B2A3C"/>
    <w:rsid w:val="002B2BE1"/>
    <w:rsid w:val="002B2C10"/>
    <w:rsid w:val="002B2E25"/>
    <w:rsid w:val="002B30C3"/>
    <w:rsid w:val="002B33F5"/>
    <w:rsid w:val="002B3831"/>
    <w:rsid w:val="002B3BC0"/>
    <w:rsid w:val="002B3D22"/>
    <w:rsid w:val="002B3D3C"/>
    <w:rsid w:val="002B40E5"/>
    <w:rsid w:val="002B426F"/>
    <w:rsid w:val="002B43C3"/>
    <w:rsid w:val="002B4928"/>
    <w:rsid w:val="002B4AD5"/>
    <w:rsid w:val="002B4AF1"/>
    <w:rsid w:val="002B4D76"/>
    <w:rsid w:val="002B4F05"/>
    <w:rsid w:val="002B50A2"/>
    <w:rsid w:val="002B5184"/>
    <w:rsid w:val="002B5855"/>
    <w:rsid w:val="002B5AD4"/>
    <w:rsid w:val="002B5B21"/>
    <w:rsid w:val="002B5C52"/>
    <w:rsid w:val="002B61BB"/>
    <w:rsid w:val="002B6239"/>
    <w:rsid w:val="002B6450"/>
    <w:rsid w:val="002B65F9"/>
    <w:rsid w:val="002B66EB"/>
    <w:rsid w:val="002B6787"/>
    <w:rsid w:val="002B67BA"/>
    <w:rsid w:val="002B69CE"/>
    <w:rsid w:val="002B6C3A"/>
    <w:rsid w:val="002B6CF4"/>
    <w:rsid w:val="002B6DDB"/>
    <w:rsid w:val="002B70B9"/>
    <w:rsid w:val="002B778E"/>
    <w:rsid w:val="002B7C1F"/>
    <w:rsid w:val="002B7F12"/>
    <w:rsid w:val="002B7F4F"/>
    <w:rsid w:val="002C0037"/>
    <w:rsid w:val="002C029B"/>
    <w:rsid w:val="002C0345"/>
    <w:rsid w:val="002C0560"/>
    <w:rsid w:val="002C06EE"/>
    <w:rsid w:val="002C0FB4"/>
    <w:rsid w:val="002C1023"/>
    <w:rsid w:val="002C110D"/>
    <w:rsid w:val="002C1707"/>
    <w:rsid w:val="002C1829"/>
    <w:rsid w:val="002C1A25"/>
    <w:rsid w:val="002C1B50"/>
    <w:rsid w:val="002C1BBC"/>
    <w:rsid w:val="002C1E0E"/>
    <w:rsid w:val="002C1E96"/>
    <w:rsid w:val="002C1F82"/>
    <w:rsid w:val="002C20D4"/>
    <w:rsid w:val="002C2298"/>
    <w:rsid w:val="002C241C"/>
    <w:rsid w:val="002C2452"/>
    <w:rsid w:val="002C247D"/>
    <w:rsid w:val="002C2480"/>
    <w:rsid w:val="002C2567"/>
    <w:rsid w:val="002C2F67"/>
    <w:rsid w:val="002C30B1"/>
    <w:rsid w:val="002C31AF"/>
    <w:rsid w:val="002C352F"/>
    <w:rsid w:val="002C3856"/>
    <w:rsid w:val="002C388B"/>
    <w:rsid w:val="002C38DE"/>
    <w:rsid w:val="002C39B3"/>
    <w:rsid w:val="002C39C4"/>
    <w:rsid w:val="002C3B1F"/>
    <w:rsid w:val="002C3B53"/>
    <w:rsid w:val="002C3C9B"/>
    <w:rsid w:val="002C4184"/>
    <w:rsid w:val="002C423C"/>
    <w:rsid w:val="002C423F"/>
    <w:rsid w:val="002C4284"/>
    <w:rsid w:val="002C439A"/>
    <w:rsid w:val="002C43BD"/>
    <w:rsid w:val="002C442F"/>
    <w:rsid w:val="002C445F"/>
    <w:rsid w:val="002C4589"/>
    <w:rsid w:val="002C4644"/>
    <w:rsid w:val="002C4861"/>
    <w:rsid w:val="002C4B7A"/>
    <w:rsid w:val="002C4D60"/>
    <w:rsid w:val="002C4DB9"/>
    <w:rsid w:val="002C522E"/>
    <w:rsid w:val="002C5641"/>
    <w:rsid w:val="002C56C3"/>
    <w:rsid w:val="002C58A3"/>
    <w:rsid w:val="002C5AC1"/>
    <w:rsid w:val="002C5BCC"/>
    <w:rsid w:val="002C5D38"/>
    <w:rsid w:val="002C6545"/>
    <w:rsid w:val="002C6626"/>
    <w:rsid w:val="002C6A4D"/>
    <w:rsid w:val="002C6A73"/>
    <w:rsid w:val="002C6D8F"/>
    <w:rsid w:val="002C70BC"/>
    <w:rsid w:val="002C740E"/>
    <w:rsid w:val="002C75EA"/>
    <w:rsid w:val="002C77F4"/>
    <w:rsid w:val="002C7848"/>
    <w:rsid w:val="002C79BA"/>
    <w:rsid w:val="002C7E95"/>
    <w:rsid w:val="002C7EBC"/>
    <w:rsid w:val="002C7F41"/>
    <w:rsid w:val="002D050F"/>
    <w:rsid w:val="002D0A3C"/>
    <w:rsid w:val="002D0D34"/>
    <w:rsid w:val="002D0D66"/>
    <w:rsid w:val="002D0DB9"/>
    <w:rsid w:val="002D0EDB"/>
    <w:rsid w:val="002D10BF"/>
    <w:rsid w:val="002D128D"/>
    <w:rsid w:val="002D151E"/>
    <w:rsid w:val="002D17CD"/>
    <w:rsid w:val="002D1814"/>
    <w:rsid w:val="002D1CF7"/>
    <w:rsid w:val="002D1EAA"/>
    <w:rsid w:val="002D200D"/>
    <w:rsid w:val="002D2024"/>
    <w:rsid w:val="002D26D8"/>
    <w:rsid w:val="002D2BEF"/>
    <w:rsid w:val="002D2D8A"/>
    <w:rsid w:val="002D2DC8"/>
    <w:rsid w:val="002D2E39"/>
    <w:rsid w:val="002D3004"/>
    <w:rsid w:val="002D35A8"/>
    <w:rsid w:val="002D3603"/>
    <w:rsid w:val="002D36F7"/>
    <w:rsid w:val="002D37BB"/>
    <w:rsid w:val="002D3949"/>
    <w:rsid w:val="002D3ACB"/>
    <w:rsid w:val="002D3C66"/>
    <w:rsid w:val="002D3FA5"/>
    <w:rsid w:val="002D42EA"/>
    <w:rsid w:val="002D434D"/>
    <w:rsid w:val="002D45BC"/>
    <w:rsid w:val="002D47DC"/>
    <w:rsid w:val="002D4A2B"/>
    <w:rsid w:val="002D4B1E"/>
    <w:rsid w:val="002D4D88"/>
    <w:rsid w:val="002D4F74"/>
    <w:rsid w:val="002D57E0"/>
    <w:rsid w:val="002D59D9"/>
    <w:rsid w:val="002D5CF1"/>
    <w:rsid w:val="002D5E80"/>
    <w:rsid w:val="002D6029"/>
    <w:rsid w:val="002D60E9"/>
    <w:rsid w:val="002D6611"/>
    <w:rsid w:val="002D6798"/>
    <w:rsid w:val="002D6A0E"/>
    <w:rsid w:val="002D6A5D"/>
    <w:rsid w:val="002D6B45"/>
    <w:rsid w:val="002D6DD3"/>
    <w:rsid w:val="002D7098"/>
    <w:rsid w:val="002D7235"/>
    <w:rsid w:val="002D7472"/>
    <w:rsid w:val="002D7622"/>
    <w:rsid w:val="002D7988"/>
    <w:rsid w:val="002D7B8C"/>
    <w:rsid w:val="002E020E"/>
    <w:rsid w:val="002E0238"/>
    <w:rsid w:val="002E035F"/>
    <w:rsid w:val="002E046E"/>
    <w:rsid w:val="002E0562"/>
    <w:rsid w:val="002E0601"/>
    <w:rsid w:val="002E071E"/>
    <w:rsid w:val="002E0A44"/>
    <w:rsid w:val="002E0C8E"/>
    <w:rsid w:val="002E140F"/>
    <w:rsid w:val="002E176F"/>
    <w:rsid w:val="002E1D37"/>
    <w:rsid w:val="002E1F54"/>
    <w:rsid w:val="002E20C2"/>
    <w:rsid w:val="002E2110"/>
    <w:rsid w:val="002E2220"/>
    <w:rsid w:val="002E2602"/>
    <w:rsid w:val="002E26DC"/>
    <w:rsid w:val="002E2854"/>
    <w:rsid w:val="002E2A1B"/>
    <w:rsid w:val="002E2A8E"/>
    <w:rsid w:val="002E2D4D"/>
    <w:rsid w:val="002E2D81"/>
    <w:rsid w:val="002E2E1C"/>
    <w:rsid w:val="002E2FDF"/>
    <w:rsid w:val="002E3574"/>
    <w:rsid w:val="002E35C3"/>
    <w:rsid w:val="002E36DF"/>
    <w:rsid w:val="002E3889"/>
    <w:rsid w:val="002E396B"/>
    <w:rsid w:val="002E3BE7"/>
    <w:rsid w:val="002E3C12"/>
    <w:rsid w:val="002E3E8F"/>
    <w:rsid w:val="002E3F5F"/>
    <w:rsid w:val="002E41B4"/>
    <w:rsid w:val="002E4219"/>
    <w:rsid w:val="002E48A9"/>
    <w:rsid w:val="002E4B28"/>
    <w:rsid w:val="002E4F08"/>
    <w:rsid w:val="002E5021"/>
    <w:rsid w:val="002E5449"/>
    <w:rsid w:val="002E5499"/>
    <w:rsid w:val="002E5537"/>
    <w:rsid w:val="002E55C5"/>
    <w:rsid w:val="002E56C1"/>
    <w:rsid w:val="002E57FB"/>
    <w:rsid w:val="002E58BC"/>
    <w:rsid w:val="002E591C"/>
    <w:rsid w:val="002E5AB3"/>
    <w:rsid w:val="002E5B23"/>
    <w:rsid w:val="002E5D5C"/>
    <w:rsid w:val="002E5EC6"/>
    <w:rsid w:val="002E5F5D"/>
    <w:rsid w:val="002E613C"/>
    <w:rsid w:val="002E6182"/>
    <w:rsid w:val="002E6410"/>
    <w:rsid w:val="002E6A9F"/>
    <w:rsid w:val="002E6DE5"/>
    <w:rsid w:val="002E6E0B"/>
    <w:rsid w:val="002E6EC5"/>
    <w:rsid w:val="002E6F22"/>
    <w:rsid w:val="002E6FB6"/>
    <w:rsid w:val="002E73AD"/>
    <w:rsid w:val="002E76CF"/>
    <w:rsid w:val="002E7709"/>
    <w:rsid w:val="002E799D"/>
    <w:rsid w:val="002E7AC5"/>
    <w:rsid w:val="002F0342"/>
    <w:rsid w:val="002F087F"/>
    <w:rsid w:val="002F0DF0"/>
    <w:rsid w:val="002F179C"/>
    <w:rsid w:val="002F1A00"/>
    <w:rsid w:val="002F1A51"/>
    <w:rsid w:val="002F212C"/>
    <w:rsid w:val="002F2145"/>
    <w:rsid w:val="002F22E0"/>
    <w:rsid w:val="002F23EA"/>
    <w:rsid w:val="002F256B"/>
    <w:rsid w:val="002F2769"/>
    <w:rsid w:val="002F2C5C"/>
    <w:rsid w:val="002F2C90"/>
    <w:rsid w:val="002F2DAE"/>
    <w:rsid w:val="002F2DCF"/>
    <w:rsid w:val="002F2F34"/>
    <w:rsid w:val="002F30E1"/>
    <w:rsid w:val="002F31C9"/>
    <w:rsid w:val="002F31D2"/>
    <w:rsid w:val="002F326C"/>
    <w:rsid w:val="002F32F8"/>
    <w:rsid w:val="002F33B7"/>
    <w:rsid w:val="002F34B0"/>
    <w:rsid w:val="002F354D"/>
    <w:rsid w:val="002F3778"/>
    <w:rsid w:val="002F381A"/>
    <w:rsid w:val="002F3886"/>
    <w:rsid w:val="002F3A71"/>
    <w:rsid w:val="002F3AD8"/>
    <w:rsid w:val="002F3B89"/>
    <w:rsid w:val="002F3CEF"/>
    <w:rsid w:val="002F3D44"/>
    <w:rsid w:val="002F3EC1"/>
    <w:rsid w:val="002F404E"/>
    <w:rsid w:val="002F40AF"/>
    <w:rsid w:val="002F4469"/>
    <w:rsid w:val="002F450E"/>
    <w:rsid w:val="002F4544"/>
    <w:rsid w:val="002F45B3"/>
    <w:rsid w:val="002F466A"/>
    <w:rsid w:val="002F4771"/>
    <w:rsid w:val="002F49DD"/>
    <w:rsid w:val="002F4F62"/>
    <w:rsid w:val="002F533C"/>
    <w:rsid w:val="002F586F"/>
    <w:rsid w:val="002F5903"/>
    <w:rsid w:val="002F5975"/>
    <w:rsid w:val="002F5ACA"/>
    <w:rsid w:val="002F5B54"/>
    <w:rsid w:val="002F5E6E"/>
    <w:rsid w:val="002F5F05"/>
    <w:rsid w:val="002F5FD6"/>
    <w:rsid w:val="002F6333"/>
    <w:rsid w:val="002F636F"/>
    <w:rsid w:val="002F649B"/>
    <w:rsid w:val="002F6873"/>
    <w:rsid w:val="002F6B3D"/>
    <w:rsid w:val="002F6CCC"/>
    <w:rsid w:val="002F6D19"/>
    <w:rsid w:val="002F71B9"/>
    <w:rsid w:val="002F74E7"/>
    <w:rsid w:val="002F78CD"/>
    <w:rsid w:val="002F798F"/>
    <w:rsid w:val="002F7A6A"/>
    <w:rsid w:val="002F7E57"/>
    <w:rsid w:val="00300144"/>
    <w:rsid w:val="00300317"/>
    <w:rsid w:val="00300364"/>
    <w:rsid w:val="00300693"/>
    <w:rsid w:val="003009F2"/>
    <w:rsid w:val="00300B5B"/>
    <w:rsid w:val="00300E83"/>
    <w:rsid w:val="00300FEF"/>
    <w:rsid w:val="00301165"/>
    <w:rsid w:val="003016D8"/>
    <w:rsid w:val="0030188A"/>
    <w:rsid w:val="0030191C"/>
    <w:rsid w:val="00301994"/>
    <w:rsid w:val="00301A6F"/>
    <w:rsid w:val="00301C61"/>
    <w:rsid w:val="003023FA"/>
    <w:rsid w:val="0030247F"/>
    <w:rsid w:val="00302798"/>
    <w:rsid w:val="00302BB6"/>
    <w:rsid w:val="00302DD8"/>
    <w:rsid w:val="00302DFA"/>
    <w:rsid w:val="0030310E"/>
    <w:rsid w:val="003032D5"/>
    <w:rsid w:val="0030366A"/>
    <w:rsid w:val="00303682"/>
    <w:rsid w:val="0030378F"/>
    <w:rsid w:val="00303B0B"/>
    <w:rsid w:val="00303C23"/>
    <w:rsid w:val="00303E5C"/>
    <w:rsid w:val="0030426F"/>
    <w:rsid w:val="003042E9"/>
    <w:rsid w:val="00304553"/>
    <w:rsid w:val="00304651"/>
    <w:rsid w:val="003046F9"/>
    <w:rsid w:val="003048EB"/>
    <w:rsid w:val="00304A02"/>
    <w:rsid w:val="00304A2F"/>
    <w:rsid w:val="00304A78"/>
    <w:rsid w:val="00304E4C"/>
    <w:rsid w:val="003051B0"/>
    <w:rsid w:val="00305454"/>
    <w:rsid w:val="0030586B"/>
    <w:rsid w:val="00305C14"/>
    <w:rsid w:val="00305D4C"/>
    <w:rsid w:val="0030652D"/>
    <w:rsid w:val="00306709"/>
    <w:rsid w:val="003069BF"/>
    <w:rsid w:val="00306ADE"/>
    <w:rsid w:val="00306B64"/>
    <w:rsid w:val="00306C0C"/>
    <w:rsid w:val="00306D2C"/>
    <w:rsid w:val="00306E9A"/>
    <w:rsid w:val="00307158"/>
    <w:rsid w:val="00307188"/>
    <w:rsid w:val="00307283"/>
    <w:rsid w:val="00307296"/>
    <w:rsid w:val="003074DA"/>
    <w:rsid w:val="00307565"/>
    <w:rsid w:val="00307693"/>
    <w:rsid w:val="003076DF"/>
    <w:rsid w:val="003079D4"/>
    <w:rsid w:val="00307E39"/>
    <w:rsid w:val="00307F8A"/>
    <w:rsid w:val="0031005C"/>
    <w:rsid w:val="003107CB"/>
    <w:rsid w:val="00310DCA"/>
    <w:rsid w:val="003110A0"/>
    <w:rsid w:val="00311344"/>
    <w:rsid w:val="003116CE"/>
    <w:rsid w:val="0031188B"/>
    <w:rsid w:val="00311E0F"/>
    <w:rsid w:val="00311F52"/>
    <w:rsid w:val="00312646"/>
    <w:rsid w:val="0031276C"/>
    <w:rsid w:val="0031289B"/>
    <w:rsid w:val="003128FF"/>
    <w:rsid w:val="00312E81"/>
    <w:rsid w:val="00312ED2"/>
    <w:rsid w:val="00312F34"/>
    <w:rsid w:val="003130D6"/>
    <w:rsid w:val="00313184"/>
    <w:rsid w:val="0031326B"/>
    <w:rsid w:val="0031328C"/>
    <w:rsid w:val="003132B1"/>
    <w:rsid w:val="003133E6"/>
    <w:rsid w:val="00313C49"/>
    <w:rsid w:val="00313D19"/>
    <w:rsid w:val="003140D3"/>
    <w:rsid w:val="003141CD"/>
    <w:rsid w:val="003141E4"/>
    <w:rsid w:val="00314349"/>
    <w:rsid w:val="003143A5"/>
    <w:rsid w:val="0031442F"/>
    <w:rsid w:val="003144F8"/>
    <w:rsid w:val="003145F4"/>
    <w:rsid w:val="003146FA"/>
    <w:rsid w:val="00315056"/>
    <w:rsid w:val="003150D2"/>
    <w:rsid w:val="00315126"/>
    <w:rsid w:val="003151EF"/>
    <w:rsid w:val="003152B4"/>
    <w:rsid w:val="00315323"/>
    <w:rsid w:val="003153E0"/>
    <w:rsid w:val="0031544E"/>
    <w:rsid w:val="003156D4"/>
    <w:rsid w:val="00315A65"/>
    <w:rsid w:val="00315CBE"/>
    <w:rsid w:val="00315D11"/>
    <w:rsid w:val="00315D2C"/>
    <w:rsid w:val="00315D71"/>
    <w:rsid w:val="00315DCF"/>
    <w:rsid w:val="00315EFD"/>
    <w:rsid w:val="00316254"/>
    <w:rsid w:val="003162ED"/>
    <w:rsid w:val="00316368"/>
    <w:rsid w:val="00316384"/>
    <w:rsid w:val="00316828"/>
    <w:rsid w:val="00316AF3"/>
    <w:rsid w:val="00316B4A"/>
    <w:rsid w:val="00316C09"/>
    <w:rsid w:val="00317082"/>
    <w:rsid w:val="0031712C"/>
    <w:rsid w:val="00317142"/>
    <w:rsid w:val="003172F2"/>
    <w:rsid w:val="00317903"/>
    <w:rsid w:val="00317D5B"/>
    <w:rsid w:val="00317F7F"/>
    <w:rsid w:val="00317FD2"/>
    <w:rsid w:val="00320032"/>
    <w:rsid w:val="003201D7"/>
    <w:rsid w:val="003204CE"/>
    <w:rsid w:val="00320953"/>
    <w:rsid w:val="00320964"/>
    <w:rsid w:val="003209FC"/>
    <w:rsid w:val="00320CF6"/>
    <w:rsid w:val="00320D10"/>
    <w:rsid w:val="00321086"/>
    <w:rsid w:val="003214EB"/>
    <w:rsid w:val="003214FC"/>
    <w:rsid w:val="0032167F"/>
    <w:rsid w:val="00321A44"/>
    <w:rsid w:val="00321C40"/>
    <w:rsid w:val="0032207D"/>
    <w:rsid w:val="0032229A"/>
    <w:rsid w:val="003223A4"/>
    <w:rsid w:val="003224AC"/>
    <w:rsid w:val="003224B1"/>
    <w:rsid w:val="0032267A"/>
    <w:rsid w:val="003228BD"/>
    <w:rsid w:val="003228C4"/>
    <w:rsid w:val="003229F5"/>
    <w:rsid w:val="00322A82"/>
    <w:rsid w:val="00322B54"/>
    <w:rsid w:val="00322F11"/>
    <w:rsid w:val="0032309D"/>
    <w:rsid w:val="00323113"/>
    <w:rsid w:val="003231B3"/>
    <w:rsid w:val="003231F0"/>
    <w:rsid w:val="003232D9"/>
    <w:rsid w:val="0032350C"/>
    <w:rsid w:val="00323639"/>
    <w:rsid w:val="003236C4"/>
    <w:rsid w:val="00323707"/>
    <w:rsid w:val="0032394B"/>
    <w:rsid w:val="00323ACB"/>
    <w:rsid w:val="00323B1B"/>
    <w:rsid w:val="00323BCD"/>
    <w:rsid w:val="00323C20"/>
    <w:rsid w:val="003242BF"/>
    <w:rsid w:val="0032436A"/>
    <w:rsid w:val="0032440F"/>
    <w:rsid w:val="003244F7"/>
    <w:rsid w:val="00324559"/>
    <w:rsid w:val="003245DF"/>
    <w:rsid w:val="0032465F"/>
    <w:rsid w:val="003248EA"/>
    <w:rsid w:val="00324AAC"/>
    <w:rsid w:val="00324AC5"/>
    <w:rsid w:val="00324DA5"/>
    <w:rsid w:val="003251D8"/>
    <w:rsid w:val="00325282"/>
    <w:rsid w:val="00325396"/>
    <w:rsid w:val="003257AE"/>
    <w:rsid w:val="00325B68"/>
    <w:rsid w:val="00325F52"/>
    <w:rsid w:val="00325FEB"/>
    <w:rsid w:val="00326C79"/>
    <w:rsid w:val="0032700E"/>
    <w:rsid w:val="00327088"/>
    <w:rsid w:val="00327188"/>
    <w:rsid w:val="003271BC"/>
    <w:rsid w:val="003273C1"/>
    <w:rsid w:val="003273E3"/>
    <w:rsid w:val="00327546"/>
    <w:rsid w:val="00327AFE"/>
    <w:rsid w:val="0033022F"/>
    <w:rsid w:val="00330473"/>
    <w:rsid w:val="00330567"/>
    <w:rsid w:val="0033081F"/>
    <w:rsid w:val="00330A74"/>
    <w:rsid w:val="00330AE1"/>
    <w:rsid w:val="00330E4D"/>
    <w:rsid w:val="003311C3"/>
    <w:rsid w:val="003312BD"/>
    <w:rsid w:val="003313B2"/>
    <w:rsid w:val="0033140B"/>
    <w:rsid w:val="00331577"/>
    <w:rsid w:val="00331649"/>
    <w:rsid w:val="00331826"/>
    <w:rsid w:val="00331834"/>
    <w:rsid w:val="003319E0"/>
    <w:rsid w:val="00331E06"/>
    <w:rsid w:val="00331E13"/>
    <w:rsid w:val="00331E60"/>
    <w:rsid w:val="00332022"/>
    <w:rsid w:val="003321F7"/>
    <w:rsid w:val="00332237"/>
    <w:rsid w:val="003323B1"/>
    <w:rsid w:val="003323CB"/>
    <w:rsid w:val="0033248E"/>
    <w:rsid w:val="00332496"/>
    <w:rsid w:val="00332D58"/>
    <w:rsid w:val="00333024"/>
    <w:rsid w:val="0033314D"/>
    <w:rsid w:val="00333186"/>
    <w:rsid w:val="003331F5"/>
    <w:rsid w:val="0033327B"/>
    <w:rsid w:val="0033394B"/>
    <w:rsid w:val="00333C4E"/>
    <w:rsid w:val="00333D56"/>
    <w:rsid w:val="00333DE1"/>
    <w:rsid w:val="00334060"/>
    <w:rsid w:val="003340D9"/>
    <w:rsid w:val="00334243"/>
    <w:rsid w:val="003343D5"/>
    <w:rsid w:val="00334544"/>
    <w:rsid w:val="003345E7"/>
    <w:rsid w:val="003345E9"/>
    <w:rsid w:val="0033463E"/>
    <w:rsid w:val="00334642"/>
    <w:rsid w:val="00334710"/>
    <w:rsid w:val="0033478C"/>
    <w:rsid w:val="00334895"/>
    <w:rsid w:val="00334B08"/>
    <w:rsid w:val="00334B84"/>
    <w:rsid w:val="00334B86"/>
    <w:rsid w:val="00334B89"/>
    <w:rsid w:val="00334F04"/>
    <w:rsid w:val="00334F35"/>
    <w:rsid w:val="003350EF"/>
    <w:rsid w:val="0033546F"/>
    <w:rsid w:val="003355A5"/>
    <w:rsid w:val="00335649"/>
    <w:rsid w:val="00335AA2"/>
    <w:rsid w:val="00335C1E"/>
    <w:rsid w:val="00335F1E"/>
    <w:rsid w:val="003361A5"/>
    <w:rsid w:val="00336652"/>
    <w:rsid w:val="00336709"/>
    <w:rsid w:val="003369B3"/>
    <w:rsid w:val="00336EB0"/>
    <w:rsid w:val="003371CC"/>
    <w:rsid w:val="0033737C"/>
    <w:rsid w:val="003378B5"/>
    <w:rsid w:val="003378C2"/>
    <w:rsid w:val="00337BBF"/>
    <w:rsid w:val="00337CC8"/>
    <w:rsid w:val="00337CEC"/>
    <w:rsid w:val="00337D4C"/>
    <w:rsid w:val="00337D6C"/>
    <w:rsid w:val="00337E03"/>
    <w:rsid w:val="00337E4B"/>
    <w:rsid w:val="003400CE"/>
    <w:rsid w:val="003400FD"/>
    <w:rsid w:val="0034023F"/>
    <w:rsid w:val="003402CE"/>
    <w:rsid w:val="00340785"/>
    <w:rsid w:val="00340CEC"/>
    <w:rsid w:val="00340E8F"/>
    <w:rsid w:val="00340F86"/>
    <w:rsid w:val="00340FB8"/>
    <w:rsid w:val="00341126"/>
    <w:rsid w:val="003411A1"/>
    <w:rsid w:val="003412DB"/>
    <w:rsid w:val="0034134D"/>
    <w:rsid w:val="00341594"/>
    <w:rsid w:val="00341623"/>
    <w:rsid w:val="00341B63"/>
    <w:rsid w:val="00341B68"/>
    <w:rsid w:val="00341D76"/>
    <w:rsid w:val="00341EBC"/>
    <w:rsid w:val="003420E5"/>
    <w:rsid w:val="0034214C"/>
    <w:rsid w:val="003421B6"/>
    <w:rsid w:val="00342242"/>
    <w:rsid w:val="003425A6"/>
    <w:rsid w:val="003426D1"/>
    <w:rsid w:val="003426F7"/>
    <w:rsid w:val="003426F8"/>
    <w:rsid w:val="0034278D"/>
    <w:rsid w:val="00342AE9"/>
    <w:rsid w:val="00342D0E"/>
    <w:rsid w:val="00342E02"/>
    <w:rsid w:val="0034312A"/>
    <w:rsid w:val="00343148"/>
    <w:rsid w:val="00343345"/>
    <w:rsid w:val="00343487"/>
    <w:rsid w:val="003435F1"/>
    <w:rsid w:val="00343E9E"/>
    <w:rsid w:val="00343F65"/>
    <w:rsid w:val="00344063"/>
    <w:rsid w:val="003441D3"/>
    <w:rsid w:val="00344204"/>
    <w:rsid w:val="003442E7"/>
    <w:rsid w:val="003443AB"/>
    <w:rsid w:val="003446F2"/>
    <w:rsid w:val="003449EB"/>
    <w:rsid w:val="00344C77"/>
    <w:rsid w:val="00344D8C"/>
    <w:rsid w:val="0034508D"/>
    <w:rsid w:val="0034514C"/>
    <w:rsid w:val="0034529D"/>
    <w:rsid w:val="003453BC"/>
    <w:rsid w:val="00345421"/>
    <w:rsid w:val="00345A75"/>
    <w:rsid w:val="00345D61"/>
    <w:rsid w:val="00345E50"/>
    <w:rsid w:val="00345E7B"/>
    <w:rsid w:val="00345FAA"/>
    <w:rsid w:val="00346276"/>
    <w:rsid w:val="00346288"/>
    <w:rsid w:val="003463FF"/>
    <w:rsid w:val="0034659D"/>
    <w:rsid w:val="0034666C"/>
    <w:rsid w:val="003468D8"/>
    <w:rsid w:val="003469D5"/>
    <w:rsid w:val="003470C1"/>
    <w:rsid w:val="0034712E"/>
    <w:rsid w:val="0034748A"/>
    <w:rsid w:val="003475D1"/>
    <w:rsid w:val="00347606"/>
    <w:rsid w:val="00347864"/>
    <w:rsid w:val="00347A93"/>
    <w:rsid w:val="00347BC2"/>
    <w:rsid w:val="00347D7C"/>
    <w:rsid w:val="00347D80"/>
    <w:rsid w:val="00347FF5"/>
    <w:rsid w:val="00350258"/>
    <w:rsid w:val="0035026D"/>
    <w:rsid w:val="0035041F"/>
    <w:rsid w:val="00350441"/>
    <w:rsid w:val="003505B2"/>
    <w:rsid w:val="00350689"/>
    <w:rsid w:val="00350833"/>
    <w:rsid w:val="00350847"/>
    <w:rsid w:val="00350860"/>
    <w:rsid w:val="003509A9"/>
    <w:rsid w:val="00350D15"/>
    <w:rsid w:val="00350E52"/>
    <w:rsid w:val="00350EA3"/>
    <w:rsid w:val="00350EBC"/>
    <w:rsid w:val="00350EC8"/>
    <w:rsid w:val="00351003"/>
    <w:rsid w:val="00351199"/>
    <w:rsid w:val="003511ED"/>
    <w:rsid w:val="003512E5"/>
    <w:rsid w:val="00351655"/>
    <w:rsid w:val="00351854"/>
    <w:rsid w:val="00351975"/>
    <w:rsid w:val="00351BA9"/>
    <w:rsid w:val="00351D1B"/>
    <w:rsid w:val="00351E16"/>
    <w:rsid w:val="00351EA2"/>
    <w:rsid w:val="00351FE3"/>
    <w:rsid w:val="003522F3"/>
    <w:rsid w:val="003525D1"/>
    <w:rsid w:val="003527C2"/>
    <w:rsid w:val="003527EB"/>
    <w:rsid w:val="00352A22"/>
    <w:rsid w:val="00352AF3"/>
    <w:rsid w:val="00352C09"/>
    <w:rsid w:val="00352DAD"/>
    <w:rsid w:val="00352DF2"/>
    <w:rsid w:val="003532DC"/>
    <w:rsid w:val="00353A9D"/>
    <w:rsid w:val="00353B87"/>
    <w:rsid w:val="00353C7C"/>
    <w:rsid w:val="00354084"/>
    <w:rsid w:val="003541FE"/>
    <w:rsid w:val="0035425A"/>
    <w:rsid w:val="003546A9"/>
    <w:rsid w:val="00354AED"/>
    <w:rsid w:val="00354D6D"/>
    <w:rsid w:val="00354EBD"/>
    <w:rsid w:val="00354F52"/>
    <w:rsid w:val="00355029"/>
    <w:rsid w:val="003553EF"/>
    <w:rsid w:val="003555E4"/>
    <w:rsid w:val="003559D9"/>
    <w:rsid w:val="00355CCA"/>
    <w:rsid w:val="00355CDC"/>
    <w:rsid w:val="00355D62"/>
    <w:rsid w:val="00355D84"/>
    <w:rsid w:val="00356047"/>
    <w:rsid w:val="00356052"/>
    <w:rsid w:val="00356319"/>
    <w:rsid w:val="00356797"/>
    <w:rsid w:val="00356838"/>
    <w:rsid w:val="00356929"/>
    <w:rsid w:val="00356BB5"/>
    <w:rsid w:val="00356CDD"/>
    <w:rsid w:val="00356E24"/>
    <w:rsid w:val="00357039"/>
    <w:rsid w:val="0035703F"/>
    <w:rsid w:val="00357184"/>
    <w:rsid w:val="003571C8"/>
    <w:rsid w:val="003572AE"/>
    <w:rsid w:val="003575A4"/>
    <w:rsid w:val="003576B4"/>
    <w:rsid w:val="00357BF6"/>
    <w:rsid w:val="00357C2D"/>
    <w:rsid w:val="00357E0B"/>
    <w:rsid w:val="00357ED4"/>
    <w:rsid w:val="003600C9"/>
    <w:rsid w:val="0036030B"/>
    <w:rsid w:val="00360313"/>
    <w:rsid w:val="00360373"/>
    <w:rsid w:val="003604DD"/>
    <w:rsid w:val="003605EA"/>
    <w:rsid w:val="003606E4"/>
    <w:rsid w:val="003607A8"/>
    <w:rsid w:val="00360AA3"/>
    <w:rsid w:val="00360AB5"/>
    <w:rsid w:val="00360B71"/>
    <w:rsid w:val="00360B7E"/>
    <w:rsid w:val="00360BD8"/>
    <w:rsid w:val="00360DAA"/>
    <w:rsid w:val="00360F3B"/>
    <w:rsid w:val="00360F5E"/>
    <w:rsid w:val="00360FF0"/>
    <w:rsid w:val="003611D9"/>
    <w:rsid w:val="0036123F"/>
    <w:rsid w:val="00361381"/>
    <w:rsid w:val="00361589"/>
    <w:rsid w:val="003615EA"/>
    <w:rsid w:val="003617BB"/>
    <w:rsid w:val="003618D5"/>
    <w:rsid w:val="0036192D"/>
    <w:rsid w:val="00361A7B"/>
    <w:rsid w:val="00361CA0"/>
    <w:rsid w:val="0036247B"/>
    <w:rsid w:val="00362698"/>
    <w:rsid w:val="00362819"/>
    <w:rsid w:val="00362948"/>
    <w:rsid w:val="00362BCB"/>
    <w:rsid w:val="00362C65"/>
    <w:rsid w:val="00362D0C"/>
    <w:rsid w:val="0036355E"/>
    <w:rsid w:val="0036383E"/>
    <w:rsid w:val="003638FD"/>
    <w:rsid w:val="00363A42"/>
    <w:rsid w:val="00363C4C"/>
    <w:rsid w:val="00363E0E"/>
    <w:rsid w:val="00364135"/>
    <w:rsid w:val="00364219"/>
    <w:rsid w:val="00364296"/>
    <w:rsid w:val="003642A1"/>
    <w:rsid w:val="00364389"/>
    <w:rsid w:val="00364451"/>
    <w:rsid w:val="00364497"/>
    <w:rsid w:val="00364652"/>
    <w:rsid w:val="003646B4"/>
    <w:rsid w:val="003647EE"/>
    <w:rsid w:val="00364BDA"/>
    <w:rsid w:val="00364F88"/>
    <w:rsid w:val="00365089"/>
    <w:rsid w:val="0036539E"/>
    <w:rsid w:val="00365661"/>
    <w:rsid w:val="00365669"/>
    <w:rsid w:val="0036577B"/>
    <w:rsid w:val="00365B0D"/>
    <w:rsid w:val="00366205"/>
    <w:rsid w:val="003663C7"/>
    <w:rsid w:val="003664D3"/>
    <w:rsid w:val="00366A7B"/>
    <w:rsid w:val="00366EFC"/>
    <w:rsid w:val="00367043"/>
    <w:rsid w:val="00367190"/>
    <w:rsid w:val="003672A6"/>
    <w:rsid w:val="003672C9"/>
    <w:rsid w:val="003672E4"/>
    <w:rsid w:val="0036742D"/>
    <w:rsid w:val="00367561"/>
    <w:rsid w:val="003676B8"/>
    <w:rsid w:val="0036791D"/>
    <w:rsid w:val="00367A50"/>
    <w:rsid w:val="00367A84"/>
    <w:rsid w:val="00367EC6"/>
    <w:rsid w:val="0037047A"/>
    <w:rsid w:val="003706D2"/>
    <w:rsid w:val="003707DD"/>
    <w:rsid w:val="00370F30"/>
    <w:rsid w:val="00371054"/>
    <w:rsid w:val="00371324"/>
    <w:rsid w:val="00371551"/>
    <w:rsid w:val="0037166C"/>
    <w:rsid w:val="003717C7"/>
    <w:rsid w:val="003717D1"/>
    <w:rsid w:val="0037181E"/>
    <w:rsid w:val="0037187B"/>
    <w:rsid w:val="00371EB7"/>
    <w:rsid w:val="00371FAA"/>
    <w:rsid w:val="003721F9"/>
    <w:rsid w:val="003724BC"/>
    <w:rsid w:val="00372502"/>
    <w:rsid w:val="00372C74"/>
    <w:rsid w:val="00372D5E"/>
    <w:rsid w:val="00372F4F"/>
    <w:rsid w:val="00373035"/>
    <w:rsid w:val="0037313A"/>
    <w:rsid w:val="00373587"/>
    <w:rsid w:val="00373E0D"/>
    <w:rsid w:val="00373FD4"/>
    <w:rsid w:val="0037409D"/>
    <w:rsid w:val="0037472F"/>
    <w:rsid w:val="00374A06"/>
    <w:rsid w:val="00374CDA"/>
    <w:rsid w:val="00374EE7"/>
    <w:rsid w:val="00374F70"/>
    <w:rsid w:val="00374F73"/>
    <w:rsid w:val="0037513D"/>
    <w:rsid w:val="00375153"/>
    <w:rsid w:val="003753B6"/>
    <w:rsid w:val="003755C5"/>
    <w:rsid w:val="00375A15"/>
    <w:rsid w:val="00375C07"/>
    <w:rsid w:val="00375DB6"/>
    <w:rsid w:val="00375E75"/>
    <w:rsid w:val="00376150"/>
    <w:rsid w:val="0037624A"/>
    <w:rsid w:val="00376702"/>
    <w:rsid w:val="00376775"/>
    <w:rsid w:val="003768DA"/>
    <w:rsid w:val="00376A0F"/>
    <w:rsid w:val="00376A87"/>
    <w:rsid w:val="00376B33"/>
    <w:rsid w:val="0037731D"/>
    <w:rsid w:val="00377774"/>
    <w:rsid w:val="003778D4"/>
    <w:rsid w:val="00377BA9"/>
    <w:rsid w:val="00377CF1"/>
    <w:rsid w:val="00377EA0"/>
    <w:rsid w:val="003801C2"/>
    <w:rsid w:val="0038020C"/>
    <w:rsid w:val="003804EB"/>
    <w:rsid w:val="003805D1"/>
    <w:rsid w:val="00380801"/>
    <w:rsid w:val="003808D1"/>
    <w:rsid w:val="00380B1C"/>
    <w:rsid w:val="00380C1D"/>
    <w:rsid w:val="00381080"/>
    <w:rsid w:val="00381156"/>
    <w:rsid w:val="00381238"/>
    <w:rsid w:val="0038143E"/>
    <w:rsid w:val="003814B5"/>
    <w:rsid w:val="00381524"/>
    <w:rsid w:val="003815D3"/>
    <w:rsid w:val="00381685"/>
    <w:rsid w:val="00381CEE"/>
    <w:rsid w:val="00381F33"/>
    <w:rsid w:val="003820CE"/>
    <w:rsid w:val="00382366"/>
    <w:rsid w:val="0038241E"/>
    <w:rsid w:val="0038266C"/>
    <w:rsid w:val="0038292F"/>
    <w:rsid w:val="00382A4B"/>
    <w:rsid w:val="00382A54"/>
    <w:rsid w:val="00382AD3"/>
    <w:rsid w:val="00382AF9"/>
    <w:rsid w:val="00382D3F"/>
    <w:rsid w:val="0038319C"/>
    <w:rsid w:val="003831FF"/>
    <w:rsid w:val="00383394"/>
    <w:rsid w:val="00383607"/>
    <w:rsid w:val="0038362D"/>
    <w:rsid w:val="00383853"/>
    <w:rsid w:val="00383879"/>
    <w:rsid w:val="00383AF1"/>
    <w:rsid w:val="00383B0E"/>
    <w:rsid w:val="00383B1B"/>
    <w:rsid w:val="00383E41"/>
    <w:rsid w:val="003840B4"/>
    <w:rsid w:val="003842BF"/>
    <w:rsid w:val="003845F3"/>
    <w:rsid w:val="00384839"/>
    <w:rsid w:val="00384B3B"/>
    <w:rsid w:val="00384EE5"/>
    <w:rsid w:val="00385123"/>
    <w:rsid w:val="0038587E"/>
    <w:rsid w:val="00385987"/>
    <w:rsid w:val="00385990"/>
    <w:rsid w:val="003859ED"/>
    <w:rsid w:val="00385BAA"/>
    <w:rsid w:val="00386037"/>
    <w:rsid w:val="00386039"/>
    <w:rsid w:val="00386088"/>
    <w:rsid w:val="003864A9"/>
    <w:rsid w:val="0038653A"/>
    <w:rsid w:val="0038668D"/>
    <w:rsid w:val="0038670F"/>
    <w:rsid w:val="00386837"/>
    <w:rsid w:val="00386954"/>
    <w:rsid w:val="003869F8"/>
    <w:rsid w:val="00386C4A"/>
    <w:rsid w:val="0038706F"/>
    <w:rsid w:val="0038721F"/>
    <w:rsid w:val="00387239"/>
    <w:rsid w:val="0038757A"/>
    <w:rsid w:val="003878E0"/>
    <w:rsid w:val="003879BD"/>
    <w:rsid w:val="00387A8D"/>
    <w:rsid w:val="00387B8E"/>
    <w:rsid w:val="00387BF6"/>
    <w:rsid w:val="00387F1E"/>
    <w:rsid w:val="00387F58"/>
    <w:rsid w:val="003901C3"/>
    <w:rsid w:val="003906CE"/>
    <w:rsid w:val="0039092D"/>
    <w:rsid w:val="003909EF"/>
    <w:rsid w:val="00390A37"/>
    <w:rsid w:val="00390A45"/>
    <w:rsid w:val="00390B57"/>
    <w:rsid w:val="00390CA0"/>
    <w:rsid w:val="003913F2"/>
    <w:rsid w:val="003914FB"/>
    <w:rsid w:val="00391546"/>
    <w:rsid w:val="003917F9"/>
    <w:rsid w:val="00391AAE"/>
    <w:rsid w:val="00391D4E"/>
    <w:rsid w:val="00391FEF"/>
    <w:rsid w:val="00392216"/>
    <w:rsid w:val="00392246"/>
    <w:rsid w:val="003925D5"/>
    <w:rsid w:val="003927D5"/>
    <w:rsid w:val="00392D49"/>
    <w:rsid w:val="00392E4B"/>
    <w:rsid w:val="00392E63"/>
    <w:rsid w:val="00392F03"/>
    <w:rsid w:val="00392FCA"/>
    <w:rsid w:val="0039324D"/>
    <w:rsid w:val="0039338A"/>
    <w:rsid w:val="00393553"/>
    <w:rsid w:val="00393A71"/>
    <w:rsid w:val="00394032"/>
    <w:rsid w:val="00394235"/>
    <w:rsid w:val="00394307"/>
    <w:rsid w:val="003943E9"/>
    <w:rsid w:val="00394580"/>
    <w:rsid w:val="003946D7"/>
    <w:rsid w:val="00394C75"/>
    <w:rsid w:val="00394F9A"/>
    <w:rsid w:val="003951ED"/>
    <w:rsid w:val="0039550F"/>
    <w:rsid w:val="003957B1"/>
    <w:rsid w:val="003957C2"/>
    <w:rsid w:val="0039593A"/>
    <w:rsid w:val="003959F5"/>
    <w:rsid w:val="00395B85"/>
    <w:rsid w:val="00396053"/>
    <w:rsid w:val="00396635"/>
    <w:rsid w:val="003969FA"/>
    <w:rsid w:val="00396A80"/>
    <w:rsid w:val="00396B27"/>
    <w:rsid w:val="00396B51"/>
    <w:rsid w:val="00396BC1"/>
    <w:rsid w:val="00396D01"/>
    <w:rsid w:val="00397502"/>
    <w:rsid w:val="003979C0"/>
    <w:rsid w:val="00397C5E"/>
    <w:rsid w:val="00397DB5"/>
    <w:rsid w:val="00397EE8"/>
    <w:rsid w:val="003A0290"/>
    <w:rsid w:val="003A02FE"/>
    <w:rsid w:val="003A04C6"/>
    <w:rsid w:val="003A08E5"/>
    <w:rsid w:val="003A0CF5"/>
    <w:rsid w:val="003A0D79"/>
    <w:rsid w:val="003A0D94"/>
    <w:rsid w:val="003A130D"/>
    <w:rsid w:val="003A1397"/>
    <w:rsid w:val="003A14C1"/>
    <w:rsid w:val="003A15CB"/>
    <w:rsid w:val="003A160D"/>
    <w:rsid w:val="003A17B3"/>
    <w:rsid w:val="003A17CA"/>
    <w:rsid w:val="003A19CB"/>
    <w:rsid w:val="003A19D3"/>
    <w:rsid w:val="003A19F6"/>
    <w:rsid w:val="003A2141"/>
    <w:rsid w:val="003A22E7"/>
    <w:rsid w:val="003A2525"/>
    <w:rsid w:val="003A26A8"/>
    <w:rsid w:val="003A2A90"/>
    <w:rsid w:val="003A2B84"/>
    <w:rsid w:val="003A2E38"/>
    <w:rsid w:val="003A30A3"/>
    <w:rsid w:val="003A37EB"/>
    <w:rsid w:val="003A37FD"/>
    <w:rsid w:val="003A3864"/>
    <w:rsid w:val="003A39F9"/>
    <w:rsid w:val="003A3C5F"/>
    <w:rsid w:val="003A3FD5"/>
    <w:rsid w:val="003A42A5"/>
    <w:rsid w:val="003A42F2"/>
    <w:rsid w:val="003A4335"/>
    <w:rsid w:val="003A48B7"/>
    <w:rsid w:val="003A4BFB"/>
    <w:rsid w:val="003A4C35"/>
    <w:rsid w:val="003A4DBC"/>
    <w:rsid w:val="003A505D"/>
    <w:rsid w:val="003A50D8"/>
    <w:rsid w:val="003A51D6"/>
    <w:rsid w:val="003A5334"/>
    <w:rsid w:val="003A549F"/>
    <w:rsid w:val="003A599D"/>
    <w:rsid w:val="003A59A6"/>
    <w:rsid w:val="003A5B9C"/>
    <w:rsid w:val="003A67AE"/>
    <w:rsid w:val="003A68DC"/>
    <w:rsid w:val="003A6A06"/>
    <w:rsid w:val="003A6A7D"/>
    <w:rsid w:val="003A6EC5"/>
    <w:rsid w:val="003A6F33"/>
    <w:rsid w:val="003A7077"/>
    <w:rsid w:val="003A716B"/>
    <w:rsid w:val="003A734E"/>
    <w:rsid w:val="003A780A"/>
    <w:rsid w:val="003A7D53"/>
    <w:rsid w:val="003A7F22"/>
    <w:rsid w:val="003A7F4A"/>
    <w:rsid w:val="003B014D"/>
    <w:rsid w:val="003B0165"/>
    <w:rsid w:val="003B04EA"/>
    <w:rsid w:val="003B0737"/>
    <w:rsid w:val="003B0B19"/>
    <w:rsid w:val="003B0DD2"/>
    <w:rsid w:val="003B0E49"/>
    <w:rsid w:val="003B0F6E"/>
    <w:rsid w:val="003B1140"/>
    <w:rsid w:val="003B131E"/>
    <w:rsid w:val="003B161C"/>
    <w:rsid w:val="003B1A9C"/>
    <w:rsid w:val="003B1B7A"/>
    <w:rsid w:val="003B1BB3"/>
    <w:rsid w:val="003B1FB4"/>
    <w:rsid w:val="003B2316"/>
    <w:rsid w:val="003B233E"/>
    <w:rsid w:val="003B2523"/>
    <w:rsid w:val="003B26DA"/>
    <w:rsid w:val="003B2912"/>
    <w:rsid w:val="003B2BEC"/>
    <w:rsid w:val="003B30C6"/>
    <w:rsid w:val="003B3369"/>
    <w:rsid w:val="003B3816"/>
    <w:rsid w:val="003B3978"/>
    <w:rsid w:val="003B3A16"/>
    <w:rsid w:val="003B3E1E"/>
    <w:rsid w:val="003B401D"/>
    <w:rsid w:val="003B407B"/>
    <w:rsid w:val="003B4409"/>
    <w:rsid w:val="003B4443"/>
    <w:rsid w:val="003B44FA"/>
    <w:rsid w:val="003B4530"/>
    <w:rsid w:val="003B470B"/>
    <w:rsid w:val="003B4EA1"/>
    <w:rsid w:val="003B4EC7"/>
    <w:rsid w:val="003B4EFC"/>
    <w:rsid w:val="003B4FF9"/>
    <w:rsid w:val="003B53B6"/>
    <w:rsid w:val="003B53BA"/>
    <w:rsid w:val="003B540A"/>
    <w:rsid w:val="003B5431"/>
    <w:rsid w:val="003B55B5"/>
    <w:rsid w:val="003B5943"/>
    <w:rsid w:val="003B59EB"/>
    <w:rsid w:val="003B5AC5"/>
    <w:rsid w:val="003B5D49"/>
    <w:rsid w:val="003B634E"/>
    <w:rsid w:val="003B643C"/>
    <w:rsid w:val="003B6530"/>
    <w:rsid w:val="003B670D"/>
    <w:rsid w:val="003B6AD0"/>
    <w:rsid w:val="003B6BCA"/>
    <w:rsid w:val="003B6D71"/>
    <w:rsid w:val="003B6DA9"/>
    <w:rsid w:val="003B6DE1"/>
    <w:rsid w:val="003B6E40"/>
    <w:rsid w:val="003B72E8"/>
    <w:rsid w:val="003B76FC"/>
    <w:rsid w:val="003B7A7A"/>
    <w:rsid w:val="003B7B64"/>
    <w:rsid w:val="003B7C1E"/>
    <w:rsid w:val="003B7D9A"/>
    <w:rsid w:val="003C0046"/>
    <w:rsid w:val="003C005E"/>
    <w:rsid w:val="003C0079"/>
    <w:rsid w:val="003C009B"/>
    <w:rsid w:val="003C057C"/>
    <w:rsid w:val="003C0836"/>
    <w:rsid w:val="003C094C"/>
    <w:rsid w:val="003C0AFF"/>
    <w:rsid w:val="003C0F0B"/>
    <w:rsid w:val="003C1007"/>
    <w:rsid w:val="003C10CA"/>
    <w:rsid w:val="003C1122"/>
    <w:rsid w:val="003C12A5"/>
    <w:rsid w:val="003C138A"/>
    <w:rsid w:val="003C14C2"/>
    <w:rsid w:val="003C1895"/>
    <w:rsid w:val="003C1902"/>
    <w:rsid w:val="003C1AD4"/>
    <w:rsid w:val="003C1AEF"/>
    <w:rsid w:val="003C1FF5"/>
    <w:rsid w:val="003C2267"/>
    <w:rsid w:val="003C2289"/>
    <w:rsid w:val="003C22AB"/>
    <w:rsid w:val="003C2467"/>
    <w:rsid w:val="003C24D4"/>
    <w:rsid w:val="003C2599"/>
    <w:rsid w:val="003C29E2"/>
    <w:rsid w:val="003C2A87"/>
    <w:rsid w:val="003C2BEA"/>
    <w:rsid w:val="003C2C03"/>
    <w:rsid w:val="003C2EB6"/>
    <w:rsid w:val="003C3038"/>
    <w:rsid w:val="003C3186"/>
    <w:rsid w:val="003C3214"/>
    <w:rsid w:val="003C3463"/>
    <w:rsid w:val="003C3487"/>
    <w:rsid w:val="003C34EB"/>
    <w:rsid w:val="003C3591"/>
    <w:rsid w:val="003C37D2"/>
    <w:rsid w:val="003C3A52"/>
    <w:rsid w:val="003C3B64"/>
    <w:rsid w:val="003C3D4E"/>
    <w:rsid w:val="003C3EF5"/>
    <w:rsid w:val="003C3F65"/>
    <w:rsid w:val="003C4365"/>
    <w:rsid w:val="003C4389"/>
    <w:rsid w:val="003C448B"/>
    <w:rsid w:val="003C45A7"/>
    <w:rsid w:val="003C46C9"/>
    <w:rsid w:val="003C4728"/>
    <w:rsid w:val="003C48E9"/>
    <w:rsid w:val="003C494D"/>
    <w:rsid w:val="003C4ACD"/>
    <w:rsid w:val="003C4BC7"/>
    <w:rsid w:val="003C4D34"/>
    <w:rsid w:val="003C4D3C"/>
    <w:rsid w:val="003C519A"/>
    <w:rsid w:val="003C5953"/>
    <w:rsid w:val="003C5A48"/>
    <w:rsid w:val="003C5C19"/>
    <w:rsid w:val="003C5D02"/>
    <w:rsid w:val="003C5D1A"/>
    <w:rsid w:val="003C5E5F"/>
    <w:rsid w:val="003C60ED"/>
    <w:rsid w:val="003C6142"/>
    <w:rsid w:val="003C6628"/>
    <w:rsid w:val="003C662E"/>
    <w:rsid w:val="003C6908"/>
    <w:rsid w:val="003C6913"/>
    <w:rsid w:val="003C6BE7"/>
    <w:rsid w:val="003C6F00"/>
    <w:rsid w:val="003C6F47"/>
    <w:rsid w:val="003C7609"/>
    <w:rsid w:val="003C760C"/>
    <w:rsid w:val="003C76C1"/>
    <w:rsid w:val="003C77B2"/>
    <w:rsid w:val="003C7895"/>
    <w:rsid w:val="003C7FCB"/>
    <w:rsid w:val="003C7FDC"/>
    <w:rsid w:val="003D00D5"/>
    <w:rsid w:val="003D026A"/>
    <w:rsid w:val="003D039D"/>
    <w:rsid w:val="003D03A6"/>
    <w:rsid w:val="003D03F2"/>
    <w:rsid w:val="003D04B4"/>
    <w:rsid w:val="003D0973"/>
    <w:rsid w:val="003D0983"/>
    <w:rsid w:val="003D0A0B"/>
    <w:rsid w:val="003D0EA9"/>
    <w:rsid w:val="003D1033"/>
    <w:rsid w:val="003D107E"/>
    <w:rsid w:val="003D10B3"/>
    <w:rsid w:val="003D1181"/>
    <w:rsid w:val="003D119D"/>
    <w:rsid w:val="003D15B8"/>
    <w:rsid w:val="003D15EC"/>
    <w:rsid w:val="003D1D46"/>
    <w:rsid w:val="003D1EC8"/>
    <w:rsid w:val="003D1F36"/>
    <w:rsid w:val="003D1FF9"/>
    <w:rsid w:val="003D23D5"/>
    <w:rsid w:val="003D2839"/>
    <w:rsid w:val="003D2994"/>
    <w:rsid w:val="003D29BA"/>
    <w:rsid w:val="003D2D1D"/>
    <w:rsid w:val="003D2DDA"/>
    <w:rsid w:val="003D2DDD"/>
    <w:rsid w:val="003D3011"/>
    <w:rsid w:val="003D33A4"/>
    <w:rsid w:val="003D355F"/>
    <w:rsid w:val="003D3655"/>
    <w:rsid w:val="003D3AE2"/>
    <w:rsid w:val="003D3D61"/>
    <w:rsid w:val="003D41E2"/>
    <w:rsid w:val="003D454F"/>
    <w:rsid w:val="003D492A"/>
    <w:rsid w:val="003D4A46"/>
    <w:rsid w:val="003D4C87"/>
    <w:rsid w:val="003D4D39"/>
    <w:rsid w:val="003D4DF7"/>
    <w:rsid w:val="003D4E4C"/>
    <w:rsid w:val="003D5054"/>
    <w:rsid w:val="003D57BE"/>
    <w:rsid w:val="003D59F0"/>
    <w:rsid w:val="003D623A"/>
    <w:rsid w:val="003D63F8"/>
    <w:rsid w:val="003D640E"/>
    <w:rsid w:val="003D681D"/>
    <w:rsid w:val="003D6D4D"/>
    <w:rsid w:val="003D6F46"/>
    <w:rsid w:val="003D6FCF"/>
    <w:rsid w:val="003D7252"/>
    <w:rsid w:val="003D7547"/>
    <w:rsid w:val="003D75D6"/>
    <w:rsid w:val="003D75F1"/>
    <w:rsid w:val="003D7742"/>
    <w:rsid w:val="003D7A27"/>
    <w:rsid w:val="003D7EBE"/>
    <w:rsid w:val="003D7FD1"/>
    <w:rsid w:val="003E0009"/>
    <w:rsid w:val="003E01D9"/>
    <w:rsid w:val="003E01E4"/>
    <w:rsid w:val="003E08AA"/>
    <w:rsid w:val="003E0924"/>
    <w:rsid w:val="003E09A2"/>
    <w:rsid w:val="003E0D68"/>
    <w:rsid w:val="003E1076"/>
    <w:rsid w:val="003E1368"/>
    <w:rsid w:val="003E1483"/>
    <w:rsid w:val="003E14AC"/>
    <w:rsid w:val="003E1735"/>
    <w:rsid w:val="003E1AD2"/>
    <w:rsid w:val="003E1C4A"/>
    <w:rsid w:val="003E1CA8"/>
    <w:rsid w:val="003E1DB7"/>
    <w:rsid w:val="003E1E4A"/>
    <w:rsid w:val="003E2A1F"/>
    <w:rsid w:val="003E2B7B"/>
    <w:rsid w:val="003E3052"/>
    <w:rsid w:val="003E328F"/>
    <w:rsid w:val="003E32E1"/>
    <w:rsid w:val="003E3759"/>
    <w:rsid w:val="003E376E"/>
    <w:rsid w:val="003E3B24"/>
    <w:rsid w:val="003E3CA0"/>
    <w:rsid w:val="003E3DA4"/>
    <w:rsid w:val="003E3E5F"/>
    <w:rsid w:val="003E4121"/>
    <w:rsid w:val="003E424F"/>
    <w:rsid w:val="003E439D"/>
    <w:rsid w:val="003E43CA"/>
    <w:rsid w:val="003E4573"/>
    <w:rsid w:val="003E457F"/>
    <w:rsid w:val="003E48BE"/>
    <w:rsid w:val="003E4C39"/>
    <w:rsid w:val="003E5041"/>
    <w:rsid w:val="003E5223"/>
    <w:rsid w:val="003E57F8"/>
    <w:rsid w:val="003E5DE6"/>
    <w:rsid w:val="003E5F78"/>
    <w:rsid w:val="003E5FCF"/>
    <w:rsid w:val="003E614F"/>
    <w:rsid w:val="003E621E"/>
    <w:rsid w:val="003E6337"/>
    <w:rsid w:val="003E6483"/>
    <w:rsid w:val="003E6652"/>
    <w:rsid w:val="003E6816"/>
    <w:rsid w:val="003E6853"/>
    <w:rsid w:val="003E685E"/>
    <w:rsid w:val="003E6BCF"/>
    <w:rsid w:val="003E6F3D"/>
    <w:rsid w:val="003E74D3"/>
    <w:rsid w:val="003E7511"/>
    <w:rsid w:val="003E75B2"/>
    <w:rsid w:val="003E7875"/>
    <w:rsid w:val="003E7902"/>
    <w:rsid w:val="003E79DB"/>
    <w:rsid w:val="003E7AE1"/>
    <w:rsid w:val="003E7C5E"/>
    <w:rsid w:val="003E7CA0"/>
    <w:rsid w:val="003E7E38"/>
    <w:rsid w:val="003F01F6"/>
    <w:rsid w:val="003F0327"/>
    <w:rsid w:val="003F07C4"/>
    <w:rsid w:val="003F07E5"/>
    <w:rsid w:val="003F094F"/>
    <w:rsid w:val="003F09CD"/>
    <w:rsid w:val="003F0B1E"/>
    <w:rsid w:val="003F0DC5"/>
    <w:rsid w:val="003F0E72"/>
    <w:rsid w:val="003F143E"/>
    <w:rsid w:val="003F169E"/>
    <w:rsid w:val="003F16A0"/>
    <w:rsid w:val="003F1941"/>
    <w:rsid w:val="003F1A25"/>
    <w:rsid w:val="003F1A82"/>
    <w:rsid w:val="003F1D2E"/>
    <w:rsid w:val="003F1E8A"/>
    <w:rsid w:val="003F223B"/>
    <w:rsid w:val="003F24A2"/>
    <w:rsid w:val="003F2722"/>
    <w:rsid w:val="003F275E"/>
    <w:rsid w:val="003F29E6"/>
    <w:rsid w:val="003F2B48"/>
    <w:rsid w:val="003F2BD3"/>
    <w:rsid w:val="003F2D52"/>
    <w:rsid w:val="003F302A"/>
    <w:rsid w:val="003F306F"/>
    <w:rsid w:val="003F3320"/>
    <w:rsid w:val="003F3607"/>
    <w:rsid w:val="003F3B8E"/>
    <w:rsid w:val="003F42E8"/>
    <w:rsid w:val="003F4390"/>
    <w:rsid w:val="003F45E3"/>
    <w:rsid w:val="003F46A1"/>
    <w:rsid w:val="003F4763"/>
    <w:rsid w:val="003F48E7"/>
    <w:rsid w:val="003F49E7"/>
    <w:rsid w:val="003F4B27"/>
    <w:rsid w:val="003F4E56"/>
    <w:rsid w:val="003F4EB2"/>
    <w:rsid w:val="003F4F37"/>
    <w:rsid w:val="003F50CD"/>
    <w:rsid w:val="003F51C9"/>
    <w:rsid w:val="003F52BD"/>
    <w:rsid w:val="003F560A"/>
    <w:rsid w:val="003F5687"/>
    <w:rsid w:val="003F5718"/>
    <w:rsid w:val="003F5E70"/>
    <w:rsid w:val="003F61E9"/>
    <w:rsid w:val="003F6227"/>
    <w:rsid w:val="003F63B7"/>
    <w:rsid w:val="003F6534"/>
    <w:rsid w:val="003F6631"/>
    <w:rsid w:val="003F665B"/>
    <w:rsid w:val="003F6712"/>
    <w:rsid w:val="003F67D5"/>
    <w:rsid w:val="003F69F6"/>
    <w:rsid w:val="003F6CA5"/>
    <w:rsid w:val="003F6D35"/>
    <w:rsid w:val="003F6FE3"/>
    <w:rsid w:val="003F70D3"/>
    <w:rsid w:val="003F7298"/>
    <w:rsid w:val="003F74F1"/>
    <w:rsid w:val="003F74FC"/>
    <w:rsid w:val="003F75B1"/>
    <w:rsid w:val="003F75BF"/>
    <w:rsid w:val="003F7637"/>
    <w:rsid w:val="003F7661"/>
    <w:rsid w:val="003F77C0"/>
    <w:rsid w:val="003F7C0A"/>
    <w:rsid w:val="003F7CA2"/>
    <w:rsid w:val="003F7EE1"/>
    <w:rsid w:val="00400113"/>
    <w:rsid w:val="0040018F"/>
    <w:rsid w:val="0040069F"/>
    <w:rsid w:val="004009A3"/>
    <w:rsid w:val="00400BF7"/>
    <w:rsid w:val="00400D44"/>
    <w:rsid w:val="00400E68"/>
    <w:rsid w:val="00400F33"/>
    <w:rsid w:val="0040115C"/>
    <w:rsid w:val="004011FE"/>
    <w:rsid w:val="00401256"/>
    <w:rsid w:val="00401310"/>
    <w:rsid w:val="0040132D"/>
    <w:rsid w:val="00401469"/>
    <w:rsid w:val="004014AE"/>
    <w:rsid w:val="00401511"/>
    <w:rsid w:val="004016FB"/>
    <w:rsid w:val="00401D28"/>
    <w:rsid w:val="0040205A"/>
    <w:rsid w:val="00402073"/>
    <w:rsid w:val="004020E2"/>
    <w:rsid w:val="0040232A"/>
    <w:rsid w:val="004025CE"/>
    <w:rsid w:val="004029F3"/>
    <w:rsid w:val="00402A31"/>
    <w:rsid w:val="00402C2A"/>
    <w:rsid w:val="00402C74"/>
    <w:rsid w:val="00402EDF"/>
    <w:rsid w:val="0040342B"/>
    <w:rsid w:val="00403638"/>
    <w:rsid w:val="004037EE"/>
    <w:rsid w:val="00403833"/>
    <w:rsid w:val="00403A8B"/>
    <w:rsid w:val="00404005"/>
    <w:rsid w:val="00404011"/>
    <w:rsid w:val="00404015"/>
    <w:rsid w:val="00404055"/>
    <w:rsid w:val="004042C3"/>
    <w:rsid w:val="0040469C"/>
    <w:rsid w:val="0040469F"/>
    <w:rsid w:val="00404718"/>
    <w:rsid w:val="0040484B"/>
    <w:rsid w:val="00404B0C"/>
    <w:rsid w:val="00404B27"/>
    <w:rsid w:val="00404D6C"/>
    <w:rsid w:val="004050CD"/>
    <w:rsid w:val="00405881"/>
    <w:rsid w:val="00405A4E"/>
    <w:rsid w:val="00405BD1"/>
    <w:rsid w:val="00405CD4"/>
    <w:rsid w:val="00405FDD"/>
    <w:rsid w:val="0040634C"/>
    <w:rsid w:val="00406539"/>
    <w:rsid w:val="0040657D"/>
    <w:rsid w:val="004066F6"/>
    <w:rsid w:val="00406915"/>
    <w:rsid w:val="00406A37"/>
    <w:rsid w:val="00406B60"/>
    <w:rsid w:val="00406C3D"/>
    <w:rsid w:val="00407685"/>
    <w:rsid w:val="00407697"/>
    <w:rsid w:val="004077B0"/>
    <w:rsid w:val="00407884"/>
    <w:rsid w:val="004079BD"/>
    <w:rsid w:val="00407BDC"/>
    <w:rsid w:val="00407CFE"/>
    <w:rsid w:val="00407E96"/>
    <w:rsid w:val="00407F07"/>
    <w:rsid w:val="00407FB5"/>
    <w:rsid w:val="0041013C"/>
    <w:rsid w:val="00410272"/>
    <w:rsid w:val="00410339"/>
    <w:rsid w:val="0041036F"/>
    <w:rsid w:val="0041039B"/>
    <w:rsid w:val="0041092C"/>
    <w:rsid w:val="004109B4"/>
    <w:rsid w:val="004109BB"/>
    <w:rsid w:val="004109E1"/>
    <w:rsid w:val="00410AEA"/>
    <w:rsid w:val="00410C64"/>
    <w:rsid w:val="00410F2B"/>
    <w:rsid w:val="004111C3"/>
    <w:rsid w:val="00411473"/>
    <w:rsid w:val="004117AB"/>
    <w:rsid w:val="00411918"/>
    <w:rsid w:val="00411D35"/>
    <w:rsid w:val="00411D46"/>
    <w:rsid w:val="00411DA7"/>
    <w:rsid w:val="00411FBC"/>
    <w:rsid w:val="00412254"/>
    <w:rsid w:val="00412471"/>
    <w:rsid w:val="004125B2"/>
    <w:rsid w:val="00412706"/>
    <w:rsid w:val="00412748"/>
    <w:rsid w:val="00412825"/>
    <w:rsid w:val="0041285C"/>
    <w:rsid w:val="00412A55"/>
    <w:rsid w:val="00413336"/>
    <w:rsid w:val="00413382"/>
    <w:rsid w:val="0041390E"/>
    <w:rsid w:val="00413D78"/>
    <w:rsid w:val="004140DF"/>
    <w:rsid w:val="004143A0"/>
    <w:rsid w:val="004143A6"/>
    <w:rsid w:val="0041484C"/>
    <w:rsid w:val="0041488E"/>
    <w:rsid w:val="004156A9"/>
    <w:rsid w:val="0041582B"/>
    <w:rsid w:val="00415ACF"/>
    <w:rsid w:val="00415B6D"/>
    <w:rsid w:val="00415C0B"/>
    <w:rsid w:val="00415E7C"/>
    <w:rsid w:val="004166FA"/>
    <w:rsid w:val="004168C8"/>
    <w:rsid w:val="0041725A"/>
    <w:rsid w:val="00417341"/>
    <w:rsid w:val="004173B5"/>
    <w:rsid w:val="004173B8"/>
    <w:rsid w:val="00417635"/>
    <w:rsid w:val="00417794"/>
    <w:rsid w:val="00417802"/>
    <w:rsid w:val="00417A7A"/>
    <w:rsid w:val="00417B02"/>
    <w:rsid w:val="00417B2D"/>
    <w:rsid w:val="00417BB4"/>
    <w:rsid w:val="004200F6"/>
    <w:rsid w:val="0042025D"/>
    <w:rsid w:val="0042026E"/>
    <w:rsid w:val="00420320"/>
    <w:rsid w:val="0042059F"/>
    <w:rsid w:val="00420621"/>
    <w:rsid w:val="004206F6"/>
    <w:rsid w:val="0042083D"/>
    <w:rsid w:val="00420A1D"/>
    <w:rsid w:val="00420E6A"/>
    <w:rsid w:val="00420EE3"/>
    <w:rsid w:val="00420FE6"/>
    <w:rsid w:val="00420FFD"/>
    <w:rsid w:val="004211D9"/>
    <w:rsid w:val="00421293"/>
    <w:rsid w:val="0042163B"/>
    <w:rsid w:val="00421AE1"/>
    <w:rsid w:val="00421C03"/>
    <w:rsid w:val="00421C89"/>
    <w:rsid w:val="00421E50"/>
    <w:rsid w:val="00421F65"/>
    <w:rsid w:val="0042200D"/>
    <w:rsid w:val="00422061"/>
    <w:rsid w:val="004224AA"/>
    <w:rsid w:val="00422537"/>
    <w:rsid w:val="00422A0B"/>
    <w:rsid w:val="00422A14"/>
    <w:rsid w:val="00422BF8"/>
    <w:rsid w:val="00422C18"/>
    <w:rsid w:val="00422DEF"/>
    <w:rsid w:val="00422E9C"/>
    <w:rsid w:val="00422FC7"/>
    <w:rsid w:val="004232CC"/>
    <w:rsid w:val="004235CC"/>
    <w:rsid w:val="00423624"/>
    <w:rsid w:val="00423AB6"/>
    <w:rsid w:val="00423B62"/>
    <w:rsid w:val="00423C1D"/>
    <w:rsid w:val="00423CEE"/>
    <w:rsid w:val="00423FB2"/>
    <w:rsid w:val="0042468A"/>
    <w:rsid w:val="0042488B"/>
    <w:rsid w:val="00424C68"/>
    <w:rsid w:val="00424D1F"/>
    <w:rsid w:val="00424F28"/>
    <w:rsid w:val="00425141"/>
    <w:rsid w:val="004255C5"/>
    <w:rsid w:val="004256DA"/>
    <w:rsid w:val="004259B2"/>
    <w:rsid w:val="004259DA"/>
    <w:rsid w:val="00425C1D"/>
    <w:rsid w:val="00425ED5"/>
    <w:rsid w:val="004260EB"/>
    <w:rsid w:val="004262A7"/>
    <w:rsid w:val="004265BE"/>
    <w:rsid w:val="00426626"/>
    <w:rsid w:val="0042666D"/>
    <w:rsid w:val="0042667F"/>
    <w:rsid w:val="00426C1A"/>
    <w:rsid w:val="00426E96"/>
    <w:rsid w:val="00426F4C"/>
    <w:rsid w:val="0042720D"/>
    <w:rsid w:val="004272BD"/>
    <w:rsid w:val="0042730B"/>
    <w:rsid w:val="00427498"/>
    <w:rsid w:val="004274AE"/>
    <w:rsid w:val="00427939"/>
    <w:rsid w:val="00427970"/>
    <w:rsid w:val="00427A01"/>
    <w:rsid w:val="00427F1F"/>
    <w:rsid w:val="00427F83"/>
    <w:rsid w:val="00430268"/>
    <w:rsid w:val="00430562"/>
    <w:rsid w:val="004306B4"/>
    <w:rsid w:val="004306D1"/>
    <w:rsid w:val="004308C1"/>
    <w:rsid w:val="00430A3E"/>
    <w:rsid w:val="00430CF7"/>
    <w:rsid w:val="00430FF9"/>
    <w:rsid w:val="004310E7"/>
    <w:rsid w:val="00431124"/>
    <w:rsid w:val="004312DC"/>
    <w:rsid w:val="00431656"/>
    <w:rsid w:val="00431729"/>
    <w:rsid w:val="00431A8C"/>
    <w:rsid w:val="00431A96"/>
    <w:rsid w:val="00431C6D"/>
    <w:rsid w:val="00431ED8"/>
    <w:rsid w:val="0043206D"/>
    <w:rsid w:val="00432094"/>
    <w:rsid w:val="004322CC"/>
    <w:rsid w:val="00432973"/>
    <w:rsid w:val="00432B2B"/>
    <w:rsid w:val="00432C7E"/>
    <w:rsid w:val="00432D2A"/>
    <w:rsid w:val="00432FDC"/>
    <w:rsid w:val="004330F4"/>
    <w:rsid w:val="00433156"/>
    <w:rsid w:val="00433203"/>
    <w:rsid w:val="004338E3"/>
    <w:rsid w:val="00433A84"/>
    <w:rsid w:val="00433E78"/>
    <w:rsid w:val="0043421F"/>
    <w:rsid w:val="004345FC"/>
    <w:rsid w:val="0043467A"/>
    <w:rsid w:val="0043478C"/>
    <w:rsid w:val="0043497E"/>
    <w:rsid w:val="00434D18"/>
    <w:rsid w:val="0043502C"/>
    <w:rsid w:val="00435231"/>
    <w:rsid w:val="00435843"/>
    <w:rsid w:val="0043598E"/>
    <w:rsid w:val="00435F7E"/>
    <w:rsid w:val="00436A76"/>
    <w:rsid w:val="00436AC5"/>
    <w:rsid w:val="00436BBB"/>
    <w:rsid w:val="00437012"/>
    <w:rsid w:val="0043709B"/>
    <w:rsid w:val="004372BC"/>
    <w:rsid w:val="0043762E"/>
    <w:rsid w:val="00437926"/>
    <w:rsid w:val="00437B7B"/>
    <w:rsid w:val="00437EB0"/>
    <w:rsid w:val="00437EBA"/>
    <w:rsid w:val="00437F91"/>
    <w:rsid w:val="004408CF"/>
    <w:rsid w:val="00440BBF"/>
    <w:rsid w:val="00440FA8"/>
    <w:rsid w:val="00440FB0"/>
    <w:rsid w:val="004410FE"/>
    <w:rsid w:val="00441300"/>
    <w:rsid w:val="0044169A"/>
    <w:rsid w:val="004416CB"/>
    <w:rsid w:val="00441786"/>
    <w:rsid w:val="0044199C"/>
    <w:rsid w:val="004419F7"/>
    <w:rsid w:val="00441A2F"/>
    <w:rsid w:val="00441B82"/>
    <w:rsid w:val="00441BB2"/>
    <w:rsid w:val="00441C15"/>
    <w:rsid w:val="00441C8B"/>
    <w:rsid w:val="00441D34"/>
    <w:rsid w:val="00441F36"/>
    <w:rsid w:val="00442083"/>
    <w:rsid w:val="00442184"/>
    <w:rsid w:val="004426B4"/>
    <w:rsid w:val="004427F0"/>
    <w:rsid w:val="004428D1"/>
    <w:rsid w:val="004428EA"/>
    <w:rsid w:val="00442B64"/>
    <w:rsid w:val="00442FF4"/>
    <w:rsid w:val="0044318A"/>
    <w:rsid w:val="00443444"/>
    <w:rsid w:val="0044349A"/>
    <w:rsid w:val="004436DA"/>
    <w:rsid w:val="004438AA"/>
    <w:rsid w:val="00443934"/>
    <w:rsid w:val="00443A0E"/>
    <w:rsid w:val="00443BD9"/>
    <w:rsid w:val="00443D99"/>
    <w:rsid w:val="00444117"/>
    <w:rsid w:val="00444136"/>
    <w:rsid w:val="0044421E"/>
    <w:rsid w:val="0044428C"/>
    <w:rsid w:val="0044457B"/>
    <w:rsid w:val="004445C8"/>
    <w:rsid w:val="004447FA"/>
    <w:rsid w:val="00444A94"/>
    <w:rsid w:val="00444BF6"/>
    <w:rsid w:val="00444D35"/>
    <w:rsid w:val="00445234"/>
    <w:rsid w:val="00445331"/>
    <w:rsid w:val="00445491"/>
    <w:rsid w:val="00445697"/>
    <w:rsid w:val="004458FC"/>
    <w:rsid w:val="00445B09"/>
    <w:rsid w:val="00445D85"/>
    <w:rsid w:val="00445EBC"/>
    <w:rsid w:val="00446672"/>
    <w:rsid w:val="00446805"/>
    <w:rsid w:val="0044688D"/>
    <w:rsid w:val="004469A6"/>
    <w:rsid w:val="00446A6A"/>
    <w:rsid w:val="00446B7C"/>
    <w:rsid w:val="00446FE0"/>
    <w:rsid w:val="004471A5"/>
    <w:rsid w:val="00447326"/>
    <w:rsid w:val="004474FF"/>
    <w:rsid w:val="004475B2"/>
    <w:rsid w:val="00447601"/>
    <w:rsid w:val="00447BFE"/>
    <w:rsid w:val="00447C75"/>
    <w:rsid w:val="00447F82"/>
    <w:rsid w:val="00450247"/>
    <w:rsid w:val="0045029C"/>
    <w:rsid w:val="00450374"/>
    <w:rsid w:val="004504A8"/>
    <w:rsid w:val="00450647"/>
    <w:rsid w:val="004506BD"/>
    <w:rsid w:val="004507D4"/>
    <w:rsid w:val="0045082A"/>
    <w:rsid w:val="004509C6"/>
    <w:rsid w:val="004509F1"/>
    <w:rsid w:val="00450B3A"/>
    <w:rsid w:val="00450C72"/>
    <w:rsid w:val="00450D82"/>
    <w:rsid w:val="00450E66"/>
    <w:rsid w:val="00450E9A"/>
    <w:rsid w:val="00450F73"/>
    <w:rsid w:val="00451094"/>
    <w:rsid w:val="00451159"/>
    <w:rsid w:val="004513F8"/>
    <w:rsid w:val="0045157E"/>
    <w:rsid w:val="0045173B"/>
    <w:rsid w:val="0045176D"/>
    <w:rsid w:val="0045188E"/>
    <w:rsid w:val="004518F5"/>
    <w:rsid w:val="004519DB"/>
    <w:rsid w:val="00451BE1"/>
    <w:rsid w:val="00451D33"/>
    <w:rsid w:val="00451DCD"/>
    <w:rsid w:val="00451F3C"/>
    <w:rsid w:val="00452180"/>
    <w:rsid w:val="004521F1"/>
    <w:rsid w:val="004522A2"/>
    <w:rsid w:val="004523EA"/>
    <w:rsid w:val="00452449"/>
    <w:rsid w:val="0045248D"/>
    <w:rsid w:val="004528D0"/>
    <w:rsid w:val="00452AA0"/>
    <w:rsid w:val="0045300F"/>
    <w:rsid w:val="00453148"/>
    <w:rsid w:val="00453155"/>
    <w:rsid w:val="0045319A"/>
    <w:rsid w:val="00453325"/>
    <w:rsid w:val="00453357"/>
    <w:rsid w:val="004533C8"/>
    <w:rsid w:val="00453525"/>
    <w:rsid w:val="00453661"/>
    <w:rsid w:val="00453731"/>
    <w:rsid w:val="00453841"/>
    <w:rsid w:val="0045389D"/>
    <w:rsid w:val="0045394C"/>
    <w:rsid w:val="004539D2"/>
    <w:rsid w:val="00453AFF"/>
    <w:rsid w:val="00453BF5"/>
    <w:rsid w:val="00453DC0"/>
    <w:rsid w:val="00453F08"/>
    <w:rsid w:val="00453F10"/>
    <w:rsid w:val="00453F4D"/>
    <w:rsid w:val="00453F68"/>
    <w:rsid w:val="004545F8"/>
    <w:rsid w:val="004547A9"/>
    <w:rsid w:val="00454B09"/>
    <w:rsid w:val="00454CF9"/>
    <w:rsid w:val="00454E4C"/>
    <w:rsid w:val="0045500B"/>
    <w:rsid w:val="00455210"/>
    <w:rsid w:val="004552DA"/>
    <w:rsid w:val="00455358"/>
    <w:rsid w:val="0045552F"/>
    <w:rsid w:val="0045568F"/>
    <w:rsid w:val="0045585F"/>
    <w:rsid w:val="004559D1"/>
    <w:rsid w:val="00455ABA"/>
    <w:rsid w:val="00455AE7"/>
    <w:rsid w:val="00455C94"/>
    <w:rsid w:val="00455DEA"/>
    <w:rsid w:val="0045608A"/>
    <w:rsid w:val="004560DC"/>
    <w:rsid w:val="004561A3"/>
    <w:rsid w:val="00456236"/>
    <w:rsid w:val="00456405"/>
    <w:rsid w:val="0045642E"/>
    <w:rsid w:val="00456C7C"/>
    <w:rsid w:val="00456E05"/>
    <w:rsid w:val="00456EA6"/>
    <w:rsid w:val="00456F04"/>
    <w:rsid w:val="004570EC"/>
    <w:rsid w:val="0045732C"/>
    <w:rsid w:val="0045788D"/>
    <w:rsid w:val="004578B1"/>
    <w:rsid w:val="004578B5"/>
    <w:rsid w:val="004578DC"/>
    <w:rsid w:val="00457B34"/>
    <w:rsid w:val="00457DBC"/>
    <w:rsid w:val="004601F8"/>
    <w:rsid w:val="00460620"/>
    <w:rsid w:val="00460682"/>
    <w:rsid w:val="004608EA"/>
    <w:rsid w:val="00460C64"/>
    <w:rsid w:val="00460E69"/>
    <w:rsid w:val="00460EAA"/>
    <w:rsid w:val="00460F71"/>
    <w:rsid w:val="00460FDC"/>
    <w:rsid w:val="0046102F"/>
    <w:rsid w:val="004612E2"/>
    <w:rsid w:val="00461392"/>
    <w:rsid w:val="004619F3"/>
    <w:rsid w:val="00461C0A"/>
    <w:rsid w:val="00461E76"/>
    <w:rsid w:val="004628A0"/>
    <w:rsid w:val="00462958"/>
    <w:rsid w:val="00462F69"/>
    <w:rsid w:val="00462F77"/>
    <w:rsid w:val="00462F86"/>
    <w:rsid w:val="004630FF"/>
    <w:rsid w:val="004631A5"/>
    <w:rsid w:val="00463841"/>
    <w:rsid w:val="00463AFA"/>
    <w:rsid w:val="00463C6B"/>
    <w:rsid w:val="00463E98"/>
    <w:rsid w:val="00463F18"/>
    <w:rsid w:val="00463F87"/>
    <w:rsid w:val="004641E5"/>
    <w:rsid w:val="00464211"/>
    <w:rsid w:val="0046441A"/>
    <w:rsid w:val="004646F9"/>
    <w:rsid w:val="00464891"/>
    <w:rsid w:val="004649E7"/>
    <w:rsid w:val="00464A4D"/>
    <w:rsid w:val="00464A83"/>
    <w:rsid w:val="00464B6E"/>
    <w:rsid w:val="00464D88"/>
    <w:rsid w:val="00465007"/>
    <w:rsid w:val="0046507B"/>
    <w:rsid w:val="004650D0"/>
    <w:rsid w:val="004650DF"/>
    <w:rsid w:val="004652F7"/>
    <w:rsid w:val="00465370"/>
    <w:rsid w:val="00465934"/>
    <w:rsid w:val="00465A3B"/>
    <w:rsid w:val="00465F6E"/>
    <w:rsid w:val="0046620E"/>
    <w:rsid w:val="004663EA"/>
    <w:rsid w:val="00466614"/>
    <w:rsid w:val="0046689D"/>
    <w:rsid w:val="00466B7E"/>
    <w:rsid w:val="00466CC4"/>
    <w:rsid w:val="00466CCE"/>
    <w:rsid w:val="00466E54"/>
    <w:rsid w:val="00466FD0"/>
    <w:rsid w:val="00466FF4"/>
    <w:rsid w:val="004674D5"/>
    <w:rsid w:val="004674FA"/>
    <w:rsid w:val="0046759A"/>
    <w:rsid w:val="00467A3C"/>
    <w:rsid w:val="00467A9C"/>
    <w:rsid w:val="00467E31"/>
    <w:rsid w:val="00467E44"/>
    <w:rsid w:val="0047000B"/>
    <w:rsid w:val="0047039D"/>
    <w:rsid w:val="004703BD"/>
    <w:rsid w:val="004703C0"/>
    <w:rsid w:val="00470A27"/>
    <w:rsid w:val="00470C8A"/>
    <w:rsid w:val="00470FF9"/>
    <w:rsid w:val="0047120F"/>
    <w:rsid w:val="00471252"/>
    <w:rsid w:val="0047144B"/>
    <w:rsid w:val="00471603"/>
    <w:rsid w:val="004716B3"/>
    <w:rsid w:val="004716DD"/>
    <w:rsid w:val="0047188D"/>
    <w:rsid w:val="00471DF9"/>
    <w:rsid w:val="00471FB1"/>
    <w:rsid w:val="0047200B"/>
    <w:rsid w:val="00472053"/>
    <w:rsid w:val="004720D3"/>
    <w:rsid w:val="0047213C"/>
    <w:rsid w:val="00472362"/>
    <w:rsid w:val="0047272D"/>
    <w:rsid w:val="004727F2"/>
    <w:rsid w:val="0047285F"/>
    <w:rsid w:val="00472AA3"/>
    <w:rsid w:val="00472AF2"/>
    <w:rsid w:val="00472B5B"/>
    <w:rsid w:val="00472CF7"/>
    <w:rsid w:val="00472F0B"/>
    <w:rsid w:val="004730DA"/>
    <w:rsid w:val="0047357F"/>
    <w:rsid w:val="0047374E"/>
    <w:rsid w:val="004737FB"/>
    <w:rsid w:val="00473C80"/>
    <w:rsid w:val="00474068"/>
    <w:rsid w:val="0047476D"/>
    <w:rsid w:val="00474A0C"/>
    <w:rsid w:val="00474ACB"/>
    <w:rsid w:val="00474B72"/>
    <w:rsid w:val="00474B94"/>
    <w:rsid w:val="00474C07"/>
    <w:rsid w:val="00474C40"/>
    <w:rsid w:val="00474DB9"/>
    <w:rsid w:val="004750CB"/>
    <w:rsid w:val="0047517E"/>
    <w:rsid w:val="004751EE"/>
    <w:rsid w:val="0047523A"/>
    <w:rsid w:val="004756F0"/>
    <w:rsid w:val="00475732"/>
    <w:rsid w:val="00475823"/>
    <w:rsid w:val="00475988"/>
    <w:rsid w:val="00475D64"/>
    <w:rsid w:val="00475EC5"/>
    <w:rsid w:val="00475F1B"/>
    <w:rsid w:val="00475F96"/>
    <w:rsid w:val="00476022"/>
    <w:rsid w:val="00476402"/>
    <w:rsid w:val="00476492"/>
    <w:rsid w:val="004764D5"/>
    <w:rsid w:val="004767A5"/>
    <w:rsid w:val="00476D97"/>
    <w:rsid w:val="00476EAB"/>
    <w:rsid w:val="00476FEA"/>
    <w:rsid w:val="004775C3"/>
    <w:rsid w:val="0048005B"/>
    <w:rsid w:val="004800FB"/>
    <w:rsid w:val="004803FA"/>
    <w:rsid w:val="00480569"/>
    <w:rsid w:val="0048072A"/>
    <w:rsid w:val="00480763"/>
    <w:rsid w:val="00480817"/>
    <w:rsid w:val="004808AD"/>
    <w:rsid w:val="004808CA"/>
    <w:rsid w:val="004809D3"/>
    <w:rsid w:val="00480BE4"/>
    <w:rsid w:val="00480CCC"/>
    <w:rsid w:val="00480E6C"/>
    <w:rsid w:val="004812E2"/>
    <w:rsid w:val="00481595"/>
    <w:rsid w:val="004815E6"/>
    <w:rsid w:val="00481A82"/>
    <w:rsid w:val="00481AD8"/>
    <w:rsid w:val="00481F00"/>
    <w:rsid w:val="00481F12"/>
    <w:rsid w:val="00481F3B"/>
    <w:rsid w:val="00481F3E"/>
    <w:rsid w:val="00481FF5"/>
    <w:rsid w:val="004820D9"/>
    <w:rsid w:val="0048237A"/>
    <w:rsid w:val="004824BB"/>
    <w:rsid w:val="00482621"/>
    <w:rsid w:val="00482AD5"/>
    <w:rsid w:val="00482E43"/>
    <w:rsid w:val="00482FBB"/>
    <w:rsid w:val="00483150"/>
    <w:rsid w:val="0048329B"/>
    <w:rsid w:val="004834B0"/>
    <w:rsid w:val="0048357D"/>
    <w:rsid w:val="004837DC"/>
    <w:rsid w:val="00483B92"/>
    <w:rsid w:val="00483CC9"/>
    <w:rsid w:val="00483F22"/>
    <w:rsid w:val="004840A5"/>
    <w:rsid w:val="004842D5"/>
    <w:rsid w:val="004845AD"/>
    <w:rsid w:val="004845E1"/>
    <w:rsid w:val="004846A3"/>
    <w:rsid w:val="0048480E"/>
    <w:rsid w:val="00484A10"/>
    <w:rsid w:val="0048525E"/>
    <w:rsid w:val="0048539F"/>
    <w:rsid w:val="00485635"/>
    <w:rsid w:val="004856EA"/>
    <w:rsid w:val="00485868"/>
    <w:rsid w:val="00485D0C"/>
    <w:rsid w:val="00485F92"/>
    <w:rsid w:val="004861E8"/>
    <w:rsid w:val="004862D7"/>
    <w:rsid w:val="004863D7"/>
    <w:rsid w:val="0048657F"/>
    <w:rsid w:val="00486734"/>
    <w:rsid w:val="00486978"/>
    <w:rsid w:val="00486A10"/>
    <w:rsid w:val="00486BE4"/>
    <w:rsid w:val="00486C67"/>
    <w:rsid w:val="00486FB4"/>
    <w:rsid w:val="00487177"/>
    <w:rsid w:val="0048717E"/>
    <w:rsid w:val="0048743E"/>
    <w:rsid w:val="00487464"/>
    <w:rsid w:val="004874ED"/>
    <w:rsid w:val="004877C2"/>
    <w:rsid w:val="00487CD0"/>
    <w:rsid w:val="004900CE"/>
    <w:rsid w:val="00490157"/>
    <w:rsid w:val="00490169"/>
    <w:rsid w:val="004908CA"/>
    <w:rsid w:val="004908FF"/>
    <w:rsid w:val="0049097F"/>
    <w:rsid w:val="00490C3E"/>
    <w:rsid w:val="00490F23"/>
    <w:rsid w:val="004913E6"/>
    <w:rsid w:val="004916A2"/>
    <w:rsid w:val="00491874"/>
    <w:rsid w:val="00491B3F"/>
    <w:rsid w:val="00491CC1"/>
    <w:rsid w:val="00491D56"/>
    <w:rsid w:val="00491EA6"/>
    <w:rsid w:val="004920F0"/>
    <w:rsid w:val="004921C5"/>
    <w:rsid w:val="00492938"/>
    <w:rsid w:val="00492A96"/>
    <w:rsid w:val="004933DE"/>
    <w:rsid w:val="0049347E"/>
    <w:rsid w:val="00493613"/>
    <w:rsid w:val="0049368A"/>
    <w:rsid w:val="00493707"/>
    <w:rsid w:val="00493750"/>
    <w:rsid w:val="00493897"/>
    <w:rsid w:val="004939F7"/>
    <w:rsid w:val="00493B46"/>
    <w:rsid w:val="00493D63"/>
    <w:rsid w:val="00493D81"/>
    <w:rsid w:val="00493F77"/>
    <w:rsid w:val="004940C8"/>
    <w:rsid w:val="0049438C"/>
    <w:rsid w:val="004943A9"/>
    <w:rsid w:val="004944E3"/>
    <w:rsid w:val="004944E7"/>
    <w:rsid w:val="00494562"/>
    <w:rsid w:val="00494A48"/>
    <w:rsid w:val="00494B02"/>
    <w:rsid w:val="00494CA1"/>
    <w:rsid w:val="00494D37"/>
    <w:rsid w:val="004952A1"/>
    <w:rsid w:val="00495814"/>
    <w:rsid w:val="0049583E"/>
    <w:rsid w:val="00495ACD"/>
    <w:rsid w:val="00495B82"/>
    <w:rsid w:val="00495BA5"/>
    <w:rsid w:val="00495C13"/>
    <w:rsid w:val="00495C7F"/>
    <w:rsid w:val="00495F55"/>
    <w:rsid w:val="00496131"/>
    <w:rsid w:val="00496196"/>
    <w:rsid w:val="004964EB"/>
    <w:rsid w:val="00496615"/>
    <w:rsid w:val="0049661C"/>
    <w:rsid w:val="0049689F"/>
    <w:rsid w:val="00496955"/>
    <w:rsid w:val="00496B18"/>
    <w:rsid w:val="00496BBB"/>
    <w:rsid w:val="00496D48"/>
    <w:rsid w:val="00496FD9"/>
    <w:rsid w:val="00497004"/>
    <w:rsid w:val="004971D8"/>
    <w:rsid w:val="00497797"/>
    <w:rsid w:val="0049792C"/>
    <w:rsid w:val="004979AD"/>
    <w:rsid w:val="00497C3D"/>
    <w:rsid w:val="00497D2F"/>
    <w:rsid w:val="004A01FD"/>
    <w:rsid w:val="004A03F2"/>
    <w:rsid w:val="004A05FB"/>
    <w:rsid w:val="004A0602"/>
    <w:rsid w:val="004A06B4"/>
    <w:rsid w:val="004A06E5"/>
    <w:rsid w:val="004A0873"/>
    <w:rsid w:val="004A087F"/>
    <w:rsid w:val="004A092B"/>
    <w:rsid w:val="004A0944"/>
    <w:rsid w:val="004A09A0"/>
    <w:rsid w:val="004A0BC5"/>
    <w:rsid w:val="004A0ECD"/>
    <w:rsid w:val="004A0F5B"/>
    <w:rsid w:val="004A1120"/>
    <w:rsid w:val="004A11CD"/>
    <w:rsid w:val="004A13E2"/>
    <w:rsid w:val="004A16ED"/>
    <w:rsid w:val="004A198C"/>
    <w:rsid w:val="004A1B73"/>
    <w:rsid w:val="004A1BEE"/>
    <w:rsid w:val="004A2224"/>
    <w:rsid w:val="004A2232"/>
    <w:rsid w:val="004A2470"/>
    <w:rsid w:val="004A27CB"/>
    <w:rsid w:val="004A28D4"/>
    <w:rsid w:val="004A28F3"/>
    <w:rsid w:val="004A2A67"/>
    <w:rsid w:val="004A2DB8"/>
    <w:rsid w:val="004A2DE3"/>
    <w:rsid w:val="004A3027"/>
    <w:rsid w:val="004A3080"/>
    <w:rsid w:val="004A327F"/>
    <w:rsid w:val="004A32CD"/>
    <w:rsid w:val="004A364B"/>
    <w:rsid w:val="004A3CF2"/>
    <w:rsid w:val="004A41C8"/>
    <w:rsid w:val="004A41F6"/>
    <w:rsid w:val="004A441E"/>
    <w:rsid w:val="004A4492"/>
    <w:rsid w:val="004A44BC"/>
    <w:rsid w:val="004A48AB"/>
    <w:rsid w:val="004A4BF0"/>
    <w:rsid w:val="004A4D43"/>
    <w:rsid w:val="004A4D4D"/>
    <w:rsid w:val="004A4F67"/>
    <w:rsid w:val="004A504F"/>
    <w:rsid w:val="004A51FB"/>
    <w:rsid w:val="004A5606"/>
    <w:rsid w:val="004A56F3"/>
    <w:rsid w:val="004A58A4"/>
    <w:rsid w:val="004A593E"/>
    <w:rsid w:val="004A5A7C"/>
    <w:rsid w:val="004A5B71"/>
    <w:rsid w:val="004A5BC5"/>
    <w:rsid w:val="004A5E75"/>
    <w:rsid w:val="004A5EBF"/>
    <w:rsid w:val="004A5F0B"/>
    <w:rsid w:val="004A609D"/>
    <w:rsid w:val="004A613E"/>
    <w:rsid w:val="004A639F"/>
    <w:rsid w:val="004A63DB"/>
    <w:rsid w:val="004A6622"/>
    <w:rsid w:val="004A6A61"/>
    <w:rsid w:val="004A6E48"/>
    <w:rsid w:val="004A744D"/>
    <w:rsid w:val="004A751B"/>
    <w:rsid w:val="004A785C"/>
    <w:rsid w:val="004A79CA"/>
    <w:rsid w:val="004A7A84"/>
    <w:rsid w:val="004A7B27"/>
    <w:rsid w:val="004A7B32"/>
    <w:rsid w:val="004A7C60"/>
    <w:rsid w:val="004A7C65"/>
    <w:rsid w:val="004A7DB2"/>
    <w:rsid w:val="004A7DCE"/>
    <w:rsid w:val="004A7DDE"/>
    <w:rsid w:val="004A7FA6"/>
    <w:rsid w:val="004A7FBE"/>
    <w:rsid w:val="004B002C"/>
    <w:rsid w:val="004B0116"/>
    <w:rsid w:val="004B02F7"/>
    <w:rsid w:val="004B0415"/>
    <w:rsid w:val="004B04AF"/>
    <w:rsid w:val="004B058F"/>
    <w:rsid w:val="004B05F5"/>
    <w:rsid w:val="004B0964"/>
    <w:rsid w:val="004B0B4A"/>
    <w:rsid w:val="004B0BB6"/>
    <w:rsid w:val="004B125A"/>
    <w:rsid w:val="004B177A"/>
    <w:rsid w:val="004B19FA"/>
    <w:rsid w:val="004B1B9B"/>
    <w:rsid w:val="004B1F39"/>
    <w:rsid w:val="004B2003"/>
    <w:rsid w:val="004B2020"/>
    <w:rsid w:val="004B2116"/>
    <w:rsid w:val="004B229B"/>
    <w:rsid w:val="004B24C5"/>
    <w:rsid w:val="004B24FE"/>
    <w:rsid w:val="004B2AE2"/>
    <w:rsid w:val="004B2E34"/>
    <w:rsid w:val="004B2EBF"/>
    <w:rsid w:val="004B2EEA"/>
    <w:rsid w:val="004B309B"/>
    <w:rsid w:val="004B3114"/>
    <w:rsid w:val="004B3235"/>
    <w:rsid w:val="004B3545"/>
    <w:rsid w:val="004B355C"/>
    <w:rsid w:val="004B35EC"/>
    <w:rsid w:val="004B3784"/>
    <w:rsid w:val="004B397B"/>
    <w:rsid w:val="004B3A9C"/>
    <w:rsid w:val="004B3AD3"/>
    <w:rsid w:val="004B4127"/>
    <w:rsid w:val="004B424A"/>
    <w:rsid w:val="004B465F"/>
    <w:rsid w:val="004B4951"/>
    <w:rsid w:val="004B4991"/>
    <w:rsid w:val="004B4A57"/>
    <w:rsid w:val="004B4A83"/>
    <w:rsid w:val="004B4C8E"/>
    <w:rsid w:val="004B4DDD"/>
    <w:rsid w:val="004B4E28"/>
    <w:rsid w:val="004B4FA7"/>
    <w:rsid w:val="004B5053"/>
    <w:rsid w:val="004B5073"/>
    <w:rsid w:val="004B5131"/>
    <w:rsid w:val="004B51EE"/>
    <w:rsid w:val="004B524C"/>
    <w:rsid w:val="004B52CA"/>
    <w:rsid w:val="004B5444"/>
    <w:rsid w:val="004B554C"/>
    <w:rsid w:val="004B5589"/>
    <w:rsid w:val="004B5A1C"/>
    <w:rsid w:val="004B5B4D"/>
    <w:rsid w:val="004B5DFD"/>
    <w:rsid w:val="004B5EBA"/>
    <w:rsid w:val="004B63A4"/>
    <w:rsid w:val="004B6551"/>
    <w:rsid w:val="004B66D8"/>
    <w:rsid w:val="004B6D52"/>
    <w:rsid w:val="004B714C"/>
    <w:rsid w:val="004B7150"/>
    <w:rsid w:val="004B7359"/>
    <w:rsid w:val="004B7764"/>
    <w:rsid w:val="004B7D03"/>
    <w:rsid w:val="004B7D05"/>
    <w:rsid w:val="004B7D15"/>
    <w:rsid w:val="004C000E"/>
    <w:rsid w:val="004C02BC"/>
    <w:rsid w:val="004C0308"/>
    <w:rsid w:val="004C03E5"/>
    <w:rsid w:val="004C0611"/>
    <w:rsid w:val="004C0708"/>
    <w:rsid w:val="004C088A"/>
    <w:rsid w:val="004C0A6C"/>
    <w:rsid w:val="004C0BC4"/>
    <w:rsid w:val="004C0C69"/>
    <w:rsid w:val="004C0C76"/>
    <w:rsid w:val="004C0D4F"/>
    <w:rsid w:val="004C0F16"/>
    <w:rsid w:val="004C13ED"/>
    <w:rsid w:val="004C184A"/>
    <w:rsid w:val="004C1871"/>
    <w:rsid w:val="004C1B50"/>
    <w:rsid w:val="004C1B5E"/>
    <w:rsid w:val="004C23CC"/>
    <w:rsid w:val="004C26F1"/>
    <w:rsid w:val="004C279A"/>
    <w:rsid w:val="004C2848"/>
    <w:rsid w:val="004C303E"/>
    <w:rsid w:val="004C3220"/>
    <w:rsid w:val="004C3440"/>
    <w:rsid w:val="004C3693"/>
    <w:rsid w:val="004C3B31"/>
    <w:rsid w:val="004C3BB7"/>
    <w:rsid w:val="004C3D0F"/>
    <w:rsid w:val="004C3E32"/>
    <w:rsid w:val="004C3FDF"/>
    <w:rsid w:val="004C43B6"/>
    <w:rsid w:val="004C4593"/>
    <w:rsid w:val="004C45C1"/>
    <w:rsid w:val="004C4A91"/>
    <w:rsid w:val="004C5244"/>
    <w:rsid w:val="004C530E"/>
    <w:rsid w:val="004C58DC"/>
    <w:rsid w:val="004C599A"/>
    <w:rsid w:val="004C5AB8"/>
    <w:rsid w:val="004C5B55"/>
    <w:rsid w:val="004C5CF2"/>
    <w:rsid w:val="004C5D0E"/>
    <w:rsid w:val="004C600E"/>
    <w:rsid w:val="004C6968"/>
    <w:rsid w:val="004C6D73"/>
    <w:rsid w:val="004C6EF1"/>
    <w:rsid w:val="004C6FDC"/>
    <w:rsid w:val="004C7011"/>
    <w:rsid w:val="004C71F3"/>
    <w:rsid w:val="004C7307"/>
    <w:rsid w:val="004C7410"/>
    <w:rsid w:val="004C7414"/>
    <w:rsid w:val="004C74B7"/>
    <w:rsid w:val="004C75DB"/>
    <w:rsid w:val="004C76B6"/>
    <w:rsid w:val="004C782B"/>
    <w:rsid w:val="004C78AF"/>
    <w:rsid w:val="004C7CE9"/>
    <w:rsid w:val="004C7D39"/>
    <w:rsid w:val="004C7E54"/>
    <w:rsid w:val="004D018E"/>
    <w:rsid w:val="004D01D6"/>
    <w:rsid w:val="004D03C0"/>
    <w:rsid w:val="004D07AF"/>
    <w:rsid w:val="004D0A5C"/>
    <w:rsid w:val="004D0A80"/>
    <w:rsid w:val="004D0CDD"/>
    <w:rsid w:val="004D0D42"/>
    <w:rsid w:val="004D0E63"/>
    <w:rsid w:val="004D0F0A"/>
    <w:rsid w:val="004D0F6C"/>
    <w:rsid w:val="004D126B"/>
    <w:rsid w:val="004D1744"/>
    <w:rsid w:val="004D1B3C"/>
    <w:rsid w:val="004D1F11"/>
    <w:rsid w:val="004D2219"/>
    <w:rsid w:val="004D228D"/>
    <w:rsid w:val="004D230F"/>
    <w:rsid w:val="004D2521"/>
    <w:rsid w:val="004D2672"/>
    <w:rsid w:val="004D27BB"/>
    <w:rsid w:val="004D2A77"/>
    <w:rsid w:val="004D2E97"/>
    <w:rsid w:val="004D3164"/>
    <w:rsid w:val="004D324E"/>
    <w:rsid w:val="004D351E"/>
    <w:rsid w:val="004D35FA"/>
    <w:rsid w:val="004D379A"/>
    <w:rsid w:val="004D3907"/>
    <w:rsid w:val="004D3F58"/>
    <w:rsid w:val="004D4518"/>
    <w:rsid w:val="004D4521"/>
    <w:rsid w:val="004D4914"/>
    <w:rsid w:val="004D4A0D"/>
    <w:rsid w:val="004D4B13"/>
    <w:rsid w:val="004D4BC8"/>
    <w:rsid w:val="004D508E"/>
    <w:rsid w:val="004D5425"/>
    <w:rsid w:val="004D555F"/>
    <w:rsid w:val="004D56D1"/>
    <w:rsid w:val="004D5C63"/>
    <w:rsid w:val="004D5E63"/>
    <w:rsid w:val="004D5EDD"/>
    <w:rsid w:val="004D61CF"/>
    <w:rsid w:val="004D6465"/>
    <w:rsid w:val="004D67F8"/>
    <w:rsid w:val="004D6AF3"/>
    <w:rsid w:val="004D6CFE"/>
    <w:rsid w:val="004D747F"/>
    <w:rsid w:val="004D758C"/>
    <w:rsid w:val="004D7782"/>
    <w:rsid w:val="004D78AD"/>
    <w:rsid w:val="004D7A9E"/>
    <w:rsid w:val="004D7BD7"/>
    <w:rsid w:val="004E006C"/>
    <w:rsid w:val="004E01B7"/>
    <w:rsid w:val="004E03C7"/>
    <w:rsid w:val="004E056B"/>
    <w:rsid w:val="004E0659"/>
    <w:rsid w:val="004E0691"/>
    <w:rsid w:val="004E06D9"/>
    <w:rsid w:val="004E07FB"/>
    <w:rsid w:val="004E0870"/>
    <w:rsid w:val="004E08D3"/>
    <w:rsid w:val="004E0AB7"/>
    <w:rsid w:val="004E0AF4"/>
    <w:rsid w:val="004E0C94"/>
    <w:rsid w:val="004E0E84"/>
    <w:rsid w:val="004E0FDA"/>
    <w:rsid w:val="004E1916"/>
    <w:rsid w:val="004E1A8A"/>
    <w:rsid w:val="004E1CA4"/>
    <w:rsid w:val="004E1D68"/>
    <w:rsid w:val="004E1D89"/>
    <w:rsid w:val="004E1E9B"/>
    <w:rsid w:val="004E1EFD"/>
    <w:rsid w:val="004E1FB6"/>
    <w:rsid w:val="004E2049"/>
    <w:rsid w:val="004E22F9"/>
    <w:rsid w:val="004E256F"/>
    <w:rsid w:val="004E27C4"/>
    <w:rsid w:val="004E2961"/>
    <w:rsid w:val="004E2C69"/>
    <w:rsid w:val="004E2D11"/>
    <w:rsid w:val="004E33A5"/>
    <w:rsid w:val="004E3734"/>
    <w:rsid w:val="004E3A33"/>
    <w:rsid w:val="004E3C6E"/>
    <w:rsid w:val="004E3E17"/>
    <w:rsid w:val="004E3F52"/>
    <w:rsid w:val="004E4515"/>
    <w:rsid w:val="004E456F"/>
    <w:rsid w:val="004E4576"/>
    <w:rsid w:val="004E45BC"/>
    <w:rsid w:val="004E497F"/>
    <w:rsid w:val="004E4AF7"/>
    <w:rsid w:val="004E4CAB"/>
    <w:rsid w:val="004E5050"/>
    <w:rsid w:val="004E5068"/>
    <w:rsid w:val="004E5215"/>
    <w:rsid w:val="004E5EF2"/>
    <w:rsid w:val="004E61E1"/>
    <w:rsid w:val="004E6393"/>
    <w:rsid w:val="004E63EA"/>
    <w:rsid w:val="004E65B6"/>
    <w:rsid w:val="004E65DB"/>
    <w:rsid w:val="004E6B91"/>
    <w:rsid w:val="004E6BEE"/>
    <w:rsid w:val="004E6CFC"/>
    <w:rsid w:val="004E706B"/>
    <w:rsid w:val="004E70FE"/>
    <w:rsid w:val="004E7303"/>
    <w:rsid w:val="004E7519"/>
    <w:rsid w:val="004E764D"/>
    <w:rsid w:val="004E7916"/>
    <w:rsid w:val="004E7A6E"/>
    <w:rsid w:val="004E7AF5"/>
    <w:rsid w:val="004E7C7C"/>
    <w:rsid w:val="004E7D0A"/>
    <w:rsid w:val="004F0438"/>
    <w:rsid w:val="004F04CB"/>
    <w:rsid w:val="004F051B"/>
    <w:rsid w:val="004F0E4E"/>
    <w:rsid w:val="004F1175"/>
    <w:rsid w:val="004F1181"/>
    <w:rsid w:val="004F1200"/>
    <w:rsid w:val="004F1324"/>
    <w:rsid w:val="004F145B"/>
    <w:rsid w:val="004F1473"/>
    <w:rsid w:val="004F158C"/>
    <w:rsid w:val="004F15AD"/>
    <w:rsid w:val="004F161B"/>
    <w:rsid w:val="004F19E0"/>
    <w:rsid w:val="004F1D2F"/>
    <w:rsid w:val="004F2129"/>
    <w:rsid w:val="004F215A"/>
    <w:rsid w:val="004F2432"/>
    <w:rsid w:val="004F2545"/>
    <w:rsid w:val="004F2862"/>
    <w:rsid w:val="004F28C9"/>
    <w:rsid w:val="004F2C35"/>
    <w:rsid w:val="004F2CCB"/>
    <w:rsid w:val="004F2D57"/>
    <w:rsid w:val="004F2EE6"/>
    <w:rsid w:val="004F2EFC"/>
    <w:rsid w:val="004F31F4"/>
    <w:rsid w:val="004F339B"/>
    <w:rsid w:val="004F339E"/>
    <w:rsid w:val="004F33C4"/>
    <w:rsid w:val="004F3690"/>
    <w:rsid w:val="004F36A0"/>
    <w:rsid w:val="004F3E9B"/>
    <w:rsid w:val="004F3F7D"/>
    <w:rsid w:val="004F3FC5"/>
    <w:rsid w:val="004F4047"/>
    <w:rsid w:val="004F4110"/>
    <w:rsid w:val="004F462F"/>
    <w:rsid w:val="004F46A0"/>
    <w:rsid w:val="004F4837"/>
    <w:rsid w:val="004F4925"/>
    <w:rsid w:val="004F4963"/>
    <w:rsid w:val="004F49B1"/>
    <w:rsid w:val="004F4DAF"/>
    <w:rsid w:val="004F4E84"/>
    <w:rsid w:val="004F50E0"/>
    <w:rsid w:val="004F5130"/>
    <w:rsid w:val="004F5141"/>
    <w:rsid w:val="004F5255"/>
    <w:rsid w:val="004F526D"/>
    <w:rsid w:val="004F53A7"/>
    <w:rsid w:val="004F553B"/>
    <w:rsid w:val="004F579D"/>
    <w:rsid w:val="004F5945"/>
    <w:rsid w:val="004F5964"/>
    <w:rsid w:val="004F5B54"/>
    <w:rsid w:val="004F5B6D"/>
    <w:rsid w:val="004F5CD3"/>
    <w:rsid w:val="004F6379"/>
    <w:rsid w:val="004F6517"/>
    <w:rsid w:val="004F69FF"/>
    <w:rsid w:val="004F6AC0"/>
    <w:rsid w:val="004F6D1D"/>
    <w:rsid w:val="004F6D30"/>
    <w:rsid w:val="004F7219"/>
    <w:rsid w:val="004F7379"/>
    <w:rsid w:val="004F76CA"/>
    <w:rsid w:val="004F7793"/>
    <w:rsid w:val="004F77E3"/>
    <w:rsid w:val="004F7B1D"/>
    <w:rsid w:val="004F7F02"/>
    <w:rsid w:val="004F7F97"/>
    <w:rsid w:val="005000B8"/>
    <w:rsid w:val="00500319"/>
    <w:rsid w:val="005003DE"/>
    <w:rsid w:val="005004E0"/>
    <w:rsid w:val="00500554"/>
    <w:rsid w:val="0050061A"/>
    <w:rsid w:val="00500763"/>
    <w:rsid w:val="00500A36"/>
    <w:rsid w:val="00500B4B"/>
    <w:rsid w:val="00500CD6"/>
    <w:rsid w:val="00500D29"/>
    <w:rsid w:val="00500DA0"/>
    <w:rsid w:val="00500E68"/>
    <w:rsid w:val="005010A6"/>
    <w:rsid w:val="00501178"/>
    <w:rsid w:val="0050138E"/>
    <w:rsid w:val="005014CE"/>
    <w:rsid w:val="00501592"/>
    <w:rsid w:val="00501AB2"/>
    <w:rsid w:val="00501C87"/>
    <w:rsid w:val="00501E87"/>
    <w:rsid w:val="00501ED0"/>
    <w:rsid w:val="00502042"/>
    <w:rsid w:val="0050210D"/>
    <w:rsid w:val="005025E3"/>
    <w:rsid w:val="005026EC"/>
    <w:rsid w:val="0050270E"/>
    <w:rsid w:val="00502AA7"/>
    <w:rsid w:val="00502CF3"/>
    <w:rsid w:val="00502D90"/>
    <w:rsid w:val="00502E3D"/>
    <w:rsid w:val="00502F4C"/>
    <w:rsid w:val="0050346B"/>
    <w:rsid w:val="005034B0"/>
    <w:rsid w:val="005034E2"/>
    <w:rsid w:val="0050354D"/>
    <w:rsid w:val="00503785"/>
    <w:rsid w:val="00503839"/>
    <w:rsid w:val="00503B50"/>
    <w:rsid w:val="00503F8E"/>
    <w:rsid w:val="005041D8"/>
    <w:rsid w:val="005045AB"/>
    <w:rsid w:val="005048F7"/>
    <w:rsid w:val="005049AF"/>
    <w:rsid w:val="00504DB1"/>
    <w:rsid w:val="00504F8D"/>
    <w:rsid w:val="005050EE"/>
    <w:rsid w:val="005050F0"/>
    <w:rsid w:val="005052FF"/>
    <w:rsid w:val="0050563A"/>
    <w:rsid w:val="00505678"/>
    <w:rsid w:val="0050578A"/>
    <w:rsid w:val="0050579F"/>
    <w:rsid w:val="005057B6"/>
    <w:rsid w:val="005057C2"/>
    <w:rsid w:val="0050586B"/>
    <w:rsid w:val="00505B52"/>
    <w:rsid w:val="005060C8"/>
    <w:rsid w:val="00506128"/>
    <w:rsid w:val="005067B1"/>
    <w:rsid w:val="0050697D"/>
    <w:rsid w:val="00506A58"/>
    <w:rsid w:val="00506AE2"/>
    <w:rsid w:val="00506B2A"/>
    <w:rsid w:val="00506CD3"/>
    <w:rsid w:val="00506E02"/>
    <w:rsid w:val="00506FF1"/>
    <w:rsid w:val="00506FF6"/>
    <w:rsid w:val="0050729B"/>
    <w:rsid w:val="0050733D"/>
    <w:rsid w:val="00507343"/>
    <w:rsid w:val="005073F1"/>
    <w:rsid w:val="0050741A"/>
    <w:rsid w:val="00507451"/>
    <w:rsid w:val="00507496"/>
    <w:rsid w:val="0050756E"/>
    <w:rsid w:val="005079A7"/>
    <w:rsid w:val="005079BD"/>
    <w:rsid w:val="00507AA4"/>
    <w:rsid w:val="00507F0D"/>
    <w:rsid w:val="005100DD"/>
    <w:rsid w:val="00510693"/>
    <w:rsid w:val="00510912"/>
    <w:rsid w:val="00510A83"/>
    <w:rsid w:val="00510AA8"/>
    <w:rsid w:val="00510B7B"/>
    <w:rsid w:val="0051107E"/>
    <w:rsid w:val="00511684"/>
    <w:rsid w:val="00511845"/>
    <w:rsid w:val="00511B54"/>
    <w:rsid w:val="0051207A"/>
    <w:rsid w:val="00512212"/>
    <w:rsid w:val="005123EE"/>
    <w:rsid w:val="005125AB"/>
    <w:rsid w:val="005125DC"/>
    <w:rsid w:val="00512968"/>
    <w:rsid w:val="00512EBC"/>
    <w:rsid w:val="00512FA7"/>
    <w:rsid w:val="00513196"/>
    <w:rsid w:val="005131A4"/>
    <w:rsid w:val="005133A7"/>
    <w:rsid w:val="0051375A"/>
    <w:rsid w:val="005137B1"/>
    <w:rsid w:val="00513A95"/>
    <w:rsid w:val="00513D38"/>
    <w:rsid w:val="00513DA7"/>
    <w:rsid w:val="00514079"/>
    <w:rsid w:val="00514331"/>
    <w:rsid w:val="0051481B"/>
    <w:rsid w:val="00514BEB"/>
    <w:rsid w:val="00514BFD"/>
    <w:rsid w:val="00515078"/>
    <w:rsid w:val="0051539F"/>
    <w:rsid w:val="0051583F"/>
    <w:rsid w:val="0051597B"/>
    <w:rsid w:val="00515C26"/>
    <w:rsid w:val="00515C34"/>
    <w:rsid w:val="00515C4A"/>
    <w:rsid w:val="00515C85"/>
    <w:rsid w:val="00516424"/>
    <w:rsid w:val="005165D0"/>
    <w:rsid w:val="00516794"/>
    <w:rsid w:val="005169AC"/>
    <w:rsid w:val="00516C6C"/>
    <w:rsid w:val="00516DFE"/>
    <w:rsid w:val="00516EA9"/>
    <w:rsid w:val="00516EF1"/>
    <w:rsid w:val="005170A3"/>
    <w:rsid w:val="00517244"/>
    <w:rsid w:val="0051730C"/>
    <w:rsid w:val="005173EC"/>
    <w:rsid w:val="0051758F"/>
    <w:rsid w:val="005179FA"/>
    <w:rsid w:val="00517AF6"/>
    <w:rsid w:val="00517E6B"/>
    <w:rsid w:val="00517FE2"/>
    <w:rsid w:val="00517FF9"/>
    <w:rsid w:val="005202DF"/>
    <w:rsid w:val="005202F4"/>
    <w:rsid w:val="0052064A"/>
    <w:rsid w:val="00520792"/>
    <w:rsid w:val="00520A9C"/>
    <w:rsid w:val="00520C86"/>
    <w:rsid w:val="00521332"/>
    <w:rsid w:val="0052155B"/>
    <w:rsid w:val="00521600"/>
    <w:rsid w:val="0052183E"/>
    <w:rsid w:val="00521E3E"/>
    <w:rsid w:val="00521E50"/>
    <w:rsid w:val="00521E8A"/>
    <w:rsid w:val="005220C7"/>
    <w:rsid w:val="00522154"/>
    <w:rsid w:val="005221E4"/>
    <w:rsid w:val="00522498"/>
    <w:rsid w:val="005224F6"/>
    <w:rsid w:val="005225F9"/>
    <w:rsid w:val="0052280E"/>
    <w:rsid w:val="00522832"/>
    <w:rsid w:val="00522DA4"/>
    <w:rsid w:val="00522F16"/>
    <w:rsid w:val="005236F9"/>
    <w:rsid w:val="0052386E"/>
    <w:rsid w:val="00523AC6"/>
    <w:rsid w:val="00523BF6"/>
    <w:rsid w:val="00523DE9"/>
    <w:rsid w:val="00523FAF"/>
    <w:rsid w:val="00523FEF"/>
    <w:rsid w:val="00524099"/>
    <w:rsid w:val="005240AA"/>
    <w:rsid w:val="00524114"/>
    <w:rsid w:val="00524365"/>
    <w:rsid w:val="005245D1"/>
    <w:rsid w:val="00524678"/>
    <w:rsid w:val="0052469E"/>
    <w:rsid w:val="00524B67"/>
    <w:rsid w:val="00524C01"/>
    <w:rsid w:val="00524DF6"/>
    <w:rsid w:val="00524FBF"/>
    <w:rsid w:val="0052502A"/>
    <w:rsid w:val="00525221"/>
    <w:rsid w:val="00525384"/>
    <w:rsid w:val="0052542A"/>
    <w:rsid w:val="005254AE"/>
    <w:rsid w:val="00525ADD"/>
    <w:rsid w:val="00525B16"/>
    <w:rsid w:val="00525BD3"/>
    <w:rsid w:val="00525BE4"/>
    <w:rsid w:val="00525D31"/>
    <w:rsid w:val="00525D57"/>
    <w:rsid w:val="00525DA6"/>
    <w:rsid w:val="00525FE0"/>
    <w:rsid w:val="00526048"/>
    <w:rsid w:val="0052609C"/>
    <w:rsid w:val="00526443"/>
    <w:rsid w:val="00526450"/>
    <w:rsid w:val="005264B6"/>
    <w:rsid w:val="00526520"/>
    <w:rsid w:val="00526957"/>
    <w:rsid w:val="0052695D"/>
    <w:rsid w:val="00526C74"/>
    <w:rsid w:val="00526D0E"/>
    <w:rsid w:val="00526E07"/>
    <w:rsid w:val="00526EB7"/>
    <w:rsid w:val="0052718C"/>
    <w:rsid w:val="005272C0"/>
    <w:rsid w:val="00527697"/>
    <w:rsid w:val="00527BF1"/>
    <w:rsid w:val="00527EBB"/>
    <w:rsid w:val="00527F96"/>
    <w:rsid w:val="0053049B"/>
    <w:rsid w:val="005304F9"/>
    <w:rsid w:val="00530AA9"/>
    <w:rsid w:val="00530ADC"/>
    <w:rsid w:val="00530BB6"/>
    <w:rsid w:val="00530E48"/>
    <w:rsid w:val="00530F2C"/>
    <w:rsid w:val="00531596"/>
    <w:rsid w:val="00531711"/>
    <w:rsid w:val="00531780"/>
    <w:rsid w:val="005317DD"/>
    <w:rsid w:val="005317E1"/>
    <w:rsid w:val="00531C6B"/>
    <w:rsid w:val="00531D6E"/>
    <w:rsid w:val="00532278"/>
    <w:rsid w:val="0053273C"/>
    <w:rsid w:val="005329A3"/>
    <w:rsid w:val="00532AC5"/>
    <w:rsid w:val="00532BDD"/>
    <w:rsid w:val="00532F3D"/>
    <w:rsid w:val="0053310A"/>
    <w:rsid w:val="005331C5"/>
    <w:rsid w:val="00533224"/>
    <w:rsid w:val="00533254"/>
    <w:rsid w:val="005336C9"/>
    <w:rsid w:val="005336D8"/>
    <w:rsid w:val="00533788"/>
    <w:rsid w:val="00533A18"/>
    <w:rsid w:val="00533AA4"/>
    <w:rsid w:val="00533F7A"/>
    <w:rsid w:val="0053438D"/>
    <w:rsid w:val="005345CE"/>
    <w:rsid w:val="005346B6"/>
    <w:rsid w:val="00534D96"/>
    <w:rsid w:val="00534D9C"/>
    <w:rsid w:val="00534DE0"/>
    <w:rsid w:val="00534FAD"/>
    <w:rsid w:val="005353B2"/>
    <w:rsid w:val="005358A7"/>
    <w:rsid w:val="005359F5"/>
    <w:rsid w:val="00535A40"/>
    <w:rsid w:val="00535BC6"/>
    <w:rsid w:val="00535DB2"/>
    <w:rsid w:val="00535DCD"/>
    <w:rsid w:val="00535EBA"/>
    <w:rsid w:val="00535F86"/>
    <w:rsid w:val="00536222"/>
    <w:rsid w:val="005363D3"/>
    <w:rsid w:val="00536756"/>
    <w:rsid w:val="00536791"/>
    <w:rsid w:val="00536866"/>
    <w:rsid w:val="005368A5"/>
    <w:rsid w:val="00536BA7"/>
    <w:rsid w:val="00536D55"/>
    <w:rsid w:val="0053701D"/>
    <w:rsid w:val="005371CA"/>
    <w:rsid w:val="00537244"/>
    <w:rsid w:val="0053735A"/>
    <w:rsid w:val="00537598"/>
    <w:rsid w:val="00537C91"/>
    <w:rsid w:val="00540000"/>
    <w:rsid w:val="005400DB"/>
    <w:rsid w:val="005403A4"/>
    <w:rsid w:val="005403CC"/>
    <w:rsid w:val="0054053E"/>
    <w:rsid w:val="005407AE"/>
    <w:rsid w:val="00540B3C"/>
    <w:rsid w:val="00540C7A"/>
    <w:rsid w:val="00540CD6"/>
    <w:rsid w:val="00540D7F"/>
    <w:rsid w:val="00540E50"/>
    <w:rsid w:val="00540F07"/>
    <w:rsid w:val="00541486"/>
    <w:rsid w:val="005414F8"/>
    <w:rsid w:val="00541771"/>
    <w:rsid w:val="0054187F"/>
    <w:rsid w:val="00541CA4"/>
    <w:rsid w:val="00541D57"/>
    <w:rsid w:val="00541DDD"/>
    <w:rsid w:val="00541F22"/>
    <w:rsid w:val="00542071"/>
    <w:rsid w:val="005420B3"/>
    <w:rsid w:val="0054210B"/>
    <w:rsid w:val="005421CB"/>
    <w:rsid w:val="005422AB"/>
    <w:rsid w:val="005426F5"/>
    <w:rsid w:val="005426FD"/>
    <w:rsid w:val="00542896"/>
    <w:rsid w:val="0054293A"/>
    <w:rsid w:val="00542A3D"/>
    <w:rsid w:val="00542A64"/>
    <w:rsid w:val="00542DCB"/>
    <w:rsid w:val="00542F1F"/>
    <w:rsid w:val="0054355F"/>
    <w:rsid w:val="00543596"/>
    <w:rsid w:val="005435CA"/>
    <w:rsid w:val="00543609"/>
    <w:rsid w:val="00543879"/>
    <w:rsid w:val="00543D34"/>
    <w:rsid w:val="005441BF"/>
    <w:rsid w:val="0054441F"/>
    <w:rsid w:val="005444C5"/>
    <w:rsid w:val="0054509D"/>
    <w:rsid w:val="005450CF"/>
    <w:rsid w:val="005452AA"/>
    <w:rsid w:val="0054560C"/>
    <w:rsid w:val="005458F5"/>
    <w:rsid w:val="00545A1A"/>
    <w:rsid w:val="00545D82"/>
    <w:rsid w:val="00545D9F"/>
    <w:rsid w:val="00545E11"/>
    <w:rsid w:val="0054645E"/>
    <w:rsid w:val="00546589"/>
    <w:rsid w:val="00546640"/>
    <w:rsid w:val="00546751"/>
    <w:rsid w:val="005467F5"/>
    <w:rsid w:val="005468A0"/>
    <w:rsid w:val="005468A4"/>
    <w:rsid w:val="00546B6E"/>
    <w:rsid w:val="00546D43"/>
    <w:rsid w:val="00546D55"/>
    <w:rsid w:val="00546EFD"/>
    <w:rsid w:val="00546FE6"/>
    <w:rsid w:val="005470A3"/>
    <w:rsid w:val="005470F1"/>
    <w:rsid w:val="005472B2"/>
    <w:rsid w:val="0054752F"/>
    <w:rsid w:val="00547674"/>
    <w:rsid w:val="0054789A"/>
    <w:rsid w:val="005478E1"/>
    <w:rsid w:val="00547B0B"/>
    <w:rsid w:val="00547C61"/>
    <w:rsid w:val="0055003C"/>
    <w:rsid w:val="005500A9"/>
    <w:rsid w:val="0055020D"/>
    <w:rsid w:val="005504A2"/>
    <w:rsid w:val="005508C1"/>
    <w:rsid w:val="00550B6E"/>
    <w:rsid w:val="00550D18"/>
    <w:rsid w:val="0055110C"/>
    <w:rsid w:val="00551603"/>
    <w:rsid w:val="0055168C"/>
    <w:rsid w:val="00551C7B"/>
    <w:rsid w:val="00551CB4"/>
    <w:rsid w:val="00551EAC"/>
    <w:rsid w:val="00551FA7"/>
    <w:rsid w:val="00552018"/>
    <w:rsid w:val="005520D2"/>
    <w:rsid w:val="005520DC"/>
    <w:rsid w:val="005522AD"/>
    <w:rsid w:val="005523AA"/>
    <w:rsid w:val="00552427"/>
    <w:rsid w:val="00552460"/>
    <w:rsid w:val="0055282F"/>
    <w:rsid w:val="00552934"/>
    <w:rsid w:val="00552936"/>
    <w:rsid w:val="00552DCA"/>
    <w:rsid w:val="00552E0C"/>
    <w:rsid w:val="00552EA3"/>
    <w:rsid w:val="00552F50"/>
    <w:rsid w:val="005530D0"/>
    <w:rsid w:val="00553232"/>
    <w:rsid w:val="00553522"/>
    <w:rsid w:val="00553554"/>
    <w:rsid w:val="0055355A"/>
    <w:rsid w:val="0055355F"/>
    <w:rsid w:val="005536F3"/>
    <w:rsid w:val="005537F4"/>
    <w:rsid w:val="00553BE2"/>
    <w:rsid w:val="00553CA3"/>
    <w:rsid w:val="00553F4C"/>
    <w:rsid w:val="00554001"/>
    <w:rsid w:val="00554360"/>
    <w:rsid w:val="005546D1"/>
    <w:rsid w:val="005549DF"/>
    <w:rsid w:val="00554D4F"/>
    <w:rsid w:val="00554FFA"/>
    <w:rsid w:val="00555410"/>
    <w:rsid w:val="00555533"/>
    <w:rsid w:val="0055565B"/>
    <w:rsid w:val="005556D1"/>
    <w:rsid w:val="005556E7"/>
    <w:rsid w:val="00555AAD"/>
    <w:rsid w:val="00555CF6"/>
    <w:rsid w:val="00555D89"/>
    <w:rsid w:val="00555D8A"/>
    <w:rsid w:val="00555DE2"/>
    <w:rsid w:val="00555F10"/>
    <w:rsid w:val="005566D6"/>
    <w:rsid w:val="00556748"/>
    <w:rsid w:val="005569A0"/>
    <w:rsid w:val="005569A5"/>
    <w:rsid w:val="00556B4D"/>
    <w:rsid w:val="00556C09"/>
    <w:rsid w:val="0055704E"/>
    <w:rsid w:val="005570F9"/>
    <w:rsid w:val="0055738E"/>
    <w:rsid w:val="00557553"/>
    <w:rsid w:val="0055757E"/>
    <w:rsid w:val="00557594"/>
    <w:rsid w:val="005576BA"/>
    <w:rsid w:val="005577B5"/>
    <w:rsid w:val="005577DD"/>
    <w:rsid w:val="00557A40"/>
    <w:rsid w:val="00557E59"/>
    <w:rsid w:val="00560083"/>
    <w:rsid w:val="005602EB"/>
    <w:rsid w:val="00560620"/>
    <w:rsid w:val="00560759"/>
    <w:rsid w:val="00560765"/>
    <w:rsid w:val="005607E9"/>
    <w:rsid w:val="00560880"/>
    <w:rsid w:val="00560CB4"/>
    <w:rsid w:val="00560F95"/>
    <w:rsid w:val="00561054"/>
    <w:rsid w:val="00561137"/>
    <w:rsid w:val="005611CC"/>
    <w:rsid w:val="005611E8"/>
    <w:rsid w:val="00561480"/>
    <w:rsid w:val="00561598"/>
    <w:rsid w:val="00561AE2"/>
    <w:rsid w:val="00561F6C"/>
    <w:rsid w:val="00562058"/>
    <w:rsid w:val="00562086"/>
    <w:rsid w:val="0056217F"/>
    <w:rsid w:val="005626F6"/>
    <w:rsid w:val="00562946"/>
    <w:rsid w:val="00562C96"/>
    <w:rsid w:val="00562DCB"/>
    <w:rsid w:val="005632A1"/>
    <w:rsid w:val="005635BE"/>
    <w:rsid w:val="005635BF"/>
    <w:rsid w:val="0056363D"/>
    <w:rsid w:val="00563741"/>
    <w:rsid w:val="00563887"/>
    <w:rsid w:val="005638C8"/>
    <w:rsid w:val="00563A5A"/>
    <w:rsid w:val="00563A7E"/>
    <w:rsid w:val="00563D98"/>
    <w:rsid w:val="00563EEC"/>
    <w:rsid w:val="005640C2"/>
    <w:rsid w:val="005644E5"/>
    <w:rsid w:val="005648E3"/>
    <w:rsid w:val="00564A72"/>
    <w:rsid w:val="00564B78"/>
    <w:rsid w:val="00564CA7"/>
    <w:rsid w:val="00565AC3"/>
    <w:rsid w:val="00565FCE"/>
    <w:rsid w:val="00565FDC"/>
    <w:rsid w:val="00566143"/>
    <w:rsid w:val="00566307"/>
    <w:rsid w:val="005663A1"/>
    <w:rsid w:val="005663D9"/>
    <w:rsid w:val="00566409"/>
    <w:rsid w:val="0056660A"/>
    <w:rsid w:val="00566614"/>
    <w:rsid w:val="00566663"/>
    <w:rsid w:val="005667A2"/>
    <w:rsid w:val="0056680C"/>
    <w:rsid w:val="005669F5"/>
    <w:rsid w:val="00566A43"/>
    <w:rsid w:val="00566D10"/>
    <w:rsid w:val="0056714E"/>
    <w:rsid w:val="00567301"/>
    <w:rsid w:val="00567549"/>
    <w:rsid w:val="0056756A"/>
    <w:rsid w:val="005675AF"/>
    <w:rsid w:val="00567668"/>
    <w:rsid w:val="005676E6"/>
    <w:rsid w:val="00567811"/>
    <w:rsid w:val="00567D04"/>
    <w:rsid w:val="00567D91"/>
    <w:rsid w:val="00567E2B"/>
    <w:rsid w:val="00567ED0"/>
    <w:rsid w:val="00567F81"/>
    <w:rsid w:val="00570032"/>
    <w:rsid w:val="0057005B"/>
    <w:rsid w:val="005702E3"/>
    <w:rsid w:val="005704C8"/>
    <w:rsid w:val="00570C53"/>
    <w:rsid w:val="00570CA8"/>
    <w:rsid w:val="00570EA5"/>
    <w:rsid w:val="00570F19"/>
    <w:rsid w:val="005710C3"/>
    <w:rsid w:val="00571313"/>
    <w:rsid w:val="0057135D"/>
    <w:rsid w:val="005719B4"/>
    <w:rsid w:val="00571B2C"/>
    <w:rsid w:val="00571B70"/>
    <w:rsid w:val="00571BE1"/>
    <w:rsid w:val="00571C44"/>
    <w:rsid w:val="00571E91"/>
    <w:rsid w:val="00571F12"/>
    <w:rsid w:val="005720AC"/>
    <w:rsid w:val="005720CF"/>
    <w:rsid w:val="00572156"/>
    <w:rsid w:val="005721CE"/>
    <w:rsid w:val="005722D0"/>
    <w:rsid w:val="00572368"/>
    <w:rsid w:val="00572759"/>
    <w:rsid w:val="00572897"/>
    <w:rsid w:val="005729D9"/>
    <w:rsid w:val="00572C17"/>
    <w:rsid w:val="00572C74"/>
    <w:rsid w:val="00572E0C"/>
    <w:rsid w:val="00572E94"/>
    <w:rsid w:val="00572F39"/>
    <w:rsid w:val="00572F44"/>
    <w:rsid w:val="00573465"/>
    <w:rsid w:val="00573485"/>
    <w:rsid w:val="0057356E"/>
    <w:rsid w:val="0057358E"/>
    <w:rsid w:val="005735F6"/>
    <w:rsid w:val="0057395C"/>
    <w:rsid w:val="00573A63"/>
    <w:rsid w:val="00573CC5"/>
    <w:rsid w:val="00573EDC"/>
    <w:rsid w:val="00573F40"/>
    <w:rsid w:val="00573F94"/>
    <w:rsid w:val="0057425E"/>
    <w:rsid w:val="00574442"/>
    <w:rsid w:val="00574A76"/>
    <w:rsid w:val="00574B16"/>
    <w:rsid w:val="00574B29"/>
    <w:rsid w:val="00574BF3"/>
    <w:rsid w:val="00574FEC"/>
    <w:rsid w:val="0057595D"/>
    <w:rsid w:val="005759D3"/>
    <w:rsid w:val="00575E02"/>
    <w:rsid w:val="00575E8E"/>
    <w:rsid w:val="00576772"/>
    <w:rsid w:val="00576880"/>
    <w:rsid w:val="00576AC6"/>
    <w:rsid w:val="00576AF6"/>
    <w:rsid w:val="00576CE5"/>
    <w:rsid w:val="00576D4B"/>
    <w:rsid w:val="005771C8"/>
    <w:rsid w:val="00577730"/>
    <w:rsid w:val="00577802"/>
    <w:rsid w:val="0057788C"/>
    <w:rsid w:val="00577996"/>
    <w:rsid w:val="00577B78"/>
    <w:rsid w:val="005801AE"/>
    <w:rsid w:val="00580562"/>
    <w:rsid w:val="005808E8"/>
    <w:rsid w:val="00580934"/>
    <w:rsid w:val="00580A3E"/>
    <w:rsid w:val="00581121"/>
    <w:rsid w:val="00581323"/>
    <w:rsid w:val="0058184B"/>
    <w:rsid w:val="00581C89"/>
    <w:rsid w:val="00581D46"/>
    <w:rsid w:val="00582018"/>
    <w:rsid w:val="00582300"/>
    <w:rsid w:val="00582431"/>
    <w:rsid w:val="00582490"/>
    <w:rsid w:val="005824DF"/>
    <w:rsid w:val="0058271E"/>
    <w:rsid w:val="00582F5A"/>
    <w:rsid w:val="00582FC6"/>
    <w:rsid w:val="00583006"/>
    <w:rsid w:val="00583092"/>
    <w:rsid w:val="00583255"/>
    <w:rsid w:val="00583507"/>
    <w:rsid w:val="005835BC"/>
    <w:rsid w:val="00583609"/>
    <w:rsid w:val="00583633"/>
    <w:rsid w:val="005836D5"/>
    <w:rsid w:val="00583902"/>
    <w:rsid w:val="005839C2"/>
    <w:rsid w:val="00583A00"/>
    <w:rsid w:val="00583D0F"/>
    <w:rsid w:val="00583DE4"/>
    <w:rsid w:val="005840DF"/>
    <w:rsid w:val="00584169"/>
    <w:rsid w:val="005841A2"/>
    <w:rsid w:val="005841F5"/>
    <w:rsid w:val="005842F2"/>
    <w:rsid w:val="00584536"/>
    <w:rsid w:val="00584648"/>
    <w:rsid w:val="00584698"/>
    <w:rsid w:val="0058480A"/>
    <w:rsid w:val="00584DDB"/>
    <w:rsid w:val="00584F65"/>
    <w:rsid w:val="00585072"/>
    <w:rsid w:val="0058514C"/>
    <w:rsid w:val="00585181"/>
    <w:rsid w:val="00585345"/>
    <w:rsid w:val="0058539E"/>
    <w:rsid w:val="005853BA"/>
    <w:rsid w:val="00585405"/>
    <w:rsid w:val="005855E4"/>
    <w:rsid w:val="00585DAE"/>
    <w:rsid w:val="00585EC3"/>
    <w:rsid w:val="00585FA2"/>
    <w:rsid w:val="00586545"/>
    <w:rsid w:val="00586570"/>
    <w:rsid w:val="005866C8"/>
    <w:rsid w:val="005868E5"/>
    <w:rsid w:val="00586A25"/>
    <w:rsid w:val="00586B4A"/>
    <w:rsid w:val="00586D89"/>
    <w:rsid w:val="00586F11"/>
    <w:rsid w:val="00586FCC"/>
    <w:rsid w:val="0058715D"/>
    <w:rsid w:val="005871EC"/>
    <w:rsid w:val="00587271"/>
    <w:rsid w:val="005872C7"/>
    <w:rsid w:val="005872EC"/>
    <w:rsid w:val="00587703"/>
    <w:rsid w:val="00587A57"/>
    <w:rsid w:val="00587BDA"/>
    <w:rsid w:val="00587C20"/>
    <w:rsid w:val="00587E87"/>
    <w:rsid w:val="00587EE4"/>
    <w:rsid w:val="0059041C"/>
    <w:rsid w:val="005905EA"/>
    <w:rsid w:val="005905FC"/>
    <w:rsid w:val="005906E0"/>
    <w:rsid w:val="005907BC"/>
    <w:rsid w:val="00590AA6"/>
    <w:rsid w:val="00590B47"/>
    <w:rsid w:val="0059105B"/>
    <w:rsid w:val="00591109"/>
    <w:rsid w:val="00591174"/>
    <w:rsid w:val="00591467"/>
    <w:rsid w:val="00591527"/>
    <w:rsid w:val="00591708"/>
    <w:rsid w:val="00591855"/>
    <w:rsid w:val="00591F46"/>
    <w:rsid w:val="005920BE"/>
    <w:rsid w:val="0059226A"/>
    <w:rsid w:val="00592380"/>
    <w:rsid w:val="00592681"/>
    <w:rsid w:val="00592A31"/>
    <w:rsid w:val="00592A36"/>
    <w:rsid w:val="00592B39"/>
    <w:rsid w:val="00592E84"/>
    <w:rsid w:val="00592FC2"/>
    <w:rsid w:val="005932C2"/>
    <w:rsid w:val="0059362E"/>
    <w:rsid w:val="00593885"/>
    <w:rsid w:val="005939FE"/>
    <w:rsid w:val="00593ADC"/>
    <w:rsid w:val="00593B6B"/>
    <w:rsid w:val="00593C2A"/>
    <w:rsid w:val="00593E87"/>
    <w:rsid w:val="005943C2"/>
    <w:rsid w:val="00594436"/>
    <w:rsid w:val="00594493"/>
    <w:rsid w:val="0059476E"/>
    <w:rsid w:val="00594C8A"/>
    <w:rsid w:val="00594CEF"/>
    <w:rsid w:val="00594D6A"/>
    <w:rsid w:val="00595037"/>
    <w:rsid w:val="00595096"/>
    <w:rsid w:val="005950E3"/>
    <w:rsid w:val="00595209"/>
    <w:rsid w:val="0059524C"/>
    <w:rsid w:val="005952F1"/>
    <w:rsid w:val="005953C3"/>
    <w:rsid w:val="00595467"/>
    <w:rsid w:val="00595776"/>
    <w:rsid w:val="00595AA7"/>
    <w:rsid w:val="005960C0"/>
    <w:rsid w:val="00596166"/>
    <w:rsid w:val="00596335"/>
    <w:rsid w:val="005968DC"/>
    <w:rsid w:val="00596B4C"/>
    <w:rsid w:val="00597393"/>
    <w:rsid w:val="005976CC"/>
    <w:rsid w:val="0059781E"/>
    <w:rsid w:val="00597863"/>
    <w:rsid w:val="005978D7"/>
    <w:rsid w:val="00597E73"/>
    <w:rsid w:val="00597FDF"/>
    <w:rsid w:val="005A03E8"/>
    <w:rsid w:val="005A10C2"/>
    <w:rsid w:val="005A11AE"/>
    <w:rsid w:val="005A15E3"/>
    <w:rsid w:val="005A1736"/>
    <w:rsid w:val="005A1745"/>
    <w:rsid w:val="005A18B5"/>
    <w:rsid w:val="005A1BFA"/>
    <w:rsid w:val="005A1E5A"/>
    <w:rsid w:val="005A21AA"/>
    <w:rsid w:val="005A241E"/>
    <w:rsid w:val="005A2502"/>
    <w:rsid w:val="005A2582"/>
    <w:rsid w:val="005A2E90"/>
    <w:rsid w:val="005A30FA"/>
    <w:rsid w:val="005A38F9"/>
    <w:rsid w:val="005A3C0C"/>
    <w:rsid w:val="005A3E3A"/>
    <w:rsid w:val="005A4449"/>
    <w:rsid w:val="005A4624"/>
    <w:rsid w:val="005A4730"/>
    <w:rsid w:val="005A4798"/>
    <w:rsid w:val="005A47C2"/>
    <w:rsid w:val="005A4A6D"/>
    <w:rsid w:val="005A4BC0"/>
    <w:rsid w:val="005A4C37"/>
    <w:rsid w:val="005A4E2F"/>
    <w:rsid w:val="005A4F74"/>
    <w:rsid w:val="005A55CE"/>
    <w:rsid w:val="005A56AF"/>
    <w:rsid w:val="005A57A3"/>
    <w:rsid w:val="005A5A68"/>
    <w:rsid w:val="005A5B2C"/>
    <w:rsid w:val="005A5BCB"/>
    <w:rsid w:val="005A6397"/>
    <w:rsid w:val="005A6630"/>
    <w:rsid w:val="005A66A7"/>
    <w:rsid w:val="005A697B"/>
    <w:rsid w:val="005A69A4"/>
    <w:rsid w:val="005A6B9B"/>
    <w:rsid w:val="005A7206"/>
    <w:rsid w:val="005A724E"/>
    <w:rsid w:val="005A73BE"/>
    <w:rsid w:val="005A795A"/>
    <w:rsid w:val="005A7A92"/>
    <w:rsid w:val="005A7AC1"/>
    <w:rsid w:val="005A7C4F"/>
    <w:rsid w:val="005B0160"/>
    <w:rsid w:val="005B018D"/>
    <w:rsid w:val="005B0C51"/>
    <w:rsid w:val="005B126A"/>
    <w:rsid w:val="005B148B"/>
    <w:rsid w:val="005B1597"/>
    <w:rsid w:val="005B171A"/>
    <w:rsid w:val="005B17AF"/>
    <w:rsid w:val="005B1AD3"/>
    <w:rsid w:val="005B1C15"/>
    <w:rsid w:val="005B1F1D"/>
    <w:rsid w:val="005B1F34"/>
    <w:rsid w:val="005B212B"/>
    <w:rsid w:val="005B2263"/>
    <w:rsid w:val="005B23DA"/>
    <w:rsid w:val="005B2A88"/>
    <w:rsid w:val="005B2A8D"/>
    <w:rsid w:val="005B2D0E"/>
    <w:rsid w:val="005B2D80"/>
    <w:rsid w:val="005B3078"/>
    <w:rsid w:val="005B30E8"/>
    <w:rsid w:val="005B31BD"/>
    <w:rsid w:val="005B32D8"/>
    <w:rsid w:val="005B34D9"/>
    <w:rsid w:val="005B37D3"/>
    <w:rsid w:val="005B385B"/>
    <w:rsid w:val="005B3B97"/>
    <w:rsid w:val="005B3E13"/>
    <w:rsid w:val="005B4205"/>
    <w:rsid w:val="005B43A6"/>
    <w:rsid w:val="005B459E"/>
    <w:rsid w:val="005B4CCD"/>
    <w:rsid w:val="005B5683"/>
    <w:rsid w:val="005B56D3"/>
    <w:rsid w:val="005B5988"/>
    <w:rsid w:val="005B5E09"/>
    <w:rsid w:val="005B674E"/>
    <w:rsid w:val="005B680B"/>
    <w:rsid w:val="005B6879"/>
    <w:rsid w:val="005B68FF"/>
    <w:rsid w:val="005B6AAA"/>
    <w:rsid w:val="005B6BF9"/>
    <w:rsid w:val="005B6CBD"/>
    <w:rsid w:val="005B6D30"/>
    <w:rsid w:val="005B6F83"/>
    <w:rsid w:val="005B7173"/>
    <w:rsid w:val="005B71B2"/>
    <w:rsid w:val="005B7263"/>
    <w:rsid w:val="005B74B6"/>
    <w:rsid w:val="005B783C"/>
    <w:rsid w:val="005B78D9"/>
    <w:rsid w:val="005B79C9"/>
    <w:rsid w:val="005B7B92"/>
    <w:rsid w:val="005B7C9F"/>
    <w:rsid w:val="005B7E20"/>
    <w:rsid w:val="005C00D2"/>
    <w:rsid w:val="005C0DB2"/>
    <w:rsid w:val="005C0E2B"/>
    <w:rsid w:val="005C1240"/>
    <w:rsid w:val="005C12AF"/>
    <w:rsid w:val="005C167A"/>
    <w:rsid w:val="005C1AC8"/>
    <w:rsid w:val="005C1B88"/>
    <w:rsid w:val="005C21AF"/>
    <w:rsid w:val="005C275C"/>
    <w:rsid w:val="005C2ABB"/>
    <w:rsid w:val="005C2B33"/>
    <w:rsid w:val="005C2C4A"/>
    <w:rsid w:val="005C2FC0"/>
    <w:rsid w:val="005C3019"/>
    <w:rsid w:val="005C3139"/>
    <w:rsid w:val="005C3145"/>
    <w:rsid w:val="005C31DE"/>
    <w:rsid w:val="005C3233"/>
    <w:rsid w:val="005C3405"/>
    <w:rsid w:val="005C345F"/>
    <w:rsid w:val="005C3648"/>
    <w:rsid w:val="005C36B2"/>
    <w:rsid w:val="005C3792"/>
    <w:rsid w:val="005C3A74"/>
    <w:rsid w:val="005C3CB1"/>
    <w:rsid w:val="005C3F23"/>
    <w:rsid w:val="005C4058"/>
    <w:rsid w:val="005C4194"/>
    <w:rsid w:val="005C437E"/>
    <w:rsid w:val="005C440D"/>
    <w:rsid w:val="005C4734"/>
    <w:rsid w:val="005C4A7A"/>
    <w:rsid w:val="005C4AF4"/>
    <w:rsid w:val="005C4D08"/>
    <w:rsid w:val="005C501E"/>
    <w:rsid w:val="005C531F"/>
    <w:rsid w:val="005C5389"/>
    <w:rsid w:val="005C539D"/>
    <w:rsid w:val="005C5C71"/>
    <w:rsid w:val="005C5E1E"/>
    <w:rsid w:val="005C5E78"/>
    <w:rsid w:val="005C5F56"/>
    <w:rsid w:val="005C61D4"/>
    <w:rsid w:val="005C627E"/>
    <w:rsid w:val="005C6281"/>
    <w:rsid w:val="005C62B2"/>
    <w:rsid w:val="005C673A"/>
    <w:rsid w:val="005C676D"/>
    <w:rsid w:val="005C6923"/>
    <w:rsid w:val="005C694C"/>
    <w:rsid w:val="005C6B70"/>
    <w:rsid w:val="005C6BE7"/>
    <w:rsid w:val="005C771A"/>
    <w:rsid w:val="005C77A9"/>
    <w:rsid w:val="005C7A94"/>
    <w:rsid w:val="005C7BB7"/>
    <w:rsid w:val="005C7BF6"/>
    <w:rsid w:val="005C7E0D"/>
    <w:rsid w:val="005D0172"/>
    <w:rsid w:val="005D017E"/>
    <w:rsid w:val="005D018F"/>
    <w:rsid w:val="005D034A"/>
    <w:rsid w:val="005D0581"/>
    <w:rsid w:val="005D085A"/>
    <w:rsid w:val="005D0AEC"/>
    <w:rsid w:val="005D0B56"/>
    <w:rsid w:val="005D0B6D"/>
    <w:rsid w:val="005D0EEC"/>
    <w:rsid w:val="005D0EED"/>
    <w:rsid w:val="005D129D"/>
    <w:rsid w:val="005D1340"/>
    <w:rsid w:val="005D19E0"/>
    <w:rsid w:val="005D1ABE"/>
    <w:rsid w:val="005D1B32"/>
    <w:rsid w:val="005D1B8E"/>
    <w:rsid w:val="005D1C03"/>
    <w:rsid w:val="005D1FE5"/>
    <w:rsid w:val="005D2085"/>
    <w:rsid w:val="005D22D3"/>
    <w:rsid w:val="005D23B3"/>
    <w:rsid w:val="005D2422"/>
    <w:rsid w:val="005D271B"/>
    <w:rsid w:val="005D2793"/>
    <w:rsid w:val="005D2914"/>
    <w:rsid w:val="005D2EE1"/>
    <w:rsid w:val="005D30FE"/>
    <w:rsid w:val="005D33B4"/>
    <w:rsid w:val="005D35F3"/>
    <w:rsid w:val="005D386B"/>
    <w:rsid w:val="005D39D0"/>
    <w:rsid w:val="005D3B50"/>
    <w:rsid w:val="005D3D84"/>
    <w:rsid w:val="005D416F"/>
    <w:rsid w:val="005D44D7"/>
    <w:rsid w:val="005D4605"/>
    <w:rsid w:val="005D476A"/>
    <w:rsid w:val="005D478E"/>
    <w:rsid w:val="005D4A1E"/>
    <w:rsid w:val="005D4BE6"/>
    <w:rsid w:val="005D4ED2"/>
    <w:rsid w:val="005D5370"/>
    <w:rsid w:val="005D54B1"/>
    <w:rsid w:val="005D5669"/>
    <w:rsid w:val="005D5798"/>
    <w:rsid w:val="005D5941"/>
    <w:rsid w:val="005D5B3B"/>
    <w:rsid w:val="005D5EAC"/>
    <w:rsid w:val="005D5EBF"/>
    <w:rsid w:val="005D6111"/>
    <w:rsid w:val="005D6126"/>
    <w:rsid w:val="005D618C"/>
    <w:rsid w:val="005D6230"/>
    <w:rsid w:val="005D6450"/>
    <w:rsid w:val="005D66A8"/>
    <w:rsid w:val="005D6919"/>
    <w:rsid w:val="005D6E54"/>
    <w:rsid w:val="005D7103"/>
    <w:rsid w:val="005D74DA"/>
    <w:rsid w:val="005D7754"/>
    <w:rsid w:val="005D77A6"/>
    <w:rsid w:val="005D7FCF"/>
    <w:rsid w:val="005E078E"/>
    <w:rsid w:val="005E0A72"/>
    <w:rsid w:val="005E0D39"/>
    <w:rsid w:val="005E0D95"/>
    <w:rsid w:val="005E0DFD"/>
    <w:rsid w:val="005E130F"/>
    <w:rsid w:val="005E14AB"/>
    <w:rsid w:val="005E14D5"/>
    <w:rsid w:val="005E15E9"/>
    <w:rsid w:val="005E1807"/>
    <w:rsid w:val="005E1A40"/>
    <w:rsid w:val="005E1AEC"/>
    <w:rsid w:val="005E1B7B"/>
    <w:rsid w:val="005E1F3E"/>
    <w:rsid w:val="005E1F56"/>
    <w:rsid w:val="005E2107"/>
    <w:rsid w:val="005E22A2"/>
    <w:rsid w:val="005E24BB"/>
    <w:rsid w:val="005E2545"/>
    <w:rsid w:val="005E259F"/>
    <w:rsid w:val="005E2806"/>
    <w:rsid w:val="005E2823"/>
    <w:rsid w:val="005E2A23"/>
    <w:rsid w:val="005E2BC8"/>
    <w:rsid w:val="005E2DB0"/>
    <w:rsid w:val="005E2FBA"/>
    <w:rsid w:val="005E34D2"/>
    <w:rsid w:val="005E354A"/>
    <w:rsid w:val="005E35FA"/>
    <w:rsid w:val="005E3E4F"/>
    <w:rsid w:val="005E4115"/>
    <w:rsid w:val="005E41F2"/>
    <w:rsid w:val="005E43B8"/>
    <w:rsid w:val="005E4533"/>
    <w:rsid w:val="005E4645"/>
    <w:rsid w:val="005E4C00"/>
    <w:rsid w:val="005E4D43"/>
    <w:rsid w:val="005E516D"/>
    <w:rsid w:val="005E5522"/>
    <w:rsid w:val="005E5560"/>
    <w:rsid w:val="005E5593"/>
    <w:rsid w:val="005E5ADA"/>
    <w:rsid w:val="005E5ADC"/>
    <w:rsid w:val="005E5B11"/>
    <w:rsid w:val="005E5D97"/>
    <w:rsid w:val="005E6098"/>
    <w:rsid w:val="005E611B"/>
    <w:rsid w:val="005E6349"/>
    <w:rsid w:val="005E65BC"/>
    <w:rsid w:val="005E66E4"/>
    <w:rsid w:val="005E70E3"/>
    <w:rsid w:val="005E725E"/>
    <w:rsid w:val="005E7369"/>
    <w:rsid w:val="005E7615"/>
    <w:rsid w:val="005E77B2"/>
    <w:rsid w:val="005E78B8"/>
    <w:rsid w:val="005E7A26"/>
    <w:rsid w:val="005E7BA2"/>
    <w:rsid w:val="005E7E1F"/>
    <w:rsid w:val="005E7E68"/>
    <w:rsid w:val="005F0015"/>
    <w:rsid w:val="005F016E"/>
    <w:rsid w:val="005F0231"/>
    <w:rsid w:val="005F035C"/>
    <w:rsid w:val="005F052F"/>
    <w:rsid w:val="005F073F"/>
    <w:rsid w:val="005F096C"/>
    <w:rsid w:val="005F10BE"/>
    <w:rsid w:val="005F10E1"/>
    <w:rsid w:val="005F14D2"/>
    <w:rsid w:val="005F171D"/>
    <w:rsid w:val="005F1B00"/>
    <w:rsid w:val="005F1CAE"/>
    <w:rsid w:val="005F20B5"/>
    <w:rsid w:val="005F20CE"/>
    <w:rsid w:val="005F2226"/>
    <w:rsid w:val="005F23CB"/>
    <w:rsid w:val="005F25E6"/>
    <w:rsid w:val="005F266E"/>
    <w:rsid w:val="005F365B"/>
    <w:rsid w:val="005F392B"/>
    <w:rsid w:val="005F3BB7"/>
    <w:rsid w:val="005F4008"/>
    <w:rsid w:val="005F4148"/>
    <w:rsid w:val="005F454D"/>
    <w:rsid w:val="005F4658"/>
    <w:rsid w:val="005F47B3"/>
    <w:rsid w:val="005F485A"/>
    <w:rsid w:val="005F4B32"/>
    <w:rsid w:val="005F4C09"/>
    <w:rsid w:val="005F4F34"/>
    <w:rsid w:val="005F4F9A"/>
    <w:rsid w:val="005F4FF7"/>
    <w:rsid w:val="005F5117"/>
    <w:rsid w:val="005F5125"/>
    <w:rsid w:val="005F51D6"/>
    <w:rsid w:val="005F52BE"/>
    <w:rsid w:val="005F565A"/>
    <w:rsid w:val="005F5670"/>
    <w:rsid w:val="005F5731"/>
    <w:rsid w:val="005F5975"/>
    <w:rsid w:val="005F5E58"/>
    <w:rsid w:val="005F5F5B"/>
    <w:rsid w:val="005F61DD"/>
    <w:rsid w:val="005F61E5"/>
    <w:rsid w:val="005F631C"/>
    <w:rsid w:val="005F67E1"/>
    <w:rsid w:val="005F698B"/>
    <w:rsid w:val="005F6BBD"/>
    <w:rsid w:val="005F6C39"/>
    <w:rsid w:val="005F6DAB"/>
    <w:rsid w:val="005F6E9C"/>
    <w:rsid w:val="005F72EB"/>
    <w:rsid w:val="005F7BB2"/>
    <w:rsid w:val="005F7C54"/>
    <w:rsid w:val="005F7D9C"/>
    <w:rsid w:val="005F7DF8"/>
    <w:rsid w:val="005F7FD0"/>
    <w:rsid w:val="00600138"/>
    <w:rsid w:val="00600162"/>
    <w:rsid w:val="006002FB"/>
    <w:rsid w:val="006008E0"/>
    <w:rsid w:val="006009B8"/>
    <w:rsid w:val="00600D0C"/>
    <w:rsid w:val="00600DF7"/>
    <w:rsid w:val="00600F40"/>
    <w:rsid w:val="006010BD"/>
    <w:rsid w:val="00601214"/>
    <w:rsid w:val="006014B9"/>
    <w:rsid w:val="006014C3"/>
    <w:rsid w:val="00601696"/>
    <w:rsid w:val="00601777"/>
    <w:rsid w:val="006018F9"/>
    <w:rsid w:val="0060197A"/>
    <w:rsid w:val="0060218E"/>
    <w:rsid w:val="006024AE"/>
    <w:rsid w:val="00602501"/>
    <w:rsid w:val="00602ED7"/>
    <w:rsid w:val="006030BF"/>
    <w:rsid w:val="006031F9"/>
    <w:rsid w:val="00603636"/>
    <w:rsid w:val="00603B81"/>
    <w:rsid w:val="00603D74"/>
    <w:rsid w:val="00604052"/>
    <w:rsid w:val="006040E2"/>
    <w:rsid w:val="0060487C"/>
    <w:rsid w:val="00604968"/>
    <w:rsid w:val="00604D9E"/>
    <w:rsid w:val="00605263"/>
    <w:rsid w:val="00605724"/>
    <w:rsid w:val="00605732"/>
    <w:rsid w:val="00605940"/>
    <w:rsid w:val="006059A3"/>
    <w:rsid w:val="00605DE0"/>
    <w:rsid w:val="00605F38"/>
    <w:rsid w:val="00605F62"/>
    <w:rsid w:val="00605F84"/>
    <w:rsid w:val="0060605F"/>
    <w:rsid w:val="0060632B"/>
    <w:rsid w:val="00606573"/>
    <w:rsid w:val="00606638"/>
    <w:rsid w:val="006066C9"/>
    <w:rsid w:val="00606A4A"/>
    <w:rsid w:val="0060704B"/>
    <w:rsid w:val="00607102"/>
    <w:rsid w:val="006075BE"/>
    <w:rsid w:val="00607A53"/>
    <w:rsid w:val="00607AC2"/>
    <w:rsid w:val="00607E60"/>
    <w:rsid w:val="00607F85"/>
    <w:rsid w:val="00607FFB"/>
    <w:rsid w:val="00610054"/>
    <w:rsid w:val="006102BD"/>
    <w:rsid w:val="00610312"/>
    <w:rsid w:val="00610445"/>
    <w:rsid w:val="00610499"/>
    <w:rsid w:val="00610567"/>
    <w:rsid w:val="006106B2"/>
    <w:rsid w:val="00610885"/>
    <w:rsid w:val="006108B8"/>
    <w:rsid w:val="00610B11"/>
    <w:rsid w:val="00610CC4"/>
    <w:rsid w:val="00610CFA"/>
    <w:rsid w:val="00610D6A"/>
    <w:rsid w:val="00610E31"/>
    <w:rsid w:val="00610EC9"/>
    <w:rsid w:val="00610FC7"/>
    <w:rsid w:val="006112D6"/>
    <w:rsid w:val="006114FD"/>
    <w:rsid w:val="006115A6"/>
    <w:rsid w:val="00611F1E"/>
    <w:rsid w:val="00612819"/>
    <w:rsid w:val="00612EA9"/>
    <w:rsid w:val="0061324F"/>
    <w:rsid w:val="006135F5"/>
    <w:rsid w:val="006136CB"/>
    <w:rsid w:val="006139DE"/>
    <w:rsid w:val="00613B32"/>
    <w:rsid w:val="00613C7F"/>
    <w:rsid w:val="00613C91"/>
    <w:rsid w:val="00613D1C"/>
    <w:rsid w:val="00613E82"/>
    <w:rsid w:val="00614399"/>
    <w:rsid w:val="006144AF"/>
    <w:rsid w:val="006144C3"/>
    <w:rsid w:val="00614603"/>
    <w:rsid w:val="006146A2"/>
    <w:rsid w:val="006147DB"/>
    <w:rsid w:val="00614893"/>
    <w:rsid w:val="006148BC"/>
    <w:rsid w:val="00614C6B"/>
    <w:rsid w:val="00614E1C"/>
    <w:rsid w:val="00614F0C"/>
    <w:rsid w:val="00614FE5"/>
    <w:rsid w:val="006150E9"/>
    <w:rsid w:val="006152CC"/>
    <w:rsid w:val="006153A2"/>
    <w:rsid w:val="00615884"/>
    <w:rsid w:val="00615D67"/>
    <w:rsid w:val="00616003"/>
    <w:rsid w:val="00616089"/>
    <w:rsid w:val="00616219"/>
    <w:rsid w:val="00616388"/>
    <w:rsid w:val="00616400"/>
    <w:rsid w:val="0061648B"/>
    <w:rsid w:val="0061648E"/>
    <w:rsid w:val="006164D6"/>
    <w:rsid w:val="00616727"/>
    <w:rsid w:val="00616B03"/>
    <w:rsid w:val="00616F88"/>
    <w:rsid w:val="00617050"/>
    <w:rsid w:val="0061706A"/>
    <w:rsid w:val="00617196"/>
    <w:rsid w:val="006172CB"/>
    <w:rsid w:val="006174B7"/>
    <w:rsid w:val="006174D8"/>
    <w:rsid w:val="006174FB"/>
    <w:rsid w:val="006179D9"/>
    <w:rsid w:val="00617E01"/>
    <w:rsid w:val="006200B5"/>
    <w:rsid w:val="006203E2"/>
    <w:rsid w:val="00620857"/>
    <w:rsid w:val="00620BEB"/>
    <w:rsid w:val="00620F00"/>
    <w:rsid w:val="00621026"/>
    <w:rsid w:val="00621A05"/>
    <w:rsid w:val="00621A3D"/>
    <w:rsid w:val="00621B69"/>
    <w:rsid w:val="00622007"/>
    <w:rsid w:val="0062217F"/>
    <w:rsid w:val="006223F5"/>
    <w:rsid w:val="006224BE"/>
    <w:rsid w:val="006226DE"/>
    <w:rsid w:val="006227E5"/>
    <w:rsid w:val="00622838"/>
    <w:rsid w:val="00622873"/>
    <w:rsid w:val="00622A44"/>
    <w:rsid w:val="00622B83"/>
    <w:rsid w:val="00622EA0"/>
    <w:rsid w:val="006231FC"/>
    <w:rsid w:val="00623859"/>
    <w:rsid w:val="00623A8C"/>
    <w:rsid w:val="00623F36"/>
    <w:rsid w:val="00624023"/>
    <w:rsid w:val="006240A0"/>
    <w:rsid w:val="006241AA"/>
    <w:rsid w:val="0062429E"/>
    <w:rsid w:val="006244FA"/>
    <w:rsid w:val="006245FD"/>
    <w:rsid w:val="00624644"/>
    <w:rsid w:val="00624A29"/>
    <w:rsid w:val="00624A59"/>
    <w:rsid w:val="00624BE4"/>
    <w:rsid w:val="00624BE7"/>
    <w:rsid w:val="00625083"/>
    <w:rsid w:val="006252E0"/>
    <w:rsid w:val="006254EC"/>
    <w:rsid w:val="006257A8"/>
    <w:rsid w:val="006257CB"/>
    <w:rsid w:val="0062580A"/>
    <w:rsid w:val="00625B03"/>
    <w:rsid w:val="00625B2B"/>
    <w:rsid w:val="00625C62"/>
    <w:rsid w:val="00626077"/>
    <w:rsid w:val="00626559"/>
    <w:rsid w:val="006265B0"/>
    <w:rsid w:val="006266ED"/>
    <w:rsid w:val="0062675F"/>
    <w:rsid w:val="006269E3"/>
    <w:rsid w:val="0062703B"/>
    <w:rsid w:val="00627093"/>
    <w:rsid w:val="006272A7"/>
    <w:rsid w:val="006275A1"/>
    <w:rsid w:val="00627686"/>
    <w:rsid w:val="006278E6"/>
    <w:rsid w:val="00627E43"/>
    <w:rsid w:val="006300BF"/>
    <w:rsid w:val="00630169"/>
    <w:rsid w:val="006301D7"/>
    <w:rsid w:val="00630377"/>
    <w:rsid w:val="0063038E"/>
    <w:rsid w:val="00630433"/>
    <w:rsid w:val="00630550"/>
    <w:rsid w:val="00630561"/>
    <w:rsid w:val="006305E7"/>
    <w:rsid w:val="00630629"/>
    <w:rsid w:val="006306D0"/>
    <w:rsid w:val="0063086F"/>
    <w:rsid w:val="00630B14"/>
    <w:rsid w:val="00630D3B"/>
    <w:rsid w:val="00630EB0"/>
    <w:rsid w:val="00630F34"/>
    <w:rsid w:val="00631030"/>
    <w:rsid w:val="006310E9"/>
    <w:rsid w:val="006312A8"/>
    <w:rsid w:val="006314A8"/>
    <w:rsid w:val="00631724"/>
    <w:rsid w:val="0063179E"/>
    <w:rsid w:val="00631B00"/>
    <w:rsid w:val="00631B50"/>
    <w:rsid w:val="00631C93"/>
    <w:rsid w:val="00631E37"/>
    <w:rsid w:val="006321F7"/>
    <w:rsid w:val="00632490"/>
    <w:rsid w:val="006325CB"/>
    <w:rsid w:val="0063273B"/>
    <w:rsid w:val="006328E1"/>
    <w:rsid w:val="00632D24"/>
    <w:rsid w:val="00632E9A"/>
    <w:rsid w:val="00632FA0"/>
    <w:rsid w:val="00633558"/>
    <w:rsid w:val="0063368A"/>
    <w:rsid w:val="00633836"/>
    <w:rsid w:val="006338AA"/>
    <w:rsid w:val="0063399B"/>
    <w:rsid w:val="00633C4D"/>
    <w:rsid w:val="00633F1E"/>
    <w:rsid w:val="00633F7A"/>
    <w:rsid w:val="006343F8"/>
    <w:rsid w:val="00634AAF"/>
    <w:rsid w:val="00634AC2"/>
    <w:rsid w:val="00634AED"/>
    <w:rsid w:val="00634DF6"/>
    <w:rsid w:val="00634FB9"/>
    <w:rsid w:val="00634FBE"/>
    <w:rsid w:val="006352E7"/>
    <w:rsid w:val="006353EA"/>
    <w:rsid w:val="0063566A"/>
    <w:rsid w:val="006356FB"/>
    <w:rsid w:val="00635758"/>
    <w:rsid w:val="0063576C"/>
    <w:rsid w:val="006357EE"/>
    <w:rsid w:val="0063590D"/>
    <w:rsid w:val="00635C3A"/>
    <w:rsid w:val="00635CDB"/>
    <w:rsid w:val="00635F48"/>
    <w:rsid w:val="00636175"/>
    <w:rsid w:val="00636212"/>
    <w:rsid w:val="006366E6"/>
    <w:rsid w:val="0063683E"/>
    <w:rsid w:val="0063697E"/>
    <w:rsid w:val="00636AD7"/>
    <w:rsid w:val="00636CAF"/>
    <w:rsid w:val="00636D28"/>
    <w:rsid w:val="006372A9"/>
    <w:rsid w:val="00637606"/>
    <w:rsid w:val="0063768A"/>
    <w:rsid w:val="006378AB"/>
    <w:rsid w:val="00637958"/>
    <w:rsid w:val="00637ACD"/>
    <w:rsid w:val="00637B57"/>
    <w:rsid w:val="00637DA2"/>
    <w:rsid w:val="00637EF1"/>
    <w:rsid w:val="0064010A"/>
    <w:rsid w:val="006401DC"/>
    <w:rsid w:val="0064020A"/>
    <w:rsid w:val="00640DC3"/>
    <w:rsid w:val="00640EA5"/>
    <w:rsid w:val="00641059"/>
    <w:rsid w:val="006412DD"/>
    <w:rsid w:val="00641423"/>
    <w:rsid w:val="00641972"/>
    <w:rsid w:val="00641BDB"/>
    <w:rsid w:val="00641D9B"/>
    <w:rsid w:val="00642066"/>
    <w:rsid w:val="006420F5"/>
    <w:rsid w:val="006422D9"/>
    <w:rsid w:val="0064241B"/>
    <w:rsid w:val="006427D4"/>
    <w:rsid w:val="006428ED"/>
    <w:rsid w:val="006429A1"/>
    <w:rsid w:val="00642AB9"/>
    <w:rsid w:val="00642B83"/>
    <w:rsid w:val="00642BC5"/>
    <w:rsid w:val="006433C8"/>
    <w:rsid w:val="006433F1"/>
    <w:rsid w:val="006434CA"/>
    <w:rsid w:val="006437F1"/>
    <w:rsid w:val="006440B9"/>
    <w:rsid w:val="006448EF"/>
    <w:rsid w:val="0064494F"/>
    <w:rsid w:val="00644969"/>
    <w:rsid w:val="00644A13"/>
    <w:rsid w:val="00644C14"/>
    <w:rsid w:val="00644DA2"/>
    <w:rsid w:val="0064501D"/>
    <w:rsid w:val="00645107"/>
    <w:rsid w:val="0064531A"/>
    <w:rsid w:val="00645579"/>
    <w:rsid w:val="006455E4"/>
    <w:rsid w:val="0064573F"/>
    <w:rsid w:val="006459F1"/>
    <w:rsid w:val="00645B6A"/>
    <w:rsid w:val="00645D4F"/>
    <w:rsid w:val="00645D76"/>
    <w:rsid w:val="00645FFC"/>
    <w:rsid w:val="00646310"/>
    <w:rsid w:val="00646488"/>
    <w:rsid w:val="00646605"/>
    <w:rsid w:val="00646900"/>
    <w:rsid w:val="00646B10"/>
    <w:rsid w:val="00646B84"/>
    <w:rsid w:val="00646BE5"/>
    <w:rsid w:val="0064707E"/>
    <w:rsid w:val="00647147"/>
    <w:rsid w:val="006472D6"/>
    <w:rsid w:val="00647477"/>
    <w:rsid w:val="00647839"/>
    <w:rsid w:val="006478FE"/>
    <w:rsid w:val="00647B15"/>
    <w:rsid w:val="00647B71"/>
    <w:rsid w:val="00647BDC"/>
    <w:rsid w:val="00647EE0"/>
    <w:rsid w:val="006502C0"/>
    <w:rsid w:val="006502C3"/>
    <w:rsid w:val="0065047C"/>
    <w:rsid w:val="006509F4"/>
    <w:rsid w:val="00650B23"/>
    <w:rsid w:val="00650CF1"/>
    <w:rsid w:val="00650D24"/>
    <w:rsid w:val="00650ED2"/>
    <w:rsid w:val="00650FFE"/>
    <w:rsid w:val="0065103C"/>
    <w:rsid w:val="006514B7"/>
    <w:rsid w:val="00651635"/>
    <w:rsid w:val="0065170E"/>
    <w:rsid w:val="006519B7"/>
    <w:rsid w:val="00651A28"/>
    <w:rsid w:val="00651BB3"/>
    <w:rsid w:val="00651DE4"/>
    <w:rsid w:val="00651E07"/>
    <w:rsid w:val="00651E45"/>
    <w:rsid w:val="00651E6D"/>
    <w:rsid w:val="0065206A"/>
    <w:rsid w:val="00652669"/>
    <w:rsid w:val="00652687"/>
    <w:rsid w:val="00652739"/>
    <w:rsid w:val="0065294F"/>
    <w:rsid w:val="00652992"/>
    <w:rsid w:val="00652E06"/>
    <w:rsid w:val="006531B8"/>
    <w:rsid w:val="006534FB"/>
    <w:rsid w:val="00653579"/>
    <w:rsid w:val="006536C7"/>
    <w:rsid w:val="006538D0"/>
    <w:rsid w:val="00653A5C"/>
    <w:rsid w:val="00653BE3"/>
    <w:rsid w:val="00654038"/>
    <w:rsid w:val="00654311"/>
    <w:rsid w:val="0065443D"/>
    <w:rsid w:val="00654500"/>
    <w:rsid w:val="0065475A"/>
    <w:rsid w:val="00654855"/>
    <w:rsid w:val="00654A3F"/>
    <w:rsid w:val="00654B9C"/>
    <w:rsid w:val="00654BA9"/>
    <w:rsid w:val="00654C03"/>
    <w:rsid w:val="00654D63"/>
    <w:rsid w:val="00654E32"/>
    <w:rsid w:val="00655214"/>
    <w:rsid w:val="00655300"/>
    <w:rsid w:val="006554A1"/>
    <w:rsid w:val="00655EF4"/>
    <w:rsid w:val="00655F32"/>
    <w:rsid w:val="00655FF7"/>
    <w:rsid w:val="0065603B"/>
    <w:rsid w:val="006565B2"/>
    <w:rsid w:val="006567F6"/>
    <w:rsid w:val="0065681E"/>
    <w:rsid w:val="0065691B"/>
    <w:rsid w:val="00656DA1"/>
    <w:rsid w:val="00656EBE"/>
    <w:rsid w:val="006579CC"/>
    <w:rsid w:val="00657A26"/>
    <w:rsid w:val="00657A30"/>
    <w:rsid w:val="00657B2A"/>
    <w:rsid w:val="00657BEA"/>
    <w:rsid w:val="0066031B"/>
    <w:rsid w:val="00660355"/>
    <w:rsid w:val="00660365"/>
    <w:rsid w:val="00660844"/>
    <w:rsid w:val="00660B3C"/>
    <w:rsid w:val="00660B63"/>
    <w:rsid w:val="00660BE3"/>
    <w:rsid w:val="00660C19"/>
    <w:rsid w:val="00660D9A"/>
    <w:rsid w:val="00660ED5"/>
    <w:rsid w:val="006611FF"/>
    <w:rsid w:val="0066152B"/>
    <w:rsid w:val="0066166C"/>
    <w:rsid w:val="0066181C"/>
    <w:rsid w:val="0066188B"/>
    <w:rsid w:val="00661B28"/>
    <w:rsid w:val="00661C11"/>
    <w:rsid w:val="006620B5"/>
    <w:rsid w:val="006620C5"/>
    <w:rsid w:val="00662126"/>
    <w:rsid w:val="00662369"/>
    <w:rsid w:val="006629EE"/>
    <w:rsid w:val="00662B4C"/>
    <w:rsid w:val="00662CD4"/>
    <w:rsid w:val="00663102"/>
    <w:rsid w:val="0066323E"/>
    <w:rsid w:val="00663402"/>
    <w:rsid w:val="0066343B"/>
    <w:rsid w:val="006634CB"/>
    <w:rsid w:val="00663743"/>
    <w:rsid w:val="00663762"/>
    <w:rsid w:val="00663772"/>
    <w:rsid w:val="006637C9"/>
    <w:rsid w:val="00664449"/>
    <w:rsid w:val="00664474"/>
    <w:rsid w:val="0066465D"/>
    <w:rsid w:val="0066492D"/>
    <w:rsid w:val="00664B4E"/>
    <w:rsid w:val="00664E49"/>
    <w:rsid w:val="00664EF8"/>
    <w:rsid w:val="006655F1"/>
    <w:rsid w:val="00665AC1"/>
    <w:rsid w:val="00665B91"/>
    <w:rsid w:val="00666285"/>
    <w:rsid w:val="006662D0"/>
    <w:rsid w:val="006662EF"/>
    <w:rsid w:val="00666361"/>
    <w:rsid w:val="006666E9"/>
    <w:rsid w:val="0066672A"/>
    <w:rsid w:val="0066687D"/>
    <w:rsid w:val="00666B69"/>
    <w:rsid w:val="0066729F"/>
    <w:rsid w:val="006672DE"/>
    <w:rsid w:val="006674FD"/>
    <w:rsid w:val="00667603"/>
    <w:rsid w:val="00667951"/>
    <w:rsid w:val="00667C5E"/>
    <w:rsid w:val="00667D36"/>
    <w:rsid w:val="00667FD6"/>
    <w:rsid w:val="006700B7"/>
    <w:rsid w:val="00670154"/>
    <w:rsid w:val="00670516"/>
    <w:rsid w:val="00670B1B"/>
    <w:rsid w:val="00670BC5"/>
    <w:rsid w:val="00670CFD"/>
    <w:rsid w:val="006710C1"/>
    <w:rsid w:val="00671118"/>
    <w:rsid w:val="00671132"/>
    <w:rsid w:val="00671484"/>
    <w:rsid w:val="00671684"/>
    <w:rsid w:val="00671AD7"/>
    <w:rsid w:val="00671F56"/>
    <w:rsid w:val="006721C3"/>
    <w:rsid w:val="0067222C"/>
    <w:rsid w:val="006725B1"/>
    <w:rsid w:val="0067285E"/>
    <w:rsid w:val="0067287C"/>
    <w:rsid w:val="00672A7E"/>
    <w:rsid w:val="00672AB8"/>
    <w:rsid w:val="00673070"/>
    <w:rsid w:val="0067324D"/>
    <w:rsid w:val="0067328B"/>
    <w:rsid w:val="0067340A"/>
    <w:rsid w:val="0067353D"/>
    <w:rsid w:val="00673680"/>
    <w:rsid w:val="00673B88"/>
    <w:rsid w:val="00673DC1"/>
    <w:rsid w:val="00673E5F"/>
    <w:rsid w:val="00673E94"/>
    <w:rsid w:val="00674079"/>
    <w:rsid w:val="0067453D"/>
    <w:rsid w:val="00674785"/>
    <w:rsid w:val="00674C38"/>
    <w:rsid w:val="00674D2E"/>
    <w:rsid w:val="00674FD2"/>
    <w:rsid w:val="006750A9"/>
    <w:rsid w:val="006754F4"/>
    <w:rsid w:val="006755DF"/>
    <w:rsid w:val="00675DCC"/>
    <w:rsid w:val="00676277"/>
    <w:rsid w:val="00676334"/>
    <w:rsid w:val="00676365"/>
    <w:rsid w:val="0067641A"/>
    <w:rsid w:val="006769A3"/>
    <w:rsid w:val="00676AD4"/>
    <w:rsid w:val="00676BFF"/>
    <w:rsid w:val="00676E92"/>
    <w:rsid w:val="00676FE3"/>
    <w:rsid w:val="00677196"/>
    <w:rsid w:val="0067726E"/>
    <w:rsid w:val="0067754F"/>
    <w:rsid w:val="00677560"/>
    <w:rsid w:val="00677651"/>
    <w:rsid w:val="00677844"/>
    <w:rsid w:val="0067792A"/>
    <w:rsid w:val="00677B11"/>
    <w:rsid w:val="00677BF6"/>
    <w:rsid w:val="00677E7F"/>
    <w:rsid w:val="00677EF2"/>
    <w:rsid w:val="00677FEE"/>
    <w:rsid w:val="006807FB"/>
    <w:rsid w:val="00680882"/>
    <w:rsid w:val="00680FC7"/>
    <w:rsid w:val="00681114"/>
    <w:rsid w:val="00681192"/>
    <w:rsid w:val="006811D5"/>
    <w:rsid w:val="006813EA"/>
    <w:rsid w:val="0068148B"/>
    <w:rsid w:val="006814F3"/>
    <w:rsid w:val="00681689"/>
    <w:rsid w:val="0068184F"/>
    <w:rsid w:val="00681BF3"/>
    <w:rsid w:val="00681F73"/>
    <w:rsid w:val="00681FB0"/>
    <w:rsid w:val="00681FE8"/>
    <w:rsid w:val="00682148"/>
    <w:rsid w:val="00682243"/>
    <w:rsid w:val="00682939"/>
    <w:rsid w:val="00682B58"/>
    <w:rsid w:val="0068315C"/>
    <w:rsid w:val="00683421"/>
    <w:rsid w:val="006836B2"/>
    <w:rsid w:val="00683823"/>
    <w:rsid w:val="00683A28"/>
    <w:rsid w:val="00683D41"/>
    <w:rsid w:val="00684399"/>
    <w:rsid w:val="006844CB"/>
    <w:rsid w:val="00684533"/>
    <w:rsid w:val="006847E4"/>
    <w:rsid w:val="00684957"/>
    <w:rsid w:val="00684AE3"/>
    <w:rsid w:val="00684EB9"/>
    <w:rsid w:val="006854F9"/>
    <w:rsid w:val="0068577B"/>
    <w:rsid w:val="006859B0"/>
    <w:rsid w:val="00685A0D"/>
    <w:rsid w:val="00685A60"/>
    <w:rsid w:val="00685A67"/>
    <w:rsid w:val="00685A9D"/>
    <w:rsid w:val="00685BCF"/>
    <w:rsid w:val="00685D5A"/>
    <w:rsid w:val="00685DDD"/>
    <w:rsid w:val="00685FAB"/>
    <w:rsid w:val="0068609B"/>
    <w:rsid w:val="006860D5"/>
    <w:rsid w:val="00686391"/>
    <w:rsid w:val="00686481"/>
    <w:rsid w:val="006864F7"/>
    <w:rsid w:val="006864F9"/>
    <w:rsid w:val="006866AE"/>
    <w:rsid w:val="00686759"/>
    <w:rsid w:val="00686EE2"/>
    <w:rsid w:val="006870AA"/>
    <w:rsid w:val="0068728D"/>
    <w:rsid w:val="006873C3"/>
    <w:rsid w:val="00687696"/>
    <w:rsid w:val="00687AD7"/>
    <w:rsid w:val="00687B9A"/>
    <w:rsid w:val="006901B0"/>
    <w:rsid w:val="00690302"/>
    <w:rsid w:val="00690402"/>
    <w:rsid w:val="006904A6"/>
    <w:rsid w:val="00690865"/>
    <w:rsid w:val="006909F6"/>
    <w:rsid w:val="00690D2C"/>
    <w:rsid w:val="00690E4B"/>
    <w:rsid w:val="00690F87"/>
    <w:rsid w:val="00691041"/>
    <w:rsid w:val="0069107E"/>
    <w:rsid w:val="00691162"/>
    <w:rsid w:val="006911A7"/>
    <w:rsid w:val="00691285"/>
    <w:rsid w:val="006913D8"/>
    <w:rsid w:val="00691618"/>
    <w:rsid w:val="00691733"/>
    <w:rsid w:val="00691793"/>
    <w:rsid w:val="00691AC2"/>
    <w:rsid w:val="00691B51"/>
    <w:rsid w:val="00691BDF"/>
    <w:rsid w:val="00691D43"/>
    <w:rsid w:val="00691FBF"/>
    <w:rsid w:val="006920EB"/>
    <w:rsid w:val="00692116"/>
    <w:rsid w:val="006923D2"/>
    <w:rsid w:val="006925CB"/>
    <w:rsid w:val="006925F5"/>
    <w:rsid w:val="00692623"/>
    <w:rsid w:val="0069266D"/>
    <w:rsid w:val="0069284A"/>
    <w:rsid w:val="00692958"/>
    <w:rsid w:val="00692B92"/>
    <w:rsid w:val="00692D98"/>
    <w:rsid w:val="00692E73"/>
    <w:rsid w:val="00692F0F"/>
    <w:rsid w:val="00692F53"/>
    <w:rsid w:val="00692F79"/>
    <w:rsid w:val="00693039"/>
    <w:rsid w:val="0069305F"/>
    <w:rsid w:val="00693081"/>
    <w:rsid w:val="00693382"/>
    <w:rsid w:val="006933DD"/>
    <w:rsid w:val="0069366B"/>
    <w:rsid w:val="0069369F"/>
    <w:rsid w:val="006937B9"/>
    <w:rsid w:val="00693895"/>
    <w:rsid w:val="00693929"/>
    <w:rsid w:val="00693F0A"/>
    <w:rsid w:val="0069406F"/>
    <w:rsid w:val="0069410D"/>
    <w:rsid w:val="00694610"/>
    <w:rsid w:val="006947E3"/>
    <w:rsid w:val="00694926"/>
    <w:rsid w:val="00694B10"/>
    <w:rsid w:val="006955E5"/>
    <w:rsid w:val="00695741"/>
    <w:rsid w:val="006958E8"/>
    <w:rsid w:val="006958F3"/>
    <w:rsid w:val="0069597D"/>
    <w:rsid w:val="00695A12"/>
    <w:rsid w:val="00695C60"/>
    <w:rsid w:val="00695DB0"/>
    <w:rsid w:val="006960F3"/>
    <w:rsid w:val="006961AE"/>
    <w:rsid w:val="00696281"/>
    <w:rsid w:val="0069641A"/>
    <w:rsid w:val="0069644A"/>
    <w:rsid w:val="006967AE"/>
    <w:rsid w:val="006969C1"/>
    <w:rsid w:val="00696AB0"/>
    <w:rsid w:val="00697625"/>
    <w:rsid w:val="00697786"/>
    <w:rsid w:val="0069789C"/>
    <w:rsid w:val="006978D2"/>
    <w:rsid w:val="00697C2A"/>
    <w:rsid w:val="006A00A1"/>
    <w:rsid w:val="006A055F"/>
    <w:rsid w:val="006A05DF"/>
    <w:rsid w:val="006A0758"/>
    <w:rsid w:val="006A08F2"/>
    <w:rsid w:val="006A09EC"/>
    <w:rsid w:val="006A0AC4"/>
    <w:rsid w:val="006A0AFD"/>
    <w:rsid w:val="006A0B57"/>
    <w:rsid w:val="006A0BF3"/>
    <w:rsid w:val="006A0EAE"/>
    <w:rsid w:val="006A1221"/>
    <w:rsid w:val="006A135C"/>
    <w:rsid w:val="006A16FD"/>
    <w:rsid w:val="006A18CE"/>
    <w:rsid w:val="006A1A44"/>
    <w:rsid w:val="006A1B18"/>
    <w:rsid w:val="006A1DDA"/>
    <w:rsid w:val="006A1EAF"/>
    <w:rsid w:val="006A2004"/>
    <w:rsid w:val="006A202D"/>
    <w:rsid w:val="006A2266"/>
    <w:rsid w:val="006A22C3"/>
    <w:rsid w:val="006A2473"/>
    <w:rsid w:val="006A27A5"/>
    <w:rsid w:val="006A27B9"/>
    <w:rsid w:val="006A2C80"/>
    <w:rsid w:val="006A2DB3"/>
    <w:rsid w:val="006A302D"/>
    <w:rsid w:val="006A327E"/>
    <w:rsid w:val="006A33DD"/>
    <w:rsid w:val="006A354B"/>
    <w:rsid w:val="006A369B"/>
    <w:rsid w:val="006A3841"/>
    <w:rsid w:val="006A3866"/>
    <w:rsid w:val="006A3A04"/>
    <w:rsid w:val="006A3E68"/>
    <w:rsid w:val="006A3F6C"/>
    <w:rsid w:val="006A3FB9"/>
    <w:rsid w:val="006A4054"/>
    <w:rsid w:val="006A407F"/>
    <w:rsid w:val="006A4348"/>
    <w:rsid w:val="006A43B8"/>
    <w:rsid w:val="006A43C3"/>
    <w:rsid w:val="006A456E"/>
    <w:rsid w:val="006A45F7"/>
    <w:rsid w:val="006A4777"/>
    <w:rsid w:val="006A4979"/>
    <w:rsid w:val="006A4C30"/>
    <w:rsid w:val="006A4C88"/>
    <w:rsid w:val="006A4D6C"/>
    <w:rsid w:val="006A4EED"/>
    <w:rsid w:val="006A5068"/>
    <w:rsid w:val="006A5134"/>
    <w:rsid w:val="006A513D"/>
    <w:rsid w:val="006A5646"/>
    <w:rsid w:val="006A5912"/>
    <w:rsid w:val="006A61E1"/>
    <w:rsid w:val="006A620C"/>
    <w:rsid w:val="006A642F"/>
    <w:rsid w:val="006A64D2"/>
    <w:rsid w:val="006A6695"/>
    <w:rsid w:val="006A6699"/>
    <w:rsid w:val="006A67D0"/>
    <w:rsid w:val="006A6C46"/>
    <w:rsid w:val="006A6C56"/>
    <w:rsid w:val="006A6D47"/>
    <w:rsid w:val="006A6DF7"/>
    <w:rsid w:val="006A6EBD"/>
    <w:rsid w:val="006A71EC"/>
    <w:rsid w:val="006A7284"/>
    <w:rsid w:val="006A73F2"/>
    <w:rsid w:val="006A7584"/>
    <w:rsid w:val="006A75FB"/>
    <w:rsid w:val="006A7603"/>
    <w:rsid w:val="006A7604"/>
    <w:rsid w:val="006A7612"/>
    <w:rsid w:val="006A766D"/>
    <w:rsid w:val="006A7995"/>
    <w:rsid w:val="006B0420"/>
    <w:rsid w:val="006B0C59"/>
    <w:rsid w:val="006B124C"/>
    <w:rsid w:val="006B15CC"/>
    <w:rsid w:val="006B256A"/>
    <w:rsid w:val="006B25FA"/>
    <w:rsid w:val="006B2D63"/>
    <w:rsid w:val="006B3086"/>
    <w:rsid w:val="006B30E0"/>
    <w:rsid w:val="006B30FE"/>
    <w:rsid w:val="006B387B"/>
    <w:rsid w:val="006B3935"/>
    <w:rsid w:val="006B3B4E"/>
    <w:rsid w:val="006B3CBA"/>
    <w:rsid w:val="006B3DF9"/>
    <w:rsid w:val="006B3E0C"/>
    <w:rsid w:val="006B4534"/>
    <w:rsid w:val="006B48B9"/>
    <w:rsid w:val="006B4929"/>
    <w:rsid w:val="006B4D40"/>
    <w:rsid w:val="006B4E25"/>
    <w:rsid w:val="006B4E4E"/>
    <w:rsid w:val="006B4EBC"/>
    <w:rsid w:val="006B4F36"/>
    <w:rsid w:val="006B5003"/>
    <w:rsid w:val="006B5016"/>
    <w:rsid w:val="006B5123"/>
    <w:rsid w:val="006B5248"/>
    <w:rsid w:val="006B53C6"/>
    <w:rsid w:val="006B55B6"/>
    <w:rsid w:val="006B579E"/>
    <w:rsid w:val="006B5C9E"/>
    <w:rsid w:val="006B5D89"/>
    <w:rsid w:val="006B62DD"/>
    <w:rsid w:val="006B638D"/>
    <w:rsid w:val="006B650F"/>
    <w:rsid w:val="006B6614"/>
    <w:rsid w:val="006B66C1"/>
    <w:rsid w:val="006B66FD"/>
    <w:rsid w:val="006B6814"/>
    <w:rsid w:val="006B71F1"/>
    <w:rsid w:val="006B749F"/>
    <w:rsid w:val="006B758A"/>
    <w:rsid w:val="006B77B8"/>
    <w:rsid w:val="006B78FC"/>
    <w:rsid w:val="006B79BC"/>
    <w:rsid w:val="006B7AC9"/>
    <w:rsid w:val="006B7DBD"/>
    <w:rsid w:val="006B7E94"/>
    <w:rsid w:val="006C0133"/>
    <w:rsid w:val="006C02C9"/>
    <w:rsid w:val="006C02F0"/>
    <w:rsid w:val="006C049D"/>
    <w:rsid w:val="006C05ED"/>
    <w:rsid w:val="006C0B24"/>
    <w:rsid w:val="006C0BF4"/>
    <w:rsid w:val="006C0CA7"/>
    <w:rsid w:val="006C0F32"/>
    <w:rsid w:val="006C0F52"/>
    <w:rsid w:val="006C10A1"/>
    <w:rsid w:val="006C10F4"/>
    <w:rsid w:val="006C1442"/>
    <w:rsid w:val="006C1855"/>
    <w:rsid w:val="006C1C28"/>
    <w:rsid w:val="006C1C61"/>
    <w:rsid w:val="006C1F02"/>
    <w:rsid w:val="006C26C4"/>
    <w:rsid w:val="006C27DC"/>
    <w:rsid w:val="006C2801"/>
    <w:rsid w:val="006C2954"/>
    <w:rsid w:val="006C2A98"/>
    <w:rsid w:val="006C2C62"/>
    <w:rsid w:val="006C2ECA"/>
    <w:rsid w:val="006C2F7B"/>
    <w:rsid w:val="006C2FBC"/>
    <w:rsid w:val="006C302F"/>
    <w:rsid w:val="006C37D0"/>
    <w:rsid w:val="006C396D"/>
    <w:rsid w:val="006C3B12"/>
    <w:rsid w:val="006C3CD3"/>
    <w:rsid w:val="006C3D6D"/>
    <w:rsid w:val="006C3ED1"/>
    <w:rsid w:val="006C4365"/>
    <w:rsid w:val="006C45AE"/>
    <w:rsid w:val="006C4835"/>
    <w:rsid w:val="006C4CF9"/>
    <w:rsid w:val="006C4D2A"/>
    <w:rsid w:val="006C4D50"/>
    <w:rsid w:val="006C4E1F"/>
    <w:rsid w:val="006C4E9C"/>
    <w:rsid w:val="006C4FBB"/>
    <w:rsid w:val="006C5141"/>
    <w:rsid w:val="006C5307"/>
    <w:rsid w:val="006C536D"/>
    <w:rsid w:val="006C56BE"/>
    <w:rsid w:val="006C5A7C"/>
    <w:rsid w:val="006C5D61"/>
    <w:rsid w:val="006C5F1F"/>
    <w:rsid w:val="006C5FE6"/>
    <w:rsid w:val="006C6244"/>
    <w:rsid w:val="006C6358"/>
    <w:rsid w:val="006C6392"/>
    <w:rsid w:val="006C6425"/>
    <w:rsid w:val="006C654C"/>
    <w:rsid w:val="006C6589"/>
    <w:rsid w:val="006C6823"/>
    <w:rsid w:val="006C6859"/>
    <w:rsid w:val="006C6939"/>
    <w:rsid w:val="006C69E5"/>
    <w:rsid w:val="006C69F8"/>
    <w:rsid w:val="006C6B53"/>
    <w:rsid w:val="006C6CD4"/>
    <w:rsid w:val="006C7513"/>
    <w:rsid w:val="006C7CDE"/>
    <w:rsid w:val="006C7E22"/>
    <w:rsid w:val="006D00F2"/>
    <w:rsid w:val="006D0102"/>
    <w:rsid w:val="006D01A9"/>
    <w:rsid w:val="006D0512"/>
    <w:rsid w:val="006D079C"/>
    <w:rsid w:val="006D08B3"/>
    <w:rsid w:val="006D0B6C"/>
    <w:rsid w:val="006D0B8F"/>
    <w:rsid w:val="006D12DA"/>
    <w:rsid w:val="006D1531"/>
    <w:rsid w:val="006D162C"/>
    <w:rsid w:val="006D17E0"/>
    <w:rsid w:val="006D1803"/>
    <w:rsid w:val="006D19AE"/>
    <w:rsid w:val="006D20E9"/>
    <w:rsid w:val="006D23E8"/>
    <w:rsid w:val="006D25D1"/>
    <w:rsid w:val="006D2AD5"/>
    <w:rsid w:val="006D2B98"/>
    <w:rsid w:val="006D2C22"/>
    <w:rsid w:val="006D3069"/>
    <w:rsid w:val="006D3484"/>
    <w:rsid w:val="006D352A"/>
    <w:rsid w:val="006D38F8"/>
    <w:rsid w:val="006D3A74"/>
    <w:rsid w:val="006D3B23"/>
    <w:rsid w:val="006D3C46"/>
    <w:rsid w:val="006D3CDF"/>
    <w:rsid w:val="006D3EA0"/>
    <w:rsid w:val="006D411F"/>
    <w:rsid w:val="006D4290"/>
    <w:rsid w:val="006D4523"/>
    <w:rsid w:val="006D46B9"/>
    <w:rsid w:val="006D46BD"/>
    <w:rsid w:val="006D4796"/>
    <w:rsid w:val="006D49AF"/>
    <w:rsid w:val="006D49EC"/>
    <w:rsid w:val="006D4A1D"/>
    <w:rsid w:val="006D4B25"/>
    <w:rsid w:val="006D4CAD"/>
    <w:rsid w:val="006D4D4C"/>
    <w:rsid w:val="006D4E41"/>
    <w:rsid w:val="006D4E80"/>
    <w:rsid w:val="006D4EF6"/>
    <w:rsid w:val="006D5174"/>
    <w:rsid w:val="006D5261"/>
    <w:rsid w:val="006D5296"/>
    <w:rsid w:val="006D533E"/>
    <w:rsid w:val="006D6226"/>
    <w:rsid w:val="006D622D"/>
    <w:rsid w:val="006D65E8"/>
    <w:rsid w:val="006D6762"/>
    <w:rsid w:val="006D695C"/>
    <w:rsid w:val="006D6D8E"/>
    <w:rsid w:val="006D6E2A"/>
    <w:rsid w:val="006D723E"/>
    <w:rsid w:val="006D744C"/>
    <w:rsid w:val="006D79F6"/>
    <w:rsid w:val="006D7BFA"/>
    <w:rsid w:val="006D7C94"/>
    <w:rsid w:val="006D7CAC"/>
    <w:rsid w:val="006D7E3F"/>
    <w:rsid w:val="006D7E5F"/>
    <w:rsid w:val="006D7F83"/>
    <w:rsid w:val="006D7F9A"/>
    <w:rsid w:val="006E006F"/>
    <w:rsid w:val="006E0902"/>
    <w:rsid w:val="006E0C9C"/>
    <w:rsid w:val="006E0EAD"/>
    <w:rsid w:val="006E0FC9"/>
    <w:rsid w:val="006E1050"/>
    <w:rsid w:val="006E110B"/>
    <w:rsid w:val="006E1114"/>
    <w:rsid w:val="006E12BB"/>
    <w:rsid w:val="006E15E4"/>
    <w:rsid w:val="006E1630"/>
    <w:rsid w:val="006E163A"/>
    <w:rsid w:val="006E1B9E"/>
    <w:rsid w:val="006E1C85"/>
    <w:rsid w:val="006E1D2F"/>
    <w:rsid w:val="006E20D7"/>
    <w:rsid w:val="006E2241"/>
    <w:rsid w:val="006E225A"/>
    <w:rsid w:val="006E22BD"/>
    <w:rsid w:val="006E238E"/>
    <w:rsid w:val="006E2673"/>
    <w:rsid w:val="006E26CE"/>
    <w:rsid w:val="006E2750"/>
    <w:rsid w:val="006E27E9"/>
    <w:rsid w:val="006E2911"/>
    <w:rsid w:val="006E294F"/>
    <w:rsid w:val="006E2A89"/>
    <w:rsid w:val="006E2BFA"/>
    <w:rsid w:val="006E2E46"/>
    <w:rsid w:val="006E2FB2"/>
    <w:rsid w:val="006E368B"/>
    <w:rsid w:val="006E3824"/>
    <w:rsid w:val="006E3917"/>
    <w:rsid w:val="006E3ADC"/>
    <w:rsid w:val="006E3B19"/>
    <w:rsid w:val="006E3E14"/>
    <w:rsid w:val="006E409C"/>
    <w:rsid w:val="006E40B4"/>
    <w:rsid w:val="006E40B6"/>
    <w:rsid w:val="006E416C"/>
    <w:rsid w:val="006E4310"/>
    <w:rsid w:val="006E469D"/>
    <w:rsid w:val="006E4A59"/>
    <w:rsid w:val="006E4A64"/>
    <w:rsid w:val="006E4BBF"/>
    <w:rsid w:val="006E4CF0"/>
    <w:rsid w:val="006E4D2F"/>
    <w:rsid w:val="006E4D76"/>
    <w:rsid w:val="006E4D7F"/>
    <w:rsid w:val="006E53A7"/>
    <w:rsid w:val="006E548F"/>
    <w:rsid w:val="006E5B1C"/>
    <w:rsid w:val="006E5BEA"/>
    <w:rsid w:val="006E5E96"/>
    <w:rsid w:val="006E605F"/>
    <w:rsid w:val="006E6072"/>
    <w:rsid w:val="006E643B"/>
    <w:rsid w:val="006E663E"/>
    <w:rsid w:val="006E6A15"/>
    <w:rsid w:val="006E6D8F"/>
    <w:rsid w:val="006E6E00"/>
    <w:rsid w:val="006E6FFC"/>
    <w:rsid w:val="006E7002"/>
    <w:rsid w:val="006E7049"/>
    <w:rsid w:val="006E7446"/>
    <w:rsid w:val="006E7505"/>
    <w:rsid w:val="006E75FA"/>
    <w:rsid w:val="006E763D"/>
    <w:rsid w:val="006E77DF"/>
    <w:rsid w:val="006E7A00"/>
    <w:rsid w:val="006E7BEE"/>
    <w:rsid w:val="006E7C2A"/>
    <w:rsid w:val="006E7C3E"/>
    <w:rsid w:val="006E7D15"/>
    <w:rsid w:val="006E7DB9"/>
    <w:rsid w:val="006F028C"/>
    <w:rsid w:val="006F034A"/>
    <w:rsid w:val="006F0A10"/>
    <w:rsid w:val="006F0A21"/>
    <w:rsid w:val="006F0A9D"/>
    <w:rsid w:val="006F0F8D"/>
    <w:rsid w:val="006F1135"/>
    <w:rsid w:val="006F11B8"/>
    <w:rsid w:val="006F13F1"/>
    <w:rsid w:val="006F13FB"/>
    <w:rsid w:val="006F170D"/>
    <w:rsid w:val="006F1808"/>
    <w:rsid w:val="006F181C"/>
    <w:rsid w:val="006F1860"/>
    <w:rsid w:val="006F1A6B"/>
    <w:rsid w:val="006F1C86"/>
    <w:rsid w:val="006F1D5C"/>
    <w:rsid w:val="006F1E05"/>
    <w:rsid w:val="006F1F89"/>
    <w:rsid w:val="006F24C5"/>
    <w:rsid w:val="006F26FC"/>
    <w:rsid w:val="006F2C23"/>
    <w:rsid w:val="006F2C3C"/>
    <w:rsid w:val="006F2E9F"/>
    <w:rsid w:val="006F3A66"/>
    <w:rsid w:val="006F3B3A"/>
    <w:rsid w:val="006F3C02"/>
    <w:rsid w:val="006F3ECA"/>
    <w:rsid w:val="006F424C"/>
    <w:rsid w:val="006F431D"/>
    <w:rsid w:val="006F43E9"/>
    <w:rsid w:val="006F4402"/>
    <w:rsid w:val="006F461F"/>
    <w:rsid w:val="006F46FF"/>
    <w:rsid w:val="006F4842"/>
    <w:rsid w:val="006F4958"/>
    <w:rsid w:val="006F4AE6"/>
    <w:rsid w:val="006F4EA0"/>
    <w:rsid w:val="006F4EC3"/>
    <w:rsid w:val="006F514C"/>
    <w:rsid w:val="006F523F"/>
    <w:rsid w:val="006F55F3"/>
    <w:rsid w:val="006F56A9"/>
    <w:rsid w:val="006F5EC6"/>
    <w:rsid w:val="006F6091"/>
    <w:rsid w:val="006F6123"/>
    <w:rsid w:val="006F6236"/>
    <w:rsid w:val="006F6331"/>
    <w:rsid w:val="006F6360"/>
    <w:rsid w:val="006F643D"/>
    <w:rsid w:val="006F662C"/>
    <w:rsid w:val="006F68C1"/>
    <w:rsid w:val="006F6A0F"/>
    <w:rsid w:val="006F6A7A"/>
    <w:rsid w:val="006F6EE2"/>
    <w:rsid w:val="006F771E"/>
    <w:rsid w:val="006F798B"/>
    <w:rsid w:val="006F7BD4"/>
    <w:rsid w:val="006F7C62"/>
    <w:rsid w:val="0070049D"/>
    <w:rsid w:val="0070073E"/>
    <w:rsid w:val="00700AC5"/>
    <w:rsid w:val="00700B22"/>
    <w:rsid w:val="00700DF7"/>
    <w:rsid w:val="00700ED4"/>
    <w:rsid w:val="0070102F"/>
    <w:rsid w:val="0070131B"/>
    <w:rsid w:val="00701427"/>
    <w:rsid w:val="00701965"/>
    <w:rsid w:val="00701D32"/>
    <w:rsid w:val="00701E73"/>
    <w:rsid w:val="00701E78"/>
    <w:rsid w:val="00701F0E"/>
    <w:rsid w:val="00701F54"/>
    <w:rsid w:val="00701FB9"/>
    <w:rsid w:val="00702DBD"/>
    <w:rsid w:val="00703195"/>
    <w:rsid w:val="00703200"/>
    <w:rsid w:val="00703501"/>
    <w:rsid w:val="007035B0"/>
    <w:rsid w:val="00703789"/>
    <w:rsid w:val="00703808"/>
    <w:rsid w:val="007039D7"/>
    <w:rsid w:val="00703AF2"/>
    <w:rsid w:val="00703CD9"/>
    <w:rsid w:val="00703D09"/>
    <w:rsid w:val="00703E4C"/>
    <w:rsid w:val="00703F40"/>
    <w:rsid w:val="00704152"/>
    <w:rsid w:val="0070423D"/>
    <w:rsid w:val="00704288"/>
    <w:rsid w:val="00704450"/>
    <w:rsid w:val="0070459C"/>
    <w:rsid w:val="007045BC"/>
    <w:rsid w:val="00704826"/>
    <w:rsid w:val="00704A6A"/>
    <w:rsid w:val="00704AC0"/>
    <w:rsid w:val="00704C99"/>
    <w:rsid w:val="00704D3F"/>
    <w:rsid w:val="00705279"/>
    <w:rsid w:val="0070543C"/>
    <w:rsid w:val="00705447"/>
    <w:rsid w:val="00705648"/>
    <w:rsid w:val="00705742"/>
    <w:rsid w:val="0070588C"/>
    <w:rsid w:val="00705954"/>
    <w:rsid w:val="007059AD"/>
    <w:rsid w:val="007059F7"/>
    <w:rsid w:val="00705B2D"/>
    <w:rsid w:val="00705E53"/>
    <w:rsid w:val="00705ED9"/>
    <w:rsid w:val="0070644D"/>
    <w:rsid w:val="00706756"/>
    <w:rsid w:val="007068E2"/>
    <w:rsid w:val="007069BF"/>
    <w:rsid w:val="00706A20"/>
    <w:rsid w:val="00706B6C"/>
    <w:rsid w:val="00706BDA"/>
    <w:rsid w:val="00706EF8"/>
    <w:rsid w:val="00706F3B"/>
    <w:rsid w:val="007070B2"/>
    <w:rsid w:val="0070713F"/>
    <w:rsid w:val="00707349"/>
    <w:rsid w:val="007073C8"/>
    <w:rsid w:val="007074DB"/>
    <w:rsid w:val="007074F4"/>
    <w:rsid w:val="007075E1"/>
    <w:rsid w:val="00707788"/>
    <w:rsid w:val="007077E1"/>
    <w:rsid w:val="0070783B"/>
    <w:rsid w:val="00707980"/>
    <w:rsid w:val="00707C2F"/>
    <w:rsid w:val="00707EA3"/>
    <w:rsid w:val="007102B3"/>
    <w:rsid w:val="00710529"/>
    <w:rsid w:val="0071059E"/>
    <w:rsid w:val="00710964"/>
    <w:rsid w:val="00710A17"/>
    <w:rsid w:val="00710AD6"/>
    <w:rsid w:val="00710BCC"/>
    <w:rsid w:val="00710C7C"/>
    <w:rsid w:val="00710F3B"/>
    <w:rsid w:val="00710F41"/>
    <w:rsid w:val="00711084"/>
    <w:rsid w:val="007115E8"/>
    <w:rsid w:val="007118D7"/>
    <w:rsid w:val="00711963"/>
    <w:rsid w:val="00711AAE"/>
    <w:rsid w:val="00711BBB"/>
    <w:rsid w:val="00711D18"/>
    <w:rsid w:val="00711DED"/>
    <w:rsid w:val="00712202"/>
    <w:rsid w:val="007126BD"/>
    <w:rsid w:val="007126E8"/>
    <w:rsid w:val="00712A6C"/>
    <w:rsid w:val="00712BAC"/>
    <w:rsid w:val="00712CDD"/>
    <w:rsid w:val="007130F8"/>
    <w:rsid w:val="00713400"/>
    <w:rsid w:val="007136C2"/>
    <w:rsid w:val="00713889"/>
    <w:rsid w:val="00713A31"/>
    <w:rsid w:val="00713A47"/>
    <w:rsid w:val="00713A84"/>
    <w:rsid w:val="00713A88"/>
    <w:rsid w:val="00713BE9"/>
    <w:rsid w:val="00713D9D"/>
    <w:rsid w:val="00713EEC"/>
    <w:rsid w:val="00714440"/>
    <w:rsid w:val="007145FB"/>
    <w:rsid w:val="00714B77"/>
    <w:rsid w:val="00714BB2"/>
    <w:rsid w:val="00715087"/>
    <w:rsid w:val="007150ED"/>
    <w:rsid w:val="00715290"/>
    <w:rsid w:val="00715311"/>
    <w:rsid w:val="007158E7"/>
    <w:rsid w:val="00715975"/>
    <w:rsid w:val="007159C1"/>
    <w:rsid w:val="00715D2C"/>
    <w:rsid w:val="007162AE"/>
    <w:rsid w:val="00716411"/>
    <w:rsid w:val="00716466"/>
    <w:rsid w:val="007164A5"/>
    <w:rsid w:val="007165F1"/>
    <w:rsid w:val="007167D8"/>
    <w:rsid w:val="0071685B"/>
    <w:rsid w:val="007168FD"/>
    <w:rsid w:val="00716A83"/>
    <w:rsid w:val="00716DAE"/>
    <w:rsid w:val="00716DDC"/>
    <w:rsid w:val="00717357"/>
    <w:rsid w:val="007173F6"/>
    <w:rsid w:val="00717459"/>
    <w:rsid w:val="0071750E"/>
    <w:rsid w:val="0071756A"/>
    <w:rsid w:val="007176D6"/>
    <w:rsid w:val="00717723"/>
    <w:rsid w:val="00717804"/>
    <w:rsid w:val="00717ACC"/>
    <w:rsid w:val="00717BD7"/>
    <w:rsid w:val="00717C3F"/>
    <w:rsid w:val="00717E73"/>
    <w:rsid w:val="00717FDF"/>
    <w:rsid w:val="0072001A"/>
    <w:rsid w:val="0072007E"/>
    <w:rsid w:val="0072017E"/>
    <w:rsid w:val="0072040F"/>
    <w:rsid w:val="007204CB"/>
    <w:rsid w:val="007204F8"/>
    <w:rsid w:val="007205A6"/>
    <w:rsid w:val="00720AE7"/>
    <w:rsid w:val="007210E5"/>
    <w:rsid w:val="00721309"/>
    <w:rsid w:val="00721414"/>
    <w:rsid w:val="00721727"/>
    <w:rsid w:val="007219B0"/>
    <w:rsid w:val="00721D92"/>
    <w:rsid w:val="00721DF6"/>
    <w:rsid w:val="00721F09"/>
    <w:rsid w:val="00721FC3"/>
    <w:rsid w:val="00721FEC"/>
    <w:rsid w:val="00722286"/>
    <w:rsid w:val="00722418"/>
    <w:rsid w:val="007226B2"/>
    <w:rsid w:val="0072271F"/>
    <w:rsid w:val="007227F0"/>
    <w:rsid w:val="007229FC"/>
    <w:rsid w:val="00722C32"/>
    <w:rsid w:val="007230A5"/>
    <w:rsid w:val="007237B0"/>
    <w:rsid w:val="007237FE"/>
    <w:rsid w:val="00723831"/>
    <w:rsid w:val="007238BD"/>
    <w:rsid w:val="0072393F"/>
    <w:rsid w:val="0072403B"/>
    <w:rsid w:val="00724291"/>
    <w:rsid w:val="007245BC"/>
    <w:rsid w:val="00724B76"/>
    <w:rsid w:val="00724DA7"/>
    <w:rsid w:val="00724F68"/>
    <w:rsid w:val="0072508E"/>
    <w:rsid w:val="0072544E"/>
    <w:rsid w:val="0072553A"/>
    <w:rsid w:val="0072559B"/>
    <w:rsid w:val="00725834"/>
    <w:rsid w:val="0072599F"/>
    <w:rsid w:val="00725A39"/>
    <w:rsid w:val="00725BFD"/>
    <w:rsid w:val="00725DCD"/>
    <w:rsid w:val="00725FA0"/>
    <w:rsid w:val="0072625D"/>
    <w:rsid w:val="00726455"/>
    <w:rsid w:val="007264A2"/>
    <w:rsid w:val="007265D4"/>
    <w:rsid w:val="007269F6"/>
    <w:rsid w:val="00726D75"/>
    <w:rsid w:val="00727054"/>
    <w:rsid w:val="00727074"/>
    <w:rsid w:val="007272C3"/>
    <w:rsid w:val="00727774"/>
    <w:rsid w:val="00727C6F"/>
    <w:rsid w:val="00727DFF"/>
    <w:rsid w:val="00727F1C"/>
    <w:rsid w:val="00727F61"/>
    <w:rsid w:val="00727FEB"/>
    <w:rsid w:val="00730473"/>
    <w:rsid w:val="007305FC"/>
    <w:rsid w:val="007306B4"/>
    <w:rsid w:val="00730819"/>
    <w:rsid w:val="00730C3B"/>
    <w:rsid w:val="00730F2E"/>
    <w:rsid w:val="007311F5"/>
    <w:rsid w:val="00731211"/>
    <w:rsid w:val="00731294"/>
    <w:rsid w:val="0073137F"/>
    <w:rsid w:val="00731B17"/>
    <w:rsid w:val="00731DCE"/>
    <w:rsid w:val="00731E99"/>
    <w:rsid w:val="007320AF"/>
    <w:rsid w:val="00732A94"/>
    <w:rsid w:val="00732B21"/>
    <w:rsid w:val="00732CE6"/>
    <w:rsid w:val="00732D2F"/>
    <w:rsid w:val="00732FE1"/>
    <w:rsid w:val="007330E0"/>
    <w:rsid w:val="007334C7"/>
    <w:rsid w:val="007336CD"/>
    <w:rsid w:val="007338D3"/>
    <w:rsid w:val="007338FC"/>
    <w:rsid w:val="00733980"/>
    <w:rsid w:val="007340BA"/>
    <w:rsid w:val="00734527"/>
    <w:rsid w:val="00734ABA"/>
    <w:rsid w:val="00734B9B"/>
    <w:rsid w:val="00734CF7"/>
    <w:rsid w:val="00734CFF"/>
    <w:rsid w:val="00734FE2"/>
    <w:rsid w:val="007358EB"/>
    <w:rsid w:val="00735A51"/>
    <w:rsid w:val="00735E21"/>
    <w:rsid w:val="00736164"/>
    <w:rsid w:val="007363DB"/>
    <w:rsid w:val="00736412"/>
    <w:rsid w:val="00736432"/>
    <w:rsid w:val="0073664C"/>
    <w:rsid w:val="00736702"/>
    <w:rsid w:val="0073670B"/>
    <w:rsid w:val="007367B5"/>
    <w:rsid w:val="00736B08"/>
    <w:rsid w:val="00736C6B"/>
    <w:rsid w:val="00736DBF"/>
    <w:rsid w:val="0073705D"/>
    <w:rsid w:val="007371A6"/>
    <w:rsid w:val="0073726C"/>
    <w:rsid w:val="0073732D"/>
    <w:rsid w:val="00737510"/>
    <w:rsid w:val="007375AE"/>
    <w:rsid w:val="007378A8"/>
    <w:rsid w:val="007378C6"/>
    <w:rsid w:val="007378E1"/>
    <w:rsid w:val="00737BA1"/>
    <w:rsid w:val="00737D53"/>
    <w:rsid w:val="007400E0"/>
    <w:rsid w:val="00740156"/>
    <w:rsid w:val="0074048E"/>
    <w:rsid w:val="0074057A"/>
    <w:rsid w:val="00740951"/>
    <w:rsid w:val="00740AB5"/>
    <w:rsid w:val="00740B7F"/>
    <w:rsid w:val="0074118D"/>
    <w:rsid w:val="007411DF"/>
    <w:rsid w:val="0074126B"/>
    <w:rsid w:val="00741304"/>
    <w:rsid w:val="007413AC"/>
    <w:rsid w:val="007416A1"/>
    <w:rsid w:val="007416A2"/>
    <w:rsid w:val="00741CF9"/>
    <w:rsid w:val="00741FD2"/>
    <w:rsid w:val="0074206F"/>
    <w:rsid w:val="0074224E"/>
    <w:rsid w:val="007422C2"/>
    <w:rsid w:val="007426B7"/>
    <w:rsid w:val="007427A0"/>
    <w:rsid w:val="00742D54"/>
    <w:rsid w:val="00742D87"/>
    <w:rsid w:val="00743101"/>
    <w:rsid w:val="00743228"/>
    <w:rsid w:val="0074340A"/>
    <w:rsid w:val="007435CF"/>
    <w:rsid w:val="00743A22"/>
    <w:rsid w:val="00743B94"/>
    <w:rsid w:val="00743E23"/>
    <w:rsid w:val="007441A9"/>
    <w:rsid w:val="00744375"/>
    <w:rsid w:val="007443B3"/>
    <w:rsid w:val="0074464C"/>
    <w:rsid w:val="007449A2"/>
    <w:rsid w:val="007449E5"/>
    <w:rsid w:val="00744A0D"/>
    <w:rsid w:val="00744C5C"/>
    <w:rsid w:val="007453EF"/>
    <w:rsid w:val="00745609"/>
    <w:rsid w:val="00745610"/>
    <w:rsid w:val="00745894"/>
    <w:rsid w:val="007458AF"/>
    <w:rsid w:val="00745BB8"/>
    <w:rsid w:val="00745D3D"/>
    <w:rsid w:val="00745E07"/>
    <w:rsid w:val="00746152"/>
    <w:rsid w:val="00746208"/>
    <w:rsid w:val="007463AE"/>
    <w:rsid w:val="0074673F"/>
    <w:rsid w:val="00746AA3"/>
    <w:rsid w:val="00746CCA"/>
    <w:rsid w:val="00746DF4"/>
    <w:rsid w:val="00746EC4"/>
    <w:rsid w:val="00746F50"/>
    <w:rsid w:val="007474AF"/>
    <w:rsid w:val="0074763D"/>
    <w:rsid w:val="0074767F"/>
    <w:rsid w:val="00747747"/>
    <w:rsid w:val="00747856"/>
    <w:rsid w:val="00747A02"/>
    <w:rsid w:val="00747A86"/>
    <w:rsid w:val="00747F1E"/>
    <w:rsid w:val="007500E1"/>
    <w:rsid w:val="007502A5"/>
    <w:rsid w:val="007503A3"/>
    <w:rsid w:val="007508F4"/>
    <w:rsid w:val="007509DA"/>
    <w:rsid w:val="00750B39"/>
    <w:rsid w:val="00750E80"/>
    <w:rsid w:val="00751004"/>
    <w:rsid w:val="007510E9"/>
    <w:rsid w:val="00751451"/>
    <w:rsid w:val="00751885"/>
    <w:rsid w:val="00751B4E"/>
    <w:rsid w:val="00751C12"/>
    <w:rsid w:val="00751D99"/>
    <w:rsid w:val="0075221D"/>
    <w:rsid w:val="00752423"/>
    <w:rsid w:val="00752429"/>
    <w:rsid w:val="007525BB"/>
    <w:rsid w:val="007526C8"/>
    <w:rsid w:val="007528E5"/>
    <w:rsid w:val="0075290A"/>
    <w:rsid w:val="00752AE2"/>
    <w:rsid w:val="007533AC"/>
    <w:rsid w:val="00753797"/>
    <w:rsid w:val="007539F5"/>
    <w:rsid w:val="00753F9E"/>
    <w:rsid w:val="0075433D"/>
    <w:rsid w:val="0075436E"/>
    <w:rsid w:val="007543D2"/>
    <w:rsid w:val="00754534"/>
    <w:rsid w:val="00754698"/>
    <w:rsid w:val="0075485F"/>
    <w:rsid w:val="007549A3"/>
    <w:rsid w:val="007549D5"/>
    <w:rsid w:val="007549F3"/>
    <w:rsid w:val="00755133"/>
    <w:rsid w:val="0075524A"/>
    <w:rsid w:val="00755787"/>
    <w:rsid w:val="00755B2E"/>
    <w:rsid w:val="00755C75"/>
    <w:rsid w:val="00755D9E"/>
    <w:rsid w:val="00755EAA"/>
    <w:rsid w:val="007561A6"/>
    <w:rsid w:val="00756424"/>
    <w:rsid w:val="00756428"/>
    <w:rsid w:val="007567E6"/>
    <w:rsid w:val="00756C39"/>
    <w:rsid w:val="007570A5"/>
    <w:rsid w:val="00757294"/>
    <w:rsid w:val="007575D8"/>
    <w:rsid w:val="007579AD"/>
    <w:rsid w:val="007579B9"/>
    <w:rsid w:val="00757A33"/>
    <w:rsid w:val="00757A56"/>
    <w:rsid w:val="00757DEB"/>
    <w:rsid w:val="00757E41"/>
    <w:rsid w:val="00760034"/>
    <w:rsid w:val="00760239"/>
    <w:rsid w:val="007603D5"/>
    <w:rsid w:val="0076063D"/>
    <w:rsid w:val="007606BA"/>
    <w:rsid w:val="0076072F"/>
    <w:rsid w:val="00760F9B"/>
    <w:rsid w:val="0076122B"/>
    <w:rsid w:val="007617D8"/>
    <w:rsid w:val="007617E4"/>
    <w:rsid w:val="0076188D"/>
    <w:rsid w:val="00761ACC"/>
    <w:rsid w:val="00761B1B"/>
    <w:rsid w:val="00761F2C"/>
    <w:rsid w:val="007623A0"/>
    <w:rsid w:val="00762425"/>
    <w:rsid w:val="00762866"/>
    <w:rsid w:val="00762876"/>
    <w:rsid w:val="00762A07"/>
    <w:rsid w:val="00762C5D"/>
    <w:rsid w:val="00762D96"/>
    <w:rsid w:val="00762FD2"/>
    <w:rsid w:val="00763302"/>
    <w:rsid w:val="00763411"/>
    <w:rsid w:val="007636A4"/>
    <w:rsid w:val="00763880"/>
    <w:rsid w:val="007639FA"/>
    <w:rsid w:val="00763DFD"/>
    <w:rsid w:val="007640C2"/>
    <w:rsid w:val="00764111"/>
    <w:rsid w:val="00764558"/>
    <w:rsid w:val="007647DE"/>
    <w:rsid w:val="007648BC"/>
    <w:rsid w:val="00764A99"/>
    <w:rsid w:val="00764B0E"/>
    <w:rsid w:val="00764B7C"/>
    <w:rsid w:val="00764C22"/>
    <w:rsid w:val="00764C2C"/>
    <w:rsid w:val="00765017"/>
    <w:rsid w:val="0076510E"/>
    <w:rsid w:val="007652A2"/>
    <w:rsid w:val="007652F4"/>
    <w:rsid w:val="0076546B"/>
    <w:rsid w:val="0076597C"/>
    <w:rsid w:val="00765A9C"/>
    <w:rsid w:val="00765B21"/>
    <w:rsid w:val="00765E21"/>
    <w:rsid w:val="00765F4A"/>
    <w:rsid w:val="007662C5"/>
    <w:rsid w:val="007663B5"/>
    <w:rsid w:val="00766639"/>
    <w:rsid w:val="00766B7E"/>
    <w:rsid w:val="00766BC8"/>
    <w:rsid w:val="00766DB6"/>
    <w:rsid w:val="00766E2D"/>
    <w:rsid w:val="00766ECF"/>
    <w:rsid w:val="00767061"/>
    <w:rsid w:val="007672A5"/>
    <w:rsid w:val="00767316"/>
    <w:rsid w:val="00767479"/>
    <w:rsid w:val="007674DB"/>
    <w:rsid w:val="007675D1"/>
    <w:rsid w:val="00767751"/>
    <w:rsid w:val="0076780A"/>
    <w:rsid w:val="007678C0"/>
    <w:rsid w:val="00767A2F"/>
    <w:rsid w:val="00767A65"/>
    <w:rsid w:val="00767AB5"/>
    <w:rsid w:val="00767E40"/>
    <w:rsid w:val="00767E8F"/>
    <w:rsid w:val="00767EBD"/>
    <w:rsid w:val="007700B8"/>
    <w:rsid w:val="00770310"/>
    <w:rsid w:val="00770345"/>
    <w:rsid w:val="0077059C"/>
    <w:rsid w:val="00770842"/>
    <w:rsid w:val="00770AAE"/>
    <w:rsid w:val="00770BC2"/>
    <w:rsid w:val="00770BFF"/>
    <w:rsid w:val="00770E9E"/>
    <w:rsid w:val="00771136"/>
    <w:rsid w:val="00771227"/>
    <w:rsid w:val="00771387"/>
    <w:rsid w:val="00771456"/>
    <w:rsid w:val="007714A5"/>
    <w:rsid w:val="0077182E"/>
    <w:rsid w:val="007719E8"/>
    <w:rsid w:val="00771CAD"/>
    <w:rsid w:val="00771E8E"/>
    <w:rsid w:val="00772038"/>
    <w:rsid w:val="00772286"/>
    <w:rsid w:val="007722B1"/>
    <w:rsid w:val="007725FE"/>
    <w:rsid w:val="0077274B"/>
    <w:rsid w:val="00772E0C"/>
    <w:rsid w:val="00772E86"/>
    <w:rsid w:val="00772EC4"/>
    <w:rsid w:val="0077303F"/>
    <w:rsid w:val="0077319C"/>
    <w:rsid w:val="007733EC"/>
    <w:rsid w:val="00773863"/>
    <w:rsid w:val="007739C7"/>
    <w:rsid w:val="00773FAD"/>
    <w:rsid w:val="00773FC8"/>
    <w:rsid w:val="00774052"/>
    <w:rsid w:val="0077406E"/>
    <w:rsid w:val="00774278"/>
    <w:rsid w:val="00774610"/>
    <w:rsid w:val="00774A11"/>
    <w:rsid w:val="00774B36"/>
    <w:rsid w:val="00774D4B"/>
    <w:rsid w:val="00774E54"/>
    <w:rsid w:val="00775250"/>
    <w:rsid w:val="007754C7"/>
    <w:rsid w:val="0077556A"/>
    <w:rsid w:val="0077570B"/>
    <w:rsid w:val="007757A7"/>
    <w:rsid w:val="00775AED"/>
    <w:rsid w:val="00775B05"/>
    <w:rsid w:val="00775C3F"/>
    <w:rsid w:val="00775D68"/>
    <w:rsid w:val="0077621C"/>
    <w:rsid w:val="007762DB"/>
    <w:rsid w:val="007763A9"/>
    <w:rsid w:val="007763EA"/>
    <w:rsid w:val="007766D0"/>
    <w:rsid w:val="0077675D"/>
    <w:rsid w:val="00776829"/>
    <w:rsid w:val="007768A2"/>
    <w:rsid w:val="00776D32"/>
    <w:rsid w:val="00776E0E"/>
    <w:rsid w:val="00776EE2"/>
    <w:rsid w:val="00776FA5"/>
    <w:rsid w:val="0077731F"/>
    <w:rsid w:val="0077743E"/>
    <w:rsid w:val="007774FC"/>
    <w:rsid w:val="007775E2"/>
    <w:rsid w:val="0077777B"/>
    <w:rsid w:val="00777842"/>
    <w:rsid w:val="007779CA"/>
    <w:rsid w:val="00777B7E"/>
    <w:rsid w:val="00777BED"/>
    <w:rsid w:val="00777D82"/>
    <w:rsid w:val="00777D96"/>
    <w:rsid w:val="007802AD"/>
    <w:rsid w:val="00780686"/>
    <w:rsid w:val="007806FC"/>
    <w:rsid w:val="00780909"/>
    <w:rsid w:val="00780987"/>
    <w:rsid w:val="00780B85"/>
    <w:rsid w:val="00780E13"/>
    <w:rsid w:val="00780F9E"/>
    <w:rsid w:val="00781112"/>
    <w:rsid w:val="0078150F"/>
    <w:rsid w:val="007815D2"/>
    <w:rsid w:val="007818DD"/>
    <w:rsid w:val="007819AF"/>
    <w:rsid w:val="00781BCC"/>
    <w:rsid w:val="00781EF8"/>
    <w:rsid w:val="0078204F"/>
    <w:rsid w:val="00782133"/>
    <w:rsid w:val="00782157"/>
    <w:rsid w:val="0078229F"/>
    <w:rsid w:val="00782302"/>
    <w:rsid w:val="00782305"/>
    <w:rsid w:val="0078255B"/>
    <w:rsid w:val="007825AB"/>
    <w:rsid w:val="0078268C"/>
    <w:rsid w:val="007828F6"/>
    <w:rsid w:val="00782A38"/>
    <w:rsid w:val="00782A3E"/>
    <w:rsid w:val="00782CE7"/>
    <w:rsid w:val="00782EBA"/>
    <w:rsid w:val="007834DC"/>
    <w:rsid w:val="00783600"/>
    <w:rsid w:val="0078377D"/>
    <w:rsid w:val="007839C8"/>
    <w:rsid w:val="00783AF7"/>
    <w:rsid w:val="00783C9A"/>
    <w:rsid w:val="00783DD6"/>
    <w:rsid w:val="00783EAA"/>
    <w:rsid w:val="00784045"/>
    <w:rsid w:val="007840A0"/>
    <w:rsid w:val="00784177"/>
    <w:rsid w:val="0078422A"/>
    <w:rsid w:val="007843D5"/>
    <w:rsid w:val="007843EF"/>
    <w:rsid w:val="00784469"/>
    <w:rsid w:val="00784665"/>
    <w:rsid w:val="0078488C"/>
    <w:rsid w:val="00784A7F"/>
    <w:rsid w:val="00784D34"/>
    <w:rsid w:val="00785422"/>
    <w:rsid w:val="0078558A"/>
    <w:rsid w:val="007859B1"/>
    <w:rsid w:val="00785B8D"/>
    <w:rsid w:val="00785C00"/>
    <w:rsid w:val="00785F6D"/>
    <w:rsid w:val="007861C6"/>
    <w:rsid w:val="00786403"/>
    <w:rsid w:val="00786858"/>
    <w:rsid w:val="0078719E"/>
    <w:rsid w:val="007875FB"/>
    <w:rsid w:val="00787640"/>
    <w:rsid w:val="00787657"/>
    <w:rsid w:val="00787A6F"/>
    <w:rsid w:val="00787D46"/>
    <w:rsid w:val="00787E66"/>
    <w:rsid w:val="0079000F"/>
    <w:rsid w:val="0079020A"/>
    <w:rsid w:val="00790264"/>
    <w:rsid w:val="007904B6"/>
    <w:rsid w:val="00790B13"/>
    <w:rsid w:val="00790BF4"/>
    <w:rsid w:val="007913A5"/>
    <w:rsid w:val="0079153B"/>
    <w:rsid w:val="007915C1"/>
    <w:rsid w:val="007916C9"/>
    <w:rsid w:val="007916D4"/>
    <w:rsid w:val="00791736"/>
    <w:rsid w:val="00791D84"/>
    <w:rsid w:val="00791E10"/>
    <w:rsid w:val="00791F08"/>
    <w:rsid w:val="00792042"/>
    <w:rsid w:val="0079216D"/>
    <w:rsid w:val="0079221A"/>
    <w:rsid w:val="00792556"/>
    <w:rsid w:val="0079273F"/>
    <w:rsid w:val="0079283F"/>
    <w:rsid w:val="00792933"/>
    <w:rsid w:val="00792D86"/>
    <w:rsid w:val="00792DAB"/>
    <w:rsid w:val="0079326E"/>
    <w:rsid w:val="00793343"/>
    <w:rsid w:val="0079353C"/>
    <w:rsid w:val="00793685"/>
    <w:rsid w:val="00793799"/>
    <w:rsid w:val="007937BF"/>
    <w:rsid w:val="00793914"/>
    <w:rsid w:val="00793AE4"/>
    <w:rsid w:val="00793B9D"/>
    <w:rsid w:val="00793E16"/>
    <w:rsid w:val="00793E72"/>
    <w:rsid w:val="00793FB8"/>
    <w:rsid w:val="0079415B"/>
    <w:rsid w:val="007942E2"/>
    <w:rsid w:val="0079432D"/>
    <w:rsid w:val="007943C2"/>
    <w:rsid w:val="007943D8"/>
    <w:rsid w:val="007943E7"/>
    <w:rsid w:val="00794434"/>
    <w:rsid w:val="00794E25"/>
    <w:rsid w:val="00794F04"/>
    <w:rsid w:val="00795085"/>
    <w:rsid w:val="007952BF"/>
    <w:rsid w:val="00795650"/>
    <w:rsid w:val="007956C2"/>
    <w:rsid w:val="007958B5"/>
    <w:rsid w:val="007959F0"/>
    <w:rsid w:val="00795BF9"/>
    <w:rsid w:val="00796012"/>
    <w:rsid w:val="00796264"/>
    <w:rsid w:val="00796309"/>
    <w:rsid w:val="0079643B"/>
    <w:rsid w:val="00796444"/>
    <w:rsid w:val="00796463"/>
    <w:rsid w:val="0079665B"/>
    <w:rsid w:val="0079675A"/>
    <w:rsid w:val="007967E4"/>
    <w:rsid w:val="00796831"/>
    <w:rsid w:val="00796DB6"/>
    <w:rsid w:val="0079701F"/>
    <w:rsid w:val="00797180"/>
    <w:rsid w:val="007973F4"/>
    <w:rsid w:val="00797482"/>
    <w:rsid w:val="0079758C"/>
    <w:rsid w:val="0079773F"/>
    <w:rsid w:val="0079790E"/>
    <w:rsid w:val="00797AD1"/>
    <w:rsid w:val="00797BAF"/>
    <w:rsid w:val="00797CA2"/>
    <w:rsid w:val="00797DB0"/>
    <w:rsid w:val="00797E71"/>
    <w:rsid w:val="007A0196"/>
    <w:rsid w:val="007A0246"/>
    <w:rsid w:val="007A03AC"/>
    <w:rsid w:val="007A0544"/>
    <w:rsid w:val="007A07C5"/>
    <w:rsid w:val="007A089B"/>
    <w:rsid w:val="007A1174"/>
    <w:rsid w:val="007A119E"/>
    <w:rsid w:val="007A1784"/>
    <w:rsid w:val="007A18A1"/>
    <w:rsid w:val="007A196C"/>
    <w:rsid w:val="007A19E0"/>
    <w:rsid w:val="007A1DDC"/>
    <w:rsid w:val="007A1F5D"/>
    <w:rsid w:val="007A2063"/>
    <w:rsid w:val="007A21ED"/>
    <w:rsid w:val="007A2343"/>
    <w:rsid w:val="007A2469"/>
    <w:rsid w:val="007A25AC"/>
    <w:rsid w:val="007A2904"/>
    <w:rsid w:val="007A2947"/>
    <w:rsid w:val="007A2C7D"/>
    <w:rsid w:val="007A33BB"/>
    <w:rsid w:val="007A33F4"/>
    <w:rsid w:val="007A35B4"/>
    <w:rsid w:val="007A3916"/>
    <w:rsid w:val="007A3955"/>
    <w:rsid w:val="007A3957"/>
    <w:rsid w:val="007A3E80"/>
    <w:rsid w:val="007A40E4"/>
    <w:rsid w:val="007A4208"/>
    <w:rsid w:val="007A43CC"/>
    <w:rsid w:val="007A4506"/>
    <w:rsid w:val="007A459A"/>
    <w:rsid w:val="007A45EE"/>
    <w:rsid w:val="007A4643"/>
    <w:rsid w:val="007A4864"/>
    <w:rsid w:val="007A4975"/>
    <w:rsid w:val="007A49BB"/>
    <w:rsid w:val="007A5320"/>
    <w:rsid w:val="007A56FD"/>
    <w:rsid w:val="007A59C0"/>
    <w:rsid w:val="007A5AA0"/>
    <w:rsid w:val="007A5BA3"/>
    <w:rsid w:val="007A5CC9"/>
    <w:rsid w:val="007A5CE9"/>
    <w:rsid w:val="007A5E0D"/>
    <w:rsid w:val="007A5E67"/>
    <w:rsid w:val="007A5F14"/>
    <w:rsid w:val="007A6102"/>
    <w:rsid w:val="007A6350"/>
    <w:rsid w:val="007A6824"/>
    <w:rsid w:val="007A6844"/>
    <w:rsid w:val="007A705E"/>
    <w:rsid w:val="007A726B"/>
    <w:rsid w:val="007A7799"/>
    <w:rsid w:val="007A7A73"/>
    <w:rsid w:val="007A7DC4"/>
    <w:rsid w:val="007A7E4E"/>
    <w:rsid w:val="007A7E51"/>
    <w:rsid w:val="007A7E9C"/>
    <w:rsid w:val="007A7F34"/>
    <w:rsid w:val="007B0081"/>
    <w:rsid w:val="007B051B"/>
    <w:rsid w:val="007B0931"/>
    <w:rsid w:val="007B0CE1"/>
    <w:rsid w:val="007B0E49"/>
    <w:rsid w:val="007B0F73"/>
    <w:rsid w:val="007B10FF"/>
    <w:rsid w:val="007B11B5"/>
    <w:rsid w:val="007B1253"/>
    <w:rsid w:val="007B12DD"/>
    <w:rsid w:val="007B1307"/>
    <w:rsid w:val="007B1C89"/>
    <w:rsid w:val="007B2401"/>
    <w:rsid w:val="007B2523"/>
    <w:rsid w:val="007B2AA2"/>
    <w:rsid w:val="007B2AB1"/>
    <w:rsid w:val="007B2AE7"/>
    <w:rsid w:val="007B2CC3"/>
    <w:rsid w:val="007B2D50"/>
    <w:rsid w:val="007B2EC5"/>
    <w:rsid w:val="007B2FC0"/>
    <w:rsid w:val="007B38DB"/>
    <w:rsid w:val="007B3A7A"/>
    <w:rsid w:val="007B4237"/>
    <w:rsid w:val="007B4322"/>
    <w:rsid w:val="007B45B8"/>
    <w:rsid w:val="007B4613"/>
    <w:rsid w:val="007B4849"/>
    <w:rsid w:val="007B48BE"/>
    <w:rsid w:val="007B4ABE"/>
    <w:rsid w:val="007B4CBA"/>
    <w:rsid w:val="007B4E0A"/>
    <w:rsid w:val="007B4EFF"/>
    <w:rsid w:val="007B4FB4"/>
    <w:rsid w:val="007B5451"/>
    <w:rsid w:val="007B5B7E"/>
    <w:rsid w:val="007B5BC6"/>
    <w:rsid w:val="007B5C0F"/>
    <w:rsid w:val="007B5CAB"/>
    <w:rsid w:val="007B5D7F"/>
    <w:rsid w:val="007B5F05"/>
    <w:rsid w:val="007B5FB1"/>
    <w:rsid w:val="007B6094"/>
    <w:rsid w:val="007B62A2"/>
    <w:rsid w:val="007B62B7"/>
    <w:rsid w:val="007B6385"/>
    <w:rsid w:val="007B6539"/>
    <w:rsid w:val="007B6635"/>
    <w:rsid w:val="007B666C"/>
    <w:rsid w:val="007B6706"/>
    <w:rsid w:val="007B68C1"/>
    <w:rsid w:val="007B69D1"/>
    <w:rsid w:val="007B6A43"/>
    <w:rsid w:val="007B6B26"/>
    <w:rsid w:val="007B6CD8"/>
    <w:rsid w:val="007B6DF3"/>
    <w:rsid w:val="007B6F16"/>
    <w:rsid w:val="007B7241"/>
    <w:rsid w:val="007B72D3"/>
    <w:rsid w:val="007B7617"/>
    <w:rsid w:val="007B762D"/>
    <w:rsid w:val="007B7A51"/>
    <w:rsid w:val="007B7B81"/>
    <w:rsid w:val="007B7BD2"/>
    <w:rsid w:val="007B7C9C"/>
    <w:rsid w:val="007B7CC5"/>
    <w:rsid w:val="007B7CCA"/>
    <w:rsid w:val="007B7D13"/>
    <w:rsid w:val="007B7E09"/>
    <w:rsid w:val="007C016A"/>
    <w:rsid w:val="007C05B3"/>
    <w:rsid w:val="007C05E5"/>
    <w:rsid w:val="007C0985"/>
    <w:rsid w:val="007C09EB"/>
    <w:rsid w:val="007C0AE3"/>
    <w:rsid w:val="007C123F"/>
    <w:rsid w:val="007C1268"/>
    <w:rsid w:val="007C12B0"/>
    <w:rsid w:val="007C1372"/>
    <w:rsid w:val="007C154C"/>
    <w:rsid w:val="007C174D"/>
    <w:rsid w:val="007C1947"/>
    <w:rsid w:val="007C1EF8"/>
    <w:rsid w:val="007C20B2"/>
    <w:rsid w:val="007C2114"/>
    <w:rsid w:val="007C22E8"/>
    <w:rsid w:val="007C22EB"/>
    <w:rsid w:val="007C2346"/>
    <w:rsid w:val="007C23E0"/>
    <w:rsid w:val="007C24E0"/>
    <w:rsid w:val="007C2786"/>
    <w:rsid w:val="007C284D"/>
    <w:rsid w:val="007C2A89"/>
    <w:rsid w:val="007C2B87"/>
    <w:rsid w:val="007C32E0"/>
    <w:rsid w:val="007C3567"/>
    <w:rsid w:val="007C35D8"/>
    <w:rsid w:val="007C3600"/>
    <w:rsid w:val="007C366B"/>
    <w:rsid w:val="007C3A42"/>
    <w:rsid w:val="007C3B61"/>
    <w:rsid w:val="007C3C7C"/>
    <w:rsid w:val="007C4005"/>
    <w:rsid w:val="007C40BF"/>
    <w:rsid w:val="007C4206"/>
    <w:rsid w:val="007C43EE"/>
    <w:rsid w:val="007C45FA"/>
    <w:rsid w:val="007C4940"/>
    <w:rsid w:val="007C4A0A"/>
    <w:rsid w:val="007C4BE4"/>
    <w:rsid w:val="007C4D0B"/>
    <w:rsid w:val="007C4F2F"/>
    <w:rsid w:val="007C500D"/>
    <w:rsid w:val="007C5084"/>
    <w:rsid w:val="007C510A"/>
    <w:rsid w:val="007C5226"/>
    <w:rsid w:val="007C551D"/>
    <w:rsid w:val="007C5BCB"/>
    <w:rsid w:val="007C5C40"/>
    <w:rsid w:val="007C5C95"/>
    <w:rsid w:val="007C5E08"/>
    <w:rsid w:val="007C6097"/>
    <w:rsid w:val="007C6287"/>
    <w:rsid w:val="007C63AF"/>
    <w:rsid w:val="007C6551"/>
    <w:rsid w:val="007C6759"/>
    <w:rsid w:val="007C68A1"/>
    <w:rsid w:val="007C69CB"/>
    <w:rsid w:val="007C6A94"/>
    <w:rsid w:val="007C6B25"/>
    <w:rsid w:val="007C6D2E"/>
    <w:rsid w:val="007C74D0"/>
    <w:rsid w:val="007C76C9"/>
    <w:rsid w:val="007C7968"/>
    <w:rsid w:val="007C79E0"/>
    <w:rsid w:val="007C7E34"/>
    <w:rsid w:val="007D01CC"/>
    <w:rsid w:val="007D071D"/>
    <w:rsid w:val="007D0802"/>
    <w:rsid w:val="007D0B34"/>
    <w:rsid w:val="007D0CAB"/>
    <w:rsid w:val="007D130D"/>
    <w:rsid w:val="007D143F"/>
    <w:rsid w:val="007D15C9"/>
    <w:rsid w:val="007D16FA"/>
    <w:rsid w:val="007D17A3"/>
    <w:rsid w:val="007D193C"/>
    <w:rsid w:val="007D2387"/>
    <w:rsid w:val="007D2430"/>
    <w:rsid w:val="007D246D"/>
    <w:rsid w:val="007D2809"/>
    <w:rsid w:val="007D28E2"/>
    <w:rsid w:val="007D2953"/>
    <w:rsid w:val="007D2AAA"/>
    <w:rsid w:val="007D2ADA"/>
    <w:rsid w:val="007D2BB9"/>
    <w:rsid w:val="007D2C1C"/>
    <w:rsid w:val="007D2D24"/>
    <w:rsid w:val="007D2E95"/>
    <w:rsid w:val="007D32FB"/>
    <w:rsid w:val="007D385E"/>
    <w:rsid w:val="007D3B50"/>
    <w:rsid w:val="007D3B66"/>
    <w:rsid w:val="007D3C40"/>
    <w:rsid w:val="007D402E"/>
    <w:rsid w:val="007D40AA"/>
    <w:rsid w:val="007D410A"/>
    <w:rsid w:val="007D452E"/>
    <w:rsid w:val="007D52BB"/>
    <w:rsid w:val="007D541C"/>
    <w:rsid w:val="007D5766"/>
    <w:rsid w:val="007D5884"/>
    <w:rsid w:val="007D5900"/>
    <w:rsid w:val="007D5920"/>
    <w:rsid w:val="007D5A72"/>
    <w:rsid w:val="007D5ACD"/>
    <w:rsid w:val="007D5AE2"/>
    <w:rsid w:val="007D5E5F"/>
    <w:rsid w:val="007D5E7D"/>
    <w:rsid w:val="007D611C"/>
    <w:rsid w:val="007D6209"/>
    <w:rsid w:val="007D63C9"/>
    <w:rsid w:val="007D6408"/>
    <w:rsid w:val="007D658C"/>
    <w:rsid w:val="007D662A"/>
    <w:rsid w:val="007D67FF"/>
    <w:rsid w:val="007D6A15"/>
    <w:rsid w:val="007D6AF4"/>
    <w:rsid w:val="007D6DA9"/>
    <w:rsid w:val="007D6DCB"/>
    <w:rsid w:val="007D6E56"/>
    <w:rsid w:val="007D7127"/>
    <w:rsid w:val="007D7266"/>
    <w:rsid w:val="007D73B6"/>
    <w:rsid w:val="007D748E"/>
    <w:rsid w:val="007D74F5"/>
    <w:rsid w:val="007D7764"/>
    <w:rsid w:val="007D7882"/>
    <w:rsid w:val="007D7A8A"/>
    <w:rsid w:val="007D7AB1"/>
    <w:rsid w:val="007D7AD3"/>
    <w:rsid w:val="007D7BE8"/>
    <w:rsid w:val="007D7E77"/>
    <w:rsid w:val="007D7F7B"/>
    <w:rsid w:val="007D7FB5"/>
    <w:rsid w:val="007E00A1"/>
    <w:rsid w:val="007E0854"/>
    <w:rsid w:val="007E0872"/>
    <w:rsid w:val="007E0A0C"/>
    <w:rsid w:val="007E0A40"/>
    <w:rsid w:val="007E0A4A"/>
    <w:rsid w:val="007E0A5B"/>
    <w:rsid w:val="007E0C86"/>
    <w:rsid w:val="007E0C87"/>
    <w:rsid w:val="007E0CEC"/>
    <w:rsid w:val="007E0ECF"/>
    <w:rsid w:val="007E13F2"/>
    <w:rsid w:val="007E15A3"/>
    <w:rsid w:val="007E19F4"/>
    <w:rsid w:val="007E1B87"/>
    <w:rsid w:val="007E1C2F"/>
    <w:rsid w:val="007E1D36"/>
    <w:rsid w:val="007E1D37"/>
    <w:rsid w:val="007E1F8E"/>
    <w:rsid w:val="007E1F9C"/>
    <w:rsid w:val="007E22E0"/>
    <w:rsid w:val="007E24A5"/>
    <w:rsid w:val="007E2884"/>
    <w:rsid w:val="007E29C4"/>
    <w:rsid w:val="007E29D7"/>
    <w:rsid w:val="007E2B14"/>
    <w:rsid w:val="007E2C30"/>
    <w:rsid w:val="007E2EDD"/>
    <w:rsid w:val="007E31E9"/>
    <w:rsid w:val="007E372F"/>
    <w:rsid w:val="007E37C3"/>
    <w:rsid w:val="007E3B3D"/>
    <w:rsid w:val="007E3D66"/>
    <w:rsid w:val="007E3EFC"/>
    <w:rsid w:val="007E4239"/>
    <w:rsid w:val="007E49AB"/>
    <w:rsid w:val="007E4A23"/>
    <w:rsid w:val="007E4AF5"/>
    <w:rsid w:val="007E4C07"/>
    <w:rsid w:val="007E4D60"/>
    <w:rsid w:val="007E4D87"/>
    <w:rsid w:val="007E51A7"/>
    <w:rsid w:val="007E51E3"/>
    <w:rsid w:val="007E52C5"/>
    <w:rsid w:val="007E547F"/>
    <w:rsid w:val="007E553E"/>
    <w:rsid w:val="007E58CA"/>
    <w:rsid w:val="007E5A7F"/>
    <w:rsid w:val="007E5EED"/>
    <w:rsid w:val="007E60F1"/>
    <w:rsid w:val="007E6133"/>
    <w:rsid w:val="007E61BD"/>
    <w:rsid w:val="007E61F6"/>
    <w:rsid w:val="007E6266"/>
    <w:rsid w:val="007E62BB"/>
    <w:rsid w:val="007E643E"/>
    <w:rsid w:val="007E64C5"/>
    <w:rsid w:val="007E6562"/>
    <w:rsid w:val="007E66E3"/>
    <w:rsid w:val="007E66F4"/>
    <w:rsid w:val="007E6B27"/>
    <w:rsid w:val="007E6B47"/>
    <w:rsid w:val="007E6C0E"/>
    <w:rsid w:val="007E6C92"/>
    <w:rsid w:val="007E6F66"/>
    <w:rsid w:val="007E7312"/>
    <w:rsid w:val="007E73FC"/>
    <w:rsid w:val="007E779A"/>
    <w:rsid w:val="007E795B"/>
    <w:rsid w:val="007E7BFC"/>
    <w:rsid w:val="007F0333"/>
    <w:rsid w:val="007F0367"/>
    <w:rsid w:val="007F058E"/>
    <w:rsid w:val="007F05CF"/>
    <w:rsid w:val="007F0A6A"/>
    <w:rsid w:val="007F0ACB"/>
    <w:rsid w:val="007F0C22"/>
    <w:rsid w:val="007F0C2E"/>
    <w:rsid w:val="007F0DEE"/>
    <w:rsid w:val="007F1110"/>
    <w:rsid w:val="007F14C5"/>
    <w:rsid w:val="007F19AA"/>
    <w:rsid w:val="007F1AEE"/>
    <w:rsid w:val="007F1DB7"/>
    <w:rsid w:val="007F1F9E"/>
    <w:rsid w:val="007F218F"/>
    <w:rsid w:val="007F225B"/>
    <w:rsid w:val="007F2364"/>
    <w:rsid w:val="007F243E"/>
    <w:rsid w:val="007F260B"/>
    <w:rsid w:val="007F274B"/>
    <w:rsid w:val="007F281D"/>
    <w:rsid w:val="007F2862"/>
    <w:rsid w:val="007F2A55"/>
    <w:rsid w:val="007F2BB9"/>
    <w:rsid w:val="007F2D89"/>
    <w:rsid w:val="007F2DD7"/>
    <w:rsid w:val="007F3539"/>
    <w:rsid w:val="007F3816"/>
    <w:rsid w:val="007F3923"/>
    <w:rsid w:val="007F3B62"/>
    <w:rsid w:val="007F3D93"/>
    <w:rsid w:val="007F4181"/>
    <w:rsid w:val="007F41E5"/>
    <w:rsid w:val="007F44AD"/>
    <w:rsid w:val="007F456A"/>
    <w:rsid w:val="007F4739"/>
    <w:rsid w:val="007F474D"/>
    <w:rsid w:val="007F476B"/>
    <w:rsid w:val="007F47EE"/>
    <w:rsid w:val="007F4828"/>
    <w:rsid w:val="007F4893"/>
    <w:rsid w:val="007F4971"/>
    <w:rsid w:val="007F4A1C"/>
    <w:rsid w:val="007F4C8B"/>
    <w:rsid w:val="007F4D89"/>
    <w:rsid w:val="007F53D1"/>
    <w:rsid w:val="007F564F"/>
    <w:rsid w:val="007F580A"/>
    <w:rsid w:val="007F5932"/>
    <w:rsid w:val="007F59F7"/>
    <w:rsid w:val="007F5F8B"/>
    <w:rsid w:val="007F5FDB"/>
    <w:rsid w:val="007F646E"/>
    <w:rsid w:val="007F67D0"/>
    <w:rsid w:val="007F6A5D"/>
    <w:rsid w:val="007F6A99"/>
    <w:rsid w:val="007F6C8A"/>
    <w:rsid w:val="007F6DB5"/>
    <w:rsid w:val="007F702A"/>
    <w:rsid w:val="007F70C4"/>
    <w:rsid w:val="007F722B"/>
    <w:rsid w:val="007F74A5"/>
    <w:rsid w:val="007F75D1"/>
    <w:rsid w:val="007F7984"/>
    <w:rsid w:val="007F7A26"/>
    <w:rsid w:val="007F7A2B"/>
    <w:rsid w:val="007F7BCF"/>
    <w:rsid w:val="00800120"/>
    <w:rsid w:val="0080028E"/>
    <w:rsid w:val="008002FD"/>
    <w:rsid w:val="0080039D"/>
    <w:rsid w:val="00800529"/>
    <w:rsid w:val="0080057D"/>
    <w:rsid w:val="008006A4"/>
    <w:rsid w:val="00800B83"/>
    <w:rsid w:val="008012E0"/>
    <w:rsid w:val="0080146A"/>
    <w:rsid w:val="0080158D"/>
    <w:rsid w:val="008017E0"/>
    <w:rsid w:val="00801837"/>
    <w:rsid w:val="00801C65"/>
    <w:rsid w:val="00802035"/>
    <w:rsid w:val="008022E9"/>
    <w:rsid w:val="0080265E"/>
    <w:rsid w:val="00802817"/>
    <w:rsid w:val="00802905"/>
    <w:rsid w:val="00802CB9"/>
    <w:rsid w:val="00802DD4"/>
    <w:rsid w:val="00802DFE"/>
    <w:rsid w:val="00803297"/>
    <w:rsid w:val="0080344F"/>
    <w:rsid w:val="00803450"/>
    <w:rsid w:val="008034A7"/>
    <w:rsid w:val="008034DF"/>
    <w:rsid w:val="008036E5"/>
    <w:rsid w:val="00803737"/>
    <w:rsid w:val="00803A62"/>
    <w:rsid w:val="00803B7E"/>
    <w:rsid w:val="00803BB3"/>
    <w:rsid w:val="00803C1A"/>
    <w:rsid w:val="00803CD5"/>
    <w:rsid w:val="00803D51"/>
    <w:rsid w:val="008041B5"/>
    <w:rsid w:val="0080426F"/>
    <w:rsid w:val="00804545"/>
    <w:rsid w:val="00804717"/>
    <w:rsid w:val="008047CE"/>
    <w:rsid w:val="00804843"/>
    <w:rsid w:val="00804CB9"/>
    <w:rsid w:val="00804D15"/>
    <w:rsid w:val="00804F43"/>
    <w:rsid w:val="008051D1"/>
    <w:rsid w:val="0080520F"/>
    <w:rsid w:val="00805381"/>
    <w:rsid w:val="0080571F"/>
    <w:rsid w:val="008057BC"/>
    <w:rsid w:val="00805959"/>
    <w:rsid w:val="00805B17"/>
    <w:rsid w:val="00805DFB"/>
    <w:rsid w:val="00805EC1"/>
    <w:rsid w:val="008060E4"/>
    <w:rsid w:val="0080628A"/>
    <w:rsid w:val="008064B6"/>
    <w:rsid w:val="00806666"/>
    <w:rsid w:val="0080683E"/>
    <w:rsid w:val="00806DBA"/>
    <w:rsid w:val="00806EE1"/>
    <w:rsid w:val="00806FA4"/>
    <w:rsid w:val="00806FAD"/>
    <w:rsid w:val="008073C7"/>
    <w:rsid w:val="00807575"/>
    <w:rsid w:val="008075AC"/>
    <w:rsid w:val="008078E7"/>
    <w:rsid w:val="00807989"/>
    <w:rsid w:val="00807B7B"/>
    <w:rsid w:val="00807CEF"/>
    <w:rsid w:val="00810127"/>
    <w:rsid w:val="008102BC"/>
    <w:rsid w:val="008103DC"/>
    <w:rsid w:val="0081040D"/>
    <w:rsid w:val="0081042A"/>
    <w:rsid w:val="00810758"/>
    <w:rsid w:val="0081089D"/>
    <w:rsid w:val="00810D6F"/>
    <w:rsid w:val="00810D71"/>
    <w:rsid w:val="00811153"/>
    <w:rsid w:val="00811516"/>
    <w:rsid w:val="00811899"/>
    <w:rsid w:val="00811B20"/>
    <w:rsid w:val="00811B38"/>
    <w:rsid w:val="00811CA0"/>
    <w:rsid w:val="00811FBA"/>
    <w:rsid w:val="00812324"/>
    <w:rsid w:val="00812327"/>
    <w:rsid w:val="00812496"/>
    <w:rsid w:val="008126F0"/>
    <w:rsid w:val="008127EC"/>
    <w:rsid w:val="00812849"/>
    <w:rsid w:val="0081296D"/>
    <w:rsid w:val="008129BC"/>
    <w:rsid w:val="00812B36"/>
    <w:rsid w:val="00812B94"/>
    <w:rsid w:val="00812BBF"/>
    <w:rsid w:val="00812C99"/>
    <w:rsid w:val="00812CF8"/>
    <w:rsid w:val="00812D7B"/>
    <w:rsid w:val="00813264"/>
    <w:rsid w:val="00813376"/>
    <w:rsid w:val="00813435"/>
    <w:rsid w:val="00813481"/>
    <w:rsid w:val="0081362D"/>
    <w:rsid w:val="00813750"/>
    <w:rsid w:val="008139F1"/>
    <w:rsid w:val="00813D51"/>
    <w:rsid w:val="00813DF7"/>
    <w:rsid w:val="00813E09"/>
    <w:rsid w:val="0081400C"/>
    <w:rsid w:val="00814409"/>
    <w:rsid w:val="0081476D"/>
    <w:rsid w:val="00814847"/>
    <w:rsid w:val="00814906"/>
    <w:rsid w:val="00814AA3"/>
    <w:rsid w:val="00814B39"/>
    <w:rsid w:val="00814BC4"/>
    <w:rsid w:val="00814DA6"/>
    <w:rsid w:val="00814DB1"/>
    <w:rsid w:val="00814DC1"/>
    <w:rsid w:val="00815542"/>
    <w:rsid w:val="008156DA"/>
    <w:rsid w:val="00815802"/>
    <w:rsid w:val="008160BE"/>
    <w:rsid w:val="00816511"/>
    <w:rsid w:val="00816800"/>
    <w:rsid w:val="008168D8"/>
    <w:rsid w:val="00816A20"/>
    <w:rsid w:val="00816C84"/>
    <w:rsid w:val="00816F23"/>
    <w:rsid w:val="0081774E"/>
    <w:rsid w:val="008178DA"/>
    <w:rsid w:val="00817BE5"/>
    <w:rsid w:val="00817DA9"/>
    <w:rsid w:val="00817FFE"/>
    <w:rsid w:val="0082000E"/>
    <w:rsid w:val="008204E5"/>
    <w:rsid w:val="0082051A"/>
    <w:rsid w:val="00820781"/>
    <w:rsid w:val="0082086B"/>
    <w:rsid w:val="008209A0"/>
    <w:rsid w:val="00820A27"/>
    <w:rsid w:val="00820D42"/>
    <w:rsid w:val="00820D44"/>
    <w:rsid w:val="00820D51"/>
    <w:rsid w:val="00820DC5"/>
    <w:rsid w:val="00820E94"/>
    <w:rsid w:val="0082119E"/>
    <w:rsid w:val="008211FF"/>
    <w:rsid w:val="00821C6A"/>
    <w:rsid w:val="00822175"/>
    <w:rsid w:val="008221E1"/>
    <w:rsid w:val="00822225"/>
    <w:rsid w:val="0082231F"/>
    <w:rsid w:val="008229F6"/>
    <w:rsid w:val="00822A4D"/>
    <w:rsid w:val="00822A6D"/>
    <w:rsid w:val="00823017"/>
    <w:rsid w:val="0082301F"/>
    <w:rsid w:val="008230BA"/>
    <w:rsid w:val="00823162"/>
    <w:rsid w:val="008233BC"/>
    <w:rsid w:val="008233F1"/>
    <w:rsid w:val="00823410"/>
    <w:rsid w:val="00823418"/>
    <w:rsid w:val="008234D8"/>
    <w:rsid w:val="00823536"/>
    <w:rsid w:val="008236D1"/>
    <w:rsid w:val="008239FB"/>
    <w:rsid w:val="00823AE7"/>
    <w:rsid w:val="00823FF5"/>
    <w:rsid w:val="008240EE"/>
    <w:rsid w:val="008241FE"/>
    <w:rsid w:val="00824253"/>
    <w:rsid w:val="00824348"/>
    <w:rsid w:val="008247D9"/>
    <w:rsid w:val="0082486F"/>
    <w:rsid w:val="00824933"/>
    <w:rsid w:val="00824A5B"/>
    <w:rsid w:val="008251F6"/>
    <w:rsid w:val="00825A8A"/>
    <w:rsid w:val="00825AC2"/>
    <w:rsid w:val="008260A7"/>
    <w:rsid w:val="008262D5"/>
    <w:rsid w:val="00826707"/>
    <w:rsid w:val="0082673C"/>
    <w:rsid w:val="0082676F"/>
    <w:rsid w:val="008267EE"/>
    <w:rsid w:val="00826A23"/>
    <w:rsid w:val="00826A5D"/>
    <w:rsid w:val="00826C2A"/>
    <w:rsid w:val="00826EB7"/>
    <w:rsid w:val="00826EDE"/>
    <w:rsid w:val="008270FE"/>
    <w:rsid w:val="008271C0"/>
    <w:rsid w:val="008274B0"/>
    <w:rsid w:val="0082789B"/>
    <w:rsid w:val="00827DD8"/>
    <w:rsid w:val="008300B5"/>
    <w:rsid w:val="008300E5"/>
    <w:rsid w:val="0083012E"/>
    <w:rsid w:val="0083059C"/>
    <w:rsid w:val="008305BE"/>
    <w:rsid w:val="00830619"/>
    <w:rsid w:val="008306E1"/>
    <w:rsid w:val="00830761"/>
    <w:rsid w:val="00830969"/>
    <w:rsid w:val="008309B4"/>
    <w:rsid w:val="00830A5A"/>
    <w:rsid w:val="0083117C"/>
    <w:rsid w:val="008312DB"/>
    <w:rsid w:val="008312E9"/>
    <w:rsid w:val="00831359"/>
    <w:rsid w:val="008325CD"/>
    <w:rsid w:val="00832648"/>
    <w:rsid w:val="0083275C"/>
    <w:rsid w:val="0083276E"/>
    <w:rsid w:val="00832807"/>
    <w:rsid w:val="00832882"/>
    <w:rsid w:val="00832A27"/>
    <w:rsid w:val="00832AAB"/>
    <w:rsid w:val="00832B94"/>
    <w:rsid w:val="00832E99"/>
    <w:rsid w:val="00832F5C"/>
    <w:rsid w:val="0083354C"/>
    <w:rsid w:val="0083354F"/>
    <w:rsid w:val="00833A4E"/>
    <w:rsid w:val="00833B70"/>
    <w:rsid w:val="00833FFA"/>
    <w:rsid w:val="00834151"/>
    <w:rsid w:val="00834161"/>
    <w:rsid w:val="0083419A"/>
    <w:rsid w:val="0083441D"/>
    <w:rsid w:val="00834529"/>
    <w:rsid w:val="00834553"/>
    <w:rsid w:val="00834DD6"/>
    <w:rsid w:val="008352BB"/>
    <w:rsid w:val="00835519"/>
    <w:rsid w:val="00835525"/>
    <w:rsid w:val="00835614"/>
    <w:rsid w:val="0083586C"/>
    <w:rsid w:val="008358BE"/>
    <w:rsid w:val="00835D51"/>
    <w:rsid w:val="00835E5A"/>
    <w:rsid w:val="00835ECA"/>
    <w:rsid w:val="00835FFD"/>
    <w:rsid w:val="00836181"/>
    <w:rsid w:val="00836218"/>
    <w:rsid w:val="0083671D"/>
    <w:rsid w:val="0083683F"/>
    <w:rsid w:val="00836A38"/>
    <w:rsid w:val="00836C35"/>
    <w:rsid w:val="00836D54"/>
    <w:rsid w:val="00836FA2"/>
    <w:rsid w:val="00837386"/>
    <w:rsid w:val="0083756D"/>
    <w:rsid w:val="00837618"/>
    <w:rsid w:val="00837777"/>
    <w:rsid w:val="00837EDA"/>
    <w:rsid w:val="00840068"/>
    <w:rsid w:val="0084043B"/>
    <w:rsid w:val="00840485"/>
    <w:rsid w:val="008404D6"/>
    <w:rsid w:val="0084073A"/>
    <w:rsid w:val="008407D3"/>
    <w:rsid w:val="00840850"/>
    <w:rsid w:val="0084099A"/>
    <w:rsid w:val="008409DA"/>
    <w:rsid w:val="00840A51"/>
    <w:rsid w:val="00840D42"/>
    <w:rsid w:val="00840E3D"/>
    <w:rsid w:val="008414A2"/>
    <w:rsid w:val="00841530"/>
    <w:rsid w:val="00841581"/>
    <w:rsid w:val="00841DD1"/>
    <w:rsid w:val="00841FB9"/>
    <w:rsid w:val="008424B2"/>
    <w:rsid w:val="0084276A"/>
    <w:rsid w:val="00842B05"/>
    <w:rsid w:val="00842D86"/>
    <w:rsid w:val="00842F85"/>
    <w:rsid w:val="0084329F"/>
    <w:rsid w:val="008432D6"/>
    <w:rsid w:val="00843527"/>
    <w:rsid w:val="00843931"/>
    <w:rsid w:val="00843BB9"/>
    <w:rsid w:val="00843C60"/>
    <w:rsid w:val="00843CE8"/>
    <w:rsid w:val="00843D1E"/>
    <w:rsid w:val="00843F41"/>
    <w:rsid w:val="00844050"/>
    <w:rsid w:val="0084425B"/>
    <w:rsid w:val="00844438"/>
    <w:rsid w:val="008447C0"/>
    <w:rsid w:val="00844A18"/>
    <w:rsid w:val="00844D78"/>
    <w:rsid w:val="00844D98"/>
    <w:rsid w:val="00844E2B"/>
    <w:rsid w:val="0084517B"/>
    <w:rsid w:val="008455A5"/>
    <w:rsid w:val="00845AC0"/>
    <w:rsid w:val="00845EF3"/>
    <w:rsid w:val="0084612D"/>
    <w:rsid w:val="008462B9"/>
    <w:rsid w:val="00846377"/>
    <w:rsid w:val="00846437"/>
    <w:rsid w:val="00846633"/>
    <w:rsid w:val="0084665E"/>
    <w:rsid w:val="00846727"/>
    <w:rsid w:val="00846847"/>
    <w:rsid w:val="008468B2"/>
    <w:rsid w:val="00846A61"/>
    <w:rsid w:val="00846B9B"/>
    <w:rsid w:val="00846FDE"/>
    <w:rsid w:val="008473B8"/>
    <w:rsid w:val="0084761E"/>
    <w:rsid w:val="00847760"/>
    <w:rsid w:val="00847CC1"/>
    <w:rsid w:val="00847CCA"/>
    <w:rsid w:val="00847DCF"/>
    <w:rsid w:val="00847F08"/>
    <w:rsid w:val="008501F9"/>
    <w:rsid w:val="0085050B"/>
    <w:rsid w:val="0085092E"/>
    <w:rsid w:val="00850A7D"/>
    <w:rsid w:val="00850B43"/>
    <w:rsid w:val="00850B77"/>
    <w:rsid w:val="00850C30"/>
    <w:rsid w:val="00851678"/>
    <w:rsid w:val="008516E2"/>
    <w:rsid w:val="0085183E"/>
    <w:rsid w:val="00851872"/>
    <w:rsid w:val="00851882"/>
    <w:rsid w:val="0085190F"/>
    <w:rsid w:val="00852195"/>
    <w:rsid w:val="00852248"/>
    <w:rsid w:val="00852623"/>
    <w:rsid w:val="00852663"/>
    <w:rsid w:val="0085278B"/>
    <w:rsid w:val="008528B0"/>
    <w:rsid w:val="00852D57"/>
    <w:rsid w:val="00852D7D"/>
    <w:rsid w:val="008535AF"/>
    <w:rsid w:val="00853728"/>
    <w:rsid w:val="008539AE"/>
    <w:rsid w:val="00853C80"/>
    <w:rsid w:val="00853DC9"/>
    <w:rsid w:val="00853FA3"/>
    <w:rsid w:val="00854053"/>
    <w:rsid w:val="0085425C"/>
    <w:rsid w:val="00854539"/>
    <w:rsid w:val="0085454E"/>
    <w:rsid w:val="0085463C"/>
    <w:rsid w:val="00854869"/>
    <w:rsid w:val="008549E1"/>
    <w:rsid w:val="00854B36"/>
    <w:rsid w:val="00854B44"/>
    <w:rsid w:val="00854B4F"/>
    <w:rsid w:val="00854EF5"/>
    <w:rsid w:val="00854F15"/>
    <w:rsid w:val="00855474"/>
    <w:rsid w:val="008554DA"/>
    <w:rsid w:val="008555C6"/>
    <w:rsid w:val="00855837"/>
    <w:rsid w:val="00855970"/>
    <w:rsid w:val="008559D9"/>
    <w:rsid w:val="00855CE2"/>
    <w:rsid w:val="00855EB6"/>
    <w:rsid w:val="00855FEA"/>
    <w:rsid w:val="00856090"/>
    <w:rsid w:val="00856094"/>
    <w:rsid w:val="00856207"/>
    <w:rsid w:val="008562F5"/>
    <w:rsid w:val="008563F1"/>
    <w:rsid w:val="008565CD"/>
    <w:rsid w:val="008565DD"/>
    <w:rsid w:val="008568F5"/>
    <w:rsid w:val="0085695D"/>
    <w:rsid w:val="00856C67"/>
    <w:rsid w:val="00856D75"/>
    <w:rsid w:val="00856F57"/>
    <w:rsid w:val="0085744B"/>
    <w:rsid w:val="008575E0"/>
    <w:rsid w:val="008577E5"/>
    <w:rsid w:val="0085780D"/>
    <w:rsid w:val="008578B6"/>
    <w:rsid w:val="008578C1"/>
    <w:rsid w:val="008579AA"/>
    <w:rsid w:val="00857CD3"/>
    <w:rsid w:val="00857E17"/>
    <w:rsid w:val="00857E19"/>
    <w:rsid w:val="00857F8B"/>
    <w:rsid w:val="00857FC7"/>
    <w:rsid w:val="00860C69"/>
    <w:rsid w:val="00861107"/>
    <w:rsid w:val="008611E7"/>
    <w:rsid w:val="0086145D"/>
    <w:rsid w:val="0086157D"/>
    <w:rsid w:val="008617B0"/>
    <w:rsid w:val="00861844"/>
    <w:rsid w:val="00861DB4"/>
    <w:rsid w:val="00861DED"/>
    <w:rsid w:val="0086207D"/>
    <w:rsid w:val="00862918"/>
    <w:rsid w:val="0086293A"/>
    <w:rsid w:val="00862A7E"/>
    <w:rsid w:val="00862A7F"/>
    <w:rsid w:val="00862C10"/>
    <w:rsid w:val="00862C73"/>
    <w:rsid w:val="00862FE3"/>
    <w:rsid w:val="00863A24"/>
    <w:rsid w:val="00863B3A"/>
    <w:rsid w:val="00863CF2"/>
    <w:rsid w:val="00863D69"/>
    <w:rsid w:val="00863DE6"/>
    <w:rsid w:val="00863E05"/>
    <w:rsid w:val="00863EF0"/>
    <w:rsid w:val="008645E4"/>
    <w:rsid w:val="008647CC"/>
    <w:rsid w:val="00864803"/>
    <w:rsid w:val="00864906"/>
    <w:rsid w:val="0086494F"/>
    <w:rsid w:val="00864B83"/>
    <w:rsid w:val="00864C5E"/>
    <w:rsid w:val="00864E39"/>
    <w:rsid w:val="00864FAF"/>
    <w:rsid w:val="008652E7"/>
    <w:rsid w:val="008653E4"/>
    <w:rsid w:val="0086546F"/>
    <w:rsid w:val="00865592"/>
    <w:rsid w:val="008657FC"/>
    <w:rsid w:val="0086592E"/>
    <w:rsid w:val="00865AD8"/>
    <w:rsid w:val="00865C9C"/>
    <w:rsid w:val="00865DC2"/>
    <w:rsid w:val="00865E64"/>
    <w:rsid w:val="00865E89"/>
    <w:rsid w:val="00866273"/>
    <w:rsid w:val="00866402"/>
    <w:rsid w:val="0086648A"/>
    <w:rsid w:val="00866540"/>
    <w:rsid w:val="008665EA"/>
    <w:rsid w:val="008665F1"/>
    <w:rsid w:val="00866903"/>
    <w:rsid w:val="00866A8E"/>
    <w:rsid w:val="0086705F"/>
    <w:rsid w:val="00867463"/>
    <w:rsid w:val="0086790E"/>
    <w:rsid w:val="00867B00"/>
    <w:rsid w:val="00867EFF"/>
    <w:rsid w:val="00867F5F"/>
    <w:rsid w:val="0087049D"/>
    <w:rsid w:val="0087054A"/>
    <w:rsid w:val="008708DC"/>
    <w:rsid w:val="00870C11"/>
    <w:rsid w:val="00870DE1"/>
    <w:rsid w:val="00871186"/>
    <w:rsid w:val="008711F1"/>
    <w:rsid w:val="0087139C"/>
    <w:rsid w:val="00871558"/>
    <w:rsid w:val="00871683"/>
    <w:rsid w:val="008719DB"/>
    <w:rsid w:val="00871F1F"/>
    <w:rsid w:val="0087213C"/>
    <w:rsid w:val="0087221D"/>
    <w:rsid w:val="0087230F"/>
    <w:rsid w:val="0087242B"/>
    <w:rsid w:val="00872726"/>
    <w:rsid w:val="008728A8"/>
    <w:rsid w:val="00872974"/>
    <w:rsid w:val="00872C8E"/>
    <w:rsid w:val="00872D45"/>
    <w:rsid w:val="0087307E"/>
    <w:rsid w:val="00873596"/>
    <w:rsid w:val="008736E5"/>
    <w:rsid w:val="00873716"/>
    <w:rsid w:val="0087374A"/>
    <w:rsid w:val="00873BCD"/>
    <w:rsid w:val="00873C95"/>
    <w:rsid w:val="00873D86"/>
    <w:rsid w:val="00873E79"/>
    <w:rsid w:val="00873FC4"/>
    <w:rsid w:val="00874105"/>
    <w:rsid w:val="0087428A"/>
    <w:rsid w:val="008743D4"/>
    <w:rsid w:val="00874588"/>
    <w:rsid w:val="008746FE"/>
    <w:rsid w:val="00874AB2"/>
    <w:rsid w:val="00874B35"/>
    <w:rsid w:val="00874C49"/>
    <w:rsid w:val="00874DFB"/>
    <w:rsid w:val="00874EA2"/>
    <w:rsid w:val="008755E6"/>
    <w:rsid w:val="00875A5D"/>
    <w:rsid w:val="00875A5E"/>
    <w:rsid w:val="00875AA0"/>
    <w:rsid w:val="00875BA5"/>
    <w:rsid w:val="008760B7"/>
    <w:rsid w:val="008760B8"/>
    <w:rsid w:val="00876654"/>
    <w:rsid w:val="00876664"/>
    <w:rsid w:val="00876677"/>
    <w:rsid w:val="0087671A"/>
    <w:rsid w:val="0087698E"/>
    <w:rsid w:val="00876A8E"/>
    <w:rsid w:val="00876BAC"/>
    <w:rsid w:val="00876C1B"/>
    <w:rsid w:val="00876DE8"/>
    <w:rsid w:val="00876E1E"/>
    <w:rsid w:val="008773B0"/>
    <w:rsid w:val="00877609"/>
    <w:rsid w:val="00877703"/>
    <w:rsid w:val="00877B3B"/>
    <w:rsid w:val="00877BC0"/>
    <w:rsid w:val="00877D3D"/>
    <w:rsid w:val="00877FA3"/>
    <w:rsid w:val="0088003C"/>
    <w:rsid w:val="0088058A"/>
    <w:rsid w:val="0088060D"/>
    <w:rsid w:val="0088079D"/>
    <w:rsid w:val="00880B6D"/>
    <w:rsid w:val="00880BD3"/>
    <w:rsid w:val="00880CF3"/>
    <w:rsid w:val="00880DF2"/>
    <w:rsid w:val="00880F09"/>
    <w:rsid w:val="00881453"/>
    <w:rsid w:val="00881746"/>
    <w:rsid w:val="00881B94"/>
    <w:rsid w:val="00881CD8"/>
    <w:rsid w:val="00881E4A"/>
    <w:rsid w:val="00881F85"/>
    <w:rsid w:val="00881FDE"/>
    <w:rsid w:val="00882069"/>
    <w:rsid w:val="008820C0"/>
    <w:rsid w:val="00882241"/>
    <w:rsid w:val="008824B2"/>
    <w:rsid w:val="008825B8"/>
    <w:rsid w:val="008825EF"/>
    <w:rsid w:val="00882789"/>
    <w:rsid w:val="00882A29"/>
    <w:rsid w:val="00882A51"/>
    <w:rsid w:val="00883111"/>
    <w:rsid w:val="008836FE"/>
    <w:rsid w:val="00883702"/>
    <w:rsid w:val="00883861"/>
    <w:rsid w:val="00883A19"/>
    <w:rsid w:val="00883A93"/>
    <w:rsid w:val="008840D7"/>
    <w:rsid w:val="0088450E"/>
    <w:rsid w:val="0088462F"/>
    <w:rsid w:val="00884669"/>
    <w:rsid w:val="008847F8"/>
    <w:rsid w:val="00884A84"/>
    <w:rsid w:val="00884B2E"/>
    <w:rsid w:val="00884C97"/>
    <w:rsid w:val="00884D6D"/>
    <w:rsid w:val="0088507B"/>
    <w:rsid w:val="00885268"/>
    <w:rsid w:val="00885488"/>
    <w:rsid w:val="0088551E"/>
    <w:rsid w:val="00885529"/>
    <w:rsid w:val="00885574"/>
    <w:rsid w:val="0088584C"/>
    <w:rsid w:val="00885892"/>
    <w:rsid w:val="0088591A"/>
    <w:rsid w:val="008859A1"/>
    <w:rsid w:val="008859A7"/>
    <w:rsid w:val="00885FB3"/>
    <w:rsid w:val="00886029"/>
    <w:rsid w:val="008861DC"/>
    <w:rsid w:val="0088631F"/>
    <w:rsid w:val="00886621"/>
    <w:rsid w:val="00886842"/>
    <w:rsid w:val="008868B9"/>
    <w:rsid w:val="00886A4D"/>
    <w:rsid w:val="00886A5B"/>
    <w:rsid w:val="00886D08"/>
    <w:rsid w:val="00887026"/>
    <w:rsid w:val="00887120"/>
    <w:rsid w:val="00887737"/>
    <w:rsid w:val="00887947"/>
    <w:rsid w:val="00887C73"/>
    <w:rsid w:val="00887D5C"/>
    <w:rsid w:val="00887FA9"/>
    <w:rsid w:val="00890035"/>
    <w:rsid w:val="00890263"/>
    <w:rsid w:val="00890A2F"/>
    <w:rsid w:val="00890D2C"/>
    <w:rsid w:val="00890F11"/>
    <w:rsid w:val="008910ED"/>
    <w:rsid w:val="00891281"/>
    <w:rsid w:val="0089158F"/>
    <w:rsid w:val="00891863"/>
    <w:rsid w:val="00891BC0"/>
    <w:rsid w:val="00891E7A"/>
    <w:rsid w:val="00891F1C"/>
    <w:rsid w:val="00891FDE"/>
    <w:rsid w:val="008921AD"/>
    <w:rsid w:val="00892264"/>
    <w:rsid w:val="008924C3"/>
    <w:rsid w:val="0089260C"/>
    <w:rsid w:val="008927B2"/>
    <w:rsid w:val="00892861"/>
    <w:rsid w:val="0089296A"/>
    <w:rsid w:val="00892A20"/>
    <w:rsid w:val="00892B4B"/>
    <w:rsid w:val="00893496"/>
    <w:rsid w:val="008934FB"/>
    <w:rsid w:val="00893533"/>
    <w:rsid w:val="008937D1"/>
    <w:rsid w:val="00893854"/>
    <w:rsid w:val="0089399D"/>
    <w:rsid w:val="00893AF6"/>
    <w:rsid w:val="00893B32"/>
    <w:rsid w:val="00893CDF"/>
    <w:rsid w:val="00893E75"/>
    <w:rsid w:val="00893F82"/>
    <w:rsid w:val="00894859"/>
    <w:rsid w:val="00894991"/>
    <w:rsid w:val="00894B22"/>
    <w:rsid w:val="00894E73"/>
    <w:rsid w:val="008950B9"/>
    <w:rsid w:val="008952AC"/>
    <w:rsid w:val="0089531A"/>
    <w:rsid w:val="00896050"/>
    <w:rsid w:val="008960CF"/>
    <w:rsid w:val="00896127"/>
    <w:rsid w:val="008963D9"/>
    <w:rsid w:val="00896524"/>
    <w:rsid w:val="00896852"/>
    <w:rsid w:val="00896A40"/>
    <w:rsid w:val="00896A77"/>
    <w:rsid w:val="00896A9B"/>
    <w:rsid w:val="00896AA2"/>
    <w:rsid w:val="00896BB6"/>
    <w:rsid w:val="00896BD8"/>
    <w:rsid w:val="00897262"/>
    <w:rsid w:val="00897385"/>
    <w:rsid w:val="00897685"/>
    <w:rsid w:val="008976F8"/>
    <w:rsid w:val="00897723"/>
    <w:rsid w:val="00897A47"/>
    <w:rsid w:val="00897B68"/>
    <w:rsid w:val="00897BDE"/>
    <w:rsid w:val="00897D4B"/>
    <w:rsid w:val="00897D7B"/>
    <w:rsid w:val="00897E7F"/>
    <w:rsid w:val="00897F27"/>
    <w:rsid w:val="00897FCA"/>
    <w:rsid w:val="008A000E"/>
    <w:rsid w:val="008A0256"/>
    <w:rsid w:val="008A03D5"/>
    <w:rsid w:val="008A0441"/>
    <w:rsid w:val="008A044E"/>
    <w:rsid w:val="008A06CB"/>
    <w:rsid w:val="008A0739"/>
    <w:rsid w:val="008A09B9"/>
    <w:rsid w:val="008A0A23"/>
    <w:rsid w:val="008A0A79"/>
    <w:rsid w:val="008A0B6D"/>
    <w:rsid w:val="008A0F20"/>
    <w:rsid w:val="008A1284"/>
    <w:rsid w:val="008A1515"/>
    <w:rsid w:val="008A1860"/>
    <w:rsid w:val="008A1A94"/>
    <w:rsid w:val="008A1D82"/>
    <w:rsid w:val="008A1DB8"/>
    <w:rsid w:val="008A1F28"/>
    <w:rsid w:val="008A1F2F"/>
    <w:rsid w:val="008A229B"/>
    <w:rsid w:val="008A2369"/>
    <w:rsid w:val="008A23C7"/>
    <w:rsid w:val="008A2515"/>
    <w:rsid w:val="008A2669"/>
    <w:rsid w:val="008A2697"/>
    <w:rsid w:val="008A279D"/>
    <w:rsid w:val="008A337A"/>
    <w:rsid w:val="008A3394"/>
    <w:rsid w:val="008A3778"/>
    <w:rsid w:val="008A3B42"/>
    <w:rsid w:val="008A3DC9"/>
    <w:rsid w:val="008A48D2"/>
    <w:rsid w:val="008A4A84"/>
    <w:rsid w:val="008A4E1C"/>
    <w:rsid w:val="008A4E25"/>
    <w:rsid w:val="008A4ED4"/>
    <w:rsid w:val="008A50F2"/>
    <w:rsid w:val="008A53BB"/>
    <w:rsid w:val="008A54CA"/>
    <w:rsid w:val="008A56A7"/>
    <w:rsid w:val="008A57AC"/>
    <w:rsid w:val="008A5929"/>
    <w:rsid w:val="008A59DE"/>
    <w:rsid w:val="008A5C76"/>
    <w:rsid w:val="008A5CCD"/>
    <w:rsid w:val="008A5E7F"/>
    <w:rsid w:val="008A62C3"/>
    <w:rsid w:val="008A62F7"/>
    <w:rsid w:val="008A6691"/>
    <w:rsid w:val="008A66AD"/>
    <w:rsid w:val="008A66E0"/>
    <w:rsid w:val="008A6952"/>
    <w:rsid w:val="008A6AB9"/>
    <w:rsid w:val="008A6B00"/>
    <w:rsid w:val="008A6BE8"/>
    <w:rsid w:val="008A6D93"/>
    <w:rsid w:val="008A6E2F"/>
    <w:rsid w:val="008A72FF"/>
    <w:rsid w:val="008A79F2"/>
    <w:rsid w:val="008A7A7B"/>
    <w:rsid w:val="008A7EA3"/>
    <w:rsid w:val="008B00EC"/>
    <w:rsid w:val="008B0172"/>
    <w:rsid w:val="008B026A"/>
    <w:rsid w:val="008B045D"/>
    <w:rsid w:val="008B06A9"/>
    <w:rsid w:val="008B09CC"/>
    <w:rsid w:val="008B0AAE"/>
    <w:rsid w:val="008B0CE6"/>
    <w:rsid w:val="008B0D95"/>
    <w:rsid w:val="008B1449"/>
    <w:rsid w:val="008B1898"/>
    <w:rsid w:val="008B19D8"/>
    <w:rsid w:val="008B1D68"/>
    <w:rsid w:val="008B1D9D"/>
    <w:rsid w:val="008B1DDD"/>
    <w:rsid w:val="008B1EA6"/>
    <w:rsid w:val="008B1EDC"/>
    <w:rsid w:val="008B204F"/>
    <w:rsid w:val="008B20C4"/>
    <w:rsid w:val="008B2430"/>
    <w:rsid w:val="008B255A"/>
    <w:rsid w:val="008B2683"/>
    <w:rsid w:val="008B27D3"/>
    <w:rsid w:val="008B28C3"/>
    <w:rsid w:val="008B29EA"/>
    <w:rsid w:val="008B2F15"/>
    <w:rsid w:val="008B3346"/>
    <w:rsid w:val="008B370F"/>
    <w:rsid w:val="008B371C"/>
    <w:rsid w:val="008B377C"/>
    <w:rsid w:val="008B37A1"/>
    <w:rsid w:val="008B3979"/>
    <w:rsid w:val="008B39B6"/>
    <w:rsid w:val="008B39F2"/>
    <w:rsid w:val="008B3A30"/>
    <w:rsid w:val="008B4140"/>
    <w:rsid w:val="008B4148"/>
    <w:rsid w:val="008B45AA"/>
    <w:rsid w:val="008B4A8B"/>
    <w:rsid w:val="008B4BA8"/>
    <w:rsid w:val="008B4C0F"/>
    <w:rsid w:val="008B4C42"/>
    <w:rsid w:val="008B4F62"/>
    <w:rsid w:val="008B50CA"/>
    <w:rsid w:val="008B51E7"/>
    <w:rsid w:val="008B52FB"/>
    <w:rsid w:val="008B53AB"/>
    <w:rsid w:val="008B53F0"/>
    <w:rsid w:val="008B5459"/>
    <w:rsid w:val="008B54D2"/>
    <w:rsid w:val="008B5716"/>
    <w:rsid w:val="008B5A08"/>
    <w:rsid w:val="008B5B0D"/>
    <w:rsid w:val="008B5B68"/>
    <w:rsid w:val="008B5D09"/>
    <w:rsid w:val="008B6283"/>
    <w:rsid w:val="008B62A8"/>
    <w:rsid w:val="008B62AC"/>
    <w:rsid w:val="008B6614"/>
    <w:rsid w:val="008B6917"/>
    <w:rsid w:val="008B6A7C"/>
    <w:rsid w:val="008B6AA2"/>
    <w:rsid w:val="008B73B2"/>
    <w:rsid w:val="008B7622"/>
    <w:rsid w:val="008B7654"/>
    <w:rsid w:val="008B78B3"/>
    <w:rsid w:val="008B7CD6"/>
    <w:rsid w:val="008B7D6D"/>
    <w:rsid w:val="008B7E7E"/>
    <w:rsid w:val="008B7F67"/>
    <w:rsid w:val="008B7F80"/>
    <w:rsid w:val="008C01A5"/>
    <w:rsid w:val="008C02C0"/>
    <w:rsid w:val="008C0427"/>
    <w:rsid w:val="008C0574"/>
    <w:rsid w:val="008C064F"/>
    <w:rsid w:val="008C067D"/>
    <w:rsid w:val="008C06A1"/>
    <w:rsid w:val="008C078A"/>
    <w:rsid w:val="008C0830"/>
    <w:rsid w:val="008C0898"/>
    <w:rsid w:val="008C0924"/>
    <w:rsid w:val="008C092D"/>
    <w:rsid w:val="008C1065"/>
    <w:rsid w:val="008C112D"/>
    <w:rsid w:val="008C11F6"/>
    <w:rsid w:val="008C12AF"/>
    <w:rsid w:val="008C13AE"/>
    <w:rsid w:val="008C17B8"/>
    <w:rsid w:val="008C1CE3"/>
    <w:rsid w:val="008C21DD"/>
    <w:rsid w:val="008C2231"/>
    <w:rsid w:val="008C251F"/>
    <w:rsid w:val="008C2553"/>
    <w:rsid w:val="008C2591"/>
    <w:rsid w:val="008C262E"/>
    <w:rsid w:val="008C2ADC"/>
    <w:rsid w:val="008C2B0A"/>
    <w:rsid w:val="008C3284"/>
    <w:rsid w:val="008C36BB"/>
    <w:rsid w:val="008C4080"/>
    <w:rsid w:val="008C429C"/>
    <w:rsid w:val="008C42AF"/>
    <w:rsid w:val="008C44DF"/>
    <w:rsid w:val="008C46CC"/>
    <w:rsid w:val="008C4B21"/>
    <w:rsid w:val="008C4D9A"/>
    <w:rsid w:val="008C4E7E"/>
    <w:rsid w:val="008C4ED3"/>
    <w:rsid w:val="008C5058"/>
    <w:rsid w:val="008C51EA"/>
    <w:rsid w:val="008C5338"/>
    <w:rsid w:val="008C5645"/>
    <w:rsid w:val="008C56CB"/>
    <w:rsid w:val="008C5F3D"/>
    <w:rsid w:val="008C5F67"/>
    <w:rsid w:val="008C5FCA"/>
    <w:rsid w:val="008C618C"/>
    <w:rsid w:val="008C61A5"/>
    <w:rsid w:val="008C692E"/>
    <w:rsid w:val="008C6A00"/>
    <w:rsid w:val="008C741B"/>
    <w:rsid w:val="008C7629"/>
    <w:rsid w:val="008C76BE"/>
    <w:rsid w:val="008C7713"/>
    <w:rsid w:val="008C7818"/>
    <w:rsid w:val="008C78AF"/>
    <w:rsid w:val="008C7A59"/>
    <w:rsid w:val="008C7B27"/>
    <w:rsid w:val="008C7D4A"/>
    <w:rsid w:val="008C7F20"/>
    <w:rsid w:val="008D02B1"/>
    <w:rsid w:val="008D03E3"/>
    <w:rsid w:val="008D052C"/>
    <w:rsid w:val="008D0531"/>
    <w:rsid w:val="008D05A2"/>
    <w:rsid w:val="008D0880"/>
    <w:rsid w:val="008D0916"/>
    <w:rsid w:val="008D093A"/>
    <w:rsid w:val="008D0C7A"/>
    <w:rsid w:val="008D14B0"/>
    <w:rsid w:val="008D14BC"/>
    <w:rsid w:val="008D1711"/>
    <w:rsid w:val="008D174C"/>
    <w:rsid w:val="008D1765"/>
    <w:rsid w:val="008D1BE0"/>
    <w:rsid w:val="008D1EC5"/>
    <w:rsid w:val="008D1F51"/>
    <w:rsid w:val="008D2233"/>
    <w:rsid w:val="008D2687"/>
    <w:rsid w:val="008D26F5"/>
    <w:rsid w:val="008D277C"/>
    <w:rsid w:val="008D29D3"/>
    <w:rsid w:val="008D2A2E"/>
    <w:rsid w:val="008D2AB7"/>
    <w:rsid w:val="008D2B1B"/>
    <w:rsid w:val="008D2BCF"/>
    <w:rsid w:val="008D2C1B"/>
    <w:rsid w:val="008D2C2F"/>
    <w:rsid w:val="008D2FF5"/>
    <w:rsid w:val="008D30D4"/>
    <w:rsid w:val="008D30F1"/>
    <w:rsid w:val="008D3195"/>
    <w:rsid w:val="008D3531"/>
    <w:rsid w:val="008D3544"/>
    <w:rsid w:val="008D3941"/>
    <w:rsid w:val="008D3972"/>
    <w:rsid w:val="008D39FB"/>
    <w:rsid w:val="008D3BD2"/>
    <w:rsid w:val="008D3C02"/>
    <w:rsid w:val="008D3EBC"/>
    <w:rsid w:val="008D3ED6"/>
    <w:rsid w:val="008D4088"/>
    <w:rsid w:val="008D40D9"/>
    <w:rsid w:val="008D4322"/>
    <w:rsid w:val="008D4407"/>
    <w:rsid w:val="008D45A0"/>
    <w:rsid w:val="008D4893"/>
    <w:rsid w:val="008D489D"/>
    <w:rsid w:val="008D48C5"/>
    <w:rsid w:val="008D4C4F"/>
    <w:rsid w:val="008D4DF6"/>
    <w:rsid w:val="008D4F45"/>
    <w:rsid w:val="008D51A6"/>
    <w:rsid w:val="008D56A7"/>
    <w:rsid w:val="008D57AD"/>
    <w:rsid w:val="008D59EB"/>
    <w:rsid w:val="008D5A62"/>
    <w:rsid w:val="008D5D2C"/>
    <w:rsid w:val="008D5D60"/>
    <w:rsid w:val="008D5E75"/>
    <w:rsid w:val="008D62F9"/>
    <w:rsid w:val="008D6534"/>
    <w:rsid w:val="008D6BBA"/>
    <w:rsid w:val="008D6D63"/>
    <w:rsid w:val="008D6EBC"/>
    <w:rsid w:val="008D6EF5"/>
    <w:rsid w:val="008D6F6E"/>
    <w:rsid w:val="008D784E"/>
    <w:rsid w:val="008D78BE"/>
    <w:rsid w:val="008D7940"/>
    <w:rsid w:val="008D7F03"/>
    <w:rsid w:val="008E011C"/>
    <w:rsid w:val="008E0427"/>
    <w:rsid w:val="008E0953"/>
    <w:rsid w:val="008E098E"/>
    <w:rsid w:val="008E0B36"/>
    <w:rsid w:val="008E0C29"/>
    <w:rsid w:val="008E12CE"/>
    <w:rsid w:val="008E1497"/>
    <w:rsid w:val="008E15C6"/>
    <w:rsid w:val="008E17D5"/>
    <w:rsid w:val="008E17EE"/>
    <w:rsid w:val="008E1984"/>
    <w:rsid w:val="008E1CF8"/>
    <w:rsid w:val="008E1EE4"/>
    <w:rsid w:val="008E1FE2"/>
    <w:rsid w:val="008E22A3"/>
    <w:rsid w:val="008E237C"/>
    <w:rsid w:val="008E2380"/>
    <w:rsid w:val="008E23B2"/>
    <w:rsid w:val="008E279F"/>
    <w:rsid w:val="008E27FE"/>
    <w:rsid w:val="008E287C"/>
    <w:rsid w:val="008E3155"/>
    <w:rsid w:val="008E32F1"/>
    <w:rsid w:val="008E333D"/>
    <w:rsid w:val="008E3503"/>
    <w:rsid w:val="008E3A3C"/>
    <w:rsid w:val="008E3AA2"/>
    <w:rsid w:val="008E3B20"/>
    <w:rsid w:val="008E3BEC"/>
    <w:rsid w:val="008E3C3A"/>
    <w:rsid w:val="008E3D5C"/>
    <w:rsid w:val="008E3D80"/>
    <w:rsid w:val="008E3E85"/>
    <w:rsid w:val="008E4123"/>
    <w:rsid w:val="008E4214"/>
    <w:rsid w:val="008E4426"/>
    <w:rsid w:val="008E4440"/>
    <w:rsid w:val="008E468E"/>
    <w:rsid w:val="008E48EB"/>
    <w:rsid w:val="008E4B5B"/>
    <w:rsid w:val="008E4DFF"/>
    <w:rsid w:val="008E4E01"/>
    <w:rsid w:val="008E4F03"/>
    <w:rsid w:val="008E5059"/>
    <w:rsid w:val="008E5290"/>
    <w:rsid w:val="008E56C9"/>
    <w:rsid w:val="008E5ADB"/>
    <w:rsid w:val="008E5DF6"/>
    <w:rsid w:val="008E5FA6"/>
    <w:rsid w:val="008E6029"/>
    <w:rsid w:val="008E609E"/>
    <w:rsid w:val="008E6320"/>
    <w:rsid w:val="008E66A1"/>
    <w:rsid w:val="008E6C24"/>
    <w:rsid w:val="008E6C42"/>
    <w:rsid w:val="008E6E11"/>
    <w:rsid w:val="008E6F43"/>
    <w:rsid w:val="008E72C6"/>
    <w:rsid w:val="008E7536"/>
    <w:rsid w:val="008E79AE"/>
    <w:rsid w:val="008E7BBB"/>
    <w:rsid w:val="008E7D1B"/>
    <w:rsid w:val="008E7E3F"/>
    <w:rsid w:val="008E7EB5"/>
    <w:rsid w:val="008F000A"/>
    <w:rsid w:val="008F0023"/>
    <w:rsid w:val="008F0176"/>
    <w:rsid w:val="008F0301"/>
    <w:rsid w:val="008F05E7"/>
    <w:rsid w:val="008F06C0"/>
    <w:rsid w:val="008F092F"/>
    <w:rsid w:val="008F09E9"/>
    <w:rsid w:val="008F1147"/>
    <w:rsid w:val="008F12C1"/>
    <w:rsid w:val="008F14ED"/>
    <w:rsid w:val="008F16AA"/>
    <w:rsid w:val="008F1737"/>
    <w:rsid w:val="008F186F"/>
    <w:rsid w:val="008F1A62"/>
    <w:rsid w:val="008F1C22"/>
    <w:rsid w:val="008F1EE9"/>
    <w:rsid w:val="008F1F7C"/>
    <w:rsid w:val="008F211A"/>
    <w:rsid w:val="008F2DD7"/>
    <w:rsid w:val="008F2E36"/>
    <w:rsid w:val="008F37FD"/>
    <w:rsid w:val="008F385F"/>
    <w:rsid w:val="008F38DF"/>
    <w:rsid w:val="008F3B43"/>
    <w:rsid w:val="008F3D78"/>
    <w:rsid w:val="008F3E33"/>
    <w:rsid w:val="008F3F91"/>
    <w:rsid w:val="008F432F"/>
    <w:rsid w:val="008F4368"/>
    <w:rsid w:val="008F4611"/>
    <w:rsid w:val="008F4776"/>
    <w:rsid w:val="008F48F4"/>
    <w:rsid w:val="008F495C"/>
    <w:rsid w:val="008F4A8C"/>
    <w:rsid w:val="008F4F42"/>
    <w:rsid w:val="008F50FC"/>
    <w:rsid w:val="008F52B1"/>
    <w:rsid w:val="008F5460"/>
    <w:rsid w:val="008F5572"/>
    <w:rsid w:val="008F5987"/>
    <w:rsid w:val="008F5ABC"/>
    <w:rsid w:val="008F5CE7"/>
    <w:rsid w:val="008F5D17"/>
    <w:rsid w:val="008F5E83"/>
    <w:rsid w:val="008F60D9"/>
    <w:rsid w:val="008F6433"/>
    <w:rsid w:val="008F6481"/>
    <w:rsid w:val="008F6A47"/>
    <w:rsid w:val="008F6A57"/>
    <w:rsid w:val="008F6C43"/>
    <w:rsid w:val="008F6CE0"/>
    <w:rsid w:val="008F6D09"/>
    <w:rsid w:val="008F6F16"/>
    <w:rsid w:val="008F6F3C"/>
    <w:rsid w:val="008F739B"/>
    <w:rsid w:val="008F765B"/>
    <w:rsid w:val="008F76B9"/>
    <w:rsid w:val="008F7871"/>
    <w:rsid w:val="008F7B1A"/>
    <w:rsid w:val="008F7C66"/>
    <w:rsid w:val="008F7CB6"/>
    <w:rsid w:val="008F7E0D"/>
    <w:rsid w:val="008F7E3E"/>
    <w:rsid w:val="008F7F75"/>
    <w:rsid w:val="009000A7"/>
    <w:rsid w:val="00900165"/>
    <w:rsid w:val="009001AF"/>
    <w:rsid w:val="009003F4"/>
    <w:rsid w:val="009003FE"/>
    <w:rsid w:val="0090054A"/>
    <w:rsid w:val="00900828"/>
    <w:rsid w:val="00900840"/>
    <w:rsid w:val="00900A20"/>
    <w:rsid w:val="00900AAB"/>
    <w:rsid w:val="00900B2A"/>
    <w:rsid w:val="00900BAB"/>
    <w:rsid w:val="00900E34"/>
    <w:rsid w:val="009010B2"/>
    <w:rsid w:val="00901144"/>
    <w:rsid w:val="0090129D"/>
    <w:rsid w:val="00901498"/>
    <w:rsid w:val="00901620"/>
    <w:rsid w:val="00901AE8"/>
    <w:rsid w:val="00901C24"/>
    <w:rsid w:val="00901C29"/>
    <w:rsid w:val="00902268"/>
    <w:rsid w:val="00902431"/>
    <w:rsid w:val="0090247C"/>
    <w:rsid w:val="009026C1"/>
    <w:rsid w:val="009027E8"/>
    <w:rsid w:val="00902A4D"/>
    <w:rsid w:val="00902B77"/>
    <w:rsid w:val="00902CB3"/>
    <w:rsid w:val="00902F65"/>
    <w:rsid w:val="0090347E"/>
    <w:rsid w:val="009036FB"/>
    <w:rsid w:val="00903708"/>
    <w:rsid w:val="00903750"/>
    <w:rsid w:val="00903956"/>
    <w:rsid w:val="00903A50"/>
    <w:rsid w:val="00903AB3"/>
    <w:rsid w:val="00903CA6"/>
    <w:rsid w:val="00903E43"/>
    <w:rsid w:val="00904104"/>
    <w:rsid w:val="00904168"/>
    <w:rsid w:val="00904329"/>
    <w:rsid w:val="0090435E"/>
    <w:rsid w:val="00904502"/>
    <w:rsid w:val="00904503"/>
    <w:rsid w:val="00904566"/>
    <w:rsid w:val="009045EB"/>
    <w:rsid w:val="009047E8"/>
    <w:rsid w:val="0090489D"/>
    <w:rsid w:val="00904B6D"/>
    <w:rsid w:val="00904DCF"/>
    <w:rsid w:val="009050C0"/>
    <w:rsid w:val="0090514A"/>
    <w:rsid w:val="0090519D"/>
    <w:rsid w:val="0090542C"/>
    <w:rsid w:val="009056CB"/>
    <w:rsid w:val="009057AA"/>
    <w:rsid w:val="00905935"/>
    <w:rsid w:val="009059BE"/>
    <w:rsid w:val="00905A87"/>
    <w:rsid w:val="00905B30"/>
    <w:rsid w:val="00905D74"/>
    <w:rsid w:val="00906153"/>
    <w:rsid w:val="009062D3"/>
    <w:rsid w:val="0090671E"/>
    <w:rsid w:val="00906B79"/>
    <w:rsid w:val="00906B94"/>
    <w:rsid w:val="00906F47"/>
    <w:rsid w:val="00906FA9"/>
    <w:rsid w:val="00906FCB"/>
    <w:rsid w:val="00906FCF"/>
    <w:rsid w:val="009072A0"/>
    <w:rsid w:val="00907530"/>
    <w:rsid w:val="0090780C"/>
    <w:rsid w:val="0090789B"/>
    <w:rsid w:val="009079BD"/>
    <w:rsid w:val="00907B5A"/>
    <w:rsid w:val="00907BBA"/>
    <w:rsid w:val="00907C5D"/>
    <w:rsid w:val="00907CD2"/>
    <w:rsid w:val="00907D35"/>
    <w:rsid w:val="00907E74"/>
    <w:rsid w:val="00910062"/>
    <w:rsid w:val="00910597"/>
    <w:rsid w:val="00910AFE"/>
    <w:rsid w:val="00910C3F"/>
    <w:rsid w:val="00910DE3"/>
    <w:rsid w:val="00910EAF"/>
    <w:rsid w:val="00910F6D"/>
    <w:rsid w:val="009110E5"/>
    <w:rsid w:val="00911407"/>
    <w:rsid w:val="00911522"/>
    <w:rsid w:val="009117B6"/>
    <w:rsid w:val="0091183B"/>
    <w:rsid w:val="009119E9"/>
    <w:rsid w:val="00911CD6"/>
    <w:rsid w:val="00911FA3"/>
    <w:rsid w:val="00912149"/>
    <w:rsid w:val="00912289"/>
    <w:rsid w:val="009123D3"/>
    <w:rsid w:val="009124FC"/>
    <w:rsid w:val="00912508"/>
    <w:rsid w:val="009128F8"/>
    <w:rsid w:val="00912B13"/>
    <w:rsid w:val="00912E85"/>
    <w:rsid w:val="0091338E"/>
    <w:rsid w:val="009137C4"/>
    <w:rsid w:val="00913815"/>
    <w:rsid w:val="00913B68"/>
    <w:rsid w:val="00913BFA"/>
    <w:rsid w:val="00913CD4"/>
    <w:rsid w:val="00913E27"/>
    <w:rsid w:val="00913F9D"/>
    <w:rsid w:val="00914B41"/>
    <w:rsid w:val="00914E03"/>
    <w:rsid w:val="00914EAE"/>
    <w:rsid w:val="00914F78"/>
    <w:rsid w:val="0091547D"/>
    <w:rsid w:val="00915578"/>
    <w:rsid w:val="00915A7D"/>
    <w:rsid w:val="00915BB8"/>
    <w:rsid w:val="00915EFC"/>
    <w:rsid w:val="00915EFD"/>
    <w:rsid w:val="0091603C"/>
    <w:rsid w:val="00916127"/>
    <w:rsid w:val="00916219"/>
    <w:rsid w:val="00916385"/>
    <w:rsid w:val="00916530"/>
    <w:rsid w:val="0091654D"/>
    <w:rsid w:val="00916642"/>
    <w:rsid w:val="00916654"/>
    <w:rsid w:val="009166A3"/>
    <w:rsid w:val="00916AB6"/>
    <w:rsid w:val="00916B33"/>
    <w:rsid w:val="00916C3E"/>
    <w:rsid w:val="00916CB5"/>
    <w:rsid w:val="0091715C"/>
    <w:rsid w:val="009171A5"/>
    <w:rsid w:val="00917205"/>
    <w:rsid w:val="009172C4"/>
    <w:rsid w:val="0091740E"/>
    <w:rsid w:val="00917622"/>
    <w:rsid w:val="009176C0"/>
    <w:rsid w:val="00917777"/>
    <w:rsid w:val="0092018D"/>
    <w:rsid w:val="009201CE"/>
    <w:rsid w:val="009204BB"/>
    <w:rsid w:val="00920C26"/>
    <w:rsid w:val="00920F45"/>
    <w:rsid w:val="00920FC4"/>
    <w:rsid w:val="00921008"/>
    <w:rsid w:val="0092112E"/>
    <w:rsid w:val="0092116C"/>
    <w:rsid w:val="009213A9"/>
    <w:rsid w:val="009213E1"/>
    <w:rsid w:val="00921620"/>
    <w:rsid w:val="009219BB"/>
    <w:rsid w:val="009219CB"/>
    <w:rsid w:val="00921B3A"/>
    <w:rsid w:val="00921BA0"/>
    <w:rsid w:val="00921F42"/>
    <w:rsid w:val="00922138"/>
    <w:rsid w:val="009221D4"/>
    <w:rsid w:val="00922291"/>
    <w:rsid w:val="0092254D"/>
    <w:rsid w:val="009230CD"/>
    <w:rsid w:val="00923164"/>
    <w:rsid w:val="009232BE"/>
    <w:rsid w:val="0092334E"/>
    <w:rsid w:val="009233B6"/>
    <w:rsid w:val="009235E9"/>
    <w:rsid w:val="009237E3"/>
    <w:rsid w:val="00923A03"/>
    <w:rsid w:val="00923B74"/>
    <w:rsid w:val="00923BA8"/>
    <w:rsid w:val="0092402C"/>
    <w:rsid w:val="009240DB"/>
    <w:rsid w:val="00924173"/>
    <w:rsid w:val="009241B4"/>
    <w:rsid w:val="0092432A"/>
    <w:rsid w:val="00924440"/>
    <w:rsid w:val="00924550"/>
    <w:rsid w:val="0092458F"/>
    <w:rsid w:val="0092468E"/>
    <w:rsid w:val="00924797"/>
    <w:rsid w:val="009248F8"/>
    <w:rsid w:val="009249A0"/>
    <w:rsid w:val="00924A7E"/>
    <w:rsid w:val="00924C8F"/>
    <w:rsid w:val="00925380"/>
    <w:rsid w:val="00925573"/>
    <w:rsid w:val="0092560C"/>
    <w:rsid w:val="00925A47"/>
    <w:rsid w:val="00925C62"/>
    <w:rsid w:val="00925E77"/>
    <w:rsid w:val="009260FC"/>
    <w:rsid w:val="00926683"/>
    <w:rsid w:val="00926B8F"/>
    <w:rsid w:val="00926DB5"/>
    <w:rsid w:val="00926DFC"/>
    <w:rsid w:val="00926F1F"/>
    <w:rsid w:val="00927226"/>
    <w:rsid w:val="00927368"/>
    <w:rsid w:val="0092738F"/>
    <w:rsid w:val="00927843"/>
    <w:rsid w:val="00927A25"/>
    <w:rsid w:val="00927A5E"/>
    <w:rsid w:val="00927F5A"/>
    <w:rsid w:val="00927FA7"/>
    <w:rsid w:val="009300BD"/>
    <w:rsid w:val="009303DF"/>
    <w:rsid w:val="009305B5"/>
    <w:rsid w:val="009305CA"/>
    <w:rsid w:val="009306E0"/>
    <w:rsid w:val="009307D6"/>
    <w:rsid w:val="0093083B"/>
    <w:rsid w:val="00930A81"/>
    <w:rsid w:val="00930DE9"/>
    <w:rsid w:val="00930E38"/>
    <w:rsid w:val="00930E45"/>
    <w:rsid w:val="00930ED4"/>
    <w:rsid w:val="009312C5"/>
    <w:rsid w:val="00931360"/>
    <w:rsid w:val="00931879"/>
    <w:rsid w:val="0093187C"/>
    <w:rsid w:val="00931BFC"/>
    <w:rsid w:val="00931D1C"/>
    <w:rsid w:val="00931D81"/>
    <w:rsid w:val="00931DD7"/>
    <w:rsid w:val="0093204A"/>
    <w:rsid w:val="009321D6"/>
    <w:rsid w:val="00932227"/>
    <w:rsid w:val="009324AD"/>
    <w:rsid w:val="009324B5"/>
    <w:rsid w:val="009324EB"/>
    <w:rsid w:val="00932507"/>
    <w:rsid w:val="0093280E"/>
    <w:rsid w:val="009329D3"/>
    <w:rsid w:val="00932B2E"/>
    <w:rsid w:val="00932B3A"/>
    <w:rsid w:val="00932B4A"/>
    <w:rsid w:val="00932D2E"/>
    <w:rsid w:val="00932F4B"/>
    <w:rsid w:val="00933043"/>
    <w:rsid w:val="009330F2"/>
    <w:rsid w:val="00933297"/>
    <w:rsid w:val="00933365"/>
    <w:rsid w:val="00933442"/>
    <w:rsid w:val="009335BA"/>
    <w:rsid w:val="0093374A"/>
    <w:rsid w:val="00933760"/>
    <w:rsid w:val="00933CB9"/>
    <w:rsid w:val="00933EEB"/>
    <w:rsid w:val="00933FF7"/>
    <w:rsid w:val="0093405F"/>
    <w:rsid w:val="009341DB"/>
    <w:rsid w:val="00934469"/>
    <w:rsid w:val="009346B0"/>
    <w:rsid w:val="00934735"/>
    <w:rsid w:val="00934762"/>
    <w:rsid w:val="009349DB"/>
    <w:rsid w:val="00934B3B"/>
    <w:rsid w:val="00934BB6"/>
    <w:rsid w:val="00935095"/>
    <w:rsid w:val="00935635"/>
    <w:rsid w:val="00935A4E"/>
    <w:rsid w:val="00935B3C"/>
    <w:rsid w:val="00935BF7"/>
    <w:rsid w:val="00935F05"/>
    <w:rsid w:val="00935F38"/>
    <w:rsid w:val="00935FC7"/>
    <w:rsid w:val="009361F0"/>
    <w:rsid w:val="009362AF"/>
    <w:rsid w:val="009362CF"/>
    <w:rsid w:val="00936379"/>
    <w:rsid w:val="009367E0"/>
    <w:rsid w:val="0093680C"/>
    <w:rsid w:val="00936830"/>
    <w:rsid w:val="00936862"/>
    <w:rsid w:val="00936A02"/>
    <w:rsid w:val="00936B4E"/>
    <w:rsid w:val="00936B89"/>
    <w:rsid w:val="00936DE7"/>
    <w:rsid w:val="00936DF7"/>
    <w:rsid w:val="0093746B"/>
    <w:rsid w:val="00937896"/>
    <w:rsid w:val="009379FB"/>
    <w:rsid w:val="00937DC8"/>
    <w:rsid w:val="00937E3F"/>
    <w:rsid w:val="00940095"/>
    <w:rsid w:val="009402A7"/>
    <w:rsid w:val="0094056F"/>
    <w:rsid w:val="0094058E"/>
    <w:rsid w:val="009407DF"/>
    <w:rsid w:val="009408BC"/>
    <w:rsid w:val="0094091B"/>
    <w:rsid w:val="00940A6A"/>
    <w:rsid w:val="00940EE2"/>
    <w:rsid w:val="00941E58"/>
    <w:rsid w:val="0094221A"/>
    <w:rsid w:val="009422B9"/>
    <w:rsid w:val="00942352"/>
    <w:rsid w:val="00942370"/>
    <w:rsid w:val="009423B3"/>
    <w:rsid w:val="0094242B"/>
    <w:rsid w:val="0094243E"/>
    <w:rsid w:val="0094269D"/>
    <w:rsid w:val="00942F4C"/>
    <w:rsid w:val="009431A7"/>
    <w:rsid w:val="00943285"/>
    <w:rsid w:val="00943447"/>
    <w:rsid w:val="009438F4"/>
    <w:rsid w:val="009438F7"/>
    <w:rsid w:val="00943DB9"/>
    <w:rsid w:val="00943DE3"/>
    <w:rsid w:val="00943F7F"/>
    <w:rsid w:val="00944070"/>
    <w:rsid w:val="009440C5"/>
    <w:rsid w:val="0094430B"/>
    <w:rsid w:val="0094442F"/>
    <w:rsid w:val="009444D5"/>
    <w:rsid w:val="00944779"/>
    <w:rsid w:val="00944A15"/>
    <w:rsid w:val="00944BB8"/>
    <w:rsid w:val="00944C03"/>
    <w:rsid w:val="009454D0"/>
    <w:rsid w:val="009455C6"/>
    <w:rsid w:val="009456AD"/>
    <w:rsid w:val="0094570C"/>
    <w:rsid w:val="00945959"/>
    <w:rsid w:val="00945BDB"/>
    <w:rsid w:val="00945BFE"/>
    <w:rsid w:val="0094606D"/>
    <w:rsid w:val="0094608D"/>
    <w:rsid w:val="0094621A"/>
    <w:rsid w:val="009462D0"/>
    <w:rsid w:val="00946926"/>
    <w:rsid w:val="00946AA7"/>
    <w:rsid w:val="00946C58"/>
    <w:rsid w:val="00946E17"/>
    <w:rsid w:val="00947214"/>
    <w:rsid w:val="009473A7"/>
    <w:rsid w:val="00947418"/>
    <w:rsid w:val="009476DF"/>
    <w:rsid w:val="00947AF0"/>
    <w:rsid w:val="00947DDF"/>
    <w:rsid w:val="00950389"/>
    <w:rsid w:val="00950436"/>
    <w:rsid w:val="00950443"/>
    <w:rsid w:val="0095068D"/>
    <w:rsid w:val="00950918"/>
    <w:rsid w:val="00950ECC"/>
    <w:rsid w:val="00950F23"/>
    <w:rsid w:val="0095118D"/>
    <w:rsid w:val="00951215"/>
    <w:rsid w:val="00951339"/>
    <w:rsid w:val="00951434"/>
    <w:rsid w:val="009515BC"/>
    <w:rsid w:val="00951871"/>
    <w:rsid w:val="009519AA"/>
    <w:rsid w:val="00951BCD"/>
    <w:rsid w:val="00951CA3"/>
    <w:rsid w:val="00951CB3"/>
    <w:rsid w:val="00951CCD"/>
    <w:rsid w:val="00951D63"/>
    <w:rsid w:val="00952073"/>
    <w:rsid w:val="0095223D"/>
    <w:rsid w:val="00952C75"/>
    <w:rsid w:val="00952DED"/>
    <w:rsid w:val="0095312F"/>
    <w:rsid w:val="00953247"/>
    <w:rsid w:val="009532B9"/>
    <w:rsid w:val="0095334E"/>
    <w:rsid w:val="009533E2"/>
    <w:rsid w:val="009533F0"/>
    <w:rsid w:val="00953545"/>
    <w:rsid w:val="009535D2"/>
    <w:rsid w:val="0095398D"/>
    <w:rsid w:val="00953D93"/>
    <w:rsid w:val="00954132"/>
    <w:rsid w:val="00954324"/>
    <w:rsid w:val="00954385"/>
    <w:rsid w:val="00954498"/>
    <w:rsid w:val="00954504"/>
    <w:rsid w:val="009546FC"/>
    <w:rsid w:val="00954E49"/>
    <w:rsid w:val="00954F8E"/>
    <w:rsid w:val="00955124"/>
    <w:rsid w:val="009551FE"/>
    <w:rsid w:val="0095546A"/>
    <w:rsid w:val="00955481"/>
    <w:rsid w:val="0095566C"/>
    <w:rsid w:val="009556D9"/>
    <w:rsid w:val="0095596B"/>
    <w:rsid w:val="00955A6F"/>
    <w:rsid w:val="00955EF5"/>
    <w:rsid w:val="009563D8"/>
    <w:rsid w:val="009565E3"/>
    <w:rsid w:val="00956828"/>
    <w:rsid w:val="00956968"/>
    <w:rsid w:val="009569E3"/>
    <w:rsid w:val="00956BB5"/>
    <w:rsid w:val="00957168"/>
    <w:rsid w:val="009571AF"/>
    <w:rsid w:val="009576CD"/>
    <w:rsid w:val="009577A9"/>
    <w:rsid w:val="009577BF"/>
    <w:rsid w:val="009601AE"/>
    <w:rsid w:val="009601F0"/>
    <w:rsid w:val="009604FB"/>
    <w:rsid w:val="009608F6"/>
    <w:rsid w:val="00960A60"/>
    <w:rsid w:val="00960D00"/>
    <w:rsid w:val="00960DCB"/>
    <w:rsid w:val="00960E01"/>
    <w:rsid w:val="00960E17"/>
    <w:rsid w:val="0096105B"/>
    <w:rsid w:val="00961635"/>
    <w:rsid w:val="00961662"/>
    <w:rsid w:val="00961710"/>
    <w:rsid w:val="00961982"/>
    <w:rsid w:val="00961AAC"/>
    <w:rsid w:val="00961C07"/>
    <w:rsid w:val="00961FE3"/>
    <w:rsid w:val="00962058"/>
    <w:rsid w:val="0096212D"/>
    <w:rsid w:val="0096214A"/>
    <w:rsid w:val="00962388"/>
    <w:rsid w:val="009627EC"/>
    <w:rsid w:val="00962C46"/>
    <w:rsid w:val="00962E02"/>
    <w:rsid w:val="00963036"/>
    <w:rsid w:val="009630DE"/>
    <w:rsid w:val="009631B8"/>
    <w:rsid w:val="00963335"/>
    <w:rsid w:val="0096381B"/>
    <w:rsid w:val="009638FB"/>
    <w:rsid w:val="009642CB"/>
    <w:rsid w:val="00964374"/>
    <w:rsid w:val="00964A92"/>
    <w:rsid w:val="00964B48"/>
    <w:rsid w:val="00964DB9"/>
    <w:rsid w:val="00965158"/>
    <w:rsid w:val="00965172"/>
    <w:rsid w:val="00965252"/>
    <w:rsid w:val="009652A7"/>
    <w:rsid w:val="00965343"/>
    <w:rsid w:val="00965713"/>
    <w:rsid w:val="00965B6C"/>
    <w:rsid w:val="00965DD2"/>
    <w:rsid w:val="00965E11"/>
    <w:rsid w:val="00965ECF"/>
    <w:rsid w:val="00966202"/>
    <w:rsid w:val="009662D9"/>
    <w:rsid w:val="009662F9"/>
    <w:rsid w:val="00966700"/>
    <w:rsid w:val="009667F3"/>
    <w:rsid w:val="009669BE"/>
    <w:rsid w:val="00966B09"/>
    <w:rsid w:val="00966C9A"/>
    <w:rsid w:val="00967209"/>
    <w:rsid w:val="0096728C"/>
    <w:rsid w:val="009672E5"/>
    <w:rsid w:val="00967647"/>
    <w:rsid w:val="00967832"/>
    <w:rsid w:val="00967B15"/>
    <w:rsid w:val="00967CE8"/>
    <w:rsid w:val="00967E03"/>
    <w:rsid w:val="00967E29"/>
    <w:rsid w:val="00967E78"/>
    <w:rsid w:val="00970F8E"/>
    <w:rsid w:val="009713F8"/>
    <w:rsid w:val="00971402"/>
    <w:rsid w:val="00971A23"/>
    <w:rsid w:val="00971AEB"/>
    <w:rsid w:val="00971D78"/>
    <w:rsid w:val="00971D98"/>
    <w:rsid w:val="00972149"/>
    <w:rsid w:val="00972398"/>
    <w:rsid w:val="0097245D"/>
    <w:rsid w:val="0097268E"/>
    <w:rsid w:val="00972B8B"/>
    <w:rsid w:val="00972BF9"/>
    <w:rsid w:val="00972E9D"/>
    <w:rsid w:val="00972ED2"/>
    <w:rsid w:val="00972F5A"/>
    <w:rsid w:val="00972F6A"/>
    <w:rsid w:val="00973214"/>
    <w:rsid w:val="009732EE"/>
    <w:rsid w:val="00973356"/>
    <w:rsid w:val="009734D4"/>
    <w:rsid w:val="0097366F"/>
    <w:rsid w:val="0097370A"/>
    <w:rsid w:val="00973907"/>
    <w:rsid w:val="00973B46"/>
    <w:rsid w:val="00973D34"/>
    <w:rsid w:val="009744B1"/>
    <w:rsid w:val="0097458C"/>
    <w:rsid w:val="00974617"/>
    <w:rsid w:val="009746C8"/>
    <w:rsid w:val="00974732"/>
    <w:rsid w:val="00974814"/>
    <w:rsid w:val="00974A26"/>
    <w:rsid w:val="00974DBF"/>
    <w:rsid w:val="00974EF5"/>
    <w:rsid w:val="00974F3F"/>
    <w:rsid w:val="009750E9"/>
    <w:rsid w:val="00975327"/>
    <w:rsid w:val="00975453"/>
    <w:rsid w:val="00975478"/>
    <w:rsid w:val="009757BB"/>
    <w:rsid w:val="009757E3"/>
    <w:rsid w:val="009758F3"/>
    <w:rsid w:val="00975E5D"/>
    <w:rsid w:val="00976030"/>
    <w:rsid w:val="009760AD"/>
    <w:rsid w:val="009761FE"/>
    <w:rsid w:val="00976495"/>
    <w:rsid w:val="00976531"/>
    <w:rsid w:val="0097659E"/>
    <w:rsid w:val="00976CBE"/>
    <w:rsid w:val="009771BC"/>
    <w:rsid w:val="009771E3"/>
    <w:rsid w:val="009773EB"/>
    <w:rsid w:val="00977516"/>
    <w:rsid w:val="009777B1"/>
    <w:rsid w:val="009779CA"/>
    <w:rsid w:val="00977A32"/>
    <w:rsid w:val="00977AB3"/>
    <w:rsid w:val="00977B90"/>
    <w:rsid w:val="00977C2B"/>
    <w:rsid w:val="00977DD6"/>
    <w:rsid w:val="00980192"/>
    <w:rsid w:val="009801FF"/>
    <w:rsid w:val="00980621"/>
    <w:rsid w:val="009806C3"/>
    <w:rsid w:val="0098088D"/>
    <w:rsid w:val="00980910"/>
    <w:rsid w:val="00980C26"/>
    <w:rsid w:val="00980D32"/>
    <w:rsid w:val="009811B0"/>
    <w:rsid w:val="00981418"/>
    <w:rsid w:val="00981521"/>
    <w:rsid w:val="00981618"/>
    <w:rsid w:val="009816EC"/>
    <w:rsid w:val="00981871"/>
    <w:rsid w:val="0098193B"/>
    <w:rsid w:val="00981978"/>
    <w:rsid w:val="00981B46"/>
    <w:rsid w:val="00982077"/>
    <w:rsid w:val="0098238D"/>
    <w:rsid w:val="00982399"/>
    <w:rsid w:val="009823B9"/>
    <w:rsid w:val="00982650"/>
    <w:rsid w:val="00982659"/>
    <w:rsid w:val="00982A39"/>
    <w:rsid w:val="00982CBB"/>
    <w:rsid w:val="00982D77"/>
    <w:rsid w:val="00982E44"/>
    <w:rsid w:val="00982F6C"/>
    <w:rsid w:val="00982FF2"/>
    <w:rsid w:val="009830C9"/>
    <w:rsid w:val="009831B8"/>
    <w:rsid w:val="009832BA"/>
    <w:rsid w:val="00983574"/>
    <w:rsid w:val="009835B8"/>
    <w:rsid w:val="0098366F"/>
    <w:rsid w:val="00983675"/>
    <w:rsid w:val="009836EB"/>
    <w:rsid w:val="00983E4E"/>
    <w:rsid w:val="009841A3"/>
    <w:rsid w:val="009845D1"/>
    <w:rsid w:val="009846D7"/>
    <w:rsid w:val="0098492B"/>
    <w:rsid w:val="00984982"/>
    <w:rsid w:val="00984D79"/>
    <w:rsid w:val="00984DBD"/>
    <w:rsid w:val="00984EDC"/>
    <w:rsid w:val="00985062"/>
    <w:rsid w:val="00985124"/>
    <w:rsid w:val="0098532B"/>
    <w:rsid w:val="009853BB"/>
    <w:rsid w:val="009854F3"/>
    <w:rsid w:val="00985699"/>
    <w:rsid w:val="00985BD4"/>
    <w:rsid w:val="00985E76"/>
    <w:rsid w:val="00985F2E"/>
    <w:rsid w:val="00985FFB"/>
    <w:rsid w:val="00986040"/>
    <w:rsid w:val="009861B0"/>
    <w:rsid w:val="009861BE"/>
    <w:rsid w:val="009862D4"/>
    <w:rsid w:val="009865C7"/>
    <w:rsid w:val="00986617"/>
    <w:rsid w:val="00986760"/>
    <w:rsid w:val="00986813"/>
    <w:rsid w:val="00986CCA"/>
    <w:rsid w:val="00986DF2"/>
    <w:rsid w:val="00986EEC"/>
    <w:rsid w:val="00986F6E"/>
    <w:rsid w:val="00986F99"/>
    <w:rsid w:val="00986FF8"/>
    <w:rsid w:val="0098744C"/>
    <w:rsid w:val="0098797F"/>
    <w:rsid w:val="00987B08"/>
    <w:rsid w:val="00987B3B"/>
    <w:rsid w:val="00987C18"/>
    <w:rsid w:val="00990090"/>
    <w:rsid w:val="00990121"/>
    <w:rsid w:val="00990396"/>
    <w:rsid w:val="0099076F"/>
    <w:rsid w:val="0099082A"/>
    <w:rsid w:val="00990AF2"/>
    <w:rsid w:val="00991432"/>
    <w:rsid w:val="00991516"/>
    <w:rsid w:val="00991555"/>
    <w:rsid w:val="009915A0"/>
    <w:rsid w:val="009917A8"/>
    <w:rsid w:val="00991803"/>
    <w:rsid w:val="009918A6"/>
    <w:rsid w:val="009919E5"/>
    <w:rsid w:val="00991A6E"/>
    <w:rsid w:val="00991D2B"/>
    <w:rsid w:val="00991E0A"/>
    <w:rsid w:val="00992395"/>
    <w:rsid w:val="0099260A"/>
    <w:rsid w:val="00992907"/>
    <w:rsid w:val="00992ACB"/>
    <w:rsid w:val="00992AE9"/>
    <w:rsid w:val="00992DEA"/>
    <w:rsid w:val="00993038"/>
    <w:rsid w:val="00993142"/>
    <w:rsid w:val="00993266"/>
    <w:rsid w:val="0099341A"/>
    <w:rsid w:val="0099345D"/>
    <w:rsid w:val="0099362E"/>
    <w:rsid w:val="009936B3"/>
    <w:rsid w:val="00993F27"/>
    <w:rsid w:val="009942BF"/>
    <w:rsid w:val="0099449D"/>
    <w:rsid w:val="00994762"/>
    <w:rsid w:val="00994F36"/>
    <w:rsid w:val="0099534E"/>
    <w:rsid w:val="00995811"/>
    <w:rsid w:val="009959A9"/>
    <w:rsid w:val="009959E2"/>
    <w:rsid w:val="00995B63"/>
    <w:rsid w:val="00995C7F"/>
    <w:rsid w:val="009961A6"/>
    <w:rsid w:val="009962EA"/>
    <w:rsid w:val="0099647B"/>
    <w:rsid w:val="009964ED"/>
    <w:rsid w:val="00996945"/>
    <w:rsid w:val="00996D42"/>
    <w:rsid w:val="0099711A"/>
    <w:rsid w:val="0099749A"/>
    <w:rsid w:val="009978AB"/>
    <w:rsid w:val="00997928"/>
    <w:rsid w:val="00997AC5"/>
    <w:rsid w:val="00997BA2"/>
    <w:rsid w:val="00997C33"/>
    <w:rsid w:val="00997D77"/>
    <w:rsid w:val="009A003D"/>
    <w:rsid w:val="009A0197"/>
    <w:rsid w:val="009A090B"/>
    <w:rsid w:val="009A0E63"/>
    <w:rsid w:val="009A0F06"/>
    <w:rsid w:val="009A1430"/>
    <w:rsid w:val="009A18B9"/>
    <w:rsid w:val="009A18DF"/>
    <w:rsid w:val="009A1CA8"/>
    <w:rsid w:val="009A1E0D"/>
    <w:rsid w:val="009A1F9B"/>
    <w:rsid w:val="009A20A9"/>
    <w:rsid w:val="009A22F6"/>
    <w:rsid w:val="009A23ED"/>
    <w:rsid w:val="009A241C"/>
    <w:rsid w:val="009A25C4"/>
    <w:rsid w:val="009A276C"/>
    <w:rsid w:val="009A2DEA"/>
    <w:rsid w:val="009A2EC7"/>
    <w:rsid w:val="009A3180"/>
    <w:rsid w:val="009A359B"/>
    <w:rsid w:val="009A3601"/>
    <w:rsid w:val="009A3750"/>
    <w:rsid w:val="009A40C7"/>
    <w:rsid w:val="009A4174"/>
    <w:rsid w:val="009A4279"/>
    <w:rsid w:val="009A4824"/>
    <w:rsid w:val="009A4836"/>
    <w:rsid w:val="009A4CB0"/>
    <w:rsid w:val="009A5172"/>
    <w:rsid w:val="009A56F8"/>
    <w:rsid w:val="009A571F"/>
    <w:rsid w:val="009A5759"/>
    <w:rsid w:val="009A57C6"/>
    <w:rsid w:val="009A581C"/>
    <w:rsid w:val="009A58F6"/>
    <w:rsid w:val="009A5B0B"/>
    <w:rsid w:val="009A5E84"/>
    <w:rsid w:val="009A600D"/>
    <w:rsid w:val="009A6247"/>
    <w:rsid w:val="009A64D9"/>
    <w:rsid w:val="009A698F"/>
    <w:rsid w:val="009A6DDB"/>
    <w:rsid w:val="009A708E"/>
    <w:rsid w:val="009A757A"/>
    <w:rsid w:val="009A7645"/>
    <w:rsid w:val="009A7956"/>
    <w:rsid w:val="009A7DAF"/>
    <w:rsid w:val="009A7DDF"/>
    <w:rsid w:val="009A7EF7"/>
    <w:rsid w:val="009A7F20"/>
    <w:rsid w:val="009B0042"/>
    <w:rsid w:val="009B05D5"/>
    <w:rsid w:val="009B0669"/>
    <w:rsid w:val="009B06C9"/>
    <w:rsid w:val="009B0900"/>
    <w:rsid w:val="009B0AE1"/>
    <w:rsid w:val="009B0C2D"/>
    <w:rsid w:val="009B0DF6"/>
    <w:rsid w:val="009B0F9C"/>
    <w:rsid w:val="009B1011"/>
    <w:rsid w:val="009B10D7"/>
    <w:rsid w:val="009B1185"/>
    <w:rsid w:val="009B152C"/>
    <w:rsid w:val="009B168B"/>
    <w:rsid w:val="009B1747"/>
    <w:rsid w:val="009B18B2"/>
    <w:rsid w:val="009B1AC9"/>
    <w:rsid w:val="009B1C4C"/>
    <w:rsid w:val="009B1D76"/>
    <w:rsid w:val="009B2270"/>
    <w:rsid w:val="009B2392"/>
    <w:rsid w:val="009B24DC"/>
    <w:rsid w:val="009B2744"/>
    <w:rsid w:val="009B27A2"/>
    <w:rsid w:val="009B27E4"/>
    <w:rsid w:val="009B2865"/>
    <w:rsid w:val="009B2CE8"/>
    <w:rsid w:val="009B2E1B"/>
    <w:rsid w:val="009B2F69"/>
    <w:rsid w:val="009B2FB0"/>
    <w:rsid w:val="009B30AA"/>
    <w:rsid w:val="009B30DD"/>
    <w:rsid w:val="009B310F"/>
    <w:rsid w:val="009B323C"/>
    <w:rsid w:val="009B334C"/>
    <w:rsid w:val="009B376E"/>
    <w:rsid w:val="009B3ADD"/>
    <w:rsid w:val="009B3B9C"/>
    <w:rsid w:val="009B3BC0"/>
    <w:rsid w:val="009B3C59"/>
    <w:rsid w:val="009B3CB2"/>
    <w:rsid w:val="009B3E6D"/>
    <w:rsid w:val="009B3F6A"/>
    <w:rsid w:val="009B406D"/>
    <w:rsid w:val="009B4105"/>
    <w:rsid w:val="009B4820"/>
    <w:rsid w:val="009B4EE8"/>
    <w:rsid w:val="009B4FAC"/>
    <w:rsid w:val="009B52E2"/>
    <w:rsid w:val="009B538C"/>
    <w:rsid w:val="009B56EF"/>
    <w:rsid w:val="009B5724"/>
    <w:rsid w:val="009B5784"/>
    <w:rsid w:val="009B5817"/>
    <w:rsid w:val="009B59C7"/>
    <w:rsid w:val="009B5C80"/>
    <w:rsid w:val="009B5F76"/>
    <w:rsid w:val="009B6016"/>
    <w:rsid w:val="009B61D0"/>
    <w:rsid w:val="009B64A8"/>
    <w:rsid w:val="009B6941"/>
    <w:rsid w:val="009B6C52"/>
    <w:rsid w:val="009B6FA8"/>
    <w:rsid w:val="009B7185"/>
    <w:rsid w:val="009B74CD"/>
    <w:rsid w:val="009B75CB"/>
    <w:rsid w:val="009B7C39"/>
    <w:rsid w:val="009B7D4C"/>
    <w:rsid w:val="009B7DB5"/>
    <w:rsid w:val="009B7DBC"/>
    <w:rsid w:val="009C000D"/>
    <w:rsid w:val="009C0247"/>
    <w:rsid w:val="009C0819"/>
    <w:rsid w:val="009C0B4F"/>
    <w:rsid w:val="009C0B9E"/>
    <w:rsid w:val="009C0D46"/>
    <w:rsid w:val="009C0D8B"/>
    <w:rsid w:val="009C1270"/>
    <w:rsid w:val="009C1654"/>
    <w:rsid w:val="009C17C5"/>
    <w:rsid w:val="009C1814"/>
    <w:rsid w:val="009C1883"/>
    <w:rsid w:val="009C1C7D"/>
    <w:rsid w:val="009C1D6E"/>
    <w:rsid w:val="009C21A8"/>
    <w:rsid w:val="009C21C6"/>
    <w:rsid w:val="009C238D"/>
    <w:rsid w:val="009C2462"/>
    <w:rsid w:val="009C2829"/>
    <w:rsid w:val="009C2B30"/>
    <w:rsid w:val="009C2BA2"/>
    <w:rsid w:val="009C2BAA"/>
    <w:rsid w:val="009C2CD2"/>
    <w:rsid w:val="009C2D76"/>
    <w:rsid w:val="009C3968"/>
    <w:rsid w:val="009C3EA4"/>
    <w:rsid w:val="009C43D6"/>
    <w:rsid w:val="009C43EC"/>
    <w:rsid w:val="009C4566"/>
    <w:rsid w:val="009C48C2"/>
    <w:rsid w:val="009C4BF0"/>
    <w:rsid w:val="009C4CCC"/>
    <w:rsid w:val="009C4D3E"/>
    <w:rsid w:val="009C4E4A"/>
    <w:rsid w:val="009C50C0"/>
    <w:rsid w:val="009C535E"/>
    <w:rsid w:val="009C5647"/>
    <w:rsid w:val="009C5B1D"/>
    <w:rsid w:val="009C5BC9"/>
    <w:rsid w:val="009C60C6"/>
    <w:rsid w:val="009C6138"/>
    <w:rsid w:val="009C62B4"/>
    <w:rsid w:val="009C648F"/>
    <w:rsid w:val="009C6675"/>
    <w:rsid w:val="009C679C"/>
    <w:rsid w:val="009C6BA6"/>
    <w:rsid w:val="009C6DEF"/>
    <w:rsid w:val="009C6E23"/>
    <w:rsid w:val="009C6FA0"/>
    <w:rsid w:val="009C7275"/>
    <w:rsid w:val="009C7478"/>
    <w:rsid w:val="009C74D2"/>
    <w:rsid w:val="009C77A3"/>
    <w:rsid w:val="009C7987"/>
    <w:rsid w:val="009C7CF4"/>
    <w:rsid w:val="009D0046"/>
    <w:rsid w:val="009D0228"/>
    <w:rsid w:val="009D023E"/>
    <w:rsid w:val="009D06FD"/>
    <w:rsid w:val="009D0715"/>
    <w:rsid w:val="009D0962"/>
    <w:rsid w:val="009D0AE8"/>
    <w:rsid w:val="009D0BA6"/>
    <w:rsid w:val="009D0C73"/>
    <w:rsid w:val="009D0D92"/>
    <w:rsid w:val="009D10A3"/>
    <w:rsid w:val="009D12BB"/>
    <w:rsid w:val="009D1E77"/>
    <w:rsid w:val="009D2329"/>
    <w:rsid w:val="009D2791"/>
    <w:rsid w:val="009D2986"/>
    <w:rsid w:val="009D29DD"/>
    <w:rsid w:val="009D2BBB"/>
    <w:rsid w:val="009D2CDC"/>
    <w:rsid w:val="009D2DA4"/>
    <w:rsid w:val="009D2DC1"/>
    <w:rsid w:val="009D2E85"/>
    <w:rsid w:val="009D30C5"/>
    <w:rsid w:val="009D3113"/>
    <w:rsid w:val="009D33F1"/>
    <w:rsid w:val="009D367B"/>
    <w:rsid w:val="009D38C6"/>
    <w:rsid w:val="009D3E43"/>
    <w:rsid w:val="009D4142"/>
    <w:rsid w:val="009D43C2"/>
    <w:rsid w:val="009D4508"/>
    <w:rsid w:val="009D451E"/>
    <w:rsid w:val="009D45C2"/>
    <w:rsid w:val="009D46D9"/>
    <w:rsid w:val="009D487A"/>
    <w:rsid w:val="009D4BAE"/>
    <w:rsid w:val="009D4BF1"/>
    <w:rsid w:val="009D4C24"/>
    <w:rsid w:val="009D4F37"/>
    <w:rsid w:val="009D4F95"/>
    <w:rsid w:val="009D581D"/>
    <w:rsid w:val="009D59E0"/>
    <w:rsid w:val="009D5A31"/>
    <w:rsid w:val="009D5A51"/>
    <w:rsid w:val="009D5C8F"/>
    <w:rsid w:val="009D5DAE"/>
    <w:rsid w:val="009D610D"/>
    <w:rsid w:val="009D674A"/>
    <w:rsid w:val="009D6C7D"/>
    <w:rsid w:val="009D6CCB"/>
    <w:rsid w:val="009D6D53"/>
    <w:rsid w:val="009D6DF4"/>
    <w:rsid w:val="009D7222"/>
    <w:rsid w:val="009D7288"/>
    <w:rsid w:val="009D73DC"/>
    <w:rsid w:val="009D743F"/>
    <w:rsid w:val="009D7591"/>
    <w:rsid w:val="009D78BA"/>
    <w:rsid w:val="009D7EDC"/>
    <w:rsid w:val="009D7EFD"/>
    <w:rsid w:val="009E0357"/>
    <w:rsid w:val="009E04D4"/>
    <w:rsid w:val="009E0507"/>
    <w:rsid w:val="009E0649"/>
    <w:rsid w:val="009E06C9"/>
    <w:rsid w:val="009E0730"/>
    <w:rsid w:val="009E0994"/>
    <w:rsid w:val="009E12A9"/>
    <w:rsid w:val="009E12B5"/>
    <w:rsid w:val="009E1825"/>
    <w:rsid w:val="009E1B49"/>
    <w:rsid w:val="009E1B6C"/>
    <w:rsid w:val="009E1CDB"/>
    <w:rsid w:val="009E1E86"/>
    <w:rsid w:val="009E20C1"/>
    <w:rsid w:val="009E2167"/>
    <w:rsid w:val="009E2229"/>
    <w:rsid w:val="009E240F"/>
    <w:rsid w:val="009E249B"/>
    <w:rsid w:val="009E24F0"/>
    <w:rsid w:val="009E2CAF"/>
    <w:rsid w:val="009E2FE4"/>
    <w:rsid w:val="009E3312"/>
    <w:rsid w:val="009E3493"/>
    <w:rsid w:val="009E378B"/>
    <w:rsid w:val="009E37AD"/>
    <w:rsid w:val="009E3AA1"/>
    <w:rsid w:val="009E3BD5"/>
    <w:rsid w:val="009E3CC2"/>
    <w:rsid w:val="009E3D78"/>
    <w:rsid w:val="009E3ECC"/>
    <w:rsid w:val="009E3F80"/>
    <w:rsid w:val="009E3F8D"/>
    <w:rsid w:val="009E3FE1"/>
    <w:rsid w:val="009E411D"/>
    <w:rsid w:val="009E4392"/>
    <w:rsid w:val="009E4806"/>
    <w:rsid w:val="009E4979"/>
    <w:rsid w:val="009E4C48"/>
    <w:rsid w:val="009E4EC4"/>
    <w:rsid w:val="009E514A"/>
    <w:rsid w:val="009E514D"/>
    <w:rsid w:val="009E5827"/>
    <w:rsid w:val="009E5965"/>
    <w:rsid w:val="009E5CF9"/>
    <w:rsid w:val="009E5F05"/>
    <w:rsid w:val="009E6092"/>
    <w:rsid w:val="009E64A1"/>
    <w:rsid w:val="009E68F1"/>
    <w:rsid w:val="009E6C77"/>
    <w:rsid w:val="009E6DCE"/>
    <w:rsid w:val="009E6F76"/>
    <w:rsid w:val="009E71BB"/>
    <w:rsid w:val="009E7238"/>
    <w:rsid w:val="009E7381"/>
    <w:rsid w:val="009E75DF"/>
    <w:rsid w:val="009E77D9"/>
    <w:rsid w:val="009E7D72"/>
    <w:rsid w:val="009E7FD9"/>
    <w:rsid w:val="009E7FEE"/>
    <w:rsid w:val="009F016B"/>
    <w:rsid w:val="009F046A"/>
    <w:rsid w:val="009F0619"/>
    <w:rsid w:val="009F073B"/>
    <w:rsid w:val="009F098C"/>
    <w:rsid w:val="009F0B9E"/>
    <w:rsid w:val="009F0E43"/>
    <w:rsid w:val="009F0F42"/>
    <w:rsid w:val="009F1281"/>
    <w:rsid w:val="009F128A"/>
    <w:rsid w:val="009F15FA"/>
    <w:rsid w:val="009F22FB"/>
    <w:rsid w:val="009F2458"/>
    <w:rsid w:val="009F27B2"/>
    <w:rsid w:val="009F27E9"/>
    <w:rsid w:val="009F2FBA"/>
    <w:rsid w:val="009F322F"/>
    <w:rsid w:val="009F33F2"/>
    <w:rsid w:val="009F3771"/>
    <w:rsid w:val="009F38EC"/>
    <w:rsid w:val="009F3BD1"/>
    <w:rsid w:val="009F3F14"/>
    <w:rsid w:val="009F3F86"/>
    <w:rsid w:val="009F3FC8"/>
    <w:rsid w:val="009F4019"/>
    <w:rsid w:val="009F4057"/>
    <w:rsid w:val="009F4179"/>
    <w:rsid w:val="009F41EA"/>
    <w:rsid w:val="009F42C8"/>
    <w:rsid w:val="009F43EA"/>
    <w:rsid w:val="009F44C8"/>
    <w:rsid w:val="009F4814"/>
    <w:rsid w:val="009F4A2E"/>
    <w:rsid w:val="009F4B05"/>
    <w:rsid w:val="009F4C53"/>
    <w:rsid w:val="009F4D02"/>
    <w:rsid w:val="009F4D46"/>
    <w:rsid w:val="009F5021"/>
    <w:rsid w:val="009F5473"/>
    <w:rsid w:val="009F54A9"/>
    <w:rsid w:val="009F54E4"/>
    <w:rsid w:val="009F572C"/>
    <w:rsid w:val="009F5B06"/>
    <w:rsid w:val="009F5CFF"/>
    <w:rsid w:val="009F5EBF"/>
    <w:rsid w:val="009F62EE"/>
    <w:rsid w:val="009F6437"/>
    <w:rsid w:val="009F64AB"/>
    <w:rsid w:val="009F6857"/>
    <w:rsid w:val="009F6959"/>
    <w:rsid w:val="009F697C"/>
    <w:rsid w:val="009F6B98"/>
    <w:rsid w:val="009F6E03"/>
    <w:rsid w:val="009F77A5"/>
    <w:rsid w:val="009F7AAF"/>
    <w:rsid w:val="009F7C28"/>
    <w:rsid w:val="009F7C3F"/>
    <w:rsid w:val="009F7DCB"/>
    <w:rsid w:val="00A000FE"/>
    <w:rsid w:val="00A001AD"/>
    <w:rsid w:val="00A0033A"/>
    <w:rsid w:val="00A00542"/>
    <w:rsid w:val="00A0096B"/>
    <w:rsid w:val="00A00AC3"/>
    <w:rsid w:val="00A00B6B"/>
    <w:rsid w:val="00A00C12"/>
    <w:rsid w:val="00A00D4E"/>
    <w:rsid w:val="00A00E17"/>
    <w:rsid w:val="00A00F98"/>
    <w:rsid w:val="00A01076"/>
    <w:rsid w:val="00A01130"/>
    <w:rsid w:val="00A01147"/>
    <w:rsid w:val="00A01415"/>
    <w:rsid w:val="00A0141A"/>
    <w:rsid w:val="00A01488"/>
    <w:rsid w:val="00A016EE"/>
    <w:rsid w:val="00A01868"/>
    <w:rsid w:val="00A01A4F"/>
    <w:rsid w:val="00A01C80"/>
    <w:rsid w:val="00A01DA7"/>
    <w:rsid w:val="00A01DB9"/>
    <w:rsid w:val="00A02042"/>
    <w:rsid w:val="00A021F3"/>
    <w:rsid w:val="00A0243A"/>
    <w:rsid w:val="00A025C8"/>
    <w:rsid w:val="00A02631"/>
    <w:rsid w:val="00A026B3"/>
    <w:rsid w:val="00A02835"/>
    <w:rsid w:val="00A029D2"/>
    <w:rsid w:val="00A02A9F"/>
    <w:rsid w:val="00A02D2C"/>
    <w:rsid w:val="00A02EB7"/>
    <w:rsid w:val="00A02EBB"/>
    <w:rsid w:val="00A02F8D"/>
    <w:rsid w:val="00A0303F"/>
    <w:rsid w:val="00A03464"/>
    <w:rsid w:val="00A034F0"/>
    <w:rsid w:val="00A035EC"/>
    <w:rsid w:val="00A03672"/>
    <w:rsid w:val="00A03718"/>
    <w:rsid w:val="00A0376F"/>
    <w:rsid w:val="00A0391F"/>
    <w:rsid w:val="00A03B20"/>
    <w:rsid w:val="00A03D6E"/>
    <w:rsid w:val="00A03F05"/>
    <w:rsid w:val="00A03F66"/>
    <w:rsid w:val="00A040D5"/>
    <w:rsid w:val="00A0430B"/>
    <w:rsid w:val="00A049DA"/>
    <w:rsid w:val="00A04E2F"/>
    <w:rsid w:val="00A04E89"/>
    <w:rsid w:val="00A050AF"/>
    <w:rsid w:val="00A053AF"/>
    <w:rsid w:val="00A053E9"/>
    <w:rsid w:val="00A055E0"/>
    <w:rsid w:val="00A05620"/>
    <w:rsid w:val="00A05671"/>
    <w:rsid w:val="00A05D5E"/>
    <w:rsid w:val="00A05DB5"/>
    <w:rsid w:val="00A05F2C"/>
    <w:rsid w:val="00A06244"/>
    <w:rsid w:val="00A06880"/>
    <w:rsid w:val="00A06A45"/>
    <w:rsid w:val="00A07235"/>
    <w:rsid w:val="00A07266"/>
    <w:rsid w:val="00A074FE"/>
    <w:rsid w:val="00A07565"/>
    <w:rsid w:val="00A075A1"/>
    <w:rsid w:val="00A0783A"/>
    <w:rsid w:val="00A07BD3"/>
    <w:rsid w:val="00A10270"/>
    <w:rsid w:val="00A103E9"/>
    <w:rsid w:val="00A10594"/>
    <w:rsid w:val="00A109D5"/>
    <w:rsid w:val="00A10AF3"/>
    <w:rsid w:val="00A10B15"/>
    <w:rsid w:val="00A10C47"/>
    <w:rsid w:val="00A1103B"/>
    <w:rsid w:val="00A11047"/>
    <w:rsid w:val="00A1124A"/>
    <w:rsid w:val="00A114AB"/>
    <w:rsid w:val="00A114C0"/>
    <w:rsid w:val="00A11CE1"/>
    <w:rsid w:val="00A11D9B"/>
    <w:rsid w:val="00A11DE5"/>
    <w:rsid w:val="00A11E14"/>
    <w:rsid w:val="00A11FBF"/>
    <w:rsid w:val="00A1200C"/>
    <w:rsid w:val="00A12300"/>
    <w:rsid w:val="00A1231F"/>
    <w:rsid w:val="00A12623"/>
    <w:rsid w:val="00A12653"/>
    <w:rsid w:val="00A12672"/>
    <w:rsid w:val="00A126EF"/>
    <w:rsid w:val="00A12700"/>
    <w:rsid w:val="00A1270F"/>
    <w:rsid w:val="00A128BC"/>
    <w:rsid w:val="00A12C91"/>
    <w:rsid w:val="00A1332D"/>
    <w:rsid w:val="00A13B7D"/>
    <w:rsid w:val="00A13C47"/>
    <w:rsid w:val="00A13CC1"/>
    <w:rsid w:val="00A13E46"/>
    <w:rsid w:val="00A13F2C"/>
    <w:rsid w:val="00A1400D"/>
    <w:rsid w:val="00A14266"/>
    <w:rsid w:val="00A1436E"/>
    <w:rsid w:val="00A14789"/>
    <w:rsid w:val="00A147AA"/>
    <w:rsid w:val="00A1483E"/>
    <w:rsid w:val="00A14878"/>
    <w:rsid w:val="00A14BB4"/>
    <w:rsid w:val="00A14C7A"/>
    <w:rsid w:val="00A14D76"/>
    <w:rsid w:val="00A1505F"/>
    <w:rsid w:val="00A152FF"/>
    <w:rsid w:val="00A15705"/>
    <w:rsid w:val="00A15801"/>
    <w:rsid w:val="00A1589E"/>
    <w:rsid w:val="00A1591F"/>
    <w:rsid w:val="00A15DCB"/>
    <w:rsid w:val="00A15ED9"/>
    <w:rsid w:val="00A1607E"/>
    <w:rsid w:val="00A1621D"/>
    <w:rsid w:val="00A16282"/>
    <w:rsid w:val="00A1665B"/>
    <w:rsid w:val="00A166E1"/>
    <w:rsid w:val="00A16CD5"/>
    <w:rsid w:val="00A16D36"/>
    <w:rsid w:val="00A16E40"/>
    <w:rsid w:val="00A17105"/>
    <w:rsid w:val="00A171D4"/>
    <w:rsid w:val="00A1789E"/>
    <w:rsid w:val="00A17B7D"/>
    <w:rsid w:val="00A17C92"/>
    <w:rsid w:val="00A17DB2"/>
    <w:rsid w:val="00A17DD8"/>
    <w:rsid w:val="00A17E85"/>
    <w:rsid w:val="00A17E9B"/>
    <w:rsid w:val="00A2023D"/>
    <w:rsid w:val="00A20247"/>
    <w:rsid w:val="00A20687"/>
    <w:rsid w:val="00A20918"/>
    <w:rsid w:val="00A20D14"/>
    <w:rsid w:val="00A20D4C"/>
    <w:rsid w:val="00A20FA6"/>
    <w:rsid w:val="00A2117E"/>
    <w:rsid w:val="00A211AF"/>
    <w:rsid w:val="00A21237"/>
    <w:rsid w:val="00A2178E"/>
    <w:rsid w:val="00A21830"/>
    <w:rsid w:val="00A218F8"/>
    <w:rsid w:val="00A21D10"/>
    <w:rsid w:val="00A21D9C"/>
    <w:rsid w:val="00A21DDA"/>
    <w:rsid w:val="00A21E3E"/>
    <w:rsid w:val="00A22184"/>
    <w:rsid w:val="00A22380"/>
    <w:rsid w:val="00A225C1"/>
    <w:rsid w:val="00A22614"/>
    <w:rsid w:val="00A227FC"/>
    <w:rsid w:val="00A22C5F"/>
    <w:rsid w:val="00A22D58"/>
    <w:rsid w:val="00A22EC2"/>
    <w:rsid w:val="00A230B1"/>
    <w:rsid w:val="00A230DC"/>
    <w:rsid w:val="00A23231"/>
    <w:rsid w:val="00A2324D"/>
    <w:rsid w:val="00A232E4"/>
    <w:rsid w:val="00A23691"/>
    <w:rsid w:val="00A23AD3"/>
    <w:rsid w:val="00A23D74"/>
    <w:rsid w:val="00A23E85"/>
    <w:rsid w:val="00A23EC9"/>
    <w:rsid w:val="00A23FBF"/>
    <w:rsid w:val="00A240F7"/>
    <w:rsid w:val="00A241B5"/>
    <w:rsid w:val="00A243C5"/>
    <w:rsid w:val="00A24406"/>
    <w:rsid w:val="00A247F5"/>
    <w:rsid w:val="00A247F6"/>
    <w:rsid w:val="00A249F8"/>
    <w:rsid w:val="00A24D1C"/>
    <w:rsid w:val="00A24FEE"/>
    <w:rsid w:val="00A2506A"/>
    <w:rsid w:val="00A25217"/>
    <w:rsid w:val="00A25788"/>
    <w:rsid w:val="00A257B8"/>
    <w:rsid w:val="00A25A27"/>
    <w:rsid w:val="00A25A29"/>
    <w:rsid w:val="00A25A7A"/>
    <w:rsid w:val="00A25D5D"/>
    <w:rsid w:val="00A25F13"/>
    <w:rsid w:val="00A26060"/>
    <w:rsid w:val="00A26069"/>
    <w:rsid w:val="00A26213"/>
    <w:rsid w:val="00A2654B"/>
    <w:rsid w:val="00A26560"/>
    <w:rsid w:val="00A2671D"/>
    <w:rsid w:val="00A267CC"/>
    <w:rsid w:val="00A267D6"/>
    <w:rsid w:val="00A268D2"/>
    <w:rsid w:val="00A26AF1"/>
    <w:rsid w:val="00A26B46"/>
    <w:rsid w:val="00A26B80"/>
    <w:rsid w:val="00A26CB5"/>
    <w:rsid w:val="00A26E11"/>
    <w:rsid w:val="00A26E36"/>
    <w:rsid w:val="00A26F70"/>
    <w:rsid w:val="00A27255"/>
    <w:rsid w:val="00A2729B"/>
    <w:rsid w:val="00A2738A"/>
    <w:rsid w:val="00A27545"/>
    <w:rsid w:val="00A27856"/>
    <w:rsid w:val="00A27A13"/>
    <w:rsid w:val="00A27A1C"/>
    <w:rsid w:val="00A27C31"/>
    <w:rsid w:val="00A27EF4"/>
    <w:rsid w:val="00A300B8"/>
    <w:rsid w:val="00A300E2"/>
    <w:rsid w:val="00A30321"/>
    <w:rsid w:val="00A30343"/>
    <w:rsid w:val="00A30608"/>
    <w:rsid w:val="00A30719"/>
    <w:rsid w:val="00A308D4"/>
    <w:rsid w:val="00A310E2"/>
    <w:rsid w:val="00A311A3"/>
    <w:rsid w:val="00A31276"/>
    <w:rsid w:val="00A316FB"/>
    <w:rsid w:val="00A317E9"/>
    <w:rsid w:val="00A31B8E"/>
    <w:rsid w:val="00A31C0C"/>
    <w:rsid w:val="00A31EE8"/>
    <w:rsid w:val="00A32059"/>
    <w:rsid w:val="00A3235C"/>
    <w:rsid w:val="00A32455"/>
    <w:rsid w:val="00A32686"/>
    <w:rsid w:val="00A32897"/>
    <w:rsid w:val="00A32943"/>
    <w:rsid w:val="00A329DA"/>
    <w:rsid w:val="00A32D2B"/>
    <w:rsid w:val="00A32D41"/>
    <w:rsid w:val="00A32D4A"/>
    <w:rsid w:val="00A32F59"/>
    <w:rsid w:val="00A33195"/>
    <w:rsid w:val="00A332F6"/>
    <w:rsid w:val="00A333F3"/>
    <w:rsid w:val="00A33687"/>
    <w:rsid w:val="00A33B81"/>
    <w:rsid w:val="00A33C5B"/>
    <w:rsid w:val="00A33D57"/>
    <w:rsid w:val="00A34175"/>
    <w:rsid w:val="00A341A5"/>
    <w:rsid w:val="00A34365"/>
    <w:rsid w:val="00A34758"/>
    <w:rsid w:val="00A347A7"/>
    <w:rsid w:val="00A348A6"/>
    <w:rsid w:val="00A348AC"/>
    <w:rsid w:val="00A34AB3"/>
    <w:rsid w:val="00A34AD9"/>
    <w:rsid w:val="00A34B60"/>
    <w:rsid w:val="00A34E67"/>
    <w:rsid w:val="00A34F31"/>
    <w:rsid w:val="00A35055"/>
    <w:rsid w:val="00A35117"/>
    <w:rsid w:val="00A351EE"/>
    <w:rsid w:val="00A3581A"/>
    <w:rsid w:val="00A3596D"/>
    <w:rsid w:val="00A359D8"/>
    <w:rsid w:val="00A35B24"/>
    <w:rsid w:val="00A35EB7"/>
    <w:rsid w:val="00A36AE7"/>
    <w:rsid w:val="00A36E67"/>
    <w:rsid w:val="00A36F93"/>
    <w:rsid w:val="00A36FAB"/>
    <w:rsid w:val="00A3721A"/>
    <w:rsid w:val="00A372C5"/>
    <w:rsid w:val="00A37394"/>
    <w:rsid w:val="00A373B5"/>
    <w:rsid w:val="00A3749C"/>
    <w:rsid w:val="00A37699"/>
    <w:rsid w:val="00A37B6F"/>
    <w:rsid w:val="00A37D06"/>
    <w:rsid w:val="00A37EEE"/>
    <w:rsid w:val="00A400AB"/>
    <w:rsid w:val="00A40418"/>
    <w:rsid w:val="00A40549"/>
    <w:rsid w:val="00A4056E"/>
    <w:rsid w:val="00A405FE"/>
    <w:rsid w:val="00A406BD"/>
    <w:rsid w:val="00A4075A"/>
    <w:rsid w:val="00A40998"/>
    <w:rsid w:val="00A40AC8"/>
    <w:rsid w:val="00A40C6B"/>
    <w:rsid w:val="00A41025"/>
    <w:rsid w:val="00A4102A"/>
    <w:rsid w:val="00A410E0"/>
    <w:rsid w:val="00A4132F"/>
    <w:rsid w:val="00A415EA"/>
    <w:rsid w:val="00A41D1F"/>
    <w:rsid w:val="00A422A1"/>
    <w:rsid w:val="00A422FB"/>
    <w:rsid w:val="00A42348"/>
    <w:rsid w:val="00A423B3"/>
    <w:rsid w:val="00A424AD"/>
    <w:rsid w:val="00A424DE"/>
    <w:rsid w:val="00A4256E"/>
    <w:rsid w:val="00A4278A"/>
    <w:rsid w:val="00A42A14"/>
    <w:rsid w:val="00A42B0C"/>
    <w:rsid w:val="00A42BFC"/>
    <w:rsid w:val="00A42E5A"/>
    <w:rsid w:val="00A43096"/>
    <w:rsid w:val="00A43117"/>
    <w:rsid w:val="00A431DE"/>
    <w:rsid w:val="00A4320B"/>
    <w:rsid w:val="00A4380E"/>
    <w:rsid w:val="00A4392B"/>
    <w:rsid w:val="00A43AD5"/>
    <w:rsid w:val="00A43C0B"/>
    <w:rsid w:val="00A43DDD"/>
    <w:rsid w:val="00A440B7"/>
    <w:rsid w:val="00A443CD"/>
    <w:rsid w:val="00A44465"/>
    <w:rsid w:val="00A445A3"/>
    <w:rsid w:val="00A44640"/>
    <w:rsid w:val="00A44CE9"/>
    <w:rsid w:val="00A45153"/>
    <w:rsid w:val="00A45354"/>
    <w:rsid w:val="00A453A8"/>
    <w:rsid w:val="00A457A4"/>
    <w:rsid w:val="00A45A15"/>
    <w:rsid w:val="00A45B4E"/>
    <w:rsid w:val="00A45B53"/>
    <w:rsid w:val="00A45BF8"/>
    <w:rsid w:val="00A45C6A"/>
    <w:rsid w:val="00A45F43"/>
    <w:rsid w:val="00A4618C"/>
    <w:rsid w:val="00A4621B"/>
    <w:rsid w:val="00A467C8"/>
    <w:rsid w:val="00A46882"/>
    <w:rsid w:val="00A4694F"/>
    <w:rsid w:val="00A46E00"/>
    <w:rsid w:val="00A4706F"/>
    <w:rsid w:val="00A47783"/>
    <w:rsid w:val="00A47CB4"/>
    <w:rsid w:val="00A47D4B"/>
    <w:rsid w:val="00A47EA8"/>
    <w:rsid w:val="00A47FC8"/>
    <w:rsid w:val="00A50139"/>
    <w:rsid w:val="00A50827"/>
    <w:rsid w:val="00A5090E"/>
    <w:rsid w:val="00A5095F"/>
    <w:rsid w:val="00A50A8B"/>
    <w:rsid w:val="00A50C1D"/>
    <w:rsid w:val="00A50F66"/>
    <w:rsid w:val="00A511CC"/>
    <w:rsid w:val="00A51216"/>
    <w:rsid w:val="00A51663"/>
    <w:rsid w:val="00A5175A"/>
    <w:rsid w:val="00A51B0F"/>
    <w:rsid w:val="00A51D48"/>
    <w:rsid w:val="00A51EC9"/>
    <w:rsid w:val="00A51F59"/>
    <w:rsid w:val="00A51FC7"/>
    <w:rsid w:val="00A525AE"/>
    <w:rsid w:val="00A5264A"/>
    <w:rsid w:val="00A528BC"/>
    <w:rsid w:val="00A52E54"/>
    <w:rsid w:val="00A52F17"/>
    <w:rsid w:val="00A52F8A"/>
    <w:rsid w:val="00A5331A"/>
    <w:rsid w:val="00A5340C"/>
    <w:rsid w:val="00A534BB"/>
    <w:rsid w:val="00A53E0A"/>
    <w:rsid w:val="00A53E52"/>
    <w:rsid w:val="00A543C5"/>
    <w:rsid w:val="00A544DE"/>
    <w:rsid w:val="00A549B5"/>
    <w:rsid w:val="00A54E3A"/>
    <w:rsid w:val="00A55295"/>
    <w:rsid w:val="00A554A3"/>
    <w:rsid w:val="00A5557C"/>
    <w:rsid w:val="00A55A78"/>
    <w:rsid w:val="00A55C1B"/>
    <w:rsid w:val="00A55F8E"/>
    <w:rsid w:val="00A56139"/>
    <w:rsid w:val="00A56411"/>
    <w:rsid w:val="00A56572"/>
    <w:rsid w:val="00A56687"/>
    <w:rsid w:val="00A566D6"/>
    <w:rsid w:val="00A568A3"/>
    <w:rsid w:val="00A56A06"/>
    <w:rsid w:val="00A56A27"/>
    <w:rsid w:val="00A56AD7"/>
    <w:rsid w:val="00A56ADF"/>
    <w:rsid w:val="00A56BEE"/>
    <w:rsid w:val="00A56C0D"/>
    <w:rsid w:val="00A56C1C"/>
    <w:rsid w:val="00A56DA2"/>
    <w:rsid w:val="00A5770F"/>
    <w:rsid w:val="00A5788E"/>
    <w:rsid w:val="00A57A15"/>
    <w:rsid w:val="00A57B2E"/>
    <w:rsid w:val="00A57D24"/>
    <w:rsid w:val="00A60324"/>
    <w:rsid w:val="00A605C3"/>
    <w:rsid w:val="00A606B3"/>
    <w:rsid w:val="00A6072B"/>
    <w:rsid w:val="00A608FB"/>
    <w:rsid w:val="00A609C4"/>
    <w:rsid w:val="00A60AE3"/>
    <w:rsid w:val="00A6134E"/>
    <w:rsid w:val="00A615CC"/>
    <w:rsid w:val="00A616E3"/>
    <w:rsid w:val="00A619E2"/>
    <w:rsid w:val="00A61A3A"/>
    <w:rsid w:val="00A61E94"/>
    <w:rsid w:val="00A62126"/>
    <w:rsid w:val="00A62683"/>
    <w:rsid w:val="00A62920"/>
    <w:rsid w:val="00A62E95"/>
    <w:rsid w:val="00A62FE5"/>
    <w:rsid w:val="00A63165"/>
    <w:rsid w:val="00A63284"/>
    <w:rsid w:val="00A6334C"/>
    <w:rsid w:val="00A635ED"/>
    <w:rsid w:val="00A636E1"/>
    <w:rsid w:val="00A63ACD"/>
    <w:rsid w:val="00A64342"/>
    <w:rsid w:val="00A643D9"/>
    <w:rsid w:val="00A644E3"/>
    <w:rsid w:val="00A645D4"/>
    <w:rsid w:val="00A646E5"/>
    <w:rsid w:val="00A6492A"/>
    <w:rsid w:val="00A6497E"/>
    <w:rsid w:val="00A6575E"/>
    <w:rsid w:val="00A6591C"/>
    <w:rsid w:val="00A6596A"/>
    <w:rsid w:val="00A659BA"/>
    <w:rsid w:val="00A65ADD"/>
    <w:rsid w:val="00A65C56"/>
    <w:rsid w:val="00A66375"/>
    <w:rsid w:val="00A66565"/>
    <w:rsid w:val="00A6658B"/>
    <w:rsid w:val="00A665F2"/>
    <w:rsid w:val="00A66A5F"/>
    <w:rsid w:val="00A66E4D"/>
    <w:rsid w:val="00A67205"/>
    <w:rsid w:val="00A67541"/>
    <w:rsid w:val="00A67561"/>
    <w:rsid w:val="00A67666"/>
    <w:rsid w:val="00A676D8"/>
    <w:rsid w:val="00A67B0B"/>
    <w:rsid w:val="00A67BFD"/>
    <w:rsid w:val="00A67D01"/>
    <w:rsid w:val="00A67D12"/>
    <w:rsid w:val="00A700DC"/>
    <w:rsid w:val="00A706A0"/>
    <w:rsid w:val="00A708B2"/>
    <w:rsid w:val="00A70942"/>
    <w:rsid w:val="00A70B12"/>
    <w:rsid w:val="00A70BF8"/>
    <w:rsid w:val="00A70C2C"/>
    <w:rsid w:val="00A70CAC"/>
    <w:rsid w:val="00A70D75"/>
    <w:rsid w:val="00A70DE9"/>
    <w:rsid w:val="00A71075"/>
    <w:rsid w:val="00A71089"/>
    <w:rsid w:val="00A7111F"/>
    <w:rsid w:val="00A71179"/>
    <w:rsid w:val="00A715CC"/>
    <w:rsid w:val="00A71AAF"/>
    <w:rsid w:val="00A71C7D"/>
    <w:rsid w:val="00A71CAD"/>
    <w:rsid w:val="00A71D5A"/>
    <w:rsid w:val="00A71D6C"/>
    <w:rsid w:val="00A71F11"/>
    <w:rsid w:val="00A7203B"/>
    <w:rsid w:val="00A72292"/>
    <w:rsid w:val="00A724E6"/>
    <w:rsid w:val="00A72ABE"/>
    <w:rsid w:val="00A72B9E"/>
    <w:rsid w:val="00A7308C"/>
    <w:rsid w:val="00A73CFE"/>
    <w:rsid w:val="00A73D17"/>
    <w:rsid w:val="00A73F1D"/>
    <w:rsid w:val="00A740A5"/>
    <w:rsid w:val="00A742C9"/>
    <w:rsid w:val="00A74375"/>
    <w:rsid w:val="00A74387"/>
    <w:rsid w:val="00A744EF"/>
    <w:rsid w:val="00A746D6"/>
    <w:rsid w:val="00A746F4"/>
    <w:rsid w:val="00A74863"/>
    <w:rsid w:val="00A74A8B"/>
    <w:rsid w:val="00A755AD"/>
    <w:rsid w:val="00A75A2D"/>
    <w:rsid w:val="00A75D1E"/>
    <w:rsid w:val="00A76087"/>
    <w:rsid w:val="00A76434"/>
    <w:rsid w:val="00A7710B"/>
    <w:rsid w:val="00A7719F"/>
    <w:rsid w:val="00A77324"/>
    <w:rsid w:val="00A77CAA"/>
    <w:rsid w:val="00A8019C"/>
    <w:rsid w:val="00A8023B"/>
    <w:rsid w:val="00A806DC"/>
    <w:rsid w:val="00A80714"/>
    <w:rsid w:val="00A8084F"/>
    <w:rsid w:val="00A80A16"/>
    <w:rsid w:val="00A80AD7"/>
    <w:rsid w:val="00A80AE7"/>
    <w:rsid w:val="00A80DE4"/>
    <w:rsid w:val="00A80FD3"/>
    <w:rsid w:val="00A817AD"/>
    <w:rsid w:val="00A81910"/>
    <w:rsid w:val="00A81A6D"/>
    <w:rsid w:val="00A81CBF"/>
    <w:rsid w:val="00A8202B"/>
    <w:rsid w:val="00A8202D"/>
    <w:rsid w:val="00A8236E"/>
    <w:rsid w:val="00A82370"/>
    <w:rsid w:val="00A8253D"/>
    <w:rsid w:val="00A825CF"/>
    <w:rsid w:val="00A8265B"/>
    <w:rsid w:val="00A82673"/>
    <w:rsid w:val="00A826AD"/>
    <w:rsid w:val="00A82C62"/>
    <w:rsid w:val="00A82CF9"/>
    <w:rsid w:val="00A82FB6"/>
    <w:rsid w:val="00A8323D"/>
    <w:rsid w:val="00A8355B"/>
    <w:rsid w:val="00A836A5"/>
    <w:rsid w:val="00A83C60"/>
    <w:rsid w:val="00A83C8F"/>
    <w:rsid w:val="00A83D15"/>
    <w:rsid w:val="00A83D24"/>
    <w:rsid w:val="00A83D9C"/>
    <w:rsid w:val="00A83DB8"/>
    <w:rsid w:val="00A8411C"/>
    <w:rsid w:val="00A841F5"/>
    <w:rsid w:val="00A842D8"/>
    <w:rsid w:val="00A84456"/>
    <w:rsid w:val="00A8456F"/>
    <w:rsid w:val="00A84C04"/>
    <w:rsid w:val="00A84F61"/>
    <w:rsid w:val="00A8503E"/>
    <w:rsid w:val="00A851B6"/>
    <w:rsid w:val="00A852E1"/>
    <w:rsid w:val="00A85467"/>
    <w:rsid w:val="00A85519"/>
    <w:rsid w:val="00A85692"/>
    <w:rsid w:val="00A856A0"/>
    <w:rsid w:val="00A85713"/>
    <w:rsid w:val="00A85E7B"/>
    <w:rsid w:val="00A85F70"/>
    <w:rsid w:val="00A86333"/>
    <w:rsid w:val="00A863A7"/>
    <w:rsid w:val="00A86684"/>
    <w:rsid w:val="00A86749"/>
    <w:rsid w:val="00A8690C"/>
    <w:rsid w:val="00A86945"/>
    <w:rsid w:val="00A86A4C"/>
    <w:rsid w:val="00A86A61"/>
    <w:rsid w:val="00A86BC6"/>
    <w:rsid w:val="00A86BE5"/>
    <w:rsid w:val="00A8701F"/>
    <w:rsid w:val="00A8704A"/>
    <w:rsid w:val="00A8787B"/>
    <w:rsid w:val="00A87A61"/>
    <w:rsid w:val="00A87C72"/>
    <w:rsid w:val="00A87E58"/>
    <w:rsid w:val="00A87E5C"/>
    <w:rsid w:val="00A87FF9"/>
    <w:rsid w:val="00A90049"/>
    <w:rsid w:val="00A9011F"/>
    <w:rsid w:val="00A903C8"/>
    <w:rsid w:val="00A905D2"/>
    <w:rsid w:val="00A906EA"/>
    <w:rsid w:val="00A90CAE"/>
    <w:rsid w:val="00A90D03"/>
    <w:rsid w:val="00A90E84"/>
    <w:rsid w:val="00A9150E"/>
    <w:rsid w:val="00A91566"/>
    <w:rsid w:val="00A916DF"/>
    <w:rsid w:val="00A91753"/>
    <w:rsid w:val="00A9191C"/>
    <w:rsid w:val="00A9196D"/>
    <w:rsid w:val="00A91A2D"/>
    <w:rsid w:val="00A91FC7"/>
    <w:rsid w:val="00A92175"/>
    <w:rsid w:val="00A923FD"/>
    <w:rsid w:val="00A9244B"/>
    <w:rsid w:val="00A92464"/>
    <w:rsid w:val="00A92472"/>
    <w:rsid w:val="00A92631"/>
    <w:rsid w:val="00A9274F"/>
    <w:rsid w:val="00A92D3A"/>
    <w:rsid w:val="00A92DC6"/>
    <w:rsid w:val="00A92E35"/>
    <w:rsid w:val="00A92ED4"/>
    <w:rsid w:val="00A93746"/>
    <w:rsid w:val="00A93937"/>
    <w:rsid w:val="00A93990"/>
    <w:rsid w:val="00A93D8D"/>
    <w:rsid w:val="00A93E2F"/>
    <w:rsid w:val="00A93E88"/>
    <w:rsid w:val="00A9405D"/>
    <w:rsid w:val="00A941AC"/>
    <w:rsid w:val="00A94439"/>
    <w:rsid w:val="00A94624"/>
    <w:rsid w:val="00A946A2"/>
    <w:rsid w:val="00A94A48"/>
    <w:rsid w:val="00A95001"/>
    <w:rsid w:val="00A9509D"/>
    <w:rsid w:val="00A950B0"/>
    <w:rsid w:val="00A950D9"/>
    <w:rsid w:val="00A95362"/>
    <w:rsid w:val="00A953B3"/>
    <w:rsid w:val="00A95478"/>
    <w:rsid w:val="00A95521"/>
    <w:rsid w:val="00A95863"/>
    <w:rsid w:val="00A95A0C"/>
    <w:rsid w:val="00A95B0A"/>
    <w:rsid w:val="00A95DDB"/>
    <w:rsid w:val="00A95ECA"/>
    <w:rsid w:val="00A9667D"/>
    <w:rsid w:val="00A9677A"/>
    <w:rsid w:val="00A96965"/>
    <w:rsid w:val="00A969DA"/>
    <w:rsid w:val="00A96BBE"/>
    <w:rsid w:val="00A96C1A"/>
    <w:rsid w:val="00A9706B"/>
    <w:rsid w:val="00A974BA"/>
    <w:rsid w:val="00A974FA"/>
    <w:rsid w:val="00A975B3"/>
    <w:rsid w:val="00A976A6"/>
    <w:rsid w:val="00A9775B"/>
    <w:rsid w:val="00A97A72"/>
    <w:rsid w:val="00A97DAA"/>
    <w:rsid w:val="00AA0019"/>
    <w:rsid w:val="00AA0333"/>
    <w:rsid w:val="00AA0395"/>
    <w:rsid w:val="00AA03A0"/>
    <w:rsid w:val="00AA0701"/>
    <w:rsid w:val="00AA086C"/>
    <w:rsid w:val="00AA0916"/>
    <w:rsid w:val="00AA0CB8"/>
    <w:rsid w:val="00AA0DF9"/>
    <w:rsid w:val="00AA0FB1"/>
    <w:rsid w:val="00AA110F"/>
    <w:rsid w:val="00AA151B"/>
    <w:rsid w:val="00AA1559"/>
    <w:rsid w:val="00AA168B"/>
    <w:rsid w:val="00AA19E2"/>
    <w:rsid w:val="00AA1BCA"/>
    <w:rsid w:val="00AA23F2"/>
    <w:rsid w:val="00AA2412"/>
    <w:rsid w:val="00AA26A2"/>
    <w:rsid w:val="00AA277C"/>
    <w:rsid w:val="00AA2D2D"/>
    <w:rsid w:val="00AA31B0"/>
    <w:rsid w:val="00AA3701"/>
    <w:rsid w:val="00AA3879"/>
    <w:rsid w:val="00AA3B17"/>
    <w:rsid w:val="00AA3BDF"/>
    <w:rsid w:val="00AA3C2D"/>
    <w:rsid w:val="00AA3ED1"/>
    <w:rsid w:val="00AA4110"/>
    <w:rsid w:val="00AA42AD"/>
    <w:rsid w:val="00AA42AF"/>
    <w:rsid w:val="00AA464C"/>
    <w:rsid w:val="00AA4818"/>
    <w:rsid w:val="00AA55D4"/>
    <w:rsid w:val="00AA57B7"/>
    <w:rsid w:val="00AA5953"/>
    <w:rsid w:val="00AA5A53"/>
    <w:rsid w:val="00AA5C49"/>
    <w:rsid w:val="00AA5C79"/>
    <w:rsid w:val="00AA5DD1"/>
    <w:rsid w:val="00AA5E34"/>
    <w:rsid w:val="00AA5F8D"/>
    <w:rsid w:val="00AA6227"/>
    <w:rsid w:val="00AA66CF"/>
    <w:rsid w:val="00AA66E4"/>
    <w:rsid w:val="00AA690A"/>
    <w:rsid w:val="00AA69C6"/>
    <w:rsid w:val="00AA6A03"/>
    <w:rsid w:val="00AA6BCA"/>
    <w:rsid w:val="00AA6D41"/>
    <w:rsid w:val="00AA6F2F"/>
    <w:rsid w:val="00AA6F99"/>
    <w:rsid w:val="00AA708A"/>
    <w:rsid w:val="00AA7297"/>
    <w:rsid w:val="00AA7BB3"/>
    <w:rsid w:val="00AB0167"/>
    <w:rsid w:val="00AB01F6"/>
    <w:rsid w:val="00AB0803"/>
    <w:rsid w:val="00AB0937"/>
    <w:rsid w:val="00AB0BBB"/>
    <w:rsid w:val="00AB0EDE"/>
    <w:rsid w:val="00AB11E0"/>
    <w:rsid w:val="00AB1217"/>
    <w:rsid w:val="00AB13DF"/>
    <w:rsid w:val="00AB141E"/>
    <w:rsid w:val="00AB1451"/>
    <w:rsid w:val="00AB15A0"/>
    <w:rsid w:val="00AB15E4"/>
    <w:rsid w:val="00AB1618"/>
    <w:rsid w:val="00AB191D"/>
    <w:rsid w:val="00AB1B45"/>
    <w:rsid w:val="00AB1C05"/>
    <w:rsid w:val="00AB1E24"/>
    <w:rsid w:val="00AB1F25"/>
    <w:rsid w:val="00AB1F63"/>
    <w:rsid w:val="00AB2229"/>
    <w:rsid w:val="00AB237E"/>
    <w:rsid w:val="00AB254A"/>
    <w:rsid w:val="00AB256C"/>
    <w:rsid w:val="00AB2743"/>
    <w:rsid w:val="00AB27D9"/>
    <w:rsid w:val="00AB2ABD"/>
    <w:rsid w:val="00AB2AEF"/>
    <w:rsid w:val="00AB2C51"/>
    <w:rsid w:val="00AB2C73"/>
    <w:rsid w:val="00AB2C8B"/>
    <w:rsid w:val="00AB2FEB"/>
    <w:rsid w:val="00AB302D"/>
    <w:rsid w:val="00AB30C8"/>
    <w:rsid w:val="00AB3117"/>
    <w:rsid w:val="00AB3495"/>
    <w:rsid w:val="00AB3650"/>
    <w:rsid w:val="00AB3711"/>
    <w:rsid w:val="00AB3728"/>
    <w:rsid w:val="00AB38BE"/>
    <w:rsid w:val="00AB399C"/>
    <w:rsid w:val="00AB48D7"/>
    <w:rsid w:val="00AB4CFF"/>
    <w:rsid w:val="00AB503A"/>
    <w:rsid w:val="00AB5323"/>
    <w:rsid w:val="00AB533E"/>
    <w:rsid w:val="00AB58D8"/>
    <w:rsid w:val="00AB5D99"/>
    <w:rsid w:val="00AB5EE7"/>
    <w:rsid w:val="00AB5F59"/>
    <w:rsid w:val="00AB5FEF"/>
    <w:rsid w:val="00AB603E"/>
    <w:rsid w:val="00AB63A4"/>
    <w:rsid w:val="00AB67A8"/>
    <w:rsid w:val="00AB68F4"/>
    <w:rsid w:val="00AB6AA5"/>
    <w:rsid w:val="00AB6C35"/>
    <w:rsid w:val="00AB6D45"/>
    <w:rsid w:val="00AB7122"/>
    <w:rsid w:val="00AB7177"/>
    <w:rsid w:val="00AB7572"/>
    <w:rsid w:val="00AB7A20"/>
    <w:rsid w:val="00AB7AFC"/>
    <w:rsid w:val="00AB7D7E"/>
    <w:rsid w:val="00AB7E79"/>
    <w:rsid w:val="00AB7E8E"/>
    <w:rsid w:val="00AC007E"/>
    <w:rsid w:val="00AC041C"/>
    <w:rsid w:val="00AC05FC"/>
    <w:rsid w:val="00AC064A"/>
    <w:rsid w:val="00AC15A7"/>
    <w:rsid w:val="00AC1663"/>
    <w:rsid w:val="00AC1751"/>
    <w:rsid w:val="00AC17DB"/>
    <w:rsid w:val="00AC18C5"/>
    <w:rsid w:val="00AC1946"/>
    <w:rsid w:val="00AC1BA6"/>
    <w:rsid w:val="00AC1DD3"/>
    <w:rsid w:val="00AC204C"/>
    <w:rsid w:val="00AC206A"/>
    <w:rsid w:val="00AC246B"/>
    <w:rsid w:val="00AC24FB"/>
    <w:rsid w:val="00AC26D0"/>
    <w:rsid w:val="00AC29CE"/>
    <w:rsid w:val="00AC2A60"/>
    <w:rsid w:val="00AC2B92"/>
    <w:rsid w:val="00AC2CEF"/>
    <w:rsid w:val="00AC2D40"/>
    <w:rsid w:val="00AC2D58"/>
    <w:rsid w:val="00AC2EC6"/>
    <w:rsid w:val="00AC3124"/>
    <w:rsid w:val="00AC3179"/>
    <w:rsid w:val="00AC31F0"/>
    <w:rsid w:val="00AC33C4"/>
    <w:rsid w:val="00AC33DB"/>
    <w:rsid w:val="00AC360E"/>
    <w:rsid w:val="00AC3747"/>
    <w:rsid w:val="00AC3B28"/>
    <w:rsid w:val="00AC3CB0"/>
    <w:rsid w:val="00AC3F85"/>
    <w:rsid w:val="00AC41AB"/>
    <w:rsid w:val="00AC42EB"/>
    <w:rsid w:val="00AC43FD"/>
    <w:rsid w:val="00AC4632"/>
    <w:rsid w:val="00AC48D7"/>
    <w:rsid w:val="00AC4DD4"/>
    <w:rsid w:val="00AC4FC4"/>
    <w:rsid w:val="00AC501F"/>
    <w:rsid w:val="00AC51E5"/>
    <w:rsid w:val="00AC5420"/>
    <w:rsid w:val="00AC5577"/>
    <w:rsid w:val="00AC55F4"/>
    <w:rsid w:val="00AC5627"/>
    <w:rsid w:val="00AC566F"/>
    <w:rsid w:val="00AC5765"/>
    <w:rsid w:val="00AC57CA"/>
    <w:rsid w:val="00AC65BA"/>
    <w:rsid w:val="00AC6636"/>
    <w:rsid w:val="00AC6685"/>
    <w:rsid w:val="00AC6818"/>
    <w:rsid w:val="00AC682D"/>
    <w:rsid w:val="00AC6CD8"/>
    <w:rsid w:val="00AC6EE8"/>
    <w:rsid w:val="00AC7398"/>
    <w:rsid w:val="00AC740B"/>
    <w:rsid w:val="00AC74A1"/>
    <w:rsid w:val="00AC787A"/>
    <w:rsid w:val="00AC79F2"/>
    <w:rsid w:val="00AC7AD9"/>
    <w:rsid w:val="00AC7B0F"/>
    <w:rsid w:val="00AC7C6D"/>
    <w:rsid w:val="00AC7D90"/>
    <w:rsid w:val="00AD0062"/>
    <w:rsid w:val="00AD01ED"/>
    <w:rsid w:val="00AD0368"/>
    <w:rsid w:val="00AD037F"/>
    <w:rsid w:val="00AD05A2"/>
    <w:rsid w:val="00AD0767"/>
    <w:rsid w:val="00AD088B"/>
    <w:rsid w:val="00AD0BAB"/>
    <w:rsid w:val="00AD1413"/>
    <w:rsid w:val="00AD14C2"/>
    <w:rsid w:val="00AD1945"/>
    <w:rsid w:val="00AD1C4C"/>
    <w:rsid w:val="00AD1F8D"/>
    <w:rsid w:val="00AD20B3"/>
    <w:rsid w:val="00AD218D"/>
    <w:rsid w:val="00AD2290"/>
    <w:rsid w:val="00AD23CB"/>
    <w:rsid w:val="00AD2484"/>
    <w:rsid w:val="00AD249B"/>
    <w:rsid w:val="00AD2508"/>
    <w:rsid w:val="00AD2524"/>
    <w:rsid w:val="00AD2581"/>
    <w:rsid w:val="00AD28D5"/>
    <w:rsid w:val="00AD2955"/>
    <w:rsid w:val="00AD29E8"/>
    <w:rsid w:val="00AD2FF9"/>
    <w:rsid w:val="00AD31B5"/>
    <w:rsid w:val="00AD3258"/>
    <w:rsid w:val="00AD3373"/>
    <w:rsid w:val="00AD374C"/>
    <w:rsid w:val="00AD3A22"/>
    <w:rsid w:val="00AD3B93"/>
    <w:rsid w:val="00AD3BF1"/>
    <w:rsid w:val="00AD3C4F"/>
    <w:rsid w:val="00AD3D7D"/>
    <w:rsid w:val="00AD3F51"/>
    <w:rsid w:val="00AD4016"/>
    <w:rsid w:val="00AD433A"/>
    <w:rsid w:val="00AD4461"/>
    <w:rsid w:val="00AD45CD"/>
    <w:rsid w:val="00AD47FE"/>
    <w:rsid w:val="00AD480B"/>
    <w:rsid w:val="00AD489D"/>
    <w:rsid w:val="00AD48FA"/>
    <w:rsid w:val="00AD4965"/>
    <w:rsid w:val="00AD4AAC"/>
    <w:rsid w:val="00AD4B88"/>
    <w:rsid w:val="00AD55C2"/>
    <w:rsid w:val="00AD57AE"/>
    <w:rsid w:val="00AD59AC"/>
    <w:rsid w:val="00AD59B3"/>
    <w:rsid w:val="00AD5DF3"/>
    <w:rsid w:val="00AD5FF8"/>
    <w:rsid w:val="00AD6092"/>
    <w:rsid w:val="00AD62AC"/>
    <w:rsid w:val="00AD64F0"/>
    <w:rsid w:val="00AD6732"/>
    <w:rsid w:val="00AD6814"/>
    <w:rsid w:val="00AD69EC"/>
    <w:rsid w:val="00AD6B6F"/>
    <w:rsid w:val="00AD6BD2"/>
    <w:rsid w:val="00AD6C8F"/>
    <w:rsid w:val="00AD6D02"/>
    <w:rsid w:val="00AD6E8C"/>
    <w:rsid w:val="00AD6EDA"/>
    <w:rsid w:val="00AD700C"/>
    <w:rsid w:val="00AD70A5"/>
    <w:rsid w:val="00AD71E2"/>
    <w:rsid w:val="00AD751D"/>
    <w:rsid w:val="00AD7575"/>
    <w:rsid w:val="00AD768B"/>
    <w:rsid w:val="00AD7742"/>
    <w:rsid w:val="00AD7922"/>
    <w:rsid w:val="00AD7A9B"/>
    <w:rsid w:val="00AD7DB5"/>
    <w:rsid w:val="00AD7E1D"/>
    <w:rsid w:val="00AD7E62"/>
    <w:rsid w:val="00AD7E80"/>
    <w:rsid w:val="00AD7F4F"/>
    <w:rsid w:val="00AD7FF9"/>
    <w:rsid w:val="00AE02AD"/>
    <w:rsid w:val="00AE033C"/>
    <w:rsid w:val="00AE043D"/>
    <w:rsid w:val="00AE094C"/>
    <w:rsid w:val="00AE0B63"/>
    <w:rsid w:val="00AE0BAA"/>
    <w:rsid w:val="00AE0BFA"/>
    <w:rsid w:val="00AE0CBE"/>
    <w:rsid w:val="00AE0EF6"/>
    <w:rsid w:val="00AE1172"/>
    <w:rsid w:val="00AE14E1"/>
    <w:rsid w:val="00AE1585"/>
    <w:rsid w:val="00AE163B"/>
    <w:rsid w:val="00AE1788"/>
    <w:rsid w:val="00AE1937"/>
    <w:rsid w:val="00AE1991"/>
    <w:rsid w:val="00AE19D7"/>
    <w:rsid w:val="00AE22FD"/>
    <w:rsid w:val="00AE2305"/>
    <w:rsid w:val="00AE23E6"/>
    <w:rsid w:val="00AE28DF"/>
    <w:rsid w:val="00AE2B1F"/>
    <w:rsid w:val="00AE2BBA"/>
    <w:rsid w:val="00AE2E0E"/>
    <w:rsid w:val="00AE2F9B"/>
    <w:rsid w:val="00AE3385"/>
    <w:rsid w:val="00AE349D"/>
    <w:rsid w:val="00AE34F8"/>
    <w:rsid w:val="00AE3641"/>
    <w:rsid w:val="00AE364A"/>
    <w:rsid w:val="00AE3996"/>
    <w:rsid w:val="00AE3C50"/>
    <w:rsid w:val="00AE3DF8"/>
    <w:rsid w:val="00AE3ECA"/>
    <w:rsid w:val="00AE402F"/>
    <w:rsid w:val="00AE4530"/>
    <w:rsid w:val="00AE454B"/>
    <w:rsid w:val="00AE463A"/>
    <w:rsid w:val="00AE49EB"/>
    <w:rsid w:val="00AE5201"/>
    <w:rsid w:val="00AE541E"/>
    <w:rsid w:val="00AE5949"/>
    <w:rsid w:val="00AE5A37"/>
    <w:rsid w:val="00AE5A7F"/>
    <w:rsid w:val="00AE5ADD"/>
    <w:rsid w:val="00AE5C7B"/>
    <w:rsid w:val="00AE5C8F"/>
    <w:rsid w:val="00AE5DE0"/>
    <w:rsid w:val="00AE5E64"/>
    <w:rsid w:val="00AE60D1"/>
    <w:rsid w:val="00AE6282"/>
    <w:rsid w:val="00AE66CC"/>
    <w:rsid w:val="00AE67E7"/>
    <w:rsid w:val="00AE69CD"/>
    <w:rsid w:val="00AE6A72"/>
    <w:rsid w:val="00AE6B73"/>
    <w:rsid w:val="00AE6BC0"/>
    <w:rsid w:val="00AE6C86"/>
    <w:rsid w:val="00AE6CD1"/>
    <w:rsid w:val="00AE704D"/>
    <w:rsid w:val="00AE717F"/>
    <w:rsid w:val="00AE7199"/>
    <w:rsid w:val="00AE723C"/>
    <w:rsid w:val="00AE7359"/>
    <w:rsid w:val="00AE75D4"/>
    <w:rsid w:val="00AE7B54"/>
    <w:rsid w:val="00AE7B70"/>
    <w:rsid w:val="00AE7FCE"/>
    <w:rsid w:val="00AF0110"/>
    <w:rsid w:val="00AF014F"/>
    <w:rsid w:val="00AF0255"/>
    <w:rsid w:val="00AF029C"/>
    <w:rsid w:val="00AF0802"/>
    <w:rsid w:val="00AF09D0"/>
    <w:rsid w:val="00AF0FA1"/>
    <w:rsid w:val="00AF133B"/>
    <w:rsid w:val="00AF1386"/>
    <w:rsid w:val="00AF13FB"/>
    <w:rsid w:val="00AF1493"/>
    <w:rsid w:val="00AF1856"/>
    <w:rsid w:val="00AF18F4"/>
    <w:rsid w:val="00AF19DF"/>
    <w:rsid w:val="00AF1D29"/>
    <w:rsid w:val="00AF2238"/>
    <w:rsid w:val="00AF23A1"/>
    <w:rsid w:val="00AF2601"/>
    <w:rsid w:val="00AF2DC1"/>
    <w:rsid w:val="00AF2E78"/>
    <w:rsid w:val="00AF2EFD"/>
    <w:rsid w:val="00AF2F72"/>
    <w:rsid w:val="00AF3351"/>
    <w:rsid w:val="00AF33FB"/>
    <w:rsid w:val="00AF343B"/>
    <w:rsid w:val="00AF3460"/>
    <w:rsid w:val="00AF34B0"/>
    <w:rsid w:val="00AF386F"/>
    <w:rsid w:val="00AF3976"/>
    <w:rsid w:val="00AF42F3"/>
    <w:rsid w:val="00AF43E6"/>
    <w:rsid w:val="00AF447C"/>
    <w:rsid w:val="00AF44A2"/>
    <w:rsid w:val="00AF49DC"/>
    <w:rsid w:val="00AF52B3"/>
    <w:rsid w:val="00AF55FE"/>
    <w:rsid w:val="00AF5976"/>
    <w:rsid w:val="00AF5C72"/>
    <w:rsid w:val="00AF5D2B"/>
    <w:rsid w:val="00AF5DFF"/>
    <w:rsid w:val="00AF5F4F"/>
    <w:rsid w:val="00AF6169"/>
    <w:rsid w:val="00AF617F"/>
    <w:rsid w:val="00AF63E1"/>
    <w:rsid w:val="00AF661F"/>
    <w:rsid w:val="00AF6626"/>
    <w:rsid w:val="00AF662D"/>
    <w:rsid w:val="00AF693A"/>
    <w:rsid w:val="00AF6B42"/>
    <w:rsid w:val="00AF6B8F"/>
    <w:rsid w:val="00AF7006"/>
    <w:rsid w:val="00AF70C8"/>
    <w:rsid w:val="00AF72AB"/>
    <w:rsid w:val="00AF730A"/>
    <w:rsid w:val="00AF731E"/>
    <w:rsid w:val="00AF74C8"/>
    <w:rsid w:val="00AF7749"/>
    <w:rsid w:val="00AF7868"/>
    <w:rsid w:val="00AF78FF"/>
    <w:rsid w:val="00AF7A53"/>
    <w:rsid w:val="00AF7CC9"/>
    <w:rsid w:val="00AF7F69"/>
    <w:rsid w:val="00B001B2"/>
    <w:rsid w:val="00B0040D"/>
    <w:rsid w:val="00B007A0"/>
    <w:rsid w:val="00B008DE"/>
    <w:rsid w:val="00B009FE"/>
    <w:rsid w:val="00B00B8A"/>
    <w:rsid w:val="00B00CD0"/>
    <w:rsid w:val="00B00E15"/>
    <w:rsid w:val="00B0104A"/>
    <w:rsid w:val="00B0115C"/>
    <w:rsid w:val="00B01171"/>
    <w:rsid w:val="00B0139B"/>
    <w:rsid w:val="00B01CA3"/>
    <w:rsid w:val="00B01F15"/>
    <w:rsid w:val="00B01F8D"/>
    <w:rsid w:val="00B0209E"/>
    <w:rsid w:val="00B02166"/>
    <w:rsid w:val="00B02456"/>
    <w:rsid w:val="00B02472"/>
    <w:rsid w:val="00B026CF"/>
    <w:rsid w:val="00B027B9"/>
    <w:rsid w:val="00B02801"/>
    <w:rsid w:val="00B0281B"/>
    <w:rsid w:val="00B02961"/>
    <w:rsid w:val="00B02C06"/>
    <w:rsid w:val="00B02E65"/>
    <w:rsid w:val="00B0342F"/>
    <w:rsid w:val="00B034E8"/>
    <w:rsid w:val="00B0368B"/>
    <w:rsid w:val="00B038EC"/>
    <w:rsid w:val="00B04345"/>
    <w:rsid w:val="00B0464C"/>
    <w:rsid w:val="00B049C5"/>
    <w:rsid w:val="00B04BBA"/>
    <w:rsid w:val="00B04DA7"/>
    <w:rsid w:val="00B04E32"/>
    <w:rsid w:val="00B05380"/>
    <w:rsid w:val="00B053C1"/>
    <w:rsid w:val="00B053F1"/>
    <w:rsid w:val="00B054B2"/>
    <w:rsid w:val="00B05701"/>
    <w:rsid w:val="00B05855"/>
    <w:rsid w:val="00B05AA0"/>
    <w:rsid w:val="00B05B3E"/>
    <w:rsid w:val="00B06071"/>
    <w:rsid w:val="00B06257"/>
    <w:rsid w:val="00B0647D"/>
    <w:rsid w:val="00B06487"/>
    <w:rsid w:val="00B065CE"/>
    <w:rsid w:val="00B0677D"/>
    <w:rsid w:val="00B06D09"/>
    <w:rsid w:val="00B06E72"/>
    <w:rsid w:val="00B06EB3"/>
    <w:rsid w:val="00B06F9A"/>
    <w:rsid w:val="00B06FF1"/>
    <w:rsid w:val="00B073F0"/>
    <w:rsid w:val="00B074BB"/>
    <w:rsid w:val="00B0769E"/>
    <w:rsid w:val="00B07760"/>
    <w:rsid w:val="00B079DE"/>
    <w:rsid w:val="00B079EA"/>
    <w:rsid w:val="00B07B1C"/>
    <w:rsid w:val="00B07CB8"/>
    <w:rsid w:val="00B07D03"/>
    <w:rsid w:val="00B07EE1"/>
    <w:rsid w:val="00B07F65"/>
    <w:rsid w:val="00B100AB"/>
    <w:rsid w:val="00B101C6"/>
    <w:rsid w:val="00B10353"/>
    <w:rsid w:val="00B10B23"/>
    <w:rsid w:val="00B10CF9"/>
    <w:rsid w:val="00B10CFB"/>
    <w:rsid w:val="00B10DE3"/>
    <w:rsid w:val="00B10EEF"/>
    <w:rsid w:val="00B11012"/>
    <w:rsid w:val="00B110BE"/>
    <w:rsid w:val="00B110E7"/>
    <w:rsid w:val="00B113B6"/>
    <w:rsid w:val="00B11478"/>
    <w:rsid w:val="00B11CC4"/>
    <w:rsid w:val="00B1271A"/>
    <w:rsid w:val="00B12911"/>
    <w:rsid w:val="00B12CD1"/>
    <w:rsid w:val="00B13172"/>
    <w:rsid w:val="00B131E8"/>
    <w:rsid w:val="00B1329F"/>
    <w:rsid w:val="00B13627"/>
    <w:rsid w:val="00B1382A"/>
    <w:rsid w:val="00B13AE0"/>
    <w:rsid w:val="00B13C06"/>
    <w:rsid w:val="00B13DA3"/>
    <w:rsid w:val="00B13E31"/>
    <w:rsid w:val="00B142AF"/>
    <w:rsid w:val="00B14739"/>
    <w:rsid w:val="00B14B2A"/>
    <w:rsid w:val="00B14D57"/>
    <w:rsid w:val="00B14E16"/>
    <w:rsid w:val="00B14F2E"/>
    <w:rsid w:val="00B15298"/>
    <w:rsid w:val="00B1547F"/>
    <w:rsid w:val="00B156BF"/>
    <w:rsid w:val="00B157BB"/>
    <w:rsid w:val="00B15A7F"/>
    <w:rsid w:val="00B15B66"/>
    <w:rsid w:val="00B15C49"/>
    <w:rsid w:val="00B16007"/>
    <w:rsid w:val="00B16278"/>
    <w:rsid w:val="00B16D13"/>
    <w:rsid w:val="00B16D3E"/>
    <w:rsid w:val="00B16D62"/>
    <w:rsid w:val="00B16F94"/>
    <w:rsid w:val="00B1715B"/>
    <w:rsid w:val="00B171BF"/>
    <w:rsid w:val="00B171D6"/>
    <w:rsid w:val="00B173B2"/>
    <w:rsid w:val="00B173DA"/>
    <w:rsid w:val="00B17513"/>
    <w:rsid w:val="00B1751B"/>
    <w:rsid w:val="00B176C2"/>
    <w:rsid w:val="00B176C5"/>
    <w:rsid w:val="00B17858"/>
    <w:rsid w:val="00B200B9"/>
    <w:rsid w:val="00B2033A"/>
    <w:rsid w:val="00B2054C"/>
    <w:rsid w:val="00B20726"/>
    <w:rsid w:val="00B20B2C"/>
    <w:rsid w:val="00B20B2D"/>
    <w:rsid w:val="00B21001"/>
    <w:rsid w:val="00B213DC"/>
    <w:rsid w:val="00B213DD"/>
    <w:rsid w:val="00B21921"/>
    <w:rsid w:val="00B2192B"/>
    <w:rsid w:val="00B21DE3"/>
    <w:rsid w:val="00B21DEF"/>
    <w:rsid w:val="00B21E8D"/>
    <w:rsid w:val="00B220EC"/>
    <w:rsid w:val="00B2216C"/>
    <w:rsid w:val="00B22561"/>
    <w:rsid w:val="00B22604"/>
    <w:rsid w:val="00B229E9"/>
    <w:rsid w:val="00B229F7"/>
    <w:rsid w:val="00B230FB"/>
    <w:rsid w:val="00B23172"/>
    <w:rsid w:val="00B23289"/>
    <w:rsid w:val="00B238AA"/>
    <w:rsid w:val="00B239AB"/>
    <w:rsid w:val="00B23A82"/>
    <w:rsid w:val="00B240CB"/>
    <w:rsid w:val="00B2417B"/>
    <w:rsid w:val="00B24495"/>
    <w:rsid w:val="00B24986"/>
    <w:rsid w:val="00B249A0"/>
    <w:rsid w:val="00B24A91"/>
    <w:rsid w:val="00B24AB7"/>
    <w:rsid w:val="00B24C7A"/>
    <w:rsid w:val="00B24ECE"/>
    <w:rsid w:val="00B2515D"/>
    <w:rsid w:val="00B252FC"/>
    <w:rsid w:val="00B2531A"/>
    <w:rsid w:val="00B25415"/>
    <w:rsid w:val="00B25448"/>
    <w:rsid w:val="00B2547B"/>
    <w:rsid w:val="00B25606"/>
    <w:rsid w:val="00B2592C"/>
    <w:rsid w:val="00B259F3"/>
    <w:rsid w:val="00B25C5C"/>
    <w:rsid w:val="00B26447"/>
    <w:rsid w:val="00B26886"/>
    <w:rsid w:val="00B26A9A"/>
    <w:rsid w:val="00B26AB7"/>
    <w:rsid w:val="00B26C43"/>
    <w:rsid w:val="00B26CA6"/>
    <w:rsid w:val="00B26CDE"/>
    <w:rsid w:val="00B26E2E"/>
    <w:rsid w:val="00B26EAB"/>
    <w:rsid w:val="00B26F4E"/>
    <w:rsid w:val="00B273DD"/>
    <w:rsid w:val="00B275F0"/>
    <w:rsid w:val="00B27659"/>
    <w:rsid w:val="00B277EC"/>
    <w:rsid w:val="00B27806"/>
    <w:rsid w:val="00B27846"/>
    <w:rsid w:val="00B27B01"/>
    <w:rsid w:val="00B27BC4"/>
    <w:rsid w:val="00B27D6F"/>
    <w:rsid w:val="00B27D9A"/>
    <w:rsid w:val="00B27E0F"/>
    <w:rsid w:val="00B30649"/>
    <w:rsid w:val="00B30719"/>
    <w:rsid w:val="00B30837"/>
    <w:rsid w:val="00B3099D"/>
    <w:rsid w:val="00B309E8"/>
    <w:rsid w:val="00B30ADF"/>
    <w:rsid w:val="00B30CD8"/>
    <w:rsid w:val="00B30D63"/>
    <w:rsid w:val="00B30E40"/>
    <w:rsid w:val="00B30FF8"/>
    <w:rsid w:val="00B31158"/>
    <w:rsid w:val="00B31791"/>
    <w:rsid w:val="00B318A7"/>
    <w:rsid w:val="00B318F1"/>
    <w:rsid w:val="00B31A7D"/>
    <w:rsid w:val="00B31DF0"/>
    <w:rsid w:val="00B31EDD"/>
    <w:rsid w:val="00B31FFB"/>
    <w:rsid w:val="00B324B7"/>
    <w:rsid w:val="00B3251C"/>
    <w:rsid w:val="00B3266F"/>
    <w:rsid w:val="00B32702"/>
    <w:rsid w:val="00B32767"/>
    <w:rsid w:val="00B32AB5"/>
    <w:rsid w:val="00B32B4B"/>
    <w:rsid w:val="00B32C26"/>
    <w:rsid w:val="00B32CD2"/>
    <w:rsid w:val="00B32E9E"/>
    <w:rsid w:val="00B331CA"/>
    <w:rsid w:val="00B333E5"/>
    <w:rsid w:val="00B33544"/>
    <w:rsid w:val="00B3360A"/>
    <w:rsid w:val="00B33873"/>
    <w:rsid w:val="00B338C6"/>
    <w:rsid w:val="00B33A91"/>
    <w:rsid w:val="00B33D08"/>
    <w:rsid w:val="00B33E16"/>
    <w:rsid w:val="00B33EB0"/>
    <w:rsid w:val="00B344EC"/>
    <w:rsid w:val="00B34568"/>
    <w:rsid w:val="00B34902"/>
    <w:rsid w:val="00B34BC5"/>
    <w:rsid w:val="00B34CD3"/>
    <w:rsid w:val="00B34D84"/>
    <w:rsid w:val="00B34E17"/>
    <w:rsid w:val="00B35078"/>
    <w:rsid w:val="00B35134"/>
    <w:rsid w:val="00B35208"/>
    <w:rsid w:val="00B35464"/>
    <w:rsid w:val="00B35474"/>
    <w:rsid w:val="00B354BE"/>
    <w:rsid w:val="00B35591"/>
    <w:rsid w:val="00B358AB"/>
    <w:rsid w:val="00B359E1"/>
    <w:rsid w:val="00B35C58"/>
    <w:rsid w:val="00B35D03"/>
    <w:rsid w:val="00B35F10"/>
    <w:rsid w:val="00B35FB7"/>
    <w:rsid w:val="00B362A3"/>
    <w:rsid w:val="00B363B0"/>
    <w:rsid w:val="00B363E1"/>
    <w:rsid w:val="00B3685B"/>
    <w:rsid w:val="00B36873"/>
    <w:rsid w:val="00B36A2F"/>
    <w:rsid w:val="00B36B04"/>
    <w:rsid w:val="00B36E71"/>
    <w:rsid w:val="00B36E72"/>
    <w:rsid w:val="00B36F72"/>
    <w:rsid w:val="00B3707A"/>
    <w:rsid w:val="00B371E9"/>
    <w:rsid w:val="00B374B6"/>
    <w:rsid w:val="00B37F53"/>
    <w:rsid w:val="00B37F82"/>
    <w:rsid w:val="00B4018D"/>
    <w:rsid w:val="00B4028D"/>
    <w:rsid w:val="00B404F3"/>
    <w:rsid w:val="00B40554"/>
    <w:rsid w:val="00B40714"/>
    <w:rsid w:val="00B40A23"/>
    <w:rsid w:val="00B40AA8"/>
    <w:rsid w:val="00B40B05"/>
    <w:rsid w:val="00B40C13"/>
    <w:rsid w:val="00B40D5E"/>
    <w:rsid w:val="00B40E75"/>
    <w:rsid w:val="00B40F70"/>
    <w:rsid w:val="00B40F93"/>
    <w:rsid w:val="00B41130"/>
    <w:rsid w:val="00B41134"/>
    <w:rsid w:val="00B4113D"/>
    <w:rsid w:val="00B4121E"/>
    <w:rsid w:val="00B41260"/>
    <w:rsid w:val="00B414C9"/>
    <w:rsid w:val="00B4167B"/>
    <w:rsid w:val="00B4180F"/>
    <w:rsid w:val="00B419AA"/>
    <w:rsid w:val="00B41B11"/>
    <w:rsid w:val="00B41CFD"/>
    <w:rsid w:val="00B420BF"/>
    <w:rsid w:val="00B420D2"/>
    <w:rsid w:val="00B4212A"/>
    <w:rsid w:val="00B4214B"/>
    <w:rsid w:val="00B422D0"/>
    <w:rsid w:val="00B427B0"/>
    <w:rsid w:val="00B42B6E"/>
    <w:rsid w:val="00B42CE2"/>
    <w:rsid w:val="00B42E43"/>
    <w:rsid w:val="00B430F5"/>
    <w:rsid w:val="00B430FC"/>
    <w:rsid w:val="00B43197"/>
    <w:rsid w:val="00B431C0"/>
    <w:rsid w:val="00B43519"/>
    <w:rsid w:val="00B4355F"/>
    <w:rsid w:val="00B43872"/>
    <w:rsid w:val="00B4387F"/>
    <w:rsid w:val="00B439FA"/>
    <w:rsid w:val="00B43CE8"/>
    <w:rsid w:val="00B43E5F"/>
    <w:rsid w:val="00B43E6B"/>
    <w:rsid w:val="00B43F14"/>
    <w:rsid w:val="00B44563"/>
    <w:rsid w:val="00B4460C"/>
    <w:rsid w:val="00B447E9"/>
    <w:rsid w:val="00B44861"/>
    <w:rsid w:val="00B44BAA"/>
    <w:rsid w:val="00B44EA6"/>
    <w:rsid w:val="00B44EDB"/>
    <w:rsid w:val="00B44FEC"/>
    <w:rsid w:val="00B4505E"/>
    <w:rsid w:val="00B452F8"/>
    <w:rsid w:val="00B454DB"/>
    <w:rsid w:val="00B45574"/>
    <w:rsid w:val="00B45625"/>
    <w:rsid w:val="00B45653"/>
    <w:rsid w:val="00B45714"/>
    <w:rsid w:val="00B457E1"/>
    <w:rsid w:val="00B458CD"/>
    <w:rsid w:val="00B45952"/>
    <w:rsid w:val="00B45971"/>
    <w:rsid w:val="00B45A0D"/>
    <w:rsid w:val="00B45A17"/>
    <w:rsid w:val="00B45DD3"/>
    <w:rsid w:val="00B464C3"/>
    <w:rsid w:val="00B4655F"/>
    <w:rsid w:val="00B465CF"/>
    <w:rsid w:val="00B46898"/>
    <w:rsid w:val="00B46D14"/>
    <w:rsid w:val="00B46E9D"/>
    <w:rsid w:val="00B46FE8"/>
    <w:rsid w:val="00B471A3"/>
    <w:rsid w:val="00B47285"/>
    <w:rsid w:val="00B4731E"/>
    <w:rsid w:val="00B4739B"/>
    <w:rsid w:val="00B47555"/>
    <w:rsid w:val="00B477C8"/>
    <w:rsid w:val="00B47833"/>
    <w:rsid w:val="00B479E7"/>
    <w:rsid w:val="00B47AEB"/>
    <w:rsid w:val="00B50073"/>
    <w:rsid w:val="00B5023C"/>
    <w:rsid w:val="00B505AB"/>
    <w:rsid w:val="00B50B83"/>
    <w:rsid w:val="00B50DCD"/>
    <w:rsid w:val="00B50F12"/>
    <w:rsid w:val="00B50FD4"/>
    <w:rsid w:val="00B5109C"/>
    <w:rsid w:val="00B510E7"/>
    <w:rsid w:val="00B516CE"/>
    <w:rsid w:val="00B51763"/>
    <w:rsid w:val="00B51792"/>
    <w:rsid w:val="00B51EE4"/>
    <w:rsid w:val="00B521E2"/>
    <w:rsid w:val="00B52463"/>
    <w:rsid w:val="00B524FC"/>
    <w:rsid w:val="00B52504"/>
    <w:rsid w:val="00B525D1"/>
    <w:rsid w:val="00B52881"/>
    <w:rsid w:val="00B529B0"/>
    <w:rsid w:val="00B52B15"/>
    <w:rsid w:val="00B52C07"/>
    <w:rsid w:val="00B52C7F"/>
    <w:rsid w:val="00B52D48"/>
    <w:rsid w:val="00B5319E"/>
    <w:rsid w:val="00B533C6"/>
    <w:rsid w:val="00B533FF"/>
    <w:rsid w:val="00B53634"/>
    <w:rsid w:val="00B53A05"/>
    <w:rsid w:val="00B53A51"/>
    <w:rsid w:val="00B53BFA"/>
    <w:rsid w:val="00B53CCD"/>
    <w:rsid w:val="00B54051"/>
    <w:rsid w:val="00B54060"/>
    <w:rsid w:val="00B542F2"/>
    <w:rsid w:val="00B542FC"/>
    <w:rsid w:val="00B54386"/>
    <w:rsid w:val="00B546A0"/>
    <w:rsid w:val="00B54748"/>
    <w:rsid w:val="00B547DB"/>
    <w:rsid w:val="00B54D11"/>
    <w:rsid w:val="00B54DF3"/>
    <w:rsid w:val="00B5518B"/>
    <w:rsid w:val="00B5548A"/>
    <w:rsid w:val="00B554AD"/>
    <w:rsid w:val="00B558CD"/>
    <w:rsid w:val="00B55BB5"/>
    <w:rsid w:val="00B561C9"/>
    <w:rsid w:val="00B56328"/>
    <w:rsid w:val="00B5636D"/>
    <w:rsid w:val="00B564DA"/>
    <w:rsid w:val="00B56627"/>
    <w:rsid w:val="00B56B28"/>
    <w:rsid w:val="00B56B9C"/>
    <w:rsid w:val="00B56C5D"/>
    <w:rsid w:val="00B56E05"/>
    <w:rsid w:val="00B57105"/>
    <w:rsid w:val="00B5754B"/>
    <w:rsid w:val="00B57758"/>
    <w:rsid w:val="00B577DE"/>
    <w:rsid w:val="00B57C03"/>
    <w:rsid w:val="00B57F62"/>
    <w:rsid w:val="00B600F6"/>
    <w:rsid w:val="00B60123"/>
    <w:rsid w:val="00B6076D"/>
    <w:rsid w:val="00B60A57"/>
    <w:rsid w:val="00B60C32"/>
    <w:rsid w:val="00B6109B"/>
    <w:rsid w:val="00B61214"/>
    <w:rsid w:val="00B61246"/>
    <w:rsid w:val="00B61535"/>
    <w:rsid w:val="00B616F8"/>
    <w:rsid w:val="00B617A5"/>
    <w:rsid w:val="00B61839"/>
    <w:rsid w:val="00B61986"/>
    <w:rsid w:val="00B619FA"/>
    <w:rsid w:val="00B61B11"/>
    <w:rsid w:val="00B61B9D"/>
    <w:rsid w:val="00B61C21"/>
    <w:rsid w:val="00B61C36"/>
    <w:rsid w:val="00B62026"/>
    <w:rsid w:val="00B620D1"/>
    <w:rsid w:val="00B620F1"/>
    <w:rsid w:val="00B6243C"/>
    <w:rsid w:val="00B624EE"/>
    <w:rsid w:val="00B6272C"/>
    <w:rsid w:val="00B62E50"/>
    <w:rsid w:val="00B62EF6"/>
    <w:rsid w:val="00B63012"/>
    <w:rsid w:val="00B630CC"/>
    <w:rsid w:val="00B630E2"/>
    <w:rsid w:val="00B6323A"/>
    <w:rsid w:val="00B632F5"/>
    <w:rsid w:val="00B633E8"/>
    <w:rsid w:val="00B635E0"/>
    <w:rsid w:val="00B6387D"/>
    <w:rsid w:val="00B638DC"/>
    <w:rsid w:val="00B639BF"/>
    <w:rsid w:val="00B63C03"/>
    <w:rsid w:val="00B63C31"/>
    <w:rsid w:val="00B63CBA"/>
    <w:rsid w:val="00B63D55"/>
    <w:rsid w:val="00B63E4E"/>
    <w:rsid w:val="00B6413E"/>
    <w:rsid w:val="00B64143"/>
    <w:rsid w:val="00B6422E"/>
    <w:rsid w:val="00B64244"/>
    <w:rsid w:val="00B643F5"/>
    <w:rsid w:val="00B64673"/>
    <w:rsid w:val="00B64730"/>
    <w:rsid w:val="00B6473E"/>
    <w:rsid w:val="00B64B2A"/>
    <w:rsid w:val="00B64C01"/>
    <w:rsid w:val="00B64D7C"/>
    <w:rsid w:val="00B64F4C"/>
    <w:rsid w:val="00B658C6"/>
    <w:rsid w:val="00B659E8"/>
    <w:rsid w:val="00B65C59"/>
    <w:rsid w:val="00B65CCB"/>
    <w:rsid w:val="00B65EB0"/>
    <w:rsid w:val="00B65EE9"/>
    <w:rsid w:val="00B6611C"/>
    <w:rsid w:val="00B6616B"/>
    <w:rsid w:val="00B66379"/>
    <w:rsid w:val="00B66430"/>
    <w:rsid w:val="00B66468"/>
    <w:rsid w:val="00B667BA"/>
    <w:rsid w:val="00B66B44"/>
    <w:rsid w:val="00B66E38"/>
    <w:rsid w:val="00B66FC6"/>
    <w:rsid w:val="00B6720A"/>
    <w:rsid w:val="00B7047D"/>
    <w:rsid w:val="00B7051F"/>
    <w:rsid w:val="00B7056F"/>
    <w:rsid w:val="00B707A3"/>
    <w:rsid w:val="00B708D9"/>
    <w:rsid w:val="00B70A6A"/>
    <w:rsid w:val="00B70BB7"/>
    <w:rsid w:val="00B70F8E"/>
    <w:rsid w:val="00B7104B"/>
    <w:rsid w:val="00B715A6"/>
    <w:rsid w:val="00B71947"/>
    <w:rsid w:val="00B71A1F"/>
    <w:rsid w:val="00B71A20"/>
    <w:rsid w:val="00B71DC8"/>
    <w:rsid w:val="00B72361"/>
    <w:rsid w:val="00B72463"/>
    <w:rsid w:val="00B72566"/>
    <w:rsid w:val="00B729A2"/>
    <w:rsid w:val="00B72D96"/>
    <w:rsid w:val="00B72E7D"/>
    <w:rsid w:val="00B72F46"/>
    <w:rsid w:val="00B73267"/>
    <w:rsid w:val="00B732D2"/>
    <w:rsid w:val="00B73387"/>
    <w:rsid w:val="00B73411"/>
    <w:rsid w:val="00B737D5"/>
    <w:rsid w:val="00B739E4"/>
    <w:rsid w:val="00B73C1E"/>
    <w:rsid w:val="00B73D47"/>
    <w:rsid w:val="00B73DEE"/>
    <w:rsid w:val="00B740A2"/>
    <w:rsid w:val="00B740DA"/>
    <w:rsid w:val="00B7431F"/>
    <w:rsid w:val="00B74450"/>
    <w:rsid w:val="00B7450E"/>
    <w:rsid w:val="00B7468F"/>
    <w:rsid w:val="00B749FB"/>
    <w:rsid w:val="00B74CE7"/>
    <w:rsid w:val="00B74EC4"/>
    <w:rsid w:val="00B75129"/>
    <w:rsid w:val="00B75304"/>
    <w:rsid w:val="00B75357"/>
    <w:rsid w:val="00B75838"/>
    <w:rsid w:val="00B75A00"/>
    <w:rsid w:val="00B75AFB"/>
    <w:rsid w:val="00B75B72"/>
    <w:rsid w:val="00B75EEF"/>
    <w:rsid w:val="00B7624C"/>
    <w:rsid w:val="00B7656F"/>
    <w:rsid w:val="00B765BC"/>
    <w:rsid w:val="00B76C0D"/>
    <w:rsid w:val="00B77169"/>
    <w:rsid w:val="00B771D7"/>
    <w:rsid w:val="00B772D9"/>
    <w:rsid w:val="00B774DE"/>
    <w:rsid w:val="00B774EE"/>
    <w:rsid w:val="00B77773"/>
    <w:rsid w:val="00B77824"/>
    <w:rsid w:val="00B7783B"/>
    <w:rsid w:val="00B779A7"/>
    <w:rsid w:val="00B77E8B"/>
    <w:rsid w:val="00B77F23"/>
    <w:rsid w:val="00B77FB7"/>
    <w:rsid w:val="00B80007"/>
    <w:rsid w:val="00B80091"/>
    <w:rsid w:val="00B8016A"/>
    <w:rsid w:val="00B801DE"/>
    <w:rsid w:val="00B802F7"/>
    <w:rsid w:val="00B8054C"/>
    <w:rsid w:val="00B80888"/>
    <w:rsid w:val="00B8090F"/>
    <w:rsid w:val="00B80ABB"/>
    <w:rsid w:val="00B80E21"/>
    <w:rsid w:val="00B81065"/>
    <w:rsid w:val="00B8131E"/>
    <w:rsid w:val="00B81A16"/>
    <w:rsid w:val="00B81B3A"/>
    <w:rsid w:val="00B81D67"/>
    <w:rsid w:val="00B82025"/>
    <w:rsid w:val="00B820DD"/>
    <w:rsid w:val="00B823B3"/>
    <w:rsid w:val="00B824B3"/>
    <w:rsid w:val="00B827A8"/>
    <w:rsid w:val="00B827DF"/>
    <w:rsid w:val="00B828AA"/>
    <w:rsid w:val="00B82D86"/>
    <w:rsid w:val="00B83081"/>
    <w:rsid w:val="00B831B8"/>
    <w:rsid w:val="00B832B4"/>
    <w:rsid w:val="00B83980"/>
    <w:rsid w:val="00B839D9"/>
    <w:rsid w:val="00B83A5D"/>
    <w:rsid w:val="00B83BBC"/>
    <w:rsid w:val="00B83D26"/>
    <w:rsid w:val="00B848BB"/>
    <w:rsid w:val="00B849FD"/>
    <w:rsid w:val="00B85116"/>
    <w:rsid w:val="00B85232"/>
    <w:rsid w:val="00B8549B"/>
    <w:rsid w:val="00B8554A"/>
    <w:rsid w:val="00B85690"/>
    <w:rsid w:val="00B85706"/>
    <w:rsid w:val="00B8575A"/>
    <w:rsid w:val="00B85C03"/>
    <w:rsid w:val="00B85D8C"/>
    <w:rsid w:val="00B85DAF"/>
    <w:rsid w:val="00B85E4B"/>
    <w:rsid w:val="00B86401"/>
    <w:rsid w:val="00B8643B"/>
    <w:rsid w:val="00B86462"/>
    <w:rsid w:val="00B865C7"/>
    <w:rsid w:val="00B86897"/>
    <w:rsid w:val="00B86B3A"/>
    <w:rsid w:val="00B86C8E"/>
    <w:rsid w:val="00B86D5A"/>
    <w:rsid w:val="00B86DFC"/>
    <w:rsid w:val="00B87247"/>
    <w:rsid w:val="00B87475"/>
    <w:rsid w:val="00B87776"/>
    <w:rsid w:val="00B87816"/>
    <w:rsid w:val="00B87D28"/>
    <w:rsid w:val="00B87E10"/>
    <w:rsid w:val="00B87E98"/>
    <w:rsid w:val="00B87FC4"/>
    <w:rsid w:val="00B9003E"/>
    <w:rsid w:val="00B9022B"/>
    <w:rsid w:val="00B9034B"/>
    <w:rsid w:val="00B90398"/>
    <w:rsid w:val="00B90436"/>
    <w:rsid w:val="00B90499"/>
    <w:rsid w:val="00B90754"/>
    <w:rsid w:val="00B90BD2"/>
    <w:rsid w:val="00B90BEB"/>
    <w:rsid w:val="00B90DDF"/>
    <w:rsid w:val="00B90FA7"/>
    <w:rsid w:val="00B90FDE"/>
    <w:rsid w:val="00B91194"/>
    <w:rsid w:val="00B9137B"/>
    <w:rsid w:val="00B913F3"/>
    <w:rsid w:val="00B917E4"/>
    <w:rsid w:val="00B91DA9"/>
    <w:rsid w:val="00B91F6F"/>
    <w:rsid w:val="00B91FF3"/>
    <w:rsid w:val="00B922E3"/>
    <w:rsid w:val="00B92463"/>
    <w:rsid w:val="00B924C7"/>
    <w:rsid w:val="00B92A26"/>
    <w:rsid w:val="00B92C12"/>
    <w:rsid w:val="00B93035"/>
    <w:rsid w:val="00B935A2"/>
    <w:rsid w:val="00B9361E"/>
    <w:rsid w:val="00B93729"/>
    <w:rsid w:val="00B938B9"/>
    <w:rsid w:val="00B93B30"/>
    <w:rsid w:val="00B93E0F"/>
    <w:rsid w:val="00B9401C"/>
    <w:rsid w:val="00B942B0"/>
    <w:rsid w:val="00B942FA"/>
    <w:rsid w:val="00B94368"/>
    <w:rsid w:val="00B9443B"/>
    <w:rsid w:val="00B94460"/>
    <w:rsid w:val="00B94AD8"/>
    <w:rsid w:val="00B94B32"/>
    <w:rsid w:val="00B94B7D"/>
    <w:rsid w:val="00B94BDF"/>
    <w:rsid w:val="00B94C93"/>
    <w:rsid w:val="00B94EBB"/>
    <w:rsid w:val="00B95212"/>
    <w:rsid w:val="00B95321"/>
    <w:rsid w:val="00B9581D"/>
    <w:rsid w:val="00B95894"/>
    <w:rsid w:val="00B95A64"/>
    <w:rsid w:val="00B95AB5"/>
    <w:rsid w:val="00B95DDA"/>
    <w:rsid w:val="00B96013"/>
    <w:rsid w:val="00B96264"/>
    <w:rsid w:val="00B96292"/>
    <w:rsid w:val="00B965BC"/>
    <w:rsid w:val="00B96841"/>
    <w:rsid w:val="00B96ADF"/>
    <w:rsid w:val="00B96D64"/>
    <w:rsid w:val="00B96DC0"/>
    <w:rsid w:val="00B96DD1"/>
    <w:rsid w:val="00B96EFE"/>
    <w:rsid w:val="00B972F4"/>
    <w:rsid w:val="00B9735B"/>
    <w:rsid w:val="00B973FA"/>
    <w:rsid w:val="00B978BF"/>
    <w:rsid w:val="00B97F19"/>
    <w:rsid w:val="00BA017C"/>
    <w:rsid w:val="00BA0272"/>
    <w:rsid w:val="00BA0294"/>
    <w:rsid w:val="00BA05DD"/>
    <w:rsid w:val="00BA0836"/>
    <w:rsid w:val="00BA09A9"/>
    <w:rsid w:val="00BA0A4C"/>
    <w:rsid w:val="00BA0AA5"/>
    <w:rsid w:val="00BA1025"/>
    <w:rsid w:val="00BA117C"/>
    <w:rsid w:val="00BA12BE"/>
    <w:rsid w:val="00BA16D8"/>
    <w:rsid w:val="00BA1768"/>
    <w:rsid w:val="00BA1B2F"/>
    <w:rsid w:val="00BA1BD2"/>
    <w:rsid w:val="00BA1CBE"/>
    <w:rsid w:val="00BA1D22"/>
    <w:rsid w:val="00BA1FE9"/>
    <w:rsid w:val="00BA203C"/>
    <w:rsid w:val="00BA2612"/>
    <w:rsid w:val="00BA2987"/>
    <w:rsid w:val="00BA2B77"/>
    <w:rsid w:val="00BA2D5B"/>
    <w:rsid w:val="00BA2DC5"/>
    <w:rsid w:val="00BA2F3E"/>
    <w:rsid w:val="00BA2FFF"/>
    <w:rsid w:val="00BA3161"/>
    <w:rsid w:val="00BA31E4"/>
    <w:rsid w:val="00BA33C6"/>
    <w:rsid w:val="00BA34B9"/>
    <w:rsid w:val="00BA3528"/>
    <w:rsid w:val="00BA38BE"/>
    <w:rsid w:val="00BA3AB1"/>
    <w:rsid w:val="00BA3BD8"/>
    <w:rsid w:val="00BA3CFC"/>
    <w:rsid w:val="00BA3E79"/>
    <w:rsid w:val="00BA40CE"/>
    <w:rsid w:val="00BA4365"/>
    <w:rsid w:val="00BA464B"/>
    <w:rsid w:val="00BA472B"/>
    <w:rsid w:val="00BA474F"/>
    <w:rsid w:val="00BA4811"/>
    <w:rsid w:val="00BA4B48"/>
    <w:rsid w:val="00BA4D7E"/>
    <w:rsid w:val="00BA4E83"/>
    <w:rsid w:val="00BA4E89"/>
    <w:rsid w:val="00BA50F3"/>
    <w:rsid w:val="00BA51E3"/>
    <w:rsid w:val="00BA533D"/>
    <w:rsid w:val="00BA54D3"/>
    <w:rsid w:val="00BA5594"/>
    <w:rsid w:val="00BA56E6"/>
    <w:rsid w:val="00BA5791"/>
    <w:rsid w:val="00BA5899"/>
    <w:rsid w:val="00BA5A9F"/>
    <w:rsid w:val="00BA5C5D"/>
    <w:rsid w:val="00BA5DCA"/>
    <w:rsid w:val="00BA6294"/>
    <w:rsid w:val="00BA65EC"/>
    <w:rsid w:val="00BA66DA"/>
    <w:rsid w:val="00BA6A55"/>
    <w:rsid w:val="00BA6BBE"/>
    <w:rsid w:val="00BA6C51"/>
    <w:rsid w:val="00BA6E91"/>
    <w:rsid w:val="00BA6EFB"/>
    <w:rsid w:val="00BA72B2"/>
    <w:rsid w:val="00BA7483"/>
    <w:rsid w:val="00BA74A5"/>
    <w:rsid w:val="00BA74CB"/>
    <w:rsid w:val="00BA761F"/>
    <w:rsid w:val="00BA7726"/>
    <w:rsid w:val="00BA778B"/>
    <w:rsid w:val="00BB009B"/>
    <w:rsid w:val="00BB017F"/>
    <w:rsid w:val="00BB0265"/>
    <w:rsid w:val="00BB0318"/>
    <w:rsid w:val="00BB0737"/>
    <w:rsid w:val="00BB079A"/>
    <w:rsid w:val="00BB08B2"/>
    <w:rsid w:val="00BB0D1F"/>
    <w:rsid w:val="00BB0D33"/>
    <w:rsid w:val="00BB1007"/>
    <w:rsid w:val="00BB13FF"/>
    <w:rsid w:val="00BB14EC"/>
    <w:rsid w:val="00BB14F6"/>
    <w:rsid w:val="00BB156D"/>
    <w:rsid w:val="00BB180C"/>
    <w:rsid w:val="00BB1BDC"/>
    <w:rsid w:val="00BB24F2"/>
    <w:rsid w:val="00BB2776"/>
    <w:rsid w:val="00BB2AFC"/>
    <w:rsid w:val="00BB2C49"/>
    <w:rsid w:val="00BB2C69"/>
    <w:rsid w:val="00BB2E7F"/>
    <w:rsid w:val="00BB2EA3"/>
    <w:rsid w:val="00BB2F52"/>
    <w:rsid w:val="00BB3141"/>
    <w:rsid w:val="00BB327B"/>
    <w:rsid w:val="00BB34F5"/>
    <w:rsid w:val="00BB364A"/>
    <w:rsid w:val="00BB37FC"/>
    <w:rsid w:val="00BB3849"/>
    <w:rsid w:val="00BB38FA"/>
    <w:rsid w:val="00BB3A15"/>
    <w:rsid w:val="00BB3BF0"/>
    <w:rsid w:val="00BB3CA1"/>
    <w:rsid w:val="00BB3FA1"/>
    <w:rsid w:val="00BB4117"/>
    <w:rsid w:val="00BB4368"/>
    <w:rsid w:val="00BB436D"/>
    <w:rsid w:val="00BB4506"/>
    <w:rsid w:val="00BB450F"/>
    <w:rsid w:val="00BB456C"/>
    <w:rsid w:val="00BB459F"/>
    <w:rsid w:val="00BB4D2C"/>
    <w:rsid w:val="00BB503E"/>
    <w:rsid w:val="00BB5066"/>
    <w:rsid w:val="00BB50C7"/>
    <w:rsid w:val="00BB563D"/>
    <w:rsid w:val="00BB56AB"/>
    <w:rsid w:val="00BB59BD"/>
    <w:rsid w:val="00BB5AA3"/>
    <w:rsid w:val="00BB5AC3"/>
    <w:rsid w:val="00BB5CD8"/>
    <w:rsid w:val="00BB5E41"/>
    <w:rsid w:val="00BB5E75"/>
    <w:rsid w:val="00BB5F2C"/>
    <w:rsid w:val="00BB631C"/>
    <w:rsid w:val="00BB6980"/>
    <w:rsid w:val="00BB6A9C"/>
    <w:rsid w:val="00BB6D15"/>
    <w:rsid w:val="00BB6D41"/>
    <w:rsid w:val="00BB739F"/>
    <w:rsid w:val="00BB74BB"/>
    <w:rsid w:val="00BB750E"/>
    <w:rsid w:val="00BB759D"/>
    <w:rsid w:val="00BB7930"/>
    <w:rsid w:val="00BB7BCD"/>
    <w:rsid w:val="00BB7C4B"/>
    <w:rsid w:val="00BB7FCB"/>
    <w:rsid w:val="00BC01E0"/>
    <w:rsid w:val="00BC024A"/>
    <w:rsid w:val="00BC03DC"/>
    <w:rsid w:val="00BC0491"/>
    <w:rsid w:val="00BC0528"/>
    <w:rsid w:val="00BC0B7D"/>
    <w:rsid w:val="00BC0C30"/>
    <w:rsid w:val="00BC0CE3"/>
    <w:rsid w:val="00BC0D4D"/>
    <w:rsid w:val="00BC0DA5"/>
    <w:rsid w:val="00BC13F1"/>
    <w:rsid w:val="00BC158A"/>
    <w:rsid w:val="00BC169F"/>
    <w:rsid w:val="00BC16E3"/>
    <w:rsid w:val="00BC1738"/>
    <w:rsid w:val="00BC1A0F"/>
    <w:rsid w:val="00BC1A62"/>
    <w:rsid w:val="00BC1B9A"/>
    <w:rsid w:val="00BC1CDA"/>
    <w:rsid w:val="00BC1EC0"/>
    <w:rsid w:val="00BC2049"/>
    <w:rsid w:val="00BC2218"/>
    <w:rsid w:val="00BC22D0"/>
    <w:rsid w:val="00BC23D1"/>
    <w:rsid w:val="00BC241B"/>
    <w:rsid w:val="00BC263B"/>
    <w:rsid w:val="00BC26BE"/>
    <w:rsid w:val="00BC2709"/>
    <w:rsid w:val="00BC289F"/>
    <w:rsid w:val="00BC29B1"/>
    <w:rsid w:val="00BC2B56"/>
    <w:rsid w:val="00BC2C8E"/>
    <w:rsid w:val="00BC2FD4"/>
    <w:rsid w:val="00BC3201"/>
    <w:rsid w:val="00BC33A6"/>
    <w:rsid w:val="00BC35D7"/>
    <w:rsid w:val="00BC381F"/>
    <w:rsid w:val="00BC3926"/>
    <w:rsid w:val="00BC396A"/>
    <w:rsid w:val="00BC39D8"/>
    <w:rsid w:val="00BC3ADD"/>
    <w:rsid w:val="00BC3B17"/>
    <w:rsid w:val="00BC3C0E"/>
    <w:rsid w:val="00BC3C9B"/>
    <w:rsid w:val="00BC3CDA"/>
    <w:rsid w:val="00BC3EC7"/>
    <w:rsid w:val="00BC4138"/>
    <w:rsid w:val="00BC419D"/>
    <w:rsid w:val="00BC43EF"/>
    <w:rsid w:val="00BC4644"/>
    <w:rsid w:val="00BC465D"/>
    <w:rsid w:val="00BC4807"/>
    <w:rsid w:val="00BC48AC"/>
    <w:rsid w:val="00BC4A04"/>
    <w:rsid w:val="00BC4B5E"/>
    <w:rsid w:val="00BC4B6F"/>
    <w:rsid w:val="00BC4BF6"/>
    <w:rsid w:val="00BC4CA2"/>
    <w:rsid w:val="00BC4CF1"/>
    <w:rsid w:val="00BC4EA6"/>
    <w:rsid w:val="00BC5294"/>
    <w:rsid w:val="00BC52BA"/>
    <w:rsid w:val="00BC55A6"/>
    <w:rsid w:val="00BC55FC"/>
    <w:rsid w:val="00BC5736"/>
    <w:rsid w:val="00BC58DF"/>
    <w:rsid w:val="00BC5965"/>
    <w:rsid w:val="00BC5F23"/>
    <w:rsid w:val="00BC644D"/>
    <w:rsid w:val="00BC65AF"/>
    <w:rsid w:val="00BC6842"/>
    <w:rsid w:val="00BC69BD"/>
    <w:rsid w:val="00BC6A8B"/>
    <w:rsid w:val="00BC6C41"/>
    <w:rsid w:val="00BC6FE2"/>
    <w:rsid w:val="00BC7134"/>
    <w:rsid w:val="00BC7158"/>
    <w:rsid w:val="00BC7188"/>
    <w:rsid w:val="00BC719B"/>
    <w:rsid w:val="00BC724C"/>
    <w:rsid w:val="00BC7357"/>
    <w:rsid w:val="00BC7572"/>
    <w:rsid w:val="00BC75B9"/>
    <w:rsid w:val="00BC77F5"/>
    <w:rsid w:val="00BC7B01"/>
    <w:rsid w:val="00BC7F1D"/>
    <w:rsid w:val="00BC7FE5"/>
    <w:rsid w:val="00BD043C"/>
    <w:rsid w:val="00BD08E4"/>
    <w:rsid w:val="00BD0D06"/>
    <w:rsid w:val="00BD101B"/>
    <w:rsid w:val="00BD1401"/>
    <w:rsid w:val="00BD1911"/>
    <w:rsid w:val="00BD1D23"/>
    <w:rsid w:val="00BD1DC6"/>
    <w:rsid w:val="00BD21C2"/>
    <w:rsid w:val="00BD2264"/>
    <w:rsid w:val="00BD2496"/>
    <w:rsid w:val="00BD286B"/>
    <w:rsid w:val="00BD2A3B"/>
    <w:rsid w:val="00BD2AC2"/>
    <w:rsid w:val="00BD316B"/>
    <w:rsid w:val="00BD31CF"/>
    <w:rsid w:val="00BD35E0"/>
    <w:rsid w:val="00BD35E3"/>
    <w:rsid w:val="00BD3601"/>
    <w:rsid w:val="00BD360A"/>
    <w:rsid w:val="00BD3A5D"/>
    <w:rsid w:val="00BD3B97"/>
    <w:rsid w:val="00BD4563"/>
    <w:rsid w:val="00BD472A"/>
    <w:rsid w:val="00BD5093"/>
    <w:rsid w:val="00BD5204"/>
    <w:rsid w:val="00BD526B"/>
    <w:rsid w:val="00BD55EB"/>
    <w:rsid w:val="00BD58A4"/>
    <w:rsid w:val="00BD598F"/>
    <w:rsid w:val="00BD5A8F"/>
    <w:rsid w:val="00BD620D"/>
    <w:rsid w:val="00BD632B"/>
    <w:rsid w:val="00BD6437"/>
    <w:rsid w:val="00BD6B93"/>
    <w:rsid w:val="00BD6D10"/>
    <w:rsid w:val="00BD6D57"/>
    <w:rsid w:val="00BD6E5D"/>
    <w:rsid w:val="00BD6E78"/>
    <w:rsid w:val="00BD7163"/>
    <w:rsid w:val="00BD745D"/>
    <w:rsid w:val="00BD7BD9"/>
    <w:rsid w:val="00BD7CE2"/>
    <w:rsid w:val="00BE00DE"/>
    <w:rsid w:val="00BE01B2"/>
    <w:rsid w:val="00BE025C"/>
    <w:rsid w:val="00BE044D"/>
    <w:rsid w:val="00BE062A"/>
    <w:rsid w:val="00BE07C8"/>
    <w:rsid w:val="00BE0EC0"/>
    <w:rsid w:val="00BE0EDA"/>
    <w:rsid w:val="00BE123F"/>
    <w:rsid w:val="00BE1335"/>
    <w:rsid w:val="00BE135E"/>
    <w:rsid w:val="00BE1381"/>
    <w:rsid w:val="00BE178C"/>
    <w:rsid w:val="00BE19AD"/>
    <w:rsid w:val="00BE1B18"/>
    <w:rsid w:val="00BE1C14"/>
    <w:rsid w:val="00BE1FD1"/>
    <w:rsid w:val="00BE2195"/>
    <w:rsid w:val="00BE21A2"/>
    <w:rsid w:val="00BE2758"/>
    <w:rsid w:val="00BE2872"/>
    <w:rsid w:val="00BE30D3"/>
    <w:rsid w:val="00BE3242"/>
    <w:rsid w:val="00BE3873"/>
    <w:rsid w:val="00BE3B24"/>
    <w:rsid w:val="00BE3C77"/>
    <w:rsid w:val="00BE3FDB"/>
    <w:rsid w:val="00BE4374"/>
    <w:rsid w:val="00BE4424"/>
    <w:rsid w:val="00BE445A"/>
    <w:rsid w:val="00BE4742"/>
    <w:rsid w:val="00BE47D5"/>
    <w:rsid w:val="00BE4982"/>
    <w:rsid w:val="00BE4ACF"/>
    <w:rsid w:val="00BE4D33"/>
    <w:rsid w:val="00BE4EAD"/>
    <w:rsid w:val="00BE514E"/>
    <w:rsid w:val="00BE56FE"/>
    <w:rsid w:val="00BE580C"/>
    <w:rsid w:val="00BE59CF"/>
    <w:rsid w:val="00BE5CCC"/>
    <w:rsid w:val="00BE5F90"/>
    <w:rsid w:val="00BE65DE"/>
    <w:rsid w:val="00BE6669"/>
    <w:rsid w:val="00BE6817"/>
    <w:rsid w:val="00BE6B7E"/>
    <w:rsid w:val="00BE6F29"/>
    <w:rsid w:val="00BE6F35"/>
    <w:rsid w:val="00BE715A"/>
    <w:rsid w:val="00BE7539"/>
    <w:rsid w:val="00BE7787"/>
    <w:rsid w:val="00BE7BCB"/>
    <w:rsid w:val="00BE7C65"/>
    <w:rsid w:val="00BE7D30"/>
    <w:rsid w:val="00BE7F84"/>
    <w:rsid w:val="00BF0224"/>
    <w:rsid w:val="00BF04A4"/>
    <w:rsid w:val="00BF080A"/>
    <w:rsid w:val="00BF0BC0"/>
    <w:rsid w:val="00BF1220"/>
    <w:rsid w:val="00BF138B"/>
    <w:rsid w:val="00BF16ED"/>
    <w:rsid w:val="00BF1B30"/>
    <w:rsid w:val="00BF1E3E"/>
    <w:rsid w:val="00BF20D5"/>
    <w:rsid w:val="00BF21B7"/>
    <w:rsid w:val="00BF2516"/>
    <w:rsid w:val="00BF27EF"/>
    <w:rsid w:val="00BF2B05"/>
    <w:rsid w:val="00BF2B84"/>
    <w:rsid w:val="00BF2C20"/>
    <w:rsid w:val="00BF300D"/>
    <w:rsid w:val="00BF316C"/>
    <w:rsid w:val="00BF3536"/>
    <w:rsid w:val="00BF36C5"/>
    <w:rsid w:val="00BF3791"/>
    <w:rsid w:val="00BF3F6F"/>
    <w:rsid w:val="00BF3FB0"/>
    <w:rsid w:val="00BF4286"/>
    <w:rsid w:val="00BF44B0"/>
    <w:rsid w:val="00BF45BE"/>
    <w:rsid w:val="00BF47AB"/>
    <w:rsid w:val="00BF49D3"/>
    <w:rsid w:val="00BF4BC3"/>
    <w:rsid w:val="00BF4D9A"/>
    <w:rsid w:val="00BF4FC9"/>
    <w:rsid w:val="00BF5348"/>
    <w:rsid w:val="00BF5395"/>
    <w:rsid w:val="00BF5439"/>
    <w:rsid w:val="00BF56C0"/>
    <w:rsid w:val="00BF5788"/>
    <w:rsid w:val="00BF579C"/>
    <w:rsid w:val="00BF599B"/>
    <w:rsid w:val="00BF5E75"/>
    <w:rsid w:val="00BF5EF0"/>
    <w:rsid w:val="00BF60F7"/>
    <w:rsid w:val="00BF625C"/>
    <w:rsid w:val="00BF6652"/>
    <w:rsid w:val="00BF67C6"/>
    <w:rsid w:val="00BF687F"/>
    <w:rsid w:val="00BF6BDE"/>
    <w:rsid w:val="00BF6BE8"/>
    <w:rsid w:val="00BF6D12"/>
    <w:rsid w:val="00BF6DCF"/>
    <w:rsid w:val="00BF6EC1"/>
    <w:rsid w:val="00BF6FBC"/>
    <w:rsid w:val="00BF6FF4"/>
    <w:rsid w:val="00BF702B"/>
    <w:rsid w:val="00BF72CC"/>
    <w:rsid w:val="00BF7620"/>
    <w:rsid w:val="00BF795E"/>
    <w:rsid w:val="00BF7985"/>
    <w:rsid w:val="00BF7A6C"/>
    <w:rsid w:val="00BF7AC1"/>
    <w:rsid w:val="00BF7B04"/>
    <w:rsid w:val="00BF7BF5"/>
    <w:rsid w:val="00BF7E0A"/>
    <w:rsid w:val="00BF7E9B"/>
    <w:rsid w:val="00BF7F53"/>
    <w:rsid w:val="00C00006"/>
    <w:rsid w:val="00C004B3"/>
    <w:rsid w:val="00C0078F"/>
    <w:rsid w:val="00C00F72"/>
    <w:rsid w:val="00C010B2"/>
    <w:rsid w:val="00C010BD"/>
    <w:rsid w:val="00C01141"/>
    <w:rsid w:val="00C01418"/>
    <w:rsid w:val="00C014A5"/>
    <w:rsid w:val="00C017AD"/>
    <w:rsid w:val="00C018AF"/>
    <w:rsid w:val="00C01B68"/>
    <w:rsid w:val="00C0207D"/>
    <w:rsid w:val="00C020E2"/>
    <w:rsid w:val="00C02255"/>
    <w:rsid w:val="00C02440"/>
    <w:rsid w:val="00C02591"/>
    <w:rsid w:val="00C025CC"/>
    <w:rsid w:val="00C025ED"/>
    <w:rsid w:val="00C0260D"/>
    <w:rsid w:val="00C0279B"/>
    <w:rsid w:val="00C029BC"/>
    <w:rsid w:val="00C02A1D"/>
    <w:rsid w:val="00C02A89"/>
    <w:rsid w:val="00C02BBC"/>
    <w:rsid w:val="00C02D05"/>
    <w:rsid w:val="00C02F4E"/>
    <w:rsid w:val="00C03099"/>
    <w:rsid w:val="00C03310"/>
    <w:rsid w:val="00C03636"/>
    <w:rsid w:val="00C03673"/>
    <w:rsid w:val="00C03701"/>
    <w:rsid w:val="00C03894"/>
    <w:rsid w:val="00C03B81"/>
    <w:rsid w:val="00C03EDB"/>
    <w:rsid w:val="00C03EEE"/>
    <w:rsid w:val="00C03F34"/>
    <w:rsid w:val="00C04475"/>
    <w:rsid w:val="00C04508"/>
    <w:rsid w:val="00C04715"/>
    <w:rsid w:val="00C04B4F"/>
    <w:rsid w:val="00C04F36"/>
    <w:rsid w:val="00C0531F"/>
    <w:rsid w:val="00C054E5"/>
    <w:rsid w:val="00C054F9"/>
    <w:rsid w:val="00C05798"/>
    <w:rsid w:val="00C05803"/>
    <w:rsid w:val="00C05EF8"/>
    <w:rsid w:val="00C0632A"/>
    <w:rsid w:val="00C06355"/>
    <w:rsid w:val="00C0636A"/>
    <w:rsid w:val="00C064A3"/>
    <w:rsid w:val="00C065F3"/>
    <w:rsid w:val="00C0669D"/>
    <w:rsid w:val="00C0690F"/>
    <w:rsid w:val="00C06AD1"/>
    <w:rsid w:val="00C06FCF"/>
    <w:rsid w:val="00C07078"/>
    <w:rsid w:val="00C07227"/>
    <w:rsid w:val="00C072D3"/>
    <w:rsid w:val="00C072D7"/>
    <w:rsid w:val="00C07344"/>
    <w:rsid w:val="00C07352"/>
    <w:rsid w:val="00C07653"/>
    <w:rsid w:val="00C07997"/>
    <w:rsid w:val="00C07999"/>
    <w:rsid w:val="00C07B70"/>
    <w:rsid w:val="00C07CDB"/>
    <w:rsid w:val="00C07DC8"/>
    <w:rsid w:val="00C100C8"/>
    <w:rsid w:val="00C1035F"/>
    <w:rsid w:val="00C10378"/>
    <w:rsid w:val="00C10AEA"/>
    <w:rsid w:val="00C10B27"/>
    <w:rsid w:val="00C11188"/>
    <w:rsid w:val="00C1120D"/>
    <w:rsid w:val="00C112A7"/>
    <w:rsid w:val="00C113AC"/>
    <w:rsid w:val="00C11536"/>
    <w:rsid w:val="00C1200D"/>
    <w:rsid w:val="00C124E4"/>
    <w:rsid w:val="00C12847"/>
    <w:rsid w:val="00C12A4E"/>
    <w:rsid w:val="00C12AB8"/>
    <w:rsid w:val="00C12D02"/>
    <w:rsid w:val="00C12E56"/>
    <w:rsid w:val="00C130B6"/>
    <w:rsid w:val="00C135D2"/>
    <w:rsid w:val="00C13747"/>
    <w:rsid w:val="00C13B36"/>
    <w:rsid w:val="00C13B3F"/>
    <w:rsid w:val="00C13BA3"/>
    <w:rsid w:val="00C13CA8"/>
    <w:rsid w:val="00C1405F"/>
    <w:rsid w:val="00C14089"/>
    <w:rsid w:val="00C1411B"/>
    <w:rsid w:val="00C142BE"/>
    <w:rsid w:val="00C1434A"/>
    <w:rsid w:val="00C144E7"/>
    <w:rsid w:val="00C14582"/>
    <w:rsid w:val="00C14656"/>
    <w:rsid w:val="00C14956"/>
    <w:rsid w:val="00C152A8"/>
    <w:rsid w:val="00C152D1"/>
    <w:rsid w:val="00C154D9"/>
    <w:rsid w:val="00C155DA"/>
    <w:rsid w:val="00C15652"/>
    <w:rsid w:val="00C15656"/>
    <w:rsid w:val="00C15CBB"/>
    <w:rsid w:val="00C15CD3"/>
    <w:rsid w:val="00C15D76"/>
    <w:rsid w:val="00C15EE4"/>
    <w:rsid w:val="00C1601B"/>
    <w:rsid w:val="00C16245"/>
    <w:rsid w:val="00C163E5"/>
    <w:rsid w:val="00C164CF"/>
    <w:rsid w:val="00C16766"/>
    <w:rsid w:val="00C167ED"/>
    <w:rsid w:val="00C16A6A"/>
    <w:rsid w:val="00C16B26"/>
    <w:rsid w:val="00C17036"/>
    <w:rsid w:val="00C170AE"/>
    <w:rsid w:val="00C170FE"/>
    <w:rsid w:val="00C17168"/>
    <w:rsid w:val="00C17311"/>
    <w:rsid w:val="00C17985"/>
    <w:rsid w:val="00C17CCB"/>
    <w:rsid w:val="00C20120"/>
    <w:rsid w:val="00C201D1"/>
    <w:rsid w:val="00C202F7"/>
    <w:rsid w:val="00C204DD"/>
    <w:rsid w:val="00C206B0"/>
    <w:rsid w:val="00C20876"/>
    <w:rsid w:val="00C2090A"/>
    <w:rsid w:val="00C20BC3"/>
    <w:rsid w:val="00C20D7F"/>
    <w:rsid w:val="00C20FF5"/>
    <w:rsid w:val="00C211CB"/>
    <w:rsid w:val="00C211E9"/>
    <w:rsid w:val="00C2164A"/>
    <w:rsid w:val="00C21B28"/>
    <w:rsid w:val="00C21B4F"/>
    <w:rsid w:val="00C21CA1"/>
    <w:rsid w:val="00C21FD0"/>
    <w:rsid w:val="00C21FF1"/>
    <w:rsid w:val="00C22250"/>
    <w:rsid w:val="00C2228E"/>
    <w:rsid w:val="00C22433"/>
    <w:rsid w:val="00C225DD"/>
    <w:rsid w:val="00C227A6"/>
    <w:rsid w:val="00C22883"/>
    <w:rsid w:val="00C228EF"/>
    <w:rsid w:val="00C22B68"/>
    <w:rsid w:val="00C22CC0"/>
    <w:rsid w:val="00C22EE1"/>
    <w:rsid w:val="00C230D9"/>
    <w:rsid w:val="00C2352A"/>
    <w:rsid w:val="00C23675"/>
    <w:rsid w:val="00C2368E"/>
    <w:rsid w:val="00C23984"/>
    <w:rsid w:val="00C23B65"/>
    <w:rsid w:val="00C24091"/>
    <w:rsid w:val="00C242A0"/>
    <w:rsid w:val="00C2442D"/>
    <w:rsid w:val="00C24503"/>
    <w:rsid w:val="00C246F7"/>
    <w:rsid w:val="00C24968"/>
    <w:rsid w:val="00C24D74"/>
    <w:rsid w:val="00C24D8C"/>
    <w:rsid w:val="00C25056"/>
    <w:rsid w:val="00C25316"/>
    <w:rsid w:val="00C25363"/>
    <w:rsid w:val="00C253E6"/>
    <w:rsid w:val="00C25567"/>
    <w:rsid w:val="00C256AF"/>
    <w:rsid w:val="00C256F8"/>
    <w:rsid w:val="00C257C8"/>
    <w:rsid w:val="00C25DDF"/>
    <w:rsid w:val="00C25F8B"/>
    <w:rsid w:val="00C26097"/>
    <w:rsid w:val="00C265A2"/>
    <w:rsid w:val="00C2671F"/>
    <w:rsid w:val="00C2679B"/>
    <w:rsid w:val="00C26898"/>
    <w:rsid w:val="00C26B3B"/>
    <w:rsid w:val="00C26B4C"/>
    <w:rsid w:val="00C26DE2"/>
    <w:rsid w:val="00C27147"/>
    <w:rsid w:val="00C271D0"/>
    <w:rsid w:val="00C271EF"/>
    <w:rsid w:val="00C27266"/>
    <w:rsid w:val="00C2758B"/>
    <w:rsid w:val="00C2772D"/>
    <w:rsid w:val="00C27A54"/>
    <w:rsid w:val="00C27F07"/>
    <w:rsid w:val="00C3001C"/>
    <w:rsid w:val="00C302FA"/>
    <w:rsid w:val="00C303FB"/>
    <w:rsid w:val="00C3063C"/>
    <w:rsid w:val="00C30660"/>
    <w:rsid w:val="00C307C0"/>
    <w:rsid w:val="00C308DF"/>
    <w:rsid w:val="00C30CA5"/>
    <w:rsid w:val="00C30CD7"/>
    <w:rsid w:val="00C30EAF"/>
    <w:rsid w:val="00C313D6"/>
    <w:rsid w:val="00C3148F"/>
    <w:rsid w:val="00C316A6"/>
    <w:rsid w:val="00C31891"/>
    <w:rsid w:val="00C318EF"/>
    <w:rsid w:val="00C31B60"/>
    <w:rsid w:val="00C31F4B"/>
    <w:rsid w:val="00C31F9E"/>
    <w:rsid w:val="00C321D6"/>
    <w:rsid w:val="00C32576"/>
    <w:rsid w:val="00C3283D"/>
    <w:rsid w:val="00C3287F"/>
    <w:rsid w:val="00C32BF3"/>
    <w:rsid w:val="00C32D31"/>
    <w:rsid w:val="00C32EA8"/>
    <w:rsid w:val="00C33208"/>
    <w:rsid w:val="00C3386F"/>
    <w:rsid w:val="00C3394D"/>
    <w:rsid w:val="00C33D0B"/>
    <w:rsid w:val="00C33D90"/>
    <w:rsid w:val="00C342FB"/>
    <w:rsid w:val="00C34680"/>
    <w:rsid w:val="00C346D3"/>
    <w:rsid w:val="00C34850"/>
    <w:rsid w:val="00C34B99"/>
    <w:rsid w:val="00C34C37"/>
    <w:rsid w:val="00C34CD0"/>
    <w:rsid w:val="00C34D65"/>
    <w:rsid w:val="00C350AD"/>
    <w:rsid w:val="00C35408"/>
    <w:rsid w:val="00C35875"/>
    <w:rsid w:val="00C36232"/>
    <w:rsid w:val="00C36293"/>
    <w:rsid w:val="00C365FB"/>
    <w:rsid w:val="00C366F1"/>
    <w:rsid w:val="00C36D6C"/>
    <w:rsid w:val="00C36E50"/>
    <w:rsid w:val="00C36E54"/>
    <w:rsid w:val="00C36FC3"/>
    <w:rsid w:val="00C3742D"/>
    <w:rsid w:val="00C37557"/>
    <w:rsid w:val="00C3756D"/>
    <w:rsid w:val="00C378ED"/>
    <w:rsid w:val="00C378FA"/>
    <w:rsid w:val="00C37B18"/>
    <w:rsid w:val="00C37D2D"/>
    <w:rsid w:val="00C37D4C"/>
    <w:rsid w:val="00C37D4F"/>
    <w:rsid w:val="00C37ED5"/>
    <w:rsid w:val="00C40269"/>
    <w:rsid w:val="00C402F3"/>
    <w:rsid w:val="00C405F1"/>
    <w:rsid w:val="00C40831"/>
    <w:rsid w:val="00C40B79"/>
    <w:rsid w:val="00C40E00"/>
    <w:rsid w:val="00C41017"/>
    <w:rsid w:val="00C41199"/>
    <w:rsid w:val="00C4132B"/>
    <w:rsid w:val="00C41376"/>
    <w:rsid w:val="00C41431"/>
    <w:rsid w:val="00C41738"/>
    <w:rsid w:val="00C41DF6"/>
    <w:rsid w:val="00C42054"/>
    <w:rsid w:val="00C42074"/>
    <w:rsid w:val="00C42204"/>
    <w:rsid w:val="00C42604"/>
    <w:rsid w:val="00C42693"/>
    <w:rsid w:val="00C42852"/>
    <w:rsid w:val="00C42995"/>
    <w:rsid w:val="00C42A61"/>
    <w:rsid w:val="00C42A89"/>
    <w:rsid w:val="00C42BC0"/>
    <w:rsid w:val="00C42BE0"/>
    <w:rsid w:val="00C42C19"/>
    <w:rsid w:val="00C42E3E"/>
    <w:rsid w:val="00C42F2F"/>
    <w:rsid w:val="00C433FB"/>
    <w:rsid w:val="00C43584"/>
    <w:rsid w:val="00C43644"/>
    <w:rsid w:val="00C436F0"/>
    <w:rsid w:val="00C437F0"/>
    <w:rsid w:val="00C4380F"/>
    <w:rsid w:val="00C43861"/>
    <w:rsid w:val="00C43925"/>
    <w:rsid w:val="00C43AD7"/>
    <w:rsid w:val="00C43E59"/>
    <w:rsid w:val="00C4412F"/>
    <w:rsid w:val="00C442D7"/>
    <w:rsid w:val="00C44589"/>
    <w:rsid w:val="00C44684"/>
    <w:rsid w:val="00C44831"/>
    <w:rsid w:val="00C448F3"/>
    <w:rsid w:val="00C44E5F"/>
    <w:rsid w:val="00C44F1D"/>
    <w:rsid w:val="00C44F57"/>
    <w:rsid w:val="00C44FD9"/>
    <w:rsid w:val="00C45081"/>
    <w:rsid w:val="00C45209"/>
    <w:rsid w:val="00C452C0"/>
    <w:rsid w:val="00C45334"/>
    <w:rsid w:val="00C45566"/>
    <w:rsid w:val="00C456DA"/>
    <w:rsid w:val="00C45AE6"/>
    <w:rsid w:val="00C45C3B"/>
    <w:rsid w:val="00C45DA9"/>
    <w:rsid w:val="00C45EB6"/>
    <w:rsid w:val="00C461AB"/>
    <w:rsid w:val="00C463CA"/>
    <w:rsid w:val="00C46458"/>
    <w:rsid w:val="00C46861"/>
    <w:rsid w:val="00C4693A"/>
    <w:rsid w:val="00C46E75"/>
    <w:rsid w:val="00C47013"/>
    <w:rsid w:val="00C470B9"/>
    <w:rsid w:val="00C471AF"/>
    <w:rsid w:val="00C47675"/>
    <w:rsid w:val="00C47B1A"/>
    <w:rsid w:val="00C5006D"/>
    <w:rsid w:val="00C50125"/>
    <w:rsid w:val="00C50178"/>
    <w:rsid w:val="00C50366"/>
    <w:rsid w:val="00C50741"/>
    <w:rsid w:val="00C50B1F"/>
    <w:rsid w:val="00C50B51"/>
    <w:rsid w:val="00C50D0B"/>
    <w:rsid w:val="00C5117B"/>
    <w:rsid w:val="00C5166F"/>
    <w:rsid w:val="00C519ED"/>
    <w:rsid w:val="00C51C5E"/>
    <w:rsid w:val="00C51FFD"/>
    <w:rsid w:val="00C52360"/>
    <w:rsid w:val="00C5257A"/>
    <w:rsid w:val="00C5272F"/>
    <w:rsid w:val="00C52756"/>
    <w:rsid w:val="00C52C9E"/>
    <w:rsid w:val="00C52F6F"/>
    <w:rsid w:val="00C52F97"/>
    <w:rsid w:val="00C535A7"/>
    <w:rsid w:val="00C53743"/>
    <w:rsid w:val="00C539C1"/>
    <w:rsid w:val="00C53A2F"/>
    <w:rsid w:val="00C53A7B"/>
    <w:rsid w:val="00C53E5B"/>
    <w:rsid w:val="00C53F1B"/>
    <w:rsid w:val="00C54140"/>
    <w:rsid w:val="00C5418F"/>
    <w:rsid w:val="00C54488"/>
    <w:rsid w:val="00C549A9"/>
    <w:rsid w:val="00C54CF3"/>
    <w:rsid w:val="00C54FF8"/>
    <w:rsid w:val="00C55265"/>
    <w:rsid w:val="00C55441"/>
    <w:rsid w:val="00C556DC"/>
    <w:rsid w:val="00C55851"/>
    <w:rsid w:val="00C55928"/>
    <w:rsid w:val="00C55A63"/>
    <w:rsid w:val="00C55AB9"/>
    <w:rsid w:val="00C55BB4"/>
    <w:rsid w:val="00C55D6E"/>
    <w:rsid w:val="00C55DF0"/>
    <w:rsid w:val="00C55FE7"/>
    <w:rsid w:val="00C5606E"/>
    <w:rsid w:val="00C56187"/>
    <w:rsid w:val="00C56306"/>
    <w:rsid w:val="00C5639D"/>
    <w:rsid w:val="00C563F4"/>
    <w:rsid w:val="00C566FF"/>
    <w:rsid w:val="00C56917"/>
    <w:rsid w:val="00C56B6C"/>
    <w:rsid w:val="00C56C6E"/>
    <w:rsid w:val="00C56E03"/>
    <w:rsid w:val="00C56EAC"/>
    <w:rsid w:val="00C57106"/>
    <w:rsid w:val="00C57391"/>
    <w:rsid w:val="00C5749C"/>
    <w:rsid w:val="00C57A0A"/>
    <w:rsid w:val="00C57B54"/>
    <w:rsid w:val="00C57D9B"/>
    <w:rsid w:val="00C57E50"/>
    <w:rsid w:val="00C602B1"/>
    <w:rsid w:val="00C60478"/>
    <w:rsid w:val="00C60529"/>
    <w:rsid w:val="00C6086A"/>
    <w:rsid w:val="00C60A33"/>
    <w:rsid w:val="00C60F3E"/>
    <w:rsid w:val="00C6123C"/>
    <w:rsid w:val="00C61246"/>
    <w:rsid w:val="00C6182F"/>
    <w:rsid w:val="00C61AFB"/>
    <w:rsid w:val="00C61DA9"/>
    <w:rsid w:val="00C61E0D"/>
    <w:rsid w:val="00C61FD2"/>
    <w:rsid w:val="00C62062"/>
    <w:rsid w:val="00C62092"/>
    <w:rsid w:val="00C620CE"/>
    <w:rsid w:val="00C6213E"/>
    <w:rsid w:val="00C6283B"/>
    <w:rsid w:val="00C62AB9"/>
    <w:rsid w:val="00C62C0B"/>
    <w:rsid w:val="00C62E64"/>
    <w:rsid w:val="00C6317D"/>
    <w:rsid w:val="00C631C8"/>
    <w:rsid w:val="00C63448"/>
    <w:rsid w:val="00C636B5"/>
    <w:rsid w:val="00C636D2"/>
    <w:rsid w:val="00C6371E"/>
    <w:rsid w:val="00C6399C"/>
    <w:rsid w:val="00C63CDA"/>
    <w:rsid w:val="00C63E47"/>
    <w:rsid w:val="00C642F3"/>
    <w:rsid w:val="00C645B0"/>
    <w:rsid w:val="00C64674"/>
    <w:rsid w:val="00C646C0"/>
    <w:rsid w:val="00C6472C"/>
    <w:rsid w:val="00C64797"/>
    <w:rsid w:val="00C64B51"/>
    <w:rsid w:val="00C64B68"/>
    <w:rsid w:val="00C64C13"/>
    <w:rsid w:val="00C64FEA"/>
    <w:rsid w:val="00C65034"/>
    <w:rsid w:val="00C65077"/>
    <w:rsid w:val="00C651D8"/>
    <w:rsid w:val="00C655DF"/>
    <w:rsid w:val="00C655E3"/>
    <w:rsid w:val="00C65912"/>
    <w:rsid w:val="00C6598A"/>
    <w:rsid w:val="00C65991"/>
    <w:rsid w:val="00C65C4E"/>
    <w:rsid w:val="00C66053"/>
    <w:rsid w:val="00C661C3"/>
    <w:rsid w:val="00C668B0"/>
    <w:rsid w:val="00C66AD1"/>
    <w:rsid w:val="00C66ADF"/>
    <w:rsid w:val="00C66AE8"/>
    <w:rsid w:val="00C66C06"/>
    <w:rsid w:val="00C6721C"/>
    <w:rsid w:val="00C6723C"/>
    <w:rsid w:val="00C67377"/>
    <w:rsid w:val="00C67ADD"/>
    <w:rsid w:val="00C67B01"/>
    <w:rsid w:val="00C67BEE"/>
    <w:rsid w:val="00C67C43"/>
    <w:rsid w:val="00C67CF8"/>
    <w:rsid w:val="00C67D02"/>
    <w:rsid w:val="00C70056"/>
    <w:rsid w:val="00C70075"/>
    <w:rsid w:val="00C700B4"/>
    <w:rsid w:val="00C701FB"/>
    <w:rsid w:val="00C7022B"/>
    <w:rsid w:val="00C70326"/>
    <w:rsid w:val="00C7036F"/>
    <w:rsid w:val="00C704F3"/>
    <w:rsid w:val="00C7055D"/>
    <w:rsid w:val="00C70609"/>
    <w:rsid w:val="00C70A2D"/>
    <w:rsid w:val="00C71009"/>
    <w:rsid w:val="00C71024"/>
    <w:rsid w:val="00C7107D"/>
    <w:rsid w:val="00C713C5"/>
    <w:rsid w:val="00C714B8"/>
    <w:rsid w:val="00C7167E"/>
    <w:rsid w:val="00C718E0"/>
    <w:rsid w:val="00C71DEE"/>
    <w:rsid w:val="00C71EE5"/>
    <w:rsid w:val="00C72024"/>
    <w:rsid w:val="00C724E6"/>
    <w:rsid w:val="00C72577"/>
    <w:rsid w:val="00C7268D"/>
    <w:rsid w:val="00C72DB3"/>
    <w:rsid w:val="00C72FEA"/>
    <w:rsid w:val="00C732BD"/>
    <w:rsid w:val="00C732F8"/>
    <w:rsid w:val="00C733D9"/>
    <w:rsid w:val="00C7348C"/>
    <w:rsid w:val="00C73700"/>
    <w:rsid w:val="00C7388A"/>
    <w:rsid w:val="00C738C1"/>
    <w:rsid w:val="00C73944"/>
    <w:rsid w:val="00C73B05"/>
    <w:rsid w:val="00C73BBF"/>
    <w:rsid w:val="00C73D03"/>
    <w:rsid w:val="00C74128"/>
    <w:rsid w:val="00C743DC"/>
    <w:rsid w:val="00C743EC"/>
    <w:rsid w:val="00C74464"/>
    <w:rsid w:val="00C74476"/>
    <w:rsid w:val="00C746F1"/>
    <w:rsid w:val="00C74D95"/>
    <w:rsid w:val="00C74EF5"/>
    <w:rsid w:val="00C7559F"/>
    <w:rsid w:val="00C75734"/>
    <w:rsid w:val="00C757AC"/>
    <w:rsid w:val="00C759C4"/>
    <w:rsid w:val="00C75E45"/>
    <w:rsid w:val="00C75FF0"/>
    <w:rsid w:val="00C763DE"/>
    <w:rsid w:val="00C769D7"/>
    <w:rsid w:val="00C76C41"/>
    <w:rsid w:val="00C77008"/>
    <w:rsid w:val="00C772E8"/>
    <w:rsid w:val="00C773AB"/>
    <w:rsid w:val="00C773EE"/>
    <w:rsid w:val="00C77581"/>
    <w:rsid w:val="00C775A9"/>
    <w:rsid w:val="00C775ED"/>
    <w:rsid w:val="00C7767D"/>
    <w:rsid w:val="00C776E7"/>
    <w:rsid w:val="00C77857"/>
    <w:rsid w:val="00C77AF9"/>
    <w:rsid w:val="00C77BEE"/>
    <w:rsid w:val="00C77C96"/>
    <w:rsid w:val="00C805C9"/>
    <w:rsid w:val="00C805FF"/>
    <w:rsid w:val="00C8061F"/>
    <w:rsid w:val="00C80780"/>
    <w:rsid w:val="00C808C8"/>
    <w:rsid w:val="00C80A89"/>
    <w:rsid w:val="00C80CD0"/>
    <w:rsid w:val="00C80E43"/>
    <w:rsid w:val="00C81013"/>
    <w:rsid w:val="00C81493"/>
    <w:rsid w:val="00C814BB"/>
    <w:rsid w:val="00C81710"/>
    <w:rsid w:val="00C81898"/>
    <w:rsid w:val="00C8191A"/>
    <w:rsid w:val="00C81A08"/>
    <w:rsid w:val="00C81AF8"/>
    <w:rsid w:val="00C81D67"/>
    <w:rsid w:val="00C822F9"/>
    <w:rsid w:val="00C82305"/>
    <w:rsid w:val="00C824F8"/>
    <w:rsid w:val="00C8299E"/>
    <w:rsid w:val="00C82E89"/>
    <w:rsid w:val="00C82F8A"/>
    <w:rsid w:val="00C83022"/>
    <w:rsid w:val="00C830D2"/>
    <w:rsid w:val="00C830EB"/>
    <w:rsid w:val="00C834C4"/>
    <w:rsid w:val="00C83553"/>
    <w:rsid w:val="00C83896"/>
    <w:rsid w:val="00C838FF"/>
    <w:rsid w:val="00C83B81"/>
    <w:rsid w:val="00C83B8D"/>
    <w:rsid w:val="00C8453B"/>
    <w:rsid w:val="00C8457E"/>
    <w:rsid w:val="00C84625"/>
    <w:rsid w:val="00C84789"/>
    <w:rsid w:val="00C8478B"/>
    <w:rsid w:val="00C8501D"/>
    <w:rsid w:val="00C85180"/>
    <w:rsid w:val="00C85C55"/>
    <w:rsid w:val="00C85E17"/>
    <w:rsid w:val="00C85F03"/>
    <w:rsid w:val="00C85FAC"/>
    <w:rsid w:val="00C8627A"/>
    <w:rsid w:val="00C86373"/>
    <w:rsid w:val="00C86559"/>
    <w:rsid w:val="00C867F0"/>
    <w:rsid w:val="00C869A9"/>
    <w:rsid w:val="00C869CE"/>
    <w:rsid w:val="00C86B15"/>
    <w:rsid w:val="00C86C49"/>
    <w:rsid w:val="00C871B2"/>
    <w:rsid w:val="00C8726A"/>
    <w:rsid w:val="00C87320"/>
    <w:rsid w:val="00C87322"/>
    <w:rsid w:val="00C87378"/>
    <w:rsid w:val="00C8776F"/>
    <w:rsid w:val="00C8777A"/>
    <w:rsid w:val="00C87B14"/>
    <w:rsid w:val="00C87CE2"/>
    <w:rsid w:val="00C87DAB"/>
    <w:rsid w:val="00C90026"/>
    <w:rsid w:val="00C900CE"/>
    <w:rsid w:val="00C901C8"/>
    <w:rsid w:val="00C9036A"/>
    <w:rsid w:val="00C9036C"/>
    <w:rsid w:val="00C903D4"/>
    <w:rsid w:val="00C904E5"/>
    <w:rsid w:val="00C9051B"/>
    <w:rsid w:val="00C905D0"/>
    <w:rsid w:val="00C90804"/>
    <w:rsid w:val="00C910E5"/>
    <w:rsid w:val="00C91305"/>
    <w:rsid w:val="00C914BB"/>
    <w:rsid w:val="00C91BC8"/>
    <w:rsid w:val="00C91C3A"/>
    <w:rsid w:val="00C91C7E"/>
    <w:rsid w:val="00C91CEB"/>
    <w:rsid w:val="00C91D24"/>
    <w:rsid w:val="00C91FC3"/>
    <w:rsid w:val="00C91FD4"/>
    <w:rsid w:val="00C92145"/>
    <w:rsid w:val="00C92332"/>
    <w:rsid w:val="00C92457"/>
    <w:rsid w:val="00C9245B"/>
    <w:rsid w:val="00C92729"/>
    <w:rsid w:val="00C930DA"/>
    <w:rsid w:val="00C930F2"/>
    <w:rsid w:val="00C93108"/>
    <w:rsid w:val="00C93218"/>
    <w:rsid w:val="00C93263"/>
    <w:rsid w:val="00C93320"/>
    <w:rsid w:val="00C93367"/>
    <w:rsid w:val="00C93935"/>
    <w:rsid w:val="00C9395A"/>
    <w:rsid w:val="00C939D0"/>
    <w:rsid w:val="00C93B28"/>
    <w:rsid w:val="00C93B62"/>
    <w:rsid w:val="00C93B87"/>
    <w:rsid w:val="00C93D1F"/>
    <w:rsid w:val="00C93F03"/>
    <w:rsid w:val="00C93F0A"/>
    <w:rsid w:val="00C94149"/>
    <w:rsid w:val="00C9426D"/>
    <w:rsid w:val="00C942BD"/>
    <w:rsid w:val="00C9440C"/>
    <w:rsid w:val="00C944B1"/>
    <w:rsid w:val="00C9458B"/>
    <w:rsid w:val="00C947B0"/>
    <w:rsid w:val="00C94B58"/>
    <w:rsid w:val="00C94ED9"/>
    <w:rsid w:val="00C94F51"/>
    <w:rsid w:val="00C95176"/>
    <w:rsid w:val="00C951CD"/>
    <w:rsid w:val="00C9520B"/>
    <w:rsid w:val="00C9525A"/>
    <w:rsid w:val="00C952A4"/>
    <w:rsid w:val="00C95926"/>
    <w:rsid w:val="00C959F5"/>
    <w:rsid w:val="00C95A2B"/>
    <w:rsid w:val="00C95EA1"/>
    <w:rsid w:val="00C95F07"/>
    <w:rsid w:val="00C95F2C"/>
    <w:rsid w:val="00C95F7E"/>
    <w:rsid w:val="00C9636C"/>
    <w:rsid w:val="00C9658D"/>
    <w:rsid w:val="00C966B7"/>
    <w:rsid w:val="00C96C57"/>
    <w:rsid w:val="00C96D86"/>
    <w:rsid w:val="00C96FF0"/>
    <w:rsid w:val="00C97034"/>
    <w:rsid w:val="00C9714E"/>
    <w:rsid w:val="00C97177"/>
    <w:rsid w:val="00C971AF"/>
    <w:rsid w:val="00C97797"/>
    <w:rsid w:val="00C97B54"/>
    <w:rsid w:val="00C97BB9"/>
    <w:rsid w:val="00C97D47"/>
    <w:rsid w:val="00C97F4B"/>
    <w:rsid w:val="00CA0158"/>
    <w:rsid w:val="00CA0178"/>
    <w:rsid w:val="00CA0263"/>
    <w:rsid w:val="00CA0528"/>
    <w:rsid w:val="00CA0557"/>
    <w:rsid w:val="00CA0646"/>
    <w:rsid w:val="00CA0785"/>
    <w:rsid w:val="00CA07EF"/>
    <w:rsid w:val="00CA0802"/>
    <w:rsid w:val="00CA0831"/>
    <w:rsid w:val="00CA0ADD"/>
    <w:rsid w:val="00CA0B4F"/>
    <w:rsid w:val="00CA0F6C"/>
    <w:rsid w:val="00CA10C2"/>
    <w:rsid w:val="00CA1282"/>
    <w:rsid w:val="00CA14D5"/>
    <w:rsid w:val="00CA1512"/>
    <w:rsid w:val="00CA1631"/>
    <w:rsid w:val="00CA1810"/>
    <w:rsid w:val="00CA1A66"/>
    <w:rsid w:val="00CA1B62"/>
    <w:rsid w:val="00CA1D40"/>
    <w:rsid w:val="00CA21F7"/>
    <w:rsid w:val="00CA2238"/>
    <w:rsid w:val="00CA229F"/>
    <w:rsid w:val="00CA2390"/>
    <w:rsid w:val="00CA23AC"/>
    <w:rsid w:val="00CA247A"/>
    <w:rsid w:val="00CA26D5"/>
    <w:rsid w:val="00CA2871"/>
    <w:rsid w:val="00CA2C60"/>
    <w:rsid w:val="00CA3097"/>
    <w:rsid w:val="00CA30F2"/>
    <w:rsid w:val="00CA3183"/>
    <w:rsid w:val="00CA3279"/>
    <w:rsid w:val="00CA33EB"/>
    <w:rsid w:val="00CA347A"/>
    <w:rsid w:val="00CA34C9"/>
    <w:rsid w:val="00CA36EE"/>
    <w:rsid w:val="00CA3839"/>
    <w:rsid w:val="00CA3B7D"/>
    <w:rsid w:val="00CA4356"/>
    <w:rsid w:val="00CA453F"/>
    <w:rsid w:val="00CA4622"/>
    <w:rsid w:val="00CA462B"/>
    <w:rsid w:val="00CA4755"/>
    <w:rsid w:val="00CA49E6"/>
    <w:rsid w:val="00CA5036"/>
    <w:rsid w:val="00CA50DF"/>
    <w:rsid w:val="00CA5350"/>
    <w:rsid w:val="00CA5354"/>
    <w:rsid w:val="00CA551E"/>
    <w:rsid w:val="00CA555A"/>
    <w:rsid w:val="00CA56FB"/>
    <w:rsid w:val="00CA59CD"/>
    <w:rsid w:val="00CA603A"/>
    <w:rsid w:val="00CA64D2"/>
    <w:rsid w:val="00CA6560"/>
    <w:rsid w:val="00CA664B"/>
    <w:rsid w:val="00CA6921"/>
    <w:rsid w:val="00CA6F23"/>
    <w:rsid w:val="00CA7067"/>
    <w:rsid w:val="00CA7216"/>
    <w:rsid w:val="00CA750A"/>
    <w:rsid w:val="00CA7510"/>
    <w:rsid w:val="00CA78FA"/>
    <w:rsid w:val="00CA7ABF"/>
    <w:rsid w:val="00CA7B2F"/>
    <w:rsid w:val="00CA7C0F"/>
    <w:rsid w:val="00CB02C7"/>
    <w:rsid w:val="00CB05BC"/>
    <w:rsid w:val="00CB091C"/>
    <w:rsid w:val="00CB0D57"/>
    <w:rsid w:val="00CB0D63"/>
    <w:rsid w:val="00CB11B1"/>
    <w:rsid w:val="00CB1229"/>
    <w:rsid w:val="00CB14C9"/>
    <w:rsid w:val="00CB1731"/>
    <w:rsid w:val="00CB1FB4"/>
    <w:rsid w:val="00CB248B"/>
    <w:rsid w:val="00CB262E"/>
    <w:rsid w:val="00CB2B59"/>
    <w:rsid w:val="00CB2C72"/>
    <w:rsid w:val="00CB2F78"/>
    <w:rsid w:val="00CB3011"/>
    <w:rsid w:val="00CB3290"/>
    <w:rsid w:val="00CB329B"/>
    <w:rsid w:val="00CB364D"/>
    <w:rsid w:val="00CB3715"/>
    <w:rsid w:val="00CB374A"/>
    <w:rsid w:val="00CB3949"/>
    <w:rsid w:val="00CB3C8F"/>
    <w:rsid w:val="00CB3E28"/>
    <w:rsid w:val="00CB3EE9"/>
    <w:rsid w:val="00CB434F"/>
    <w:rsid w:val="00CB43C0"/>
    <w:rsid w:val="00CB4431"/>
    <w:rsid w:val="00CB45A3"/>
    <w:rsid w:val="00CB46DF"/>
    <w:rsid w:val="00CB4758"/>
    <w:rsid w:val="00CB4788"/>
    <w:rsid w:val="00CB48C7"/>
    <w:rsid w:val="00CB4B18"/>
    <w:rsid w:val="00CB4BC9"/>
    <w:rsid w:val="00CB4D4E"/>
    <w:rsid w:val="00CB4FDC"/>
    <w:rsid w:val="00CB52B4"/>
    <w:rsid w:val="00CB53B3"/>
    <w:rsid w:val="00CB5878"/>
    <w:rsid w:val="00CB587B"/>
    <w:rsid w:val="00CB5A29"/>
    <w:rsid w:val="00CB5AEA"/>
    <w:rsid w:val="00CB5EE0"/>
    <w:rsid w:val="00CB5EE4"/>
    <w:rsid w:val="00CB6074"/>
    <w:rsid w:val="00CB617B"/>
    <w:rsid w:val="00CB61AE"/>
    <w:rsid w:val="00CB63C9"/>
    <w:rsid w:val="00CB67D6"/>
    <w:rsid w:val="00CB68E0"/>
    <w:rsid w:val="00CB6927"/>
    <w:rsid w:val="00CB6DCD"/>
    <w:rsid w:val="00CB72CB"/>
    <w:rsid w:val="00CB7450"/>
    <w:rsid w:val="00CB77D4"/>
    <w:rsid w:val="00CB7B4B"/>
    <w:rsid w:val="00CB7DC3"/>
    <w:rsid w:val="00CB7E82"/>
    <w:rsid w:val="00CB7EB3"/>
    <w:rsid w:val="00CB7F23"/>
    <w:rsid w:val="00CB7F8A"/>
    <w:rsid w:val="00CC0197"/>
    <w:rsid w:val="00CC0420"/>
    <w:rsid w:val="00CC06FF"/>
    <w:rsid w:val="00CC0976"/>
    <w:rsid w:val="00CC099F"/>
    <w:rsid w:val="00CC0C7B"/>
    <w:rsid w:val="00CC0D9A"/>
    <w:rsid w:val="00CC0E12"/>
    <w:rsid w:val="00CC0E72"/>
    <w:rsid w:val="00CC0E87"/>
    <w:rsid w:val="00CC0F61"/>
    <w:rsid w:val="00CC13F5"/>
    <w:rsid w:val="00CC157E"/>
    <w:rsid w:val="00CC18DE"/>
    <w:rsid w:val="00CC19E6"/>
    <w:rsid w:val="00CC1A94"/>
    <w:rsid w:val="00CC1A9F"/>
    <w:rsid w:val="00CC1B1C"/>
    <w:rsid w:val="00CC1D33"/>
    <w:rsid w:val="00CC1E03"/>
    <w:rsid w:val="00CC2147"/>
    <w:rsid w:val="00CC23D1"/>
    <w:rsid w:val="00CC2550"/>
    <w:rsid w:val="00CC25D2"/>
    <w:rsid w:val="00CC26F1"/>
    <w:rsid w:val="00CC2D2B"/>
    <w:rsid w:val="00CC2D5A"/>
    <w:rsid w:val="00CC305D"/>
    <w:rsid w:val="00CC32D1"/>
    <w:rsid w:val="00CC33F5"/>
    <w:rsid w:val="00CC34E2"/>
    <w:rsid w:val="00CC369F"/>
    <w:rsid w:val="00CC36EC"/>
    <w:rsid w:val="00CC397A"/>
    <w:rsid w:val="00CC3C7F"/>
    <w:rsid w:val="00CC3D70"/>
    <w:rsid w:val="00CC3D7F"/>
    <w:rsid w:val="00CC3F1F"/>
    <w:rsid w:val="00CC41CD"/>
    <w:rsid w:val="00CC421E"/>
    <w:rsid w:val="00CC427A"/>
    <w:rsid w:val="00CC4536"/>
    <w:rsid w:val="00CC4749"/>
    <w:rsid w:val="00CC47A1"/>
    <w:rsid w:val="00CC47DA"/>
    <w:rsid w:val="00CC4819"/>
    <w:rsid w:val="00CC4CA2"/>
    <w:rsid w:val="00CC4D4F"/>
    <w:rsid w:val="00CC4D60"/>
    <w:rsid w:val="00CC4E71"/>
    <w:rsid w:val="00CC505A"/>
    <w:rsid w:val="00CC510D"/>
    <w:rsid w:val="00CC537A"/>
    <w:rsid w:val="00CC57DB"/>
    <w:rsid w:val="00CC5A4A"/>
    <w:rsid w:val="00CC5EE9"/>
    <w:rsid w:val="00CC5F41"/>
    <w:rsid w:val="00CC6389"/>
    <w:rsid w:val="00CC6586"/>
    <w:rsid w:val="00CC6685"/>
    <w:rsid w:val="00CC66F4"/>
    <w:rsid w:val="00CC6724"/>
    <w:rsid w:val="00CC6818"/>
    <w:rsid w:val="00CC6984"/>
    <w:rsid w:val="00CC69F3"/>
    <w:rsid w:val="00CC6A27"/>
    <w:rsid w:val="00CC6E4A"/>
    <w:rsid w:val="00CC730F"/>
    <w:rsid w:val="00CC75AD"/>
    <w:rsid w:val="00CC7875"/>
    <w:rsid w:val="00CC79D5"/>
    <w:rsid w:val="00CC79DC"/>
    <w:rsid w:val="00CD00FF"/>
    <w:rsid w:val="00CD02E2"/>
    <w:rsid w:val="00CD0365"/>
    <w:rsid w:val="00CD0802"/>
    <w:rsid w:val="00CD09B0"/>
    <w:rsid w:val="00CD0E9F"/>
    <w:rsid w:val="00CD0F35"/>
    <w:rsid w:val="00CD0F91"/>
    <w:rsid w:val="00CD124B"/>
    <w:rsid w:val="00CD1393"/>
    <w:rsid w:val="00CD1583"/>
    <w:rsid w:val="00CD16BB"/>
    <w:rsid w:val="00CD1892"/>
    <w:rsid w:val="00CD1C32"/>
    <w:rsid w:val="00CD1CC2"/>
    <w:rsid w:val="00CD1D2A"/>
    <w:rsid w:val="00CD1E64"/>
    <w:rsid w:val="00CD1FFA"/>
    <w:rsid w:val="00CD2261"/>
    <w:rsid w:val="00CD25F0"/>
    <w:rsid w:val="00CD2630"/>
    <w:rsid w:val="00CD2992"/>
    <w:rsid w:val="00CD29FE"/>
    <w:rsid w:val="00CD2B8E"/>
    <w:rsid w:val="00CD337C"/>
    <w:rsid w:val="00CD3671"/>
    <w:rsid w:val="00CD381E"/>
    <w:rsid w:val="00CD3859"/>
    <w:rsid w:val="00CD3946"/>
    <w:rsid w:val="00CD3A0F"/>
    <w:rsid w:val="00CD3C4D"/>
    <w:rsid w:val="00CD3C9C"/>
    <w:rsid w:val="00CD3D4A"/>
    <w:rsid w:val="00CD3E82"/>
    <w:rsid w:val="00CD3EAC"/>
    <w:rsid w:val="00CD3EAE"/>
    <w:rsid w:val="00CD3FC9"/>
    <w:rsid w:val="00CD413E"/>
    <w:rsid w:val="00CD4329"/>
    <w:rsid w:val="00CD4335"/>
    <w:rsid w:val="00CD439C"/>
    <w:rsid w:val="00CD453A"/>
    <w:rsid w:val="00CD4824"/>
    <w:rsid w:val="00CD4BE4"/>
    <w:rsid w:val="00CD4DEA"/>
    <w:rsid w:val="00CD504A"/>
    <w:rsid w:val="00CD507A"/>
    <w:rsid w:val="00CD5231"/>
    <w:rsid w:val="00CD52B4"/>
    <w:rsid w:val="00CD5392"/>
    <w:rsid w:val="00CD539B"/>
    <w:rsid w:val="00CD5522"/>
    <w:rsid w:val="00CD56A6"/>
    <w:rsid w:val="00CD5758"/>
    <w:rsid w:val="00CD588F"/>
    <w:rsid w:val="00CD5A31"/>
    <w:rsid w:val="00CD5CD9"/>
    <w:rsid w:val="00CD6333"/>
    <w:rsid w:val="00CD6571"/>
    <w:rsid w:val="00CD65CB"/>
    <w:rsid w:val="00CD67D9"/>
    <w:rsid w:val="00CD6A3F"/>
    <w:rsid w:val="00CD6AFA"/>
    <w:rsid w:val="00CD6FA5"/>
    <w:rsid w:val="00CD724F"/>
    <w:rsid w:val="00CD73CE"/>
    <w:rsid w:val="00CD7451"/>
    <w:rsid w:val="00CD78E7"/>
    <w:rsid w:val="00CD7AEF"/>
    <w:rsid w:val="00CD7B7A"/>
    <w:rsid w:val="00CD7C15"/>
    <w:rsid w:val="00CD7C35"/>
    <w:rsid w:val="00CD7E7E"/>
    <w:rsid w:val="00CD7F60"/>
    <w:rsid w:val="00CE003E"/>
    <w:rsid w:val="00CE0488"/>
    <w:rsid w:val="00CE0616"/>
    <w:rsid w:val="00CE0632"/>
    <w:rsid w:val="00CE0BF4"/>
    <w:rsid w:val="00CE0E0A"/>
    <w:rsid w:val="00CE0EEA"/>
    <w:rsid w:val="00CE107E"/>
    <w:rsid w:val="00CE10CC"/>
    <w:rsid w:val="00CE117A"/>
    <w:rsid w:val="00CE14DC"/>
    <w:rsid w:val="00CE161F"/>
    <w:rsid w:val="00CE1D2B"/>
    <w:rsid w:val="00CE2471"/>
    <w:rsid w:val="00CE28C7"/>
    <w:rsid w:val="00CE2910"/>
    <w:rsid w:val="00CE2CCF"/>
    <w:rsid w:val="00CE2FF3"/>
    <w:rsid w:val="00CE35AA"/>
    <w:rsid w:val="00CE39A5"/>
    <w:rsid w:val="00CE3C27"/>
    <w:rsid w:val="00CE3E8F"/>
    <w:rsid w:val="00CE3F6D"/>
    <w:rsid w:val="00CE3FD5"/>
    <w:rsid w:val="00CE4277"/>
    <w:rsid w:val="00CE4338"/>
    <w:rsid w:val="00CE4430"/>
    <w:rsid w:val="00CE44AD"/>
    <w:rsid w:val="00CE4664"/>
    <w:rsid w:val="00CE467F"/>
    <w:rsid w:val="00CE487A"/>
    <w:rsid w:val="00CE4A40"/>
    <w:rsid w:val="00CE4F44"/>
    <w:rsid w:val="00CE4FA9"/>
    <w:rsid w:val="00CE5023"/>
    <w:rsid w:val="00CE5627"/>
    <w:rsid w:val="00CE5A09"/>
    <w:rsid w:val="00CE629E"/>
    <w:rsid w:val="00CE632E"/>
    <w:rsid w:val="00CE6411"/>
    <w:rsid w:val="00CE67E8"/>
    <w:rsid w:val="00CE6826"/>
    <w:rsid w:val="00CE695C"/>
    <w:rsid w:val="00CE7078"/>
    <w:rsid w:val="00CE744F"/>
    <w:rsid w:val="00CE748E"/>
    <w:rsid w:val="00CE76D6"/>
    <w:rsid w:val="00CE788C"/>
    <w:rsid w:val="00CE7915"/>
    <w:rsid w:val="00CE7DB5"/>
    <w:rsid w:val="00CE7E99"/>
    <w:rsid w:val="00CE7EC3"/>
    <w:rsid w:val="00CE7F01"/>
    <w:rsid w:val="00CF0063"/>
    <w:rsid w:val="00CF007F"/>
    <w:rsid w:val="00CF0115"/>
    <w:rsid w:val="00CF0145"/>
    <w:rsid w:val="00CF01AE"/>
    <w:rsid w:val="00CF063D"/>
    <w:rsid w:val="00CF0771"/>
    <w:rsid w:val="00CF08E7"/>
    <w:rsid w:val="00CF0910"/>
    <w:rsid w:val="00CF0990"/>
    <w:rsid w:val="00CF0DA2"/>
    <w:rsid w:val="00CF12F2"/>
    <w:rsid w:val="00CF15F5"/>
    <w:rsid w:val="00CF1A21"/>
    <w:rsid w:val="00CF1AD2"/>
    <w:rsid w:val="00CF1E55"/>
    <w:rsid w:val="00CF1EA6"/>
    <w:rsid w:val="00CF207B"/>
    <w:rsid w:val="00CF21B5"/>
    <w:rsid w:val="00CF2603"/>
    <w:rsid w:val="00CF2C75"/>
    <w:rsid w:val="00CF35C9"/>
    <w:rsid w:val="00CF35E0"/>
    <w:rsid w:val="00CF37A1"/>
    <w:rsid w:val="00CF3864"/>
    <w:rsid w:val="00CF3E59"/>
    <w:rsid w:val="00CF3F12"/>
    <w:rsid w:val="00CF4012"/>
    <w:rsid w:val="00CF4224"/>
    <w:rsid w:val="00CF4777"/>
    <w:rsid w:val="00CF49A7"/>
    <w:rsid w:val="00CF4AF9"/>
    <w:rsid w:val="00CF4B9B"/>
    <w:rsid w:val="00CF4E41"/>
    <w:rsid w:val="00CF4FA6"/>
    <w:rsid w:val="00CF533F"/>
    <w:rsid w:val="00CF552C"/>
    <w:rsid w:val="00CF56A8"/>
    <w:rsid w:val="00CF579E"/>
    <w:rsid w:val="00CF589B"/>
    <w:rsid w:val="00CF5981"/>
    <w:rsid w:val="00CF5E94"/>
    <w:rsid w:val="00CF613E"/>
    <w:rsid w:val="00CF6286"/>
    <w:rsid w:val="00CF63E8"/>
    <w:rsid w:val="00CF6756"/>
    <w:rsid w:val="00CF6770"/>
    <w:rsid w:val="00CF6854"/>
    <w:rsid w:val="00CF687D"/>
    <w:rsid w:val="00CF695B"/>
    <w:rsid w:val="00CF6B51"/>
    <w:rsid w:val="00CF6C92"/>
    <w:rsid w:val="00CF7257"/>
    <w:rsid w:val="00CF7390"/>
    <w:rsid w:val="00CF7400"/>
    <w:rsid w:val="00CF753F"/>
    <w:rsid w:val="00CF7713"/>
    <w:rsid w:val="00CF7BD9"/>
    <w:rsid w:val="00CF7C1C"/>
    <w:rsid w:val="00CF7E22"/>
    <w:rsid w:val="00D00052"/>
    <w:rsid w:val="00D00088"/>
    <w:rsid w:val="00D00567"/>
    <w:rsid w:val="00D00625"/>
    <w:rsid w:val="00D00824"/>
    <w:rsid w:val="00D00826"/>
    <w:rsid w:val="00D00A6F"/>
    <w:rsid w:val="00D0121A"/>
    <w:rsid w:val="00D0157A"/>
    <w:rsid w:val="00D01754"/>
    <w:rsid w:val="00D01809"/>
    <w:rsid w:val="00D018C1"/>
    <w:rsid w:val="00D01965"/>
    <w:rsid w:val="00D01A3D"/>
    <w:rsid w:val="00D01D04"/>
    <w:rsid w:val="00D01D43"/>
    <w:rsid w:val="00D02012"/>
    <w:rsid w:val="00D0209B"/>
    <w:rsid w:val="00D02188"/>
    <w:rsid w:val="00D024F1"/>
    <w:rsid w:val="00D024F4"/>
    <w:rsid w:val="00D02523"/>
    <w:rsid w:val="00D025D2"/>
    <w:rsid w:val="00D0264C"/>
    <w:rsid w:val="00D027A4"/>
    <w:rsid w:val="00D0288D"/>
    <w:rsid w:val="00D029C2"/>
    <w:rsid w:val="00D02AE2"/>
    <w:rsid w:val="00D02C5A"/>
    <w:rsid w:val="00D02C90"/>
    <w:rsid w:val="00D02EF8"/>
    <w:rsid w:val="00D02F44"/>
    <w:rsid w:val="00D03271"/>
    <w:rsid w:val="00D03348"/>
    <w:rsid w:val="00D033C3"/>
    <w:rsid w:val="00D0344D"/>
    <w:rsid w:val="00D036A0"/>
    <w:rsid w:val="00D03750"/>
    <w:rsid w:val="00D03AB2"/>
    <w:rsid w:val="00D03C0A"/>
    <w:rsid w:val="00D03DB4"/>
    <w:rsid w:val="00D041DD"/>
    <w:rsid w:val="00D0420E"/>
    <w:rsid w:val="00D04211"/>
    <w:rsid w:val="00D042BF"/>
    <w:rsid w:val="00D04718"/>
    <w:rsid w:val="00D04BE1"/>
    <w:rsid w:val="00D04FC1"/>
    <w:rsid w:val="00D05021"/>
    <w:rsid w:val="00D053F0"/>
    <w:rsid w:val="00D056FD"/>
    <w:rsid w:val="00D05741"/>
    <w:rsid w:val="00D05AD4"/>
    <w:rsid w:val="00D05AF9"/>
    <w:rsid w:val="00D05E2A"/>
    <w:rsid w:val="00D05F4B"/>
    <w:rsid w:val="00D062B7"/>
    <w:rsid w:val="00D062E0"/>
    <w:rsid w:val="00D065C0"/>
    <w:rsid w:val="00D065D6"/>
    <w:rsid w:val="00D0668E"/>
    <w:rsid w:val="00D068BB"/>
    <w:rsid w:val="00D06B6C"/>
    <w:rsid w:val="00D06C77"/>
    <w:rsid w:val="00D06D83"/>
    <w:rsid w:val="00D06F74"/>
    <w:rsid w:val="00D0729E"/>
    <w:rsid w:val="00D0749B"/>
    <w:rsid w:val="00D077F9"/>
    <w:rsid w:val="00D07814"/>
    <w:rsid w:val="00D079B3"/>
    <w:rsid w:val="00D07A46"/>
    <w:rsid w:val="00D07AC8"/>
    <w:rsid w:val="00D1031D"/>
    <w:rsid w:val="00D103D5"/>
    <w:rsid w:val="00D104E2"/>
    <w:rsid w:val="00D104F6"/>
    <w:rsid w:val="00D1067A"/>
    <w:rsid w:val="00D10763"/>
    <w:rsid w:val="00D108BE"/>
    <w:rsid w:val="00D10937"/>
    <w:rsid w:val="00D10ABB"/>
    <w:rsid w:val="00D10BCB"/>
    <w:rsid w:val="00D10F56"/>
    <w:rsid w:val="00D10FA2"/>
    <w:rsid w:val="00D10FF9"/>
    <w:rsid w:val="00D113D0"/>
    <w:rsid w:val="00D114DF"/>
    <w:rsid w:val="00D11A48"/>
    <w:rsid w:val="00D11AAF"/>
    <w:rsid w:val="00D11F74"/>
    <w:rsid w:val="00D12862"/>
    <w:rsid w:val="00D12980"/>
    <w:rsid w:val="00D12BB6"/>
    <w:rsid w:val="00D12D40"/>
    <w:rsid w:val="00D12D48"/>
    <w:rsid w:val="00D12DFD"/>
    <w:rsid w:val="00D12F8F"/>
    <w:rsid w:val="00D1302C"/>
    <w:rsid w:val="00D133C2"/>
    <w:rsid w:val="00D133D6"/>
    <w:rsid w:val="00D13465"/>
    <w:rsid w:val="00D13528"/>
    <w:rsid w:val="00D13825"/>
    <w:rsid w:val="00D139CE"/>
    <w:rsid w:val="00D13AC6"/>
    <w:rsid w:val="00D13CA5"/>
    <w:rsid w:val="00D13DAC"/>
    <w:rsid w:val="00D13F5C"/>
    <w:rsid w:val="00D1405C"/>
    <w:rsid w:val="00D14188"/>
    <w:rsid w:val="00D147E0"/>
    <w:rsid w:val="00D14B5A"/>
    <w:rsid w:val="00D14BB7"/>
    <w:rsid w:val="00D150E6"/>
    <w:rsid w:val="00D1522E"/>
    <w:rsid w:val="00D153E2"/>
    <w:rsid w:val="00D154E5"/>
    <w:rsid w:val="00D1592C"/>
    <w:rsid w:val="00D15951"/>
    <w:rsid w:val="00D15D8E"/>
    <w:rsid w:val="00D15E2F"/>
    <w:rsid w:val="00D15EF6"/>
    <w:rsid w:val="00D162EB"/>
    <w:rsid w:val="00D16711"/>
    <w:rsid w:val="00D1685A"/>
    <w:rsid w:val="00D16891"/>
    <w:rsid w:val="00D16CBB"/>
    <w:rsid w:val="00D16E10"/>
    <w:rsid w:val="00D16E37"/>
    <w:rsid w:val="00D16F36"/>
    <w:rsid w:val="00D16F4F"/>
    <w:rsid w:val="00D16F84"/>
    <w:rsid w:val="00D1718E"/>
    <w:rsid w:val="00D1747F"/>
    <w:rsid w:val="00D17599"/>
    <w:rsid w:val="00D1769A"/>
    <w:rsid w:val="00D17B34"/>
    <w:rsid w:val="00D2002E"/>
    <w:rsid w:val="00D201A1"/>
    <w:rsid w:val="00D20213"/>
    <w:rsid w:val="00D208C7"/>
    <w:rsid w:val="00D209E1"/>
    <w:rsid w:val="00D20ADD"/>
    <w:rsid w:val="00D20BB3"/>
    <w:rsid w:val="00D20F05"/>
    <w:rsid w:val="00D20F56"/>
    <w:rsid w:val="00D21080"/>
    <w:rsid w:val="00D21284"/>
    <w:rsid w:val="00D212CC"/>
    <w:rsid w:val="00D2146F"/>
    <w:rsid w:val="00D214E8"/>
    <w:rsid w:val="00D217BC"/>
    <w:rsid w:val="00D21850"/>
    <w:rsid w:val="00D218C0"/>
    <w:rsid w:val="00D21948"/>
    <w:rsid w:val="00D21F55"/>
    <w:rsid w:val="00D22237"/>
    <w:rsid w:val="00D2224D"/>
    <w:rsid w:val="00D227E3"/>
    <w:rsid w:val="00D22871"/>
    <w:rsid w:val="00D22AE1"/>
    <w:rsid w:val="00D22B68"/>
    <w:rsid w:val="00D22B81"/>
    <w:rsid w:val="00D22C48"/>
    <w:rsid w:val="00D23164"/>
    <w:rsid w:val="00D2318F"/>
    <w:rsid w:val="00D2326D"/>
    <w:rsid w:val="00D2341A"/>
    <w:rsid w:val="00D2345E"/>
    <w:rsid w:val="00D2353C"/>
    <w:rsid w:val="00D23EBA"/>
    <w:rsid w:val="00D23EEF"/>
    <w:rsid w:val="00D24221"/>
    <w:rsid w:val="00D244CB"/>
    <w:rsid w:val="00D249F9"/>
    <w:rsid w:val="00D24A7D"/>
    <w:rsid w:val="00D24B1C"/>
    <w:rsid w:val="00D24B7C"/>
    <w:rsid w:val="00D24D93"/>
    <w:rsid w:val="00D24E60"/>
    <w:rsid w:val="00D25139"/>
    <w:rsid w:val="00D2528B"/>
    <w:rsid w:val="00D25321"/>
    <w:rsid w:val="00D25676"/>
    <w:rsid w:val="00D2581A"/>
    <w:rsid w:val="00D25B1F"/>
    <w:rsid w:val="00D25C74"/>
    <w:rsid w:val="00D25ED7"/>
    <w:rsid w:val="00D260F4"/>
    <w:rsid w:val="00D2613F"/>
    <w:rsid w:val="00D2618F"/>
    <w:rsid w:val="00D26384"/>
    <w:rsid w:val="00D265FC"/>
    <w:rsid w:val="00D26BDE"/>
    <w:rsid w:val="00D26C25"/>
    <w:rsid w:val="00D26D4A"/>
    <w:rsid w:val="00D26E80"/>
    <w:rsid w:val="00D271CC"/>
    <w:rsid w:val="00D27244"/>
    <w:rsid w:val="00D273D3"/>
    <w:rsid w:val="00D27EF2"/>
    <w:rsid w:val="00D27F71"/>
    <w:rsid w:val="00D3025F"/>
    <w:rsid w:val="00D30295"/>
    <w:rsid w:val="00D305D5"/>
    <w:rsid w:val="00D30687"/>
    <w:rsid w:val="00D30D6E"/>
    <w:rsid w:val="00D3112F"/>
    <w:rsid w:val="00D311B2"/>
    <w:rsid w:val="00D312C9"/>
    <w:rsid w:val="00D31403"/>
    <w:rsid w:val="00D315B0"/>
    <w:rsid w:val="00D31927"/>
    <w:rsid w:val="00D31A71"/>
    <w:rsid w:val="00D3251F"/>
    <w:rsid w:val="00D32860"/>
    <w:rsid w:val="00D328AD"/>
    <w:rsid w:val="00D32B58"/>
    <w:rsid w:val="00D32BBB"/>
    <w:rsid w:val="00D32F76"/>
    <w:rsid w:val="00D32FF2"/>
    <w:rsid w:val="00D3308C"/>
    <w:rsid w:val="00D33A07"/>
    <w:rsid w:val="00D33A4F"/>
    <w:rsid w:val="00D33B02"/>
    <w:rsid w:val="00D33F38"/>
    <w:rsid w:val="00D33FAD"/>
    <w:rsid w:val="00D34291"/>
    <w:rsid w:val="00D3435E"/>
    <w:rsid w:val="00D34684"/>
    <w:rsid w:val="00D34760"/>
    <w:rsid w:val="00D3480C"/>
    <w:rsid w:val="00D34830"/>
    <w:rsid w:val="00D348BF"/>
    <w:rsid w:val="00D349B0"/>
    <w:rsid w:val="00D34BB7"/>
    <w:rsid w:val="00D34C66"/>
    <w:rsid w:val="00D34D59"/>
    <w:rsid w:val="00D34D61"/>
    <w:rsid w:val="00D34DC6"/>
    <w:rsid w:val="00D34F13"/>
    <w:rsid w:val="00D35255"/>
    <w:rsid w:val="00D352CC"/>
    <w:rsid w:val="00D35392"/>
    <w:rsid w:val="00D353AA"/>
    <w:rsid w:val="00D354A9"/>
    <w:rsid w:val="00D359BD"/>
    <w:rsid w:val="00D35AFD"/>
    <w:rsid w:val="00D35CAF"/>
    <w:rsid w:val="00D35D75"/>
    <w:rsid w:val="00D35DCC"/>
    <w:rsid w:val="00D35E6B"/>
    <w:rsid w:val="00D36441"/>
    <w:rsid w:val="00D36459"/>
    <w:rsid w:val="00D36ADE"/>
    <w:rsid w:val="00D36DC8"/>
    <w:rsid w:val="00D36EFF"/>
    <w:rsid w:val="00D36F5C"/>
    <w:rsid w:val="00D36F76"/>
    <w:rsid w:val="00D37256"/>
    <w:rsid w:val="00D3771A"/>
    <w:rsid w:val="00D37D15"/>
    <w:rsid w:val="00D37D33"/>
    <w:rsid w:val="00D40112"/>
    <w:rsid w:val="00D4047C"/>
    <w:rsid w:val="00D405BE"/>
    <w:rsid w:val="00D40740"/>
    <w:rsid w:val="00D408A1"/>
    <w:rsid w:val="00D40EDF"/>
    <w:rsid w:val="00D410C3"/>
    <w:rsid w:val="00D41103"/>
    <w:rsid w:val="00D41145"/>
    <w:rsid w:val="00D4115B"/>
    <w:rsid w:val="00D411D5"/>
    <w:rsid w:val="00D4124C"/>
    <w:rsid w:val="00D4163A"/>
    <w:rsid w:val="00D417C4"/>
    <w:rsid w:val="00D41A24"/>
    <w:rsid w:val="00D41B96"/>
    <w:rsid w:val="00D41C4B"/>
    <w:rsid w:val="00D41D69"/>
    <w:rsid w:val="00D41DF4"/>
    <w:rsid w:val="00D4217C"/>
    <w:rsid w:val="00D42358"/>
    <w:rsid w:val="00D424F1"/>
    <w:rsid w:val="00D4250A"/>
    <w:rsid w:val="00D426B9"/>
    <w:rsid w:val="00D428B4"/>
    <w:rsid w:val="00D42CC9"/>
    <w:rsid w:val="00D42DF8"/>
    <w:rsid w:val="00D42EA5"/>
    <w:rsid w:val="00D436D9"/>
    <w:rsid w:val="00D438CB"/>
    <w:rsid w:val="00D43955"/>
    <w:rsid w:val="00D43984"/>
    <w:rsid w:val="00D43A3D"/>
    <w:rsid w:val="00D43B65"/>
    <w:rsid w:val="00D43DBC"/>
    <w:rsid w:val="00D43DD7"/>
    <w:rsid w:val="00D43E83"/>
    <w:rsid w:val="00D43EB5"/>
    <w:rsid w:val="00D44392"/>
    <w:rsid w:val="00D444B5"/>
    <w:rsid w:val="00D44D2B"/>
    <w:rsid w:val="00D4504E"/>
    <w:rsid w:val="00D451BF"/>
    <w:rsid w:val="00D454EA"/>
    <w:rsid w:val="00D455A6"/>
    <w:rsid w:val="00D455D0"/>
    <w:rsid w:val="00D459DB"/>
    <w:rsid w:val="00D45C12"/>
    <w:rsid w:val="00D45C80"/>
    <w:rsid w:val="00D45CF1"/>
    <w:rsid w:val="00D464C5"/>
    <w:rsid w:val="00D464DE"/>
    <w:rsid w:val="00D465FE"/>
    <w:rsid w:val="00D467DE"/>
    <w:rsid w:val="00D4683F"/>
    <w:rsid w:val="00D4684A"/>
    <w:rsid w:val="00D46CA5"/>
    <w:rsid w:val="00D46EAE"/>
    <w:rsid w:val="00D46FD7"/>
    <w:rsid w:val="00D4726B"/>
    <w:rsid w:val="00D47305"/>
    <w:rsid w:val="00D47324"/>
    <w:rsid w:val="00D47453"/>
    <w:rsid w:val="00D47568"/>
    <w:rsid w:val="00D475DF"/>
    <w:rsid w:val="00D475EB"/>
    <w:rsid w:val="00D47638"/>
    <w:rsid w:val="00D47654"/>
    <w:rsid w:val="00D477A0"/>
    <w:rsid w:val="00D47A69"/>
    <w:rsid w:val="00D47BEB"/>
    <w:rsid w:val="00D47CB7"/>
    <w:rsid w:val="00D47F13"/>
    <w:rsid w:val="00D501E6"/>
    <w:rsid w:val="00D502F0"/>
    <w:rsid w:val="00D505AD"/>
    <w:rsid w:val="00D505D0"/>
    <w:rsid w:val="00D507F8"/>
    <w:rsid w:val="00D5093E"/>
    <w:rsid w:val="00D50BAB"/>
    <w:rsid w:val="00D50BE4"/>
    <w:rsid w:val="00D50E45"/>
    <w:rsid w:val="00D50EA5"/>
    <w:rsid w:val="00D50F5A"/>
    <w:rsid w:val="00D513BA"/>
    <w:rsid w:val="00D51779"/>
    <w:rsid w:val="00D51867"/>
    <w:rsid w:val="00D51B6E"/>
    <w:rsid w:val="00D51D69"/>
    <w:rsid w:val="00D521A1"/>
    <w:rsid w:val="00D521C6"/>
    <w:rsid w:val="00D5239A"/>
    <w:rsid w:val="00D5257A"/>
    <w:rsid w:val="00D525BA"/>
    <w:rsid w:val="00D5282D"/>
    <w:rsid w:val="00D52A95"/>
    <w:rsid w:val="00D52C3D"/>
    <w:rsid w:val="00D52E72"/>
    <w:rsid w:val="00D52EEF"/>
    <w:rsid w:val="00D53114"/>
    <w:rsid w:val="00D53312"/>
    <w:rsid w:val="00D5334D"/>
    <w:rsid w:val="00D535DB"/>
    <w:rsid w:val="00D53A43"/>
    <w:rsid w:val="00D53BE2"/>
    <w:rsid w:val="00D53F82"/>
    <w:rsid w:val="00D54304"/>
    <w:rsid w:val="00D54592"/>
    <w:rsid w:val="00D54CB8"/>
    <w:rsid w:val="00D54DA9"/>
    <w:rsid w:val="00D54F9C"/>
    <w:rsid w:val="00D54FE1"/>
    <w:rsid w:val="00D55020"/>
    <w:rsid w:val="00D5502C"/>
    <w:rsid w:val="00D5518A"/>
    <w:rsid w:val="00D5525C"/>
    <w:rsid w:val="00D553DA"/>
    <w:rsid w:val="00D5541F"/>
    <w:rsid w:val="00D55537"/>
    <w:rsid w:val="00D558A7"/>
    <w:rsid w:val="00D55DA2"/>
    <w:rsid w:val="00D561A0"/>
    <w:rsid w:val="00D56504"/>
    <w:rsid w:val="00D567A4"/>
    <w:rsid w:val="00D56875"/>
    <w:rsid w:val="00D56B00"/>
    <w:rsid w:val="00D56C1A"/>
    <w:rsid w:val="00D56FD2"/>
    <w:rsid w:val="00D57026"/>
    <w:rsid w:val="00D57353"/>
    <w:rsid w:val="00D5759D"/>
    <w:rsid w:val="00D57B31"/>
    <w:rsid w:val="00D57FFD"/>
    <w:rsid w:val="00D6012B"/>
    <w:rsid w:val="00D60155"/>
    <w:rsid w:val="00D60290"/>
    <w:rsid w:val="00D602B6"/>
    <w:rsid w:val="00D60895"/>
    <w:rsid w:val="00D60A95"/>
    <w:rsid w:val="00D60BB8"/>
    <w:rsid w:val="00D60D20"/>
    <w:rsid w:val="00D60E7D"/>
    <w:rsid w:val="00D60F32"/>
    <w:rsid w:val="00D60F78"/>
    <w:rsid w:val="00D60FBA"/>
    <w:rsid w:val="00D6132F"/>
    <w:rsid w:val="00D613E0"/>
    <w:rsid w:val="00D61426"/>
    <w:rsid w:val="00D61530"/>
    <w:rsid w:val="00D61571"/>
    <w:rsid w:val="00D61643"/>
    <w:rsid w:val="00D619AA"/>
    <w:rsid w:val="00D61A6E"/>
    <w:rsid w:val="00D62081"/>
    <w:rsid w:val="00D62223"/>
    <w:rsid w:val="00D62302"/>
    <w:rsid w:val="00D62353"/>
    <w:rsid w:val="00D6258E"/>
    <w:rsid w:val="00D62933"/>
    <w:rsid w:val="00D629C0"/>
    <w:rsid w:val="00D62B0D"/>
    <w:rsid w:val="00D62C3D"/>
    <w:rsid w:val="00D62DE6"/>
    <w:rsid w:val="00D62F34"/>
    <w:rsid w:val="00D62F9D"/>
    <w:rsid w:val="00D633E0"/>
    <w:rsid w:val="00D637AF"/>
    <w:rsid w:val="00D637D2"/>
    <w:rsid w:val="00D638D0"/>
    <w:rsid w:val="00D63D66"/>
    <w:rsid w:val="00D63F44"/>
    <w:rsid w:val="00D64008"/>
    <w:rsid w:val="00D6409F"/>
    <w:rsid w:val="00D6439B"/>
    <w:rsid w:val="00D64509"/>
    <w:rsid w:val="00D64C8F"/>
    <w:rsid w:val="00D64E08"/>
    <w:rsid w:val="00D651F0"/>
    <w:rsid w:val="00D65202"/>
    <w:rsid w:val="00D6527B"/>
    <w:rsid w:val="00D65460"/>
    <w:rsid w:val="00D654D0"/>
    <w:rsid w:val="00D6555B"/>
    <w:rsid w:val="00D658F9"/>
    <w:rsid w:val="00D65B3D"/>
    <w:rsid w:val="00D65C85"/>
    <w:rsid w:val="00D66133"/>
    <w:rsid w:val="00D661D3"/>
    <w:rsid w:val="00D6655B"/>
    <w:rsid w:val="00D66662"/>
    <w:rsid w:val="00D66761"/>
    <w:rsid w:val="00D66968"/>
    <w:rsid w:val="00D669BC"/>
    <w:rsid w:val="00D66D1C"/>
    <w:rsid w:val="00D66DB9"/>
    <w:rsid w:val="00D66E27"/>
    <w:rsid w:val="00D67A08"/>
    <w:rsid w:val="00D67A66"/>
    <w:rsid w:val="00D67B83"/>
    <w:rsid w:val="00D67D33"/>
    <w:rsid w:val="00D67F6C"/>
    <w:rsid w:val="00D7041B"/>
    <w:rsid w:val="00D7052A"/>
    <w:rsid w:val="00D7095F"/>
    <w:rsid w:val="00D70C0B"/>
    <w:rsid w:val="00D70EFC"/>
    <w:rsid w:val="00D713B0"/>
    <w:rsid w:val="00D718D7"/>
    <w:rsid w:val="00D71B6A"/>
    <w:rsid w:val="00D71C8B"/>
    <w:rsid w:val="00D71D6A"/>
    <w:rsid w:val="00D71EA4"/>
    <w:rsid w:val="00D7245D"/>
    <w:rsid w:val="00D72A4B"/>
    <w:rsid w:val="00D72B0E"/>
    <w:rsid w:val="00D72BF1"/>
    <w:rsid w:val="00D72FC4"/>
    <w:rsid w:val="00D7301C"/>
    <w:rsid w:val="00D73023"/>
    <w:rsid w:val="00D73041"/>
    <w:rsid w:val="00D730EE"/>
    <w:rsid w:val="00D730F5"/>
    <w:rsid w:val="00D73104"/>
    <w:rsid w:val="00D7312B"/>
    <w:rsid w:val="00D73200"/>
    <w:rsid w:val="00D7328B"/>
    <w:rsid w:val="00D73290"/>
    <w:rsid w:val="00D7361C"/>
    <w:rsid w:val="00D73623"/>
    <w:rsid w:val="00D73867"/>
    <w:rsid w:val="00D73C1E"/>
    <w:rsid w:val="00D73DD3"/>
    <w:rsid w:val="00D741AD"/>
    <w:rsid w:val="00D74618"/>
    <w:rsid w:val="00D74664"/>
    <w:rsid w:val="00D7482C"/>
    <w:rsid w:val="00D74BD3"/>
    <w:rsid w:val="00D74BFA"/>
    <w:rsid w:val="00D74CB6"/>
    <w:rsid w:val="00D74FC4"/>
    <w:rsid w:val="00D75037"/>
    <w:rsid w:val="00D75090"/>
    <w:rsid w:val="00D75165"/>
    <w:rsid w:val="00D752C2"/>
    <w:rsid w:val="00D75A59"/>
    <w:rsid w:val="00D75BF4"/>
    <w:rsid w:val="00D75E1D"/>
    <w:rsid w:val="00D75EDB"/>
    <w:rsid w:val="00D75EDE"/>
    <w:rsid w:val="00D76196"/>
    <w:rsid w:val="00D7659D"/>
    <w:rsid w:val="00D76644"/>
    <w:rsid w:val="00D76874"/>
    <w:rsid w:val="00D76A31"/>
    <w:rsid w:val="00D76A5C"/>
    <w:rsid w:val="00D76AC3"/>
    <w:rsid w:val="00D76BC3"/>
    <w:rsid w:val="00D76C23"/>
    <w:rsid w:val="00D76EDB"/>
    <w:rsid w:val="00D77463"/>
    <w:rsid w:val="00D774B4"/>
    <w:rsid w:val="00D7752E"/>
    <w:rsid w:val="00D77615"/>
    <w:rsid w:val="00D77840"/>
    <w:rsid w:val="00D77848"/>
    <w:rsid w:val="00D77A06"/>
    <w:rsid w:val="00D77A1B"/>
    <w:rsid w:val="00D77A31"/>
    <w:rsid w:val="00D77FFD"/>
    <w:rsid w:val="00D80095"/>
    <w:rsid w:val="00D8044B"/>
    <w:rsid w:val="00D805C4"/>
    <w:rsid w:val="00D805E8"/>
    <w:rsid w:val="00D806D7"/>
    <w:rsid w:val="00D80780"/>
    <w:rsid w:val="00D807BC"/>
    <w:rsid w:val="00D80846"/>
    <w:rsid w:val="00D80CAC"/>
    <w:rsid w:val="00D81096"/>
    <w:rsid w:val="00D811D7"/>
    <w:rsid w:val="00D8149D"/>
    <w:rsid w:val="00D814B7"/>
    <w:rsid w:val="00D814FC"/>
    <w:rsid w:val="00D81705"/>
    <w:rsid w:val="00D81989"/>
    <w:rsid w:val="00D81D09"/>
    <w:rsid w:val="00D81E69"/>
    <w:rsid w:val="00D82AD5"/>
    <w:rsid w:val="00D82C11"/>
    <w:rsid w:val="00D82C7F"/>
    <w:rsid w:val="00D830BE"/>
    <w:rsid w:val="00D83113"/>
    <w:rsid w:val="00D83179"/>
    <w:rsid w:val="00D83220"/>
    <w:rsid w:val="00D83A85"/>
    <w:rsid w:val="00D83BF9"/>
    <w:rsid w:val="00D84A53"/>
    <w:rsid w:val="00D84A96"/>
    <w:rsid w:val="00D84CFA"/>
    <w:rsid w:val="00D84D6E"/>
    <w:rsid w:val="00D84D84"/>
    <w:rsid w:val="00D84DCE"/>
    <w:rsid w:val="00D84E21"/>
    <w:rsid w:val="00D84EB9"/>
    <w:rsid w:val="00D851C0"/>
    <w:rsid w:val="00D852F0"/>
    <w:rsid w:val="00D853BE"/>
    <w:rsid w:val="00D855F8"/>
    <w:rsid w:val="00D858BB"/>
    <w:rsid w:val="00D859ED"/>
    <w:rsid w:val="00D85B90"/>
    <w:rsid w:val="00D85C4B"/>
    <w:rsid w:val="00D85D15"/>
    <w:rsid w:val="00D85F0F"/>
    <w:rsid w:val="00D86190"/>
    <w:rsid w:val="00D86233"/>
    <w:rsid w:val="00D86441"/>
    <w:rsid w:val="00D866A5"/>
    <w:rsid w:val="00D866C8"/>
    <w:rsid w:val="00D86901"/>
    <w:rsid w:val="00D86CA0"/>
    <w:rsid w:val="00D86E3A"/>
    <w:rsid w:val="00D86E43"/>
    <w:rsid w:val="00D86EC4"/>
    <w:rsid w:val="00D86F5A"/>
    <w:rsid w:val="00D87073"/>
    <w:rsid w:val="00D8711F"/>
    <w:rsid w:val="00D87414"/>
    <w:rsid w:val="00D874DE"/>
    <w:rsid w:val="00D8796B"/>
    <w:rsid w:val="00D87A4F"/>
    <w:rsid w:val="00D87BFC"/>
    <w:rsid w:val="00D87EAE"/>
    <w:rsid w:val="00D87F17"/>
    <w:rsid w:val="00D90049"/>
    <w:rsid w:val="00D900A0"/>
    <w:rsid w:val="00D900B3"/>
    <w:rsid w:val="00D900CC"/>
    <w:rsid w:val="00D903E5"/>
    <w:rsid w:val="00D904A2"/>
    <w:rsid w:val="00D90567"/>
    <w:rsid w:val="00D9079B"/>
    <w:rsid w:val="00D90A70"/>
    <w:rsid w:val="00D90E7D"/>
    <w:rsid w:val="00D90FB4"/>
    <w:rsid w:val="00D91207"/>
    <w:rsid w:val="00D91262"/>
    <w:rsid w:val="00D91997"/>
    <w:rsid w:val="00D91AFC"/>
    <w:rsid w:val="00D91C26"/>
    <w:rsid w:val="00D91F05"/>
    <w:rsid w:val="00D91F13"/>
    <w:rsid w:val="00D92054"/>
    <w:rsid w:val="00D9237D"/>
    <w:rsid w:val="00D92B89"/>
    <w:rsid w:val="00D92C9E"/>
    <w:rsid w:val="00D9323D"/>
    <w:rsid w:val="00D932D4"/>
    <w:rsid w:val="00D932DC"/>
    <w:rsid w:val="00D93437"/>
    <w:rsid w:val="00D935FC"/>
    <w:rsid w:val="00D93757"/>
    <w:rsid w:val="00D937F2"/>
    <w:rsid w:val="00D93BC3"/>
    <w:rsid w:val="00D93E0D"/>
    <w:rsid w:val="00D94279"/>
    <w:rsid w:val="00D9428C"/>
    <w:rsid w:val="00D942AD"/>
    <w:rsid w:val="00D94473"/>
    <w:rsid w:val="00D944EF"/>
    <w:rsid w:val="00D948DA"/>
    <w:rsid w:val="00D94CD2"/>
    <w:rsid w:val="00D94D30"/>
    <w:rsid w:val="00D94F78"/>
    <w:rsid w:val="00D95088"/>
    <w:rsid w:val="00D9527A"/>
    <w:rsid w:val="00D9533C"/>
    <w:rsid w:val="00D95392"/>
    <w:rsid w:val="00D95500"/>
    <w:rsid w:val="00D95524"/>
    <w:rsid w:val="00D95679"/>
    <w:rsid w:val="00D95756"/>
    <w:rsid w:val="00D9582E"/>
    <w:rsid w:val="00D95AC1"/>
    <w:rsid w:val="00D95BBC"/>
    <w:rsid w:val="00D95C25"/>
    <w:rsid w:val="00D95DB3"/>
    <w:rsid w:val="00D95EC1"/>
    <w:rsid w:val="00D963DC"/>
    <w:rsid w:val="00D9640F"/>
    <w:rsid w:val="00D96598"/>
    <w:rsid w:val="00D966A8"/>
    <w:rsid w:val="00D970B7"/>
    <w:rsid w:val="00D9729F"/>
    <w:rsid w:val="00D97311"/>
    <w:rsid w:val="00D973B3"/>
    <w:rsid w:val="00D9755C"/>
    <w:rsid w:val="00D97C64"/>
    <w:rsid w:val="00DA033D"/>
    <w:rsid w:val="00DA050A"/>
    <w:rsid w:val="00DA05A1"/>
    <w:rsid w:val="00DA06DE"/>
    <w:rsid w:val="00DA070E"/>
    <w:rsid w:val="00DA0AF4"/>
    <w:rsid w:val="00DA0CE6"/>
    <w:rsid w:val="00DA11CD"/>
    <w:rsid w:val="00DA123B"/>
    <w:rsid w:val="00DA138E"/>
    <w:rsid w:val="00DA146E"/>
    <w:rsid w:val="00DA14FA"/>
    <w:rsid w:val="00DA1667"/>
    <w:rsid w:val="00DA196E"/>
    <w:rsid w:val="00DA1ED7"/>
    <w:rsid w:val="00DA2012"/>
    <w:rsid w:val="00DA205F"/>
    <w:rsid w:val="00DA2111"/>
    <w:rsid w:val="00DA219F"/>
    <w:rsid w:val="00DA23E7"/>
    <w:rsid w:val="00DA2410"/>
    <w:rsid w:val="00DA26F6"/>
    <w:rsid w:val="00DA2D58"/>
    <w:rsid w:val="00DA2F8D"/>
    <w:rsid w:val="00DA30DB"/>
    <w:rsid w:val="00DA3679"/>
    <w:rsid w:val="00DA395C"/>
    <w:rsid w:val="00DA3984"/>
    <w:rsid w:val="00DA3A71"/>
    <w:rsid w:val="00DA3AB0"/>
    <w:rsid w:val="00DA3C14"/>
    <w:rsid w:val="00DA4117"/>
    <w:rsid w:val="00DA41F7"/>
    <w:rsid w:val="00DA4265"/>
    <w:rsid w:val="00DA43F4"/>
    <w:rsid w:val="00DA4574"/>
    <w:rsid w:val="00DA45C5"/>
    <w:rsid w:val="00DA4A70"/>
    <w:rsid w:val="00DA4B56"/>
    <w:rsid w:val="00DA4BD8"/>
    <w:rsid w:val="00DA50AB"/>
    <w:rsid w:val="00DA50B0"/>
    <w:rsid w:val="00DA51BA"/>
    <w:rsid w:val="00DA5485"/>
    <w:rsid w:val="00DA54EA"/>
    <w:rsid w:val="00DA56F9"/>
    <w:rsid w:val="00DA5CB6"/>
    <w:rsid w:val="00DA5EAB"/>
    <w:rsid w:val="00DA5F00"/>
    <w:rsid w:val="00DA6034"/>
    <w:rsid w:val="00DA61B5"/>
    <w:rsid w:val="00DA63E5"/>
    <w:rsid w:val="00DA6417"/>
    <w:rsid w:val="00DA6550"/>
    <w:rsid w:val="00DA689B"/>
    <w:rsid w:val="00DA6A8B"/>
    <w:rsid w:val="00DA6AA7"/>
    <w:rsid w:val="00DA6C0D"/>
    <w:rsid w:val="00DA6C86"/>
    <w:rsid w:val="00DA6D6B"/>
    <w:rsid w:val="00DA6DDB"/>
    <w:rsid w:val="00DA6F9C"/>
    <w:rsid w:val="00DA7032"/>
    <w:rsid w:val="00DA71C3"/>
    <w:rsid w:val="00DA726F"/>
    <w:rsid w:val="00DA7341"/>
    <w:rsid w:val="00DA7491"/>
    <w:rsid w:val="00DA7504"/>
    <w:rsid w:val="00DA764B"/>
    <w:rsid w:val="00DA765D"/>
    <w:rsid w:val="00DA783B"/>
    <w:rsid w:val="00DA7B5A"/>
    <w:rsid w:val="00DA7C7C"/>
    <w:rsid w:val="00DA7EB7"/>
    <w:rsid w:val="00DB0243"/>
    <w:rsid w:val="00DB055C"/>
    <w:rsid w:val="00DB090B"/>
    <w:rsid w:val="00DB091E"/>
    <w:rsid w:val="00DB09DF"/>
    <w:rsid w:val="00DB0D7C"/>
    <w:rsid w:val="00DB0DA3"/>
    <w:rsid w:val="00DB1035"/>
    <w:rsid w:val="00DB137D"/>
    <w:rsid w:val="00DB13C2"/>
    <w:rsid w:val="00DB190B"/>
    <w:rsid w:val="00DB1CB1"/>
    <w:rsid w:val="00DB1CB4"/>
    <w:rsid w:val="00DB1DA3"/>
    <w:rsid w:val="00DB1DD2"/>
    <w:rsid w:val="00DB1E42"/>
    <w:rsid w:val="00DB1E51"/>
    <w:rsid w:val="00DB205A"/>
    <w:rsid w:val="00DB22D4"/>
    <w:rsid w:val="00DB23CA"/>
    <w:rsid w:val="00DB246F"/>
    <w:rsid w:val="00DB2543"/>
    <w:rsid w:val="00DB262E"/>
    <w:rsid w:val="00DB26CA"/>
    <w:rsid w:val="00DB2B23"/>
    <w:rsid w:val="00DB2CF0"/>
    <w:rsid w:val="00DB2FCD"/>
    <w:rsid w:val="00DB2FDD"/>
    <w:rsid w:val="00DB3068"/>
    <w:rsid w:val="00DB3357"/>
    <w:rsid w:val="00DB339D"/>
    <w:rsid w:val="00DB35AA"/>
    <w:rsid w:val="00DB37D4"/>
    <w:rsid w:val="00DB3CFF"/>
    <w:rsid w:val="00DB3E0C"/>
    <w:rsid w:val="00DB3E2E"/>
    <w:rsid w:val="00DB3E36"/>
    <w:rsid w:val="00DB3FB8"/>
    <w:rsid w:val="00DB4163"/>
    <w:rsid w:val="00DB422E"/>
    <w:rsid w:val="00DB42BF"/>
    <w:rsid w:val="00DB4579"/>
    <w:rsid w:val="00DB46DB"/>
    <w:rsid w:val="00DB4A40"/>
    <w:rsid w:val="00DB4D79"/>
    <w:rsid w:val="00DB4D8D"/>
    <w:rsid w:val="00DB4E0C"/>
    <w:rsid w:val="00DB4E40"/>
    <w:rsid w:val="00DB4F55"/>
    <w:rsid w:val="00DB50BF"/>
    <w:rsid w:val="00DB53F7"/>
    <w:rsid w:val="00DB5585"/>
    <w:rsid w:val="00DB55DE"/>
    <w:rsid w:val="00DB56CA"/>
    <w:rsid w:val="00DB5804"/>
    <w:rsid w:val="00DB586C"/>
    <w:rsid w:val="00DB5945"/>
    <w:rsid w:val="00DB5A64"/>
    <w:rsid w:val="00DB5A93"/>
    <w:rsid w:val="00DB62F3"/>
    <w:rsid w:val="00DB6708"/>
    <w:rsid w:val="00DB6A24"/>
    <w:rsid w:val="00DB6EFE"/>
    <w:rsid w:val="00DB74ED"/>
    <w:rsid w:val="00DB790D"/>
    <w:rsid w:val="00DB79DB"/>
    <w:rsid w:val="00DB7A56"/>
    <w:rsid w:val="00DB7B81"/>
    <w:rsid w:val="00DB7BAE"/>
    <w:rsid w:val="00DB7BCA"/>
    <w:rsid w:val="00DB7C96"/>
    <w:rsid w:val="00DB7D0C"/>
    <w:rsid w:val="00DB7D47"/>
    <w:rsid w:val="00DB7EB2"/>
    <w:rsid w:val="00DC028D"/>
    <w:rsid w:val="00DC02A4"/>
    <w:rsid w:val="00DC05EB"/>
    <w:rsid w:val="00DC0D55"/>
    <w:rsid w:val="00DC0D58"/>
    <w:rsid w:val="00DC0D65"/>
    <w:rsid w:val="00DC0DDC"/>
    <w:rsid w:val="00DC11A0"/>
    <w:rsid w:val="00DC11EC"/>
    <w:rsid w:val="00DC1650"/>
    <w:rsid w:val="00DC185E"/>
    <w:rsid w:val="00DC19B8"/>
    <w:rsid w:val="00DC2199"/>
    <w:rsid w:val="00DC21DC"/>
    <w:rsid w:val="00DC22A1"/>
    <w:rsid w:val="00DC2533"/>
    <w:rsid w:val="00DC25D4"/>
    <w:rsid w:val="00DC26F8"/>
    <w:rsid w:val="00DC2CEC"/>
    <w:rsid w:val="00DC3086"/>
    <w:rsid w:val="00DC3139"/>
    <w:rsid w:val="00DC3427"/>
    <w:rsid w:val="00DC3BDE"/>
    <w:rsid w:val="00DC431D"/>
    <w:rsid w:val="00DC4352"/>
    <w:rsid w:val="00DC4369"/>
    <w:rsid w:val="00DC4543"/>
    <w:rsid w:val="00DC4547"/>
    <w:rsid w:val="00DC4B81"/>
    <w:rsid w:val="00DC4BAE"/>
    <w:rsid w:val="00DC4C60"/>
    <w:rsid w:val="00DC524A"/>
    <w:rsid w:val="00DC5291"/>
    <w:rsid w:val="00DC5528"/>
    <w:rsid w:val="00DC564C"/>
    <w:rsid w:val="00DC57AD"/>
    <w:rsid w:val="00DC59E8"/>
    <w:rsid w:val="00DC5AB5"/>
    <w:rsid w:val="00DC5BFE"/>
    <w:rsid w:val="00DC5ED6"/>
    <w:rsid w:val="00DC604B"/>
    <w:rsid w:val="00DC629E"/>
    <w:rsid w:val="00DC694D"/>
    <w:rsid w:val="00DC6AA7"/>
    <w:rsid w:val="00DC6AE7"/>
    <w:rsid w:val="00DC6B6E"/>
    <w:rsid w:val="00DC6E0E"/>
    <w:rsid w:val="00DC7219"/>
    <w:rsid w:val="00DC7780"/>
    <w:rsid w:val="00DC778B"/>
    <w:rsid w:val="00DC77CA"/>
    <w:rsid w:val="00DC786C"/>
    <w:rsid w:val="00DC7941"/>
    <w:rsid w:val="00DC7EF4"/>
    <w:rsid w:val="00DD0010"/>
    <w:rsid w:val="00DD008C"/>
    <w:rsid w:val="00DD02C3"/>
    <w:rsid w:val="00DD03E9"/>
    <w:rsid w:val="00DD06F9"/>
    <w:rsid w:val="00DD0BF9"/>
    <w:rsid w:val="00DD14DA"/>
    <w:rsid w:val="00DD176B"/>
    <w:rsid w:val="00DD1910"/>
    <w:rsid w:val="00DD19BD"/>
    <w:rsid w:val="00DD1B15"/>
    <w:rsid w:val="00DD1B82"/>
    <w:rsid w:val="00DD1BD4"/>
    <w:rsid w:val="00DD1BEE"/>
    <w:rsid w:val="00DD1DF9"/>
    <w:rsid w:val="00DD219D"/>
    <w:rsid w:val="00DD21AC"/>
    <w:rsid w:val="00DD248B"/>
    <w:rsid w:val="00DD258C"/>
    <w:rsid w:val="00DD2BE4"/>
    <w:rsid w:val="00DD2D7D"/>
    <w:rsid w:val="00DD2F10"/>
    <w:rsid w:val="00DD36A9"/>
    <w:rsid w:val="00DD3B3F"/>
    <w:rsid w:val="00DD3B52"/>
    <w:rsid w:val="00DD3C59"/>
    <w:rsid w:val="00DD3D66"/>
    <w:rsid w:val="00DD3E2E"/>
    <w:rsid w:val="00DD4063"/>
    <w:rsid w:val="00DD41EE"/>
    <w:rsid w:val="00DD42B3"/>
    <w:rsid w:val="00DD435F"/>
    <w:rsid w:val="00DD43C4"/>
    <w:rsid w:val="00DD45F9"/>
    <w:rsid w:val="00DD4859"/>
    <w:rsid w:val="00DD49F7"/>
    <w:rsid w:val="00DD4B48"/>
    <w:rsid w:val="00DD4CC2"/>
    <w:rsid w:val="00DD4DD4"/>
    <w:rsid w:val="00DD4DDF"/>
    <w:rsid w:val="00DD4EE8"/>
    <w:rsid w:val="00DD4EF5"/>
    <w:rsid w:val="00DD5CF9"/>
    <w:rsid w:val="00DD601E"/>
    <w:rsid w:val="00DD6099"/>
    <w:rsid w:val="00DD60B3"/>
    <w:rsid w:val="00DD6411"/>
    <w:rsid w:val="00DD6470"/>
    <w:rsid w:val="00DD64AD"/>
    <w:rsid w:val="00DD64CA"/>
    <w:rsid w:val="00DD658F"/>
    <w:rsid w:val="00DD662E"/>
    <w:rsid w:val="00DD6899"/>
    <w:rsid w:val="00DD69CF"/>
    <w:rsid w:val="00DD6D24"/>
    <w:rsid w:val="00DD6F8D"/>
    <w:rsid w:val="00DD7076"/>
    <w:rsid w:val="00DD7616"/>
    <w:rsid w:val="00DD76EF"/>
    <w:rsid w:val="00DD7923"/>
    <w:rsid w:val="00DD79E2"/>
    <w:rsid w:val="00DD7B9C"/>
    <w:rsid w:val="00DD7CC7"/>
    <w:rsid w:val="00DD7EDD"/>
    <w:rsid w:val="00DE0124"/>
    <w:rsid w:val="00DE017E"/>
    <w:rsid w:val="00DE0CB2"/>
    <w:rsid w:val="00DE0E31"/>
    <w:rsid w:val="00DE14C4"/>
    <w:rsid w:val="00DE150D"/>
    <w:rsid w:val="00DE1566"/>
    <w:rsid w:val="00DE168A"/>
    <w:rsid w:val="00DE1924"/>
    <w:rsid w:val="00DE1DE8"/>
    <w:rsid w:val="00DE1E53"/>
    <w:rsid w:val="00DE1F2D"/>
    <w:rsid w:val="00DE2255"/>
    <w:rsid w:val="00DE240E"/>
    <w:rsid w:val="00DE251D"/>
    <w:rsid w:val="00DE25E3"/>
    <w:rsid w:val="00DE263B"/>
    <w:rsid w:val="00DE2791"/>
    <w:rsid w:val="00DE2C10"/>
    <w:rsid w:val="00DE321E"/>
    <w:rsid w:val="00DE34E4"/>
    <w:rsid w:val="00DE3585"/>
    <w:rsid w:val="00DE37E5"/>
    <w:rsid w:val="00DE3804"/>
    <w:rsid w:val="00DE3BED"/>
    <w:rsid w:val="00DE3C01"/>
    <w:rsid w:val="00DE3D78"/>
    <w:rsid w:val="00DE4112"/>
    <w:rsid w:val="00DE42A3"/>
    <w:rsid w:val="00DE441B"/>
    <w:rsid w:val="00DE4530"/>
    <w:rsid w:val="00DE47A6"/>
    <w:rsid w:val="00DE483E"/>
    <w:rsid w:val="00DE4A5C"/>
    <w:rsid w:val="00DE4E91"/>
    <w:rsid w:val="00DE4F68"/>
    <w:rsid w:val="00DE50B3"/>
    <w:rsid w:val="00DE51BF"/>
    <w:rsid w:val="00DE529A"/>
    <w:rsid w:val="00DE5466"/>
    <w:rsid w:val="00DE5646"/>
    <w:rsid w:val="00DE587E"/>
    <w:rsid w:val="00DE5C0A"/>
    <w:rsid w:val="00DE5E8A"/>
    <w:rsid w:val="00DE5F05"/>
    <w:rsid w:val="00DE607D"/>
    <w:rsid w:val="00DE626F"/>
    <w:rsid w:val="00DE62F4"/>
    <w:rsid w:val="00DE6447"/>
    <w:rsid w:val="00DE645B"/>
    <w:rsid w:val="00DE659C"/>
    <w:rsid w:val="00DE6620"/>
    <w:rsid w:val="00DE6637"/>
    <w:rsid w:val="00DE6810"/>
    <w:rsid w:val="00DE681E"/>
    <w:rsid w:val="00DE6AD2"/>
    <w:rsid w:val="00DE711B"/>
    <w:rsid w:val="00DE7214"/>
    <w:rsid w:val="00DE755A"/>
    <w:rsid w:val="00DE7804"/>
    <w:rsid w:val="00DE78B7"/>
    <w:rsid w:val="00DE7A56"/>
    <w:rsid w:val="00DE7B72"/>
    <w:rsid w:val="00DE7D37"/>
    <w:rsid w:val="00DE7E62"/>
    <w:rsid w:val="00DF001D"/>
    <w:rsid w:val="00DF021E"/>
    <w:rsid w:val="00DF02E0"/>
    <w:rsid w:val="00DF0363"/>
    <w:rsid w:val="00DF0424"/>
    <w:rsid w:val="00DF048C"/>
    <w:rsid w:val="00DF0867"/>
    <w:rsid w:val="00DF098A"/>
    <w:rsid w:val="00DF09FF"/>
    <w:rsid w:val="00DF0AE8"/>
    <w:rsid w:val="00DF0B17"/>
    <w:rsid w:val="00DF0E94"/>
    <w:rsid w:val="00DF1109"/>
    <w:rsid w:val="00DF1204"/>
    <w:rsid w:val="00DF1263"/>
    <w:rsid w:val="00DF1D1A"/>
    <w:rsid w:val="00DF1ECB"/>
    <w:rsid w:val="00DF1F0E"/>
    <w:rsid w:val="00DF20BA"/>
    <w:rsid w:val="00DF23CE"/>
    <w:rsid w:val="00DF2587"/>
    <w:rsid w:val="00DF272E"/>
    <w:rsid w:val="00DF27B5"/>
    <w:rsid w:val="00DF29B4"/>
    <w:rsid w:val="00DF2AE2"/>
    <w:rsid w:val="00DF2BE8"/>
    <w:rsid w:val="00DF2D7D"/>
    <w:rsid w:val="00DF2EFB"/>
    <w:rsid w:val="00DF323F"/>
    <w:rsid w:val="00DF3316"/>
    <w:rsid w:val="00DF339F"/>
    <w:rsid w:val="00DF33AA"/>
    <w:rsid w:val="00DF343E"/>
    <w:rsid w:val="00DF36C4"/>
    <w:rsid w:val="00DF374A"/>
    <w:rsid w:val="00DF3A01"/>
    <w:rsid w:val="00DF3DF6"/>
    <w:rsid w:val="00DF3EB3"/>
    <w:rsid w:val="00DF3FAF"/>
    <w:rsid w:val="00DF41D3"/>
    <w:rsid w:val="00DF44E8"/>
    <w:rsid w:val="00DF4972"/>
    <w:rsid w:val="00DF4BBC"/>
    <w:rsid w:val="00DF4C4B"/>
    <w:rsid w:val="00DF5076"/>
    <w:rsid w:val="00DF5372"/>
    <w:rsid w:val="00DF6367"/>
    <w:rsid w:val="00DF64F7"/>
    <w:rsid w:val="00DF64F9"/>
    <w:rsid w:val="00DF65A5"/>
    <w:rsid w:val="00DF65E1"/>
    <w:rsid w:val="00DF679B"/>
    <w:rsid w:val="00DF6D1C"/>
    <w:rsid w:val="00DF6E37"/>
    <w:rsid w:val="00DF7123"/>
    <w:rsid w:val="00DF72E0"/>
    <w:rsid w:val="00DF7514"/>
    <w:rsid w:val="00DF75D7"/>
    <w:rsid w:val="00DF7EAF"/>
    <w:rsid w:val="00E00246"/>
    <w:rsid w:val="00E002CA"/>
    <w:rsid w:val="00E00319"/>
    <w:rsid w:val="00E0051F"/>
    <w:rsid w:val="00E005E5"/>
    <w:rsid w:val="00E009A3"/>
    <w:rsid w:val="00E00B75"/>
    <w:rsid w:val="00E00C05"/>
    <w:rsid w:val="00E00D60"/>
    <w:rsid w:val="00E00F5C"/>
    <w:rsid w:val="00E00F82"/>
    <w:rsid w:val="00E00F87"/>
    <w:rsid w:val="00E018C7"/>
    <w:rsid w:val="00E01B81"/>
    <w:rsid w:val="00E01B92"/>
    <w:rsid w:val="00E01DBF"/>
    <w:rsid w:val="00E0203F"/>
    <w:rsid w:val="00E024FB"/>
    <w:rsid w:val="00E028C7"/>
    <w:rsid w:val="00E02F2A"/>
    <w:rsid w:val="00E03136"/>
    <w:rsid w:val="00E03414"/>
    <w:rsid w:val="00E03438"/>
    <w:rsid w:val="00E03470"/>
    <w:rsid w:val="00E039F9"/>
    <w:rsid w:val="00E03D2F"/>
    <w:rsid w:val="00E03D90"/>
    <w:rsid w:val="00E03F25"/>
    <w:rsid w:val="00E041BE"/>
    <w:rsid w:val="00E043CA"/>
    <w:rsid w:val="00E04523"/>
    <w:rsid w:val="00E045AF"/>
    <w:rsid w:val="00E047E1"/>
    <w:rsid w:val="00E049BC"/>
    <w:rsid w:val="00E04BC2"/>
    <w:rsid w:val="00E04D1F"/>
    <w:rsid w:val="00E04E54"/>
    <w:rsid w:val="00E05132"/>
    <w:rsid w:val="00E05485"/>
    <w:rsid w:val="00E05DD7"/>
    <w:rsid w:val="00E05DFA"/>
    <w:rsid w:val="00E05E70"/>
    <w:rsid w:val="00E05EC7"/>
    <w:rsid w:val="00E0602F"/>
    <w:rsid w:val="00E0611C"/>
    <w:rsid w:val="00E06176"/>
    <w:rsid w:val="00E0669F"/>
    <w:rsid w:val="00E06A14"/>
    <w:rsid w:val="00E06F9B"/>
    <w:rsid w:val="00E07061"/>
    <w:rsid w:val="00E073E1"/>
    <w:rsid w:val="00E07528"/>
    <w:rsid w:val="00E07935"/>
    <w:rsid w:val="00E07D83"/>
    <w:rsid w:val="00E07D86"/>
    <w:rsid w:val="00E07F7E"/>
    <w:rsid w:val="00E10068"/>
    <w:rsid w:val="00E104C7"/>
    <w:rsid w:val="00E105FF"/>
    <w:rsid w:val="00E1071B"/>
    <w:rsid w:val="00E10B34"/>
    <w:rsid w:val="00E10FFE"/>
    <w:rsid w:val="00E110D0"/>
    <w:rsid w:val="00E111B9"/>
    <w:rsid w:val="00E112A9"/>
    <w:rsid w:val="00E112C0"/>
    <w:rsid w:val="00E114CB"/>
    <w:rsid w:val="00E11698"/>
    <w:rsid w:val="00E117F1"/>
    <w:rsid w:val="00E1187F"/>
    <w:rsid w:val="00E11B34"/>
    <w:rsid w:val="00E11D06"/>
    <w:rsid w:val="00E122BD"/>
    <w:rsid w:val="00E129CB"/>
    <w:rsid w:val="00E12A4D"/>
    <w:rsid w:val="00E12A6B"/>
    <w:rsid w:val="00E12DBF"/>
    <w:rsid w:val="00E12E49"/>
    <w:rsid w:val="00E12EF0"/>
    <w:rsid w:val="00E12FFB"/>
    <w:rsid w:val="00E13309"/>
    <w:rsid w:val="00E1340D"/>
    <w:rsid w:val="00E13573"/>
    <w:rsid w:val="00E13653"/>
    <w:rsid w:val="00E136DA"/>
    <w:rsid w:val="00E13764"/>
    <w:rsid w:val="00E138B9"/>
    <w:rsid w:val="00E13B1A"/>
    <w:rsid w:val="00E13D3C"/>
    <w:rsid w:val="00E13D50"/>
    <w:rsid w:val="00E13EB6"/>
    <w:rsid w:val="00E14246"/>
    <w:rsid w:val="00E147F9"/>
    <w:rsid w:val="00E14990"/>
    <w:rsid w:val="00E153AE"/>
    <w:rsid w:val="00E15529"/>
    <w:rsid w:val="00E15C74"/>
    <w:rsid w:val="00E1604D"/>
    <w:rsid w:val="00E161CF"/>
    <w:rsid w:val="00E162BA"/>
    <w:rsid w:val="00E16562"/>
    <w:rsid w:val="00E16827"/>
    <w:rsid w:val="00E169B8"/>
    <w:rsid w:val="00E16A37"/>
    <w:rsid w:val="00E16C7D"/>
    <w:rsid w:val="00E16D42"/>
    <w:rsid w:val="00E17083"/>
    <w:rsid w:val="00E17101"/>
    <w:rsid w:val="00E17358"/>
    <w:rsid w:val="00E175F6"/>
    <w:rsid w:val="00E17864"/>
    <w:rsid w:val="00E17B0F"/>
    <w:rsid w:val="00E17B3E"/>
    <w:rsid w:val="00E17F53"/>
    <w:rsid w:val="00E202B6"/>
    <w:rsid w:val="00E20567"/>
    <w:rsid w:val="00E2057E"/>
    <w:rsid w:val="00E2079D"/>
    <w:rsid w:val="00E207DC"/>
    <w:rsid w:val="00E2093F"/>
    <w:rsid w:val="00E20EA8"/>
    <w:rsid w:val="00E20F1F"/>
    <w:rsid w:val="00E20FF2"/>
    <w:rsid w:val="00E21284"/>
    <w:rsid w:val="00E2148D"/>
    <w:rsid w:val="00E21502"/>
    <w:rsid w:val="00E21596"/>
    <w:rsid w:val="00E216D2"/>
    <w:rsid w:val="00E21830"/>
    <w:rsid w:val="00E21834"/>
    <w:rsid w:val="00E219BA"/>
    <w:rsid w:val="00E21B36"/>
    <w:rsid w:val="00E21BF4"/>
    <w:rsid w:val="00E21D90"/>
    <w:rsid w:val="00E21E27"/>
    <w:rsid w:val="00E21EC4"/>
    <w:rsid w:val="00E21F4C"/>
    <w:rsid w:val="00E21FE8"/>
    <w:rsid w:val="00E2220B"/>
    <w:rsid w:val="00E2224F"/>
    <w:rsid w:val="00E22273"/>
    <w:rsid w:val="00E2260B"/>
    <w:rsid w:val="00E2299D"/>
    <w:rsid w:val="00E22A3C"/>
    <w:rsid w:val="00E22A49"/>
    <w:rsid w:val="00E22D2D"/>
    <w:rsid w:val="00E23152"/>
    <w:rsid w:val="00E232DE"/>
    <w:rsid w:val="00E2351C"/>
    <w:rsid w:val="00E23603"/>
    <w:rsid w:val="00E23626"/>
    <w:rsid w:val="00E23808"/>
    <w:rsid w:val="00E23BE4"/>
    <w:rsid w:val="00E23BFC"/>
    <w:rsid w:val="00E23DAF"/>
    <w:rsid w:val="00E23F4F"/>
    <w:rsid w:val="00E24118"/>
    <w:rsid w:val="00E241A6"/>
    <w:rsid w:val="00E24225"/>
    <w:rsid w:val="00E2449E"/>
    <w:rsid w:val="00E244DF"/>
    <w:rsid w:val="00E249B5"/>
    <w:rsid w:val="00E24C12"/>
    <w:rsid w:val="00E252EF"/>
    <w:rsid w:val="00E2535F"/>
    <w:rsid w:val="00E254F1"/>
    <w:rsid w:val="00E2559B"/>
    <w:rsid w:val="00E25711"/>
    <w:rsid w:val="00E25717"/>
    <w:rsid w:val="00E257B3"/>
    <w:rsid w:val="00E25B06"/>
    <w:rsid w:val="00E25C28"/>
    <w:rsid w:val="00E26098"/>
    <w:rsid w:val="00E2617E"/>
    <w:rsid w:val="00E2641E"/>
    <w:rsid w:val="00E26843"/>
    <w:rsid w:val="00E26AC6"/>
    <w:rsid w:val="00E26B0F"/>
    <w:rsid w:val="00E26BDA"/>
    <w:rsid w:val="00E26C0E"/>
    <w:rsid w:val="00E26E80"/>
    <w:rsid w:val="00E26FD6"/>
    <w:rsid w:val="00E2701D"/>
    <w:rsid w:val="00E27215"/>
    <w:rsid w:val="00E27811"/>
    <w:rsid w:val="00E278DC"/>
    <w:rsid w:val="00E27A64"/>
    <w:rsid w:val="00E27ECB"/>
    <w:rsid w:val="00E27FFA"/>
    <w:rsid w:val="00E3011B"/>
    <w:rsid w:val="00E304A7"/>
    <w:rsid w:val="00E3077E"/>
    <w:rsid w:val="00E30CBE"/>
    <w:rsid w:val="00E30D33"/>
    <w:rsid w:val="00E3124E"/>
    <w:rsid w:val="00E312EA"/>
    <w:rsid w:val="00E31893"/>
    <w:rsid w:val="00E31C23"/>
    <w:rsid w:val="00E31EDE"/>
    <w:rsid w:val="00E320D0"/>
    <w:rsid w:val="00E3247B"/>
    <w:rsid w:val="00E32565"/>
    <w:rsid w:val="00E32724"/>
    <w:rsid w:val="00E3272D"/>
    <w:rsid w:val="00E327AD"/>
    <w:rsid w:val="00E3292A"/>
    <w:rsid w:val="00E32DFF"/>
    <w:rsid w:val="00E3306A"/>
    <w:rsid w:val="00E33281"/>
    <w:rsid w:val="00E33290"/>
    <w:rsid w:val="00E3371A"/>
    <w:rsid w:val="00E33A1C"/>
    <w:rsid w:val="00E33BA3"/>
    <w:rsid w:val="00E33CEA"/>
    <w:rsid w:val="00E33FC5"/>
    <w:rsid w:val="00E34023"/>
    <w:rsid w:val="00E34361"/>
    <w:rsid w:val="00E34561"/>
    <w:rsid w:val="00E348AE"/>
    <w:rsid w:val="00E34A00"/>
    <w:rsid w:val="00E34FCF"/>
    <w:rsid w:val="00E34FED"/>
    <w:rsid w:val="00E351C3"/>
    <w:rsid w:val="00E351ED"/>
    <w:rsid w:val="00E353A5"/>
    <w:rsid w:val="00E356B7"/>
    <w:rsid w:val="00E35CED"/>
    <w:rsid w:val="00E35F57"/>
    <w:rsid w:val="00E35FCF"/>
    <w:rsid w:val="00E3600C"/>
    <w:rsid w:val="00E3624C"/>
    <w:rsid w:val="00E3626B"/>
    <w:rsid w:val="00E3674D"/>
    <w:rsid w:val="00E3680D"/>
    <w:rsid w:val="00E368E0"/>
    <w:rsid w:val="00E36D09"/>
    <w:rsid w:val="00E36DBC"/>
    <w:rsid w:val="00E36E7E"/>
    <w:rsid w:val="00E371DF"/>
    <w:rsid w:val="00E37275"/>
    <w:rsid w:val="00E3746A"/>
    <w:rsid w:val="00E374C1"/>
    <w:rsid w:val="00E37527"/>
    <w:rsid w:val="00E375E0"/>
    <w:rsid w:val="00E3779C"/>
    <w:rsid w:val="00E3799C"/>
    <w:rsid w:val="00E379F8"/>
    <w:rsid w:val="00E37A74"/>
    <w:rsid w:val="00E37E72"/>
    <w:rsid w:val="00E40117"/>
    <w:rsid w:val="00E402B7"/>
    <w:rsid w:val="00E40447"/>
    <w:rsid w:val="00E4064C"/>
    <w:rsid w:val="00E406F0"/>
    <w:rsid w:val="00E4094B"/>
    <w:rsid w:val="00E40B4C"/>
    <w:rsid w:val="00E40C1C"/>
    <w:rsid w:val="00E40D12"/>
    <w:rsid w:val="00E41045"/>
    <w:rsid w:val="00E41097"/>
    <w:rsid w:val="00E410C7"/>
    <w:rsid w:val="00E4131E"/>
    <w:rsid w:val="00E414DF"/>
    <w:rsid w:val="00E4194C"/>
    <w:rsid w:val="00E41BC5"/>
    <w:rsid w:val="00E422AB"/>
    <w:rsid w:val="00E423E7"/>
    <w:rsid w:val="00E42402"/>
    <w:rsid w:val="00E42677"/>
    <w:rsid w:val="00E4282C"/>
    <w:rsid w:val="00E4295F"/>
    <w:rsid w:val="00E42B75"/>
    <w:rsid w:val="00E42C25"/>
    <w:rsid w:val="00E42C8D"/>
    <w:rsid w:val="00E42D28"/>
    <w:rsid w:val="00E430B4"/>
    <w:rsid w:val="00E43365"/>
    <w:rsid w:val="00E43430"/>
    <w:rsid w:val="00E435EE"/>
    <w:rsid w:val="00E4360E"/>
    <w:rsid w:val="00E43781"/>
    <w:rsid w:val="00E43A3C"/>
    <w:rsid w:val="00E43F71"/>
    <w:rsid w:val="00E43FDA"/>
    <w:rsid w:val="00E43FF4"/>
    <w:rsid w:val="00E44100"/>
    <w:rsid w:val="00E44394"/>
    <w:rsid w:val="00E4443F"/>
    <w:rsid w:val="00E446EF"/>
    <w:rsid w:val="00E44770"/>
    <w:rsid w:val="00E44790"/>
    <w:rsid w:val="00E45058"/>
    <w:rsid w:val="00E45141"/>
    <w:rsid w:val="00E4548D"/>
    <w:rsid w:val="00E454D0"/>
    <w:rsid w:val="00E4556C"/>
    <w:rsid w:val="00E4566A"/>
    <w:rsid w:val="00E458AD"/>
    <w:rsid w:val="00E459BC"/>
    <w:rsid w:val="00E45A66"/>
    <w:rsid w:val="00E45CB4"/>
    <w:rsid w:val="00E46695"/>
    <w:rsid w:val="00E466C3"/>
    <w:rsid w:val="00E46832"/>
    <w:rsid w:val="00E46B9B"/>
    <w:rsid w:val="00E46BD5"/>
    <w:rsid w:val="00E46BDB"/>
    <w:rsid w:val="00E46BFB"/>
    <w:rsid w:val="00E46C4B"/>
    <w:rsid w:val="00E46EB7"/>
    <w:rsid w:val="00E47051"/>
    <w:rsid w:val="00E472AB"/>
    <w:rsid w:val="00E4744F"/>
    <w:rsid w:val="00E475CD"/>
    <w:rsid w:val="00E4760B"/>
    <w:rsid w:val="00E47904"/>
    <w:rsid w:val="00E47A4A"/>
    <w:rsid w:val="00E47C84"/>
    <w:rsid w:val="00E47CF5"/>
    <w:rsid w:val="00E47CFC"/>
    <w:rsid w:val="00E47E57"/>
    <w:rsid w:val="00E50060"/>
    <w:rsid w:val="00E5063A"/>
    <w:rsid w:val="00E5099F"/>
    <w:rsid w:val="00E510A6"/>
    <w:rsid w:val="00E511DC"/>
    <w:rsid w:val="00E5130C"/>
    <w:rsid w:val="00E5137F"/>
    <w:rsid w:val="00E518DF"/>
    <w:rsid w:val="00E51925"/>
    <w:rsid w:val="00E51B7A"/>
    <w:rsid w:val="00E51C1B"/>
    <w:rsid w:val="00E51F7C"/>
    <w:rsid w:val="00E52329"/>
    <w:rsid w:val="00E5243F"/>
    <w:rsid w:val="00E526E3"/>
    <w:rsid w:val="00E527CA"/>
    <w:rsid w:val="00E528E7"/>
    <w:rsid w:val="00E52904"/>
    <w:rsid w:val="00E52928"/>
    <w:rsid w:val="00E52B7D"/>
    <w:rsid w:val="00E52C02"/>
    <w:rsid w:val="00E52C0F"/>
    <w:rsid w:val="00E52C2B"/>
    <w:rsid w:val="00E52DF5"/>
    <w:rsid w:val="00E52F1B"/>
    <w:rsid w:val="00E5318F"/>
    <w:rsid w:val="00E53207"/>
    <w:rsid w:val="00E5327C"/>
    <w:rsid w:val="00E532C4"/>
    <w:rsid w:val="00E533FA"/>
    <w:rsid w:val="00E5340B"/>
    <w:rsid w:val="00E53437"/>
    <w:rsid w:val="00E53678"/>
    <w:rsid w:val="00E5372A"/>
    <w:rsid w:val="00E53D45"/>
    <w:rsid w:val="00E545BC"/>
    <w:rsid w:val="00E54885"/>
    <w:rsid w:val="00E548A0"/>
    <w:rsid w:val="00E54A65"/>
    <w:rsid w:val="00E54BC0"/>
    <w:rsid w:val="00E54BCE"/>
    <w:rsid w:val="00E5505B"/>
    <w:rsid w:val="00E551AD"/>
    <w:rsid w:val="00E55241"/>
    <w:rsid w:val="00E55A4F"/>
    <w:rsid w:val="00E55C3D"/>
    <w:rsid w:val="00E55E14"/>
    <w:rsid w:val="00E562CE"/>
    <w:rsid w:val="00E564F0"/>
    <w:rsid w:val="00E56624"/>
    <w:rsid w:val="00E5687A"/>
    <w:rsid w:val="00E5687F"/>
    <w:rsid w:val="00E5691B"/>
    <w:rsid w:val="00E5693A"/>
    <w:rsid w:val="00E56A1C"/>
    <w:rsid w:val="00E56B45"/>
    <w:rsid w:val="00E56C04"/>
    <w:rsid w:val="00E56C1E"/>
    <w:rsid w:val="00E56C9A"/>
    <w:rsid w:val="00E56D6B"/>
    <w:rsid w:val="00E56FBE"/>
    <w:rsid w:val="00E57039"/>
    <w:rsid w:val="00E572DB"/>
    <w:rsid w:val="00E575B4"/>
    <w:rsid w:val="00E57B47"/>
    <w:rsid w:val="00E57FF1"/>
    <w:rsid w:val="00E60125"/>
    <w:rsid w:val="00E60318"/>
    <w:rsid w:val="00E6051C"/>
    <w:rsid w:val="00E60A4D"/>
    <w:rsid w:val="00E60E1A"/>
    <w:rsid w:val="00E60FCF"/>
    <w:rsid w:val="00E611A1"/>
    <w:rsid w:val="00E61202"/>
    <w:rsid w:val="00E61240"/>
    <w:rsid w:val="00E612B6"/>
    <w:rsid w:val="00E61623"/>
    <w:rsid w:val="00E617C5"/>
    <w:rsid w:val="00E617F1"/>
    <w:rsid w:val="00E61882"/>
    <w:rsid w:val="00E618E4"/>
    <w:rsid w:val="00E619B8"/>
    <w:rsid w:val="00E61A67"/>
    <w:rsid w:val="00E61B09"/>
    <w:rsid w:val="00E6201B"/>
    <w:rsid w:val="00E6269D"/>
    <w:rsid w:val="00E62945"/>
    <w:rsid w:val="00E62BD8"/>
    <w:rsid w:val="00E62BE1"/>
    <w:rsid w:val="00E62F4C"/>
    <w:rsid w:val="00E63179"/>
    <w:rsid w:val="00E63256"/>
    <w:rsid w:val="00E63264"/>
    <w:rsid w:val="00E6343D"/>
    <w:rsid w:val="00E634A7"/>
    <w:rsid w:val="00E635DE"/>
    <w:rsid w:val="00E63650"/>
    <w:rsid w:val="00E636C6"/>
    <w:rsid w:val="00E63835"/>
    <w:rsid w:val="00E63E05"/>
    <w:rsid w:val="00E63F7E"/>
    <w:rsid w:val="00E641E3"/>
    <w:rsid w:val="00E646CE"/>
    <w:rsid w:val="00E647DA"/>
    <w:rsid w:val="00E647F8"/>
    <w:rsid w:val="00E64869"/>
    <w:rsid w:val="00E64B2E"/>
    <w:rsid w:val="00E64B5C"/>
    <w:rsid w:val="00E64E44"/>
    <w:rsid w:val="00E64E5A"/>
    <w:rsid w:val="00E64EAA"/>
    <w:rsid w:val="00E650D6"/>
    <w:rsid w:val="00E6515D"/>
    <w:rsid w:val="00E65327"/>
    <w:rsid w:val="00E65C64"/>
    <w:rsid w:val="00E65D0A"/>
    <w:rsid w:val="00E65DC1"/>
    <w:rsid w:val="00E65F47"/>
    <w:rsid w:val="00E65F8C"/>
    <w:rsid w:val="00E66139"/>
    <w:rsid w:val="00E66583"/>
    <w:rsid w:val="00E666AB"/>
    <w:rsid w:val="00E66CE5"/>
    <w:rsid w:val="00E66D12"/>
    <w:rsid w:val="00E66EFC"/>
    <w:rsid w:val="00E66F60"/>
    <w:rsid w:val="00E67469"/>
    <w:rsid w:val="00E6762E"/>
    <w:rsid w:val="00E678B4"/>
    <w:rsid w:val="00E67BD6"/>
    <w:rsid w:val="00E67E95"/>
    <w:rsid w:val="00E70030"/>
    <w:rsid w:val="00E7007D"/>
    <w:rsid w:val="00E700C8"/>
    <w:rsid w:val="00E7026E"/>
    <w:rsid w:val="00E70528"/>
    <w:rsid w:val="00E70AFE"/>
    <w:rsid w:val="00E70CB8"/>
    <w:rsid w:val="00E70EB3"/>
    <w:rsid w:val="00E70F74"/>
    <w:rsid w:val="00E7109D"/>
    <w:rsid w:val="00E710BF"/>
    <w:rsid w:val="00E71356"/>
    <w:rsid w:val="00E7150C"/>
    <w:rsid w:val="00E715FF"/>
    <w:rsid w:val="00E71E61"/>
    <w:rsid w:val="00E72357"/>
    <w:rsid w:val="00E72489"/>
    <w:rsid w:val="00E72507"/>
    <w:rsid w:val="00E727AD"/>
    <w:rsid w:val="00E7295D"/>
    <w:rsid w:val="00E72ADC"/>
    <w:rsid w:val="00E7368B"/>
    <w:rsid w:val="00E73966"/>
    <w:rsid w:val="00E73A6D"/>
    <w:rsid w:val="00E73B92"/>
    <w:rsid w:val="00E73BCF"/>
    <w:rsid w:val="00E73E11"/>
    <w:rsid w:val="00E73EE7"/>
    <w:rsid w:val="00E740EB"/>
    <w:rsid w:val="00E7412E"/>
    <w:rsid w:val="00E74172"/>
    <w:rsid w:val="00E744E2"/>
    <w:rsid w:val="00E74594"/>
    <w:rsid w:val="00E7471E"/>
    <w:rsid w:val="00E7477E"/>
    <w:rsid w:val="00E747E1"/>
    <w:rsid w:val="00E74864"/>
    <w:rsid w:val="00E74960"/>
    <w:rsid w:val="00E7501E"/>
    <w:rsid w:val="00E7502C"/>
    <w:rsid w:val="00E75230"/>
    <w:rsid w:val="00E75446"/>
    <w:rsid w:val="00E758BB"/>
    <w:rsid w:val="00E75951"/>
    <w:rsid w:val="00E759B2"/>
    <w:rsid w:val="00E75C72"/>
    <w:rsid w:val="00E75D19"/>
    <w:rsid w:val="00E75ECC"/>
    <w:rsid w:val="00E75F5A"/>
    <w:rsid w:val="00E76052"/>
    <w:rsid w:val="00E76440"/>
    <w:rsid w:val="00E767E4"/>
    <w:rsid w:val="00E76991"/>
    <w:rsid w:val="00E76A5D"/>
    <w:rsid w:val="00E76FEC"/>
    <w:rsid w:val="00E77093"/>
    <w:rsid w:val="00E77098"/>
    <w:rsid w:val="00E771B0"/>
    <w:rsid w:val="00E772D4"/>
    <w:rsid w:val="00E776ED"/>
    <w:rsid w:val="00E77729"/>
    <w:rsid w:val="00E77782"/>
    <w:rsid w:val="00E7799E"/>
    <w:rsid w:val="00E779FA"/>
    <w:rsid w:val="00E77DD9"/>
    <w:rsid w:val="00E80298"/>
    <w:rsid w:val="00E802A9"/>
    <w:rsid w:val="00E805A1"/>
    <w:rsid w:val="00E806FB"/>
    <w:rsid w:val="00E80723"/>
    <w:rsid w:val="00E80837"/>
    <w:rsid w:val="00E809D4"/>
    <w:rsid w:val="00E80B63"/>
    <w:rsid w:val="00E80E5F"/>
    <w:rsid w:val="00E80F5A"/>
    <w:rsid w:val="00E8103D"/>
    <w:rsid w:val="00E81403"/>
    <w:rsid w:val="00E8146C"/>
    <w:rsid w:val="00E817EE"/>
    <w:rsid w:val="00E819C1"/>
    <w:rsid w:val="00E81A0B"/>
    <w:rsid w:val="00E81E41"/>
    <w:rsid w:val="00E81F58"/>
    <w:rsid w:val="00E81FEE"/>
    <w:rsid w:val="00E82152"/>
    <w:rsid w:val="00E82191"/>
    <w:rsid w:val="00E824E2"/>
    <w:rsid w:val="00E827DF"/>
    <w:rsid w:val="00E827E4"/>
    <w:rsid w:val="00E82840"/>
    <w:rsid w:val="00E82855"/>
    <w:rsid w:val="00E82C11"/>
    <w:rsid w:val="00E82D90"/>
    <w:rsid w:val="00E82F00"/>
    <w:rsid w:val="00E82F62"/>
    <w:rsid w:val="00E83083"/>
    <w:rsid w:val="00E830B5"/>
    <w:rsid w:val="00E8330B"/>
    <w:rsid w:val="00E83654"/>
    <w:rsid w:val="00E8369A"/>
    <w:rsid w:val="00E83AD9"/>
    <w:rsid w:val="00E83C14"/>
    <w:rsid w:val="00E83D25"/>
    <w:rsid w:val="00E83E22"/>
    <w:rsid w:val="00E84058"/>
    <w:rsid w:val="00E840CE"/>
    <w:rsid w:val="00E84236"/>
    <w:rsid w:val="00E84798"/>
    <w:rsid w:val="00E847F0"/>
    <w:rsid w:val="00E8492F"/>
    <w:rsid w:val="00E8499E"/>
    <w:rsid w:val="00E84A64"/>
    <w:rsid w:val="00E85229"/>
    <w:rsid w:val="00E852F4"/>
    <w:rsid w:val="00E85433"/>
    <w:rsid w:val="00E854D8"/>
    <w:rsid w:val="00E85556"/>
    <w:rsid w:val="00E85892"/>
    <w:rsid w:val="00E859A5"/>
    <w:rsid w:val="00E85A50"/>
    <w:rsid w:val="00E85B70"/>
    <w:rsid w:val="00E85D6F"/>
    <w:rsid w:val="00E85DBA"/>
    <w:rsid w:val="00E861A4"/>
    <w:rsid w:val="00E864DD"/>
    <w:rsid w:val="00E86614"/>
    <w:rsid w:val="00E86FB5"/>
    <w:rsid w:val="00E8705B"/>
    <w:rsid w:val="00E87140"/>
    <w:rsid w:val="00E871B9"/>
    <w:rsid w:val="00E87642"/>
    <w:rsid w:val="00E8781B"/>
    <w:rsid w:val="00E87825"/>
    <w:rsid w:val="00E8790E"/>
    <w:rsid w:val="00E879B8"/>
    <w:rsid w:val="00E87C01"/>
    <w:rsid w:val="00E87E19"/>
    <w:rsid w:val="00E9009E"/>
    <w:rsid w:val="00E900B5"/>
    <w:rsid w:val="00E903D2"/>
    <w:rsid w:val="00E9099A"/>
    <w:rsid w:val="00E90B08"/>
    <w:rsid w:val="00E90B72"/>
    <w:rsid w:val="00E91025"/>
    <w:rsid w:val="00E91383"/>
    <w:rsid w:val="00E91421"/>
    <w:rsid w:val="00E9157B"/>
    <w:rsid w:val="00E91636"/>
    <w:rsid w:val="00E916DF"/>
    <w:rsid w:val="00E918F1"/>
    <w:rsid w:val="00E91AAE"/>
    <w:rsid w:val="00E91B0F"/>
    <w:rsid w:val="00E91D3B"/>
    <w:rsid w:val="00E91FD9"/>
    <w:rsid w:val="00E92197"/>
    <w:rsid w:val="00E921B9"/>
    <w:rsid w:val="00E9224A"/>
    <w:rsid w:val="00E92400"/>
    <w:rsid w:val="00E9276C"/>
    <w:rsid w:val="00E928D8"/>
    <w:rsid w:val="00E92BBB"/>
    <w:rsid w:val="00E93019"/>
    <w:rsid w:val="00E93119"/>
    <w:rsid w:val="00E93149"/>
    <w:rsid w:val="00E93315"/>
    <w:rsid w:val="00E93563"/>
    <w:rsid w:val="00E93621"/>
    <w:rsid w:val="00E936AF"/>
    <w:rsid w:val="00E937C0"/>
    <w:rsid w:val="00E93B2D"/>
    <w:rsid w:val="00E93D2D"/>
    <w:rsid w:val="00E94301"/>
    <w:rsid w:val="00E943E3"/>
    <w:rsid w:val="00E94498"/>
    <w:rsid w:val="00E94912"/>
    <w:rsid w:val="00E94968"/>
    <w:rsid w:val="00E9496D"/>
    <w:rsid w:val="00E94D40"/>
    <w:rsid w:val="00E95063"/>
    <w:rsid w:val="00E951B7"/>
    <w:rsid w:val="00E9556C"/>
    <w:rsid w:val="00E956BD"/>
    <w:rsid w:val="00E959A4"/>
    <w:rsid w:val="00E95D24"/>
    <w:rsid w:val="00E95D48"/>
    <w:rsid w:val="00E95F46"/>
    <w:rsid w:val="00E9614C"/>
    <w:rsid w:val="00E96249"/>
    <w:rsid w:val="00E96289"/>
    <w:rsid w:val="00E96432"/>
    <w:rsid w:val="00E9648D"/>
    <w:rsid w:val="00E96691"/>
    <w:rsid w:val="00E9672B"/>
    <w:rsid w:val="00E96872"/>
    <w:rsid w:val="00E96A10"/>
    <w:rsid w:val="00E96B4E"/>
    <w:rsid w:val="00E96F95"/>
    <w:rsid w:val="00E973BA"/>
    <w:rsid w:val="00E97400"/>
    <w:rsid w:val="00E974B7"/>
    <w:rsid w:val="00E97664"/>
    <w:rsid w:val="00E978DE"/>
    <w:rsid w:val="00E97B33"/>
    <w:rsid w:val="00E97DAD"/>
    <w:rsid w:val="00E97DB0"/>
    <w:rsid w:val="00EA0352"/>
    <w:rsid w:val="00EA0487"/>
    <w:rsid w:val="00EA0725"/>
    <w:rsid w:val="00EA0B72"/>
    <w:rsid w:val="00EA11D8"/>
    <w:rsid w:val="00EA126D"/>
    <w:rsid w:val="00EA16DC"/>
    <w:rsid w:val="00EA19A0"/>
    <w:rsid w:val="00EA1CB6"/>
    <w:rsid w:val="00EA1CE3"/>
    <w:rsid w:val="00EA1D6E"/>
    <w:rsid w:val="00EA23BA"/>
    <w:rsid w:val="00EA263A"/>
    <w:rsid w:val="00EA2B7F"/>
    <w:rsid w:val="00EA2C74"/>
    <w:rsid w:val="00EA2C9E"/>
    <w:rsid w:val="00EA2DCE"/>
    <w:rsid w:val="00EA2E6C"/>
    <w:rsid w:val="00EA2FCE"/>
    <w:rsid w:val="00EA3199"/>
    <w:rsid w:val="00EA3236"/>
    <w:rsid w:val="00EA3262"/>
    <w:rsid w:val="00EA3345"/>
    <w:rsid w:val="00EA3487"/>
    <w:rsid w:val="00EA34D9"/>
    <w:rsid w:val="00EA3842"/>
    <w:rsid w:val="00EA39AD"/>
    <w:rsid w:val="00EA3AED"/>
    <w:rsid w:val="00EA3C16"/>
    <w:rsid w:val="00EA3CBD"/>
    <w:rsid w:val="00EA3F62"/>
    <w:rsid w:val="00EA413B"/>
    <w:rsid w:val="00EA41FE"/>
    <w:rsid w:val="00EA4333"/>
    <w:rsid w:val="00EA479F"/>
    <w:rsid w:val="00EA4C28"/>
    <w:rsid w:val="00EA4FEA"/>
    <w:rsid w:val="00EA5016"/>
    <w:rsid w:val="00EA507C"/>
    <w:rsid w:val="00EA5150"/>
    <w:rsid w:val="00EA5220"/>
    <w:rsid w:val="00EA5265"/>
    <w:rsid w:val="00EA52D6"/>
    <w:rsid w:val="00EA5505"/>
    <w:rsid w:val="00EA559E"/>
    <w:rsid w:val="00EA571B"/>
    <w:rsid w:val="00EA5829"/>
    <w:rsid w:val="00EA5A6B"/>
    <w:rsid w:val="00EA5AB9"/>
    <w:rsid w:val="00EA5DF1"/>
    <w:rsid w:val="00EA5E7D"/>
    <w:rsid w:val="00EA6123"/>
    <w:rsid w:val="00EA6582"/>
    <w:rsid w:val="00EA6B1B"/>
    <w:rsid w:val="00EA7658"/>
    <w:rsid w:val="00EA77C1"/>
    <w:rsid w:val="00EA787F"/>
    <w:rsid w:val="00EA7C74"/>
    <w:rsid w:val="00EA7C86"/>
    <w:rsid w:val="00EB004A"/>
    <w:rsid w:val="00EB01C3"/>
    <w:rsid w:val="00EB043D"/>
    <w:rsid w:val="00EB06AE"/>
    <w:rsid w:val="00EB077E"/>
    <w:rsid w:val="00EB08A3"/>
    <w:rsid w:val="00EB08F4"/>
    <w:rsid w:val="00EB094F"/>
    <w:rsid w:val="00EB0B62"/>
    <w:rsid w:val="00EB1521"/>
    <w:rsid w:val="00EB1601"/>
    <w:rsid w:val="00EB1861"/>
    <w:rsid w:val="00EB1C0F"/>
    <w:rsid w:val="00EB1C13"/>
    <w:rsid w:val="00EB1E4F"/>
    <w:rsid w:val="00EB1FF1"/>
    <w:rsid w:val="00EB20DB"/>
    <w:rsid w:val="00EB2163"/>
    <w:rsid w:val="00EB2876"/>
    <w:rsid w:val="00EB2958"/>
    <w:rsid w:val="00EB2D5D"/>
    <w:rsid w:val="00EB2F4F"/>
    <w:rsid w:val="00EB3077"/>
    <w:rsid w:val="00EB3106"/>
    <w:rsid w:val="00EB3284"/>
    <w:rsid w:val="00EB341B"/>
    <w:rsid w:val="00EB3633"/>
    <w:rsid w:val="00EB3728"/>
    <w:rsid w:val="00EB3764"/>
    <w:rsid w:val="00EB3C4B"/>
    <w:rsid w:val="00EB3FB9"/>
    <w:rsid w:val="00EB3FE0"/>
    <w:rsid w:val="00EB4077"/>
    <w:rsid w:val="00EB43E9"/>
    <w:rsid w:val="00EB44DB"/>
    <w:rsid w:val="00EB486C"/>
    <w:rsid w:val="00EB49E4"/>
    <w:rsid w:val="00EB4BFA"/>
    <w:rsid w:val="00EB4E30"/>
    <w:rsid w:val="00EB4F10"/>
    <w:rsid w:val="00EB4F8C"/>
    <w:rsid w:val="00EB5035"/>
    <w:rsid w:val="00EB5312"/>
    <w:rsid w:val="00EB5690"/>
    <w:rsid w:val="00EB58C9"/>
    <w:rsid w:val="00EB591C"/>
    <w:rsid w:val="00EB5A2B"/>
    <w:rsid w:val="00EB5B0D"/>
    <w:rsid w:val="00EB5B68"/>
    <w:rsid w:val="00EB5C1E"/>
    <w:rsid w:val="00EB5E47"/>
    <w:rsid w:val="00EB62C7"/>
    <w:rsid w:val="00EB6344"/>
    <w:rsid w:val="00EB6EC2"/>
    <w:rsid w:val="00EB6EF4"/>
    <w:rsid w:val="00EB6F1B"/>
    <w:rsid w:val="00EB7503"/>
    <w:rsid w:val="00EB7533"/>
    <w:rsid w:val="00EB75D1"/>
    <w:rsid w:val="00EB768A"/>
    <w:rsid w:val="00EB7927"/>
    <w:rsid w:val="00EB7CE4"/>
    <w:rsid w:val="00EB7DBD"/>
    <w:rsid w:val="00EB7E30"/>
    <w:rsid w:val="00EB7E52"/>
    <w:rsid w:val="00EC0261"/>
    <w:rsid w:val="00EC02A5"/>
    <w:rsid w:val="00EC05F0"/>
    <w:rsid w:val="00EC0983"/>
    <w:rsid w:val="00EC0BA9"/>
    <w:rsid w:val="00EC0F1F"/>
    <w:rsid w:val="00EC0F30"/>
    <w:rsid w:val="00EC1104"/>
    <w:rsid w:val="00EC139D"/>
    <w:rsid w:val="00EC13BC"/>
    <w:rsid w:val="00EC1719"/>
    <w:rsid w:val="00EC17EF"/>
    <w:rsid w:val="00EC193D"/>
    <w:rsid w:val="00EC19F4"/>
    <w:rsid w:val="00EC1FAF"/>
    <w:rsid w:val="00EC2389"/>
    <w:rsid w:val="00EC25EF"/>
    <w:rsid w:val="00EC2692"/>
    <w:rsid w:val="00EC2727"/>
    <w:rsid w:val="00EC2806"/>
    <w:rsid w:val="00EC29B8"/>
    <w:rsid w:val="00EC29CB"/>
    <w:rsid w:val="00EC2BB9"/>
    <w:rsid w:val="00EC2DE7"/>
    <w:rsid w:val="00EC2E6C"/>
    <w:rsid w:val="00EC2FC6"/>
    <w:rsid w:val="00EC3736"/>
    <w:rsid w:val="00EC3908"/>
    <w:rsid w:val="00EC3917"/>
    <w:rsid w:val="00EC3ADF"/>
    <w:rsid w:val="00EC3B20"/>
    <w:rsid w:val="00EC3B41"/>
    <w:rsid w:val="00EC3B8A"/>
    <w:rsid w:val="00EC3CEF"/>
    <w:rsid w:val="00EC44F1"/>
    <w:rsid w:val="00EC499F"/>
    <w:rsid w:val="00EC4B14"/>
    <w:rsid w:val="00EC4BF9"/>
    <w:rsid w:val="00EC528B"/>
    <w:rsid w:val="00EC5494"/>
    <w:rsid w:val="00EC55F2"/>
    <w:rsid w:val="00EC5C37"/>
    <w:rsid w:val="00EC5C7E"/>
    <w:rsid w:val="00EC5CE6"/>
    <w:rsid w:val="00EC5DB1"/>
    <w:rsid w:val="00EC5FAA"/>
    <w:rsid w:val="00EC5FDB"/>
    <w:rsid w:val="00EC6296"/>
    <w:rsid w:val="00EC629A"/>
    <w:rsid w:val="00EC64F7"/>
    <w:rsid w:val="00EC6545"/>
    <w:rsid w:val="00EC660D"/>
    <w:rsid w:val="00EC66F2"/>
    <w:rsid w:val="00EC6D18"/>
    <w:rsid w:val="00EC6F67"/>
    <w:rsid w:val="00EC73F4"/>
    <w:rsid w:val="00EC744C"/>
    <w:rsid w:val="00EC76B5"/>
    <w:rsid w:val="00EC77BA"/>
    <w:rsid w:val="00EC7805"/>
    <w:rsid w:val="00EC7A8C"/>
    <w:rsid w:val="00EC7B0C"/>
    <w:rsid w:val="00EC7CFC"/>
    <w:rsid w:val="00ED08F6"/>
    <w:rsid w:val="00ED0E39"/>
    <w:rsid w:val="00ED125D"/>
    <w:rsid w:val="00ED138A"/>
    <w:rsid w:val="00ED13F1"/>
    <w:rsid w:val="00ED15A1"/>
    <w:rsid w:val="00ED1870"/>
    <w:rsid w:val="00ED18AF"/>
    <w:rsid w:val="00ED1987"/>
    <w:rsid w:val="00ED1ADA"/>
    <w:rsid w:val="00ED2482"/>
    <w:rsid w:val="00ED24C7"/>
    <w:rsid w:val="00ED273E"/>
    <w:rsid w:val="00ED2753"/>
    <w:rsid w:val="00ED278F"/>
    <w:rsid w:val="00ED28CE"/>
    <w:rsid w:val="00ED2923"/>
    <w:rsid w:val="00ED2960"/>
    <w:rsid w:val="00ED2BBB"/>
    <w:rsid w:val="00ED2C1D"/>
    <w:rsid w:val="00ED2EF5"/>
    <w:rsid w:val="00ED3124"/>
    <w:rsid w:val="00ED337C"/>
    <w:rsid w:val="00ED34C7"/>
    <w:rsid w:val="00ED35CC"/>
    <w:rsid w:val="00ED3776"/>
    <w:rsid w:val="00ED3A0D"/>
    <w:rsid w:val="00ED3C10"/>
    <w:rsid w:val="00ED3F17"/>
    <w:rsid w:val="00ED4069"/>
    <w:rsid w:val="00ED4243"/>
    <w:rsid w:val="00ED458B"/>
    <w:rsid w:val="00ED45D7"/>
    <w:rsid w:val="00ED46D6"/>
    <w:rsid w:val="00ED471E"/>
    <w:rsid w:val="00ED47C0"/>
    <w:rsid w:val="00ED492D"/>
    <w:rsid w:val="00ED4D26"/>
    <w:rsid w:val="00ED4D48"/>
    <w:rsid w:val="00ED4E3C"/>
    <w:rsid w:val="00ED509E"/>
    <w:rsid w:val="00ED5195"/>
    <w:rsid w:val="00ED5225"/>
    <w:rsid w:val="00ED53C1"/>
    <w:rsid w:val="00ED5EBD"/>
    <w:rsid w:val="00ED6450"/>
    <w:rsid w:val="00ED646B"/>
    <w:rsid w:val="00ED6678"/>
    <w:rsid w:val="00ED6745"/>
    <w:rsid w:val="00ED6AA7"/>
    <w:rsid w:val="00ED6AC3"/>
    <w:rsid w:val="00ED6CA1"/>
    <w:rsid w:val="00ED6FCF"/>
    <w:rsid w:val="00ED70A8"/>
    <w:rsid w:val="00ED7226"/>
    <w:rsid w:val="00ED72CB"/>
    <w:rsid w:val="00ED735E"/>
    <w:rsid w:val="00ED7479"/>
    <w:rsid w:val="00ED758C"/>
    <w:rsid w:val="00ED7594"/>
    <w:rsid w:val="00ED76C1"/>
    <w:rsid w:val="00ED79FC"/>
    <w:rsid w:val="00ED7C3D"/>
    <w:rsid w:val="00ED7E8B"/>
    <w:rsid w:val="00ED7F26"/>
    <w:rsid w:val="00EE0180"/>
    <w:rsid w:val="00EE06BF"/>
    <w:rsid w:val="00EE07F3"/>
    <w:rsid w:val="00EE0D34"/>
    <w:rsid w:val="00EE0EE4"/>
    <w:rsid w:val="00EE10D9"/>
    <w:rsid w:val="00EE1115"/>
    <w:rsid w:val="00EE1281"/>
    <w:rsid w:val="00EE1380"/>
    <w:rsid w:val="00EE1411"/>
    <w:rsid w:val="00EE1588"/>
    <w:rsid w:val="00EE1936"/>
    <w:rsid w:val="00EE19FB"/>
    <w:rsid w:val="00EE29D8"/>
    <w:rsid w:val="00EE2A2A"/>
    <w:rsid w:val="00EE2AF2"/>
    <w:rsid w:val="00EE2B72"/>
    <w:rsid w:val="00EE2C7D"/>
    <w:rsid w:val="00EE2E42"/>
    <w:rsid w:val="00EE2E74"/>
    <w:rsid w:val="00EE304F"/>
    <w:rsid w:val="00EE3260"/>
    <w:rsid w:val="00EE343B"/>
    <w:rsid w:val="00EE3A5E"/>
    <w:rsid w:val="00EE3A78"/>
    <w:rsid w:val="00EE3AFB"/>
    <w:rsid w:val="00EE4308"/>
    <w:rsid w:val="00EE471E"/>
    <w:rsid w:val="00EE4CC7"/>
    <w:rsid w:val="00EE4E32"/>
    <w:rsid w:val="00EE4E88"/>
    <w:rsid w:val="00EE4EFF"/>
    <w:rsid w:val="00EE5037"/>
    <w:rsid w:val="00EE51B5"/>
    <w:rsid w:val="00EE5278"/>
    <w:rsid w:val="00EE5424"/>
    <w:rsid w:val="00EE5467"/>
    <w:rsid w:val="00EE54F6"/>
    <w:rsid w:val="00EE565F"/>
    <w:rsid w:val="00EE579B"/>
    <w:rsid w:val="00EE5887"/>
    <w:rsid w:val="00EE5981"/>
    <w:rsid w:val="00EE5B82"/>
    <w:rsid w:val="00EE5CBA"/>
    <w:rsid w:val="00EE61A0"/>
    <w:rsid w:val="00EE6210"/>
    <w:rsid w:val="00EE6260"/>
    <w:rsid w:val="00EE6A07"/>
    <w:rsid w:val="00EE6A45"/>
    <w:rsid w:val="00EE6AE6"/>
    <w:rsid w:val="00EE6B9C"/>
    <w:rsid w:val="00EE6C04"/>
    <w:rsid w:val="00EE6C5B"/>
    <w:rsid w:val="00EE6D16"/>
    <w:rsid w:val="00EE718B"/>
    <w:rsid w:val="00EE7489"/>
    <w:rsid w:val="00EE756B"/>
    <w:rsid w:val="00EE7821"/>
    <w:rsid w:val="00EE79D8"/>
    <w:rsid w:val="00EE7BFA"/>
    <w:rsid w:val="00EF07B6"/>
    <w:rsid w:val="00EF07E1"/>
    <w:rsid w:val="00EF08AB"/>
    <w:rsid w:val="00EF0992"/>
    <w:rsid w:val="00EF0CF1"/>
    <w:rsid w:val="00EF0D57"/>
    <w:rsid w:val="00EF0EE8"/>
    <w:rsid w:val="00EF0F1A"/>
    <w:rsid w:val="00EF0F83"/>
    <w:rsid w:val="00EF12C2"/>
    <w:rsid w:val="00EF12EC"/>
    <w:rsid w:val="00EF13FD"/>
    <w:rsid w:val="00EF14B2"/>
    <w:rsid w:val="00EF1653"/>
    <w:rsid w:val="00EF17C3"/>
    <w:rsid w:val="00EF1854"/>
    <w:rsid w:val="00EF1B69"/>
    <w:rsid w:val="00EF1CA6"/>
    <w:rsid w:val="00EF2278"/>
    <w:rsid w:val="00EF229A"/>
    <w:rsid w:val="00EF2364"/>
    <w:rsid w:val="00EF2365"/>
    <w:rsid w:val="00EF2483"/>
    <w:rsid w:val="00EF26A9"/>
    <w:rsid w:val="00EF277C"/>
    <w:rsid w:val="00EF2D4E"/>
    <w:rsid w:val="00EF2E79"/>
    <w:rsid w:val="00EF2F29"/>
    <w:rsid w:val="00EF2FA1"/>
    <w:rsid w:val="00EF30AA"/>
    <w:rsid w:val="00EF364A"/>
    <w:rsid w:val="00EF374E"/>
    <w:rsid w:val="00EF3765"/>
    <w:rsid w:val="00EF3CFD"/>
    <w:rsid w:val="00EF3DA0"/>
    <w:rsid w:val="00EF3DF7"/>
    <w:rsid w:val="00EF4456"/>
    <w:rsid w:val="00EF4590"/>
    <w:rsid w:val="00EF4653"/>
    <w:rsid w:val="00EF4738"/>
    <w:rsid w:val="00EF48C6"/>
    <w:rsid w:val="00EF495A"/>
    <w:rsid w:val="00EF49FC"/>
    <w:rsid w:val="00EF4A38"/>
    <w:rsid w:val="00EF4C5F"/>
    <w:rsid w:val="00EF4DC9"/>
    <w:rsid w:val="00EF5015"/>
    <w:rsid w:val="00EF507E"/>
    <w:rsid w:val="00EF5143"/>
    <w:rsid w:val="00EF5769"/>
    <w:rsid w:val="00EF5902"/>
    <w:rsid w:val="00EF59A4"/>
    <w:rsid w:val="00EF5A75"/>
    <w:rsid w:val="00EF5D73"/>
    <w:rsid w:val="00EF5EE0"/>
    <w:rsid w:val="00EF6390"/>
    <w:rsid w:val="00EF641F"/>
    <w:rsid w:val="00EF64C7"/>
    <w:rsid w:val="00EF65B6"/>
    <w:rsid w:val="00EF65CF"/>
    <w:rsid w:val="00EF660F"/>
    <w:rsid w:val="00EF6737"/>
    <w:rsid w:val="00EF69EE"/>
    <w:rsid w:val="00EF6B12"/>
    <w:rsid w:val="00EF6B57"/>
    <w:rsid w:val="00EF6F4D"/>
    <w:rsid w:val="00EF71B3"/>
    <w:rsid w:val="00EF71D1"/>
    <w:rsid w:val="00EF7206"/>
    <w:rsid w:val="00EF779C"/>
    <w:rsid w:val="00EF77D8"/>
    <w:rsid w:val="00EF7812"/>
    <w:rsid w:val="00EF7C51"/>
    <w:rsid w:val="00EF7E72"/>
    <w:rsid w:val="00EF7EE8"/>
    <w:rsid w:val="00F00094"/>
    <w:rsid w:val="00F002FA"/>
    <w:rsid w:val="00F00520"/>
    <w:rsid w:val="00F00955"/>
    <w:rsid w:val="00F00A58"/>
    <w:rsid w:val="00F00B85"/>
    <w:rsid w:val="00F00B9F"/>
    <w:rsid w:val="00F00D28"/>
    <w:rsid w:val="00F00E79"/>
    <w:rsid w:val="00F00EA2"/>
    <w:rsid w:val="00F00ED8"/>
    <w:rsid w:val="00F00FFF"/>
    <w:rsid w:val="00F0135B"/>
    <w:rsid w:val="00F013F8"/>
    <w:rsid w:val="00F0157D"/>
    <w:rsid w:val="00F01A79"/>
    <w:rsid w:val="00F01C0C"/>
    <w:rsid w:val="00F01DA6"/>
    <w:rsid w:val="00F01DF6"/>
    <w:rsid w:val="00F01F23"/>
    <w:rsid w:val="00F02053"/>
    <w:rsid w:val="00F022EF"/>
    <w:rsid w:val="00F02323"/>
    <w:rsid w:val="00F025A4"/>
    <w:rsid w:val="00F0274B"/>
    <w:rsid w:val="00F0282D"/>
    <w:rsid w:val="00F028B7"/>
    <w:rsid w:val="00F029DE"/>
    <w:rsid w:val="00F02B6B"/>
    <w:rsid w:val="00F02BD8"/>
    <w:rsid w:val="00F02D1B"/>
    <w:rsid w:val="00F02FC2"/>
    <w:rsid w:val="00F02FE1"/>
    <w:rsid w:val="00F03131"/>
    <w:rsid w:val="00F03397"/>
    <w:rsid w:val="00F03449"/>
    <w:rsid w:val="00F035F9"/>
    <w:rsid w:val="00F03AD5"/>
    <w:rsid w:val="00F03AFD"/>
    <w:rsid w:val="00F03BEC"/>
    <w:rsid w:val="00F03FE2"/>
    <w:rsid w:val="00F0428A"/>
    <w:rsid w:val="00F04387"/>
    <w:rsid w:val="00F04480"/>
    <w:rsid w:val="00F049B5"/>
    <w:rsid w:val="00F04A43"/>
    <w:rsid w:val="00F04E9F"/>
    <w:rsid w:val="00F04F32"/>
    <w:rsid w:val="00F054B3"/>
    <w:rsid w:val="00F05556"/>
    <w:rsid w:val="00F0578A"/>
    <w:rsid w:val="00F057FA"/>
    <w:rsid w:val="00F05975"/>
    <w:rsid w:val="00F05AB1"/>
    <w:rsid w:val="00F05B94"/>
    <w:rsid w:val="00F05D3F"/>
    <w:rsid w:val="00F05DED"/>
    <w:rsid w:val="00F05FFB"/>
    <w:rsid w:val="00F0642A"/>
    <w:rsid w:val="00F067F7"/>
    <w:rsid w:val="00F06A9C"/>
    <w:rsid w:val="00F06D7F"/>
    <w:rsid w:val="00F06E03"/>
    <w:rsid w:val="00F06EAE"/>
    <w:rsid w:val="00F071AD"/>
    <w:rsid w:val="00F0728E"/>
    <w:rsid w:val="00F0742D"/>
    <w:rsid w:val="00F07580"/>
    <w:rsid w:val="00F075C7"/>
    <w:rsid w:val="00F075DA"/>
    <w:rsid w:val="00F0794B"/>
    <w:rsid w:val="00F07A10"/>
    <w:rsid w:val="00F07ACC"/>
    <w:rsid w:val="00F07DBD"/>
    <w:rsid w:val="00F07DF5"/>
    <w:rsid w:val="00F102C8"/>
    <w:rsid w:val="00F1033A"/>
    <w:rsid w:val="00F10356"/>
    <w:rsid w:val="00F105BA"/>
    <w:rsid w:val="00F105E2"/>
    <w:rsid w:val="00F1074A"/>
    <w:rsid w:val="00F108D0"/>
    <w:rsid w:val="00F10993"/>
    <w:rsid w:val="00F10C7E"/>
    <w:rsid w:val="00F10DC6"/>
    <w:rsid w:val="00F10FFF"/>
    <w:rsid w:val="00F11236"/>
    <w:rsid w:val="00F114E5"/>
    <w:rsid w:val="00F1171C"/>
    <w:rsid w:val="00F1176D"/>
    <w:rsid w:val="00F118B7"/>
    <w:rsid w:val="00F11B1C"/>
    <w:rsid w:val="00F11E0B"/>
    <w:rsid w:val="00F12031"/>
    <w:rsid w:val="00F121B6"/>
    <w:rsid w:val="00F123C4"/>
    <w:rsid w:val="00F12AE8"/>
    <w:rsid w:val="00F12B16"/>
    <w:rsid w:val="00F13372"/>
    <w:rsid w:val="00F136A6"/>
    <w:rsid w:val="00F13728"/>
    <w:rsid w:val="00F13BA2"/>
    <w:rsid w:val="00F13C51"/>
    <w:rsid w:val="00F13D0F"/>
    <w:rsid w:val="00F13E20"/>
    <w:rsid w:val="00F14004"/>
    <w:rsid w:val="00F1430A"/>
    <w:rsid w:val="00F14581"/>
    <w:rsid w:val="00F1496E"/>
    <w:rsid w:val="00F14A87"/>
    <w:rsid w:val="00F14CE9"/>
    <w:rsid w:val="00F14EED"/>
    <w:rsid w:val="00F14FBB"/>
    <w:rsid w:val="00F15018"/>
    <w:rsid w:val="00F15178"/>
    <w:rsid w:val="00F152D6"/>
    <w:rsid w:val="00F152EF"/>
    <w:rsid w:val="00F1555F"/>
    <w:rsid w:val="00F15BD8"/>
    <w:rsid w:val="00F15D62"/>
    <w:rsid w:val="00F15E33"/>
    <w:rsid w:val="00F15F93"/>
    <w:rsid w:val="00F1605B"/>
    <w:rsid w:val="00F1614E"/>
    <w:rsid w:val="00F161E1"/>
    <w:rsid w:val="00F16584"/>
    <w:rsid w:val="00F16732"/>
    <w:rsid w:val="00F16796"/>
    <w:rsid w:val="00F16EE3"/>
    <w:rsid w:val="00F16F55"/>
    <w:rsid w:val="00F16F77"/>
    <w:rsid w:val="00F17069"/>
    <w:rsid w:val="00F1706C"/>
    <w:rsid w:val="00F170A1"/>
    <w:rsid w:val="00F17305"/>
    <w:rsid w:val="00F1753A"/>
    <w:rsid w:val="00F178C3"/>
    <w:rsid w:val="00F17D27"/>
    <w:rsid w:val="00F17EA6"/>
    <w:rsid w:val="00F20105"/>
    <w:rsid w:val="00F201F5"/>
    <w:rsid w:val="00F203FB"/>
    <w:rsid w:val="00F20464"/>
    <w:rsid w:val="00F2048B"/>
    <w:rsid w:val="00F2078E"/>
    <w:rsid w:val="00F20A6F"/>
    <w:rsid w:val="00F20CD4"/>
    <w:rsid w:val="00F215AD"/>
    <w:rsid w:val="00F21887"/>
    <w:rsid w:val="00F219EE"/>
    <w:rsid w:val="00F21BAE"/>
    <w:rsid w:val="00F21DAB"/>
    <w:rsid w:val="00F22081"/>
    <w:rsid w:val="00F2227D"/>
    <w:rsid w:val="00F22359"/>
    <w:rsid w:val="00F223C5"/>
    <w:rsid w:val="00F2269C"/>
    <w:rsid w:val="00F2286F"/>
    <w:rsid w:val="00F22D3C"/>
    <w:rsid w:val="00F22D42"/>
    <w:rsid w:val="00F22E33"/>
    <w:rsid w:val="00F22EC5"/>
    <w:rsid w:val="00F22FF3"/>
    <w:rsid w:val="00F2306E"/>
    <w:rsid w:val="00F233E0"/>
    <w:rsid w:val="00F23577"/>
    <w:rsid w:val="00F23763"/>
    <w:rsid w:val="00F23783"/>
    <w:rsid w:val="00F23D33"/>
    <w:rsid w:val="00F23F7A"/>
    <w:rsid w:val="00F2402A"/>
    <w:rsid w:val="00F24116"/>
    <w:rsid w:val="00F24181"/>
    <w:rsid w:val="00F24294"/>
    <w:rsid w:val="00F244AB"/>
    <w:rsid w:val="00F2467B"/>
    <w:rsid w:val="00F24994"/>
    <w:rsid w:val="00F24AF7"/>
    <w:rsid w:val="00F24B5B"/>
    <w:rsid w:val="00F2574F"/>
    <w:rsid w:val="00F25B6C"/>
    <w:rsid w:val="00F25B9B"/>
    <w:rsid w:val="00F25FC0"/>
    <w:rsid w:val="00F260CA"/>
    <w:rsid w:val="00F26365"/>
    <w:rsid w:val="00F26456"/>
    <w:rsid w:val="00F266A1"/>
    <w:rsid w:val="00F266E1"/>
    <w:rsid w:val="00F26981"/>
    <w:rsid w:val="00F26DB5"/>
    <w:rsid w:val="00F26DEA"/>
    <w:rsid w:val="00F27306"/>
    <w:rsid w:val="00F277DD"/>
    <w:rsid w:val="00F27858"/>
    <w:rsid w:val="00F27A35"/>
    <w:rsid w:val="00F27B7F"/>
    <w:rsid w:val="00F27C7E"/>
    <w:rsid w:val="00F27E83"/>
    <w:rsid w:val="00F30352"/>
    <w:rsid w:val="00F3078E"/>
    <w:rsid w:val="00F30CCE"/>
    <w:rsid w:val="00F30D5A"/>
    <w:rsid w:val="00F30DDF"/>
    <w:rsid w:val="00F30FA9"/>
    <w:rsid w:val="00F31075"/>
    <w:rsid w:val="00F31199"/>
    <w:rsid w:val="00F31217"/>
    <w:rsid w:val="00F31BEB"/>
    <w:rsid w:val="00F31C71"/>
    <w:rsid w:val="00F31F80"/>
    <w:rsid w:val="00F321AB"/>
    <w:rsid w:val="00F32744"/>
    <w:rsid w:val="00F329A6"/>
    <w:rsid w:val="00F329D1"/>
    <w:rsid w:val="00F32A02"/>
    <w:rsid w:val="00F32EC6"/>
    <w:rsid w:val="00F3308D"/>
    <w:rsid w:val="00F33554"/>
    <w:rsid w:val="00F338FE"/>
    <w:rsid w:val="00F33FBC"/>
    <w:rsid w:val="00F34026"/>
    <w:rsid w:val="00F3402A"/>
    <w:rsid w:val="00F34058"/>
    <w:rsid w:val="00F3437D"/>
    <w:rsid w:val="00F345B0"/>
    <w:rsid w:val="00F3465D"/>
    <w:rsid w:val="00F346D9"/>
    <w:rsid w:val="00F347B1"/>
    <w:rsid w:val="00F347C1"/>
    <w:rsid w:val="00F34ACD"/>
    <w:rsid w:val="00F34CE8"/>
    <w:rsid w:val="00F35338"/>
    <w:rsid w:val="00F354FF"/>
    <w:rsid w:val="00F359B8"/>
    <w:rsid w:val="00F35AC9"/>
    <w:rsid w:val="00F35BC4"/>
    <w:rsid w:val="00F35C3C"/>
    <w:rsid w:val="00F35D8B"/>
    <w:rsid w:val="00F35F78"/>
    <w:rsid w:val="00F3630D"/>
    <w:rsid w:val="00F36347"/>
    <w:rsid w:val="00F363F5"/>
    <w:rsid w:val="00F36806"/>
    <w:rsid w:val="00F368EA"/>
    <w:rsid w:val="00F36A63"/>
    <w:rsid w:val="00F36BF3"/>
    <w:rsid w:val="00F36CB2"/>
    <w:rsid w:val="00F36DD4"/>
    <w:rsid w:val="00F36E8B"/>
    <w:rsid w:val="00F37414"/>
    <w:rsid w:val="00F3755C"/>
    <w:rsid w:val="00F3769F"/>
    <w:rsid w:val="00F377C3"/>
    <w:rsid w:val="00F37829"/>
    <w:rsid w:val="00F37C0C"/>
    <w:rsid w:val="00F37E51"/>
    <w:rsid w:val="00F40115"/>
    <w:rsid w:val="00F4021A"/>
    <w:rsid w:val="00F404A5"/>
    <w:rsid w:val="00F406AE"/>
    <w:rsid w:val="00F4078E"/>
    <w:rsid w:val="00F40E61"/>
    <w:rsid w:val="00F40E85"/>
    <w:rsid w:val="00F41088"/>
    <w:rsid w:val="00F412BC"/>
    <w:rsid w:val="00F4170C"/>
    <w:rsid w:val="00F4199E"/>
    <w:rsid w:val="00F419C0"/>
    <w:rsid w:val="00F41A89"/>
    <w:rsid w:val="00F41C9C"/>
    <w:rsid w:val="00F41ECF"/>
    <w:rsid w:val="00F41FBA"/>
    <w:rsid w:val="00F42059"/>
    <w:rsid w:val="00F4228B"/>
    <w:rsid w:val="00F423FD"/>
    <w:rsid w:val="00F424EF"/>
    <w:rsid w:val="00F42537"/>
    <w:rsid w:val="00F42563"/>
    <w:rsid w:val="00F42840"/>
    <w:rsid w:val="00F43281"/>
    <w:rsid w:val="00F43415"/>
    <w:rsid w:val="00F43437"/>
    <w:rsid w:val="00F4348A"/>
    <w:rsid w:val="00F4356F"/>
    <w:rsid w:val="00F435A2"/>
    <w:rsid w:val="00F439C5"/>
    <w:rsid w:val="00F43B34"/>
    <w:rsid w:val="00F44338"/>
    <w:rsid w:val="00F44844"/>
    <w:rsid w:val="00F44C42"/>
    <w:rsid w:val="00F44CDB"/>
    <w:rsid w:val="00F44EBC"/>
    <w:rsid w:val="00F45552"/>
    <w:rsid w:val="00F45612"/>
    <w:rsid w:val="00F45841"/>
    <w:rsid w:val="00F4591B"/>
    <w:rsid w:val="00F45A22"/>
    <w:rsid w:val="00F45BDA"/>
    <w:rsid w:val="00F45C17"/>
    <w:rsid w:val="00F45CA1"/>
    <w:rsid w:val="00F45DE6"/>
    <w:rsid w:val="00F45DED"/>
    <w:rsid w:val="00F4650C"/>
    <w:rsid w:val="00F4651E"/>
    <w:rsid w:val="00F465A2"/>
    <w:rsid w:val="00F46755"/>
    <w:rsid w:val="00F46869"/>
    <w:rsid w:val="00F46956"/>
    <w:rsid w:val="00F469F8"/>
    <w:rsid w:val="00F46C0B"/>
    <w:rsid w:val="00F46E45"/>
    <w:rsid w:val="00F46E71"/>
    <w:rsid w:val="00F47238"/>
    <w:rsid w:val="00F4724B"/>
    <w:rsid w:val="00F473F5"/>
    <w:rsid w:val="00F4749E"/>
    <w:rsid w:val="00F47957"/>
    <w:rsid w:val="00F47CFD"/>
    <w:rsid w:val="00F47E84"/>
    <w:rsid w:val="00F500D4"/>
    <w:rsid w:val="00F5027F"/>
    <w:rsid w:val="00F50557"/>
    <w:rsid w:val="00F50C6E"/>
    <w:rsid w:val="00F50DB0"/>
    <w:rsid w:val="00F510D9"/>
    <w:rsid w:val="00F5184E"/>
    <w:rsid w:val="00F519AE"/>
    <w:rsid w:val="00F51F0C"/>
    <w:rsid w:val="00F51F9A"/>
    <w:rsid w:val="00F51FCA"/>
    <w:rsid w:val="00F520D6"/>
    <w:rsid w:val="00F526C0"/>
    <w:rsid w:val="00F52745"/>
    <w:rsid w:val="00F5297C"/>
    <w:rsid w:val="00F52986"/>
    <w:rsid w:val="00F52F98"/>
    <w:rsid w:val="00F5321A"/>
    <w:rsid w:val="00F53364"/>
    <w:rsid w:val="00F5337E"/>
    <w:rsid w:val="00F53597"/>
    <w:rsid w:val="00F53ECB"/>
    <w:rsid w:val="00F53EEF"/>
    <w:rsid w:val="00F53EF0"/>
    <w:rsid w:val="00F5402A"/>
    <w:rsid w:val="00F54232"/>
    <w:rsid w:val="00F54626"/>
    <w:rsid w:val="00F547CF"/>
    <w:rsid w:val="00F54A14"/>
    <w:rsid w:val="00F54D8D"/>
    <w:rsid w:val="00F55327"/>
    <w:rsid w:val="00F55328"/>
    <w:rsid w:val="00F5535B"/>
    <w:rsid w:val="00F557B8"/>
    <w:rsid w:val="00F55933"/>
    <w:rsid w:val="00F5599F"/>
    <w:rsid w:val="00F56368"/>
    <w:rsid w:val="00F5657B"/>
    <w:rsid w:val="00F565D8"/>
    <w:rsid w:val="00F5669C"/>
    <w:rsid w:val="00F56B31"/>
    <w:rsid w:val="00F56C2C"/>
    <w:rsid w:val="00F56D61"/>
    <w:rsid w:val="00F56DA1"/>
    <w:rsid w:val="00F56E65"/>
    <w:rsid w:val="00F56F69"/>
    <w:rsid w:val="00F571BB"/>
    <w:rsid w:val="00F57AE4"/>
    <w:rsid w:val="00F57B1F"/>
    <w:rsid w:val="00F57B8E"/>
    <w:rsid w:val="00F57BC2"/>
    <w:rsid w:val="00F57CBD"/>
    <w:rsid w:val="00F57D6A"/>
    <w:rsid w:val="00F600C0"/>
    <w:rsid w:val="00F60185"/>
    <w:rsid w:val="00F6034D"/>
    <w:rsid w:val="00F60544"/>
    <w:rsid w:val="00F6065E"/>
    <w:rsid w:val="00F608BD"/>
    <w:rsid w:val="00F608C9"/>
    <w:rsid w:val="00F609CF"/>
    <w:rsid w:val="00F60A5A"/>
    <w:rsid w:val="00F60C5D"/>
    <w:rsid w:val="00F60D0B"/>
    <w:rsid w:val="00F60EE6"/>
    <w:rsid w:val="00F61346"/>
    <w:rsid w:val="00F6151C"/>
    <w:rsid w:val="00F61672"/>
    <w:rsid w:val="00F61692"/>
    <w:rsid w:val="00F616CC"/>
    <w:rsid w:val="00F616D5"/>
    <w:rsid w:val="00F6173E"/>
    <w:rsid w:val="00F61997"/>
    <w:rsid w:val="00F619CF"/>
    <w:rsid w:val="00F61AFF"/>
    <w:rsid w:val="00F61BDF"/>
    <w:rsid w:val="00F61EAD"/>
    <w:rsid w:val="00F61F12"/>
    <w:rsid w:val="00F620AA"/>
    <w:rsid w:val="00F622CF"/>
    <w:rsid w:val="00F62361"/>
    <w:rsid w:val="00F625C9"/>
    <w:rsid w:val="00F627CB"/>
    <w:rsid w:val="00F62855"/>
    <w:rsid w:val="00F62967"/>
    <w:rsid w:val="00F62976"/>
    <w:rsid w:val="00F62AF7"/>
    <w:rsid w:val="00F62E35"/>
    <w:rsid w:val="00F62ECC"/>
    <w:rsid w:val="00F630D4"/>
    <w:rsid w:val="00F633F9"/>
    <w:rsid w:val="00F63768"/>
    <w:rsid w:val="00F63AD5"/>
    <w:rsid w:val="00F63B1E"/>
    <w:rsid w:val="00F63D67"/>
    <w:rsid w:val="00F63E38"/>
    <w:rsid w:val="00F63EBC"/>
    <w:rsid w:val="00F63F11"/>
    <w:rsid w:val="00F63F16"/>
    <w:rsid w:val="00F63F27"/>
    <w:rsid w:val="00F63FB7"/>
    <w:rsid w:val="00F63FF5"/>
    <w:rsid w:val="00F64102"/>
    <w:rsid w:val="00F6420A"/>
    <w:rsid w:val="00F6423A"/>
    <w:rsid w:val="00F64273"/>
    <w:rsid w:val="00F6451B"/>
    <w:rsid w:val="00F645A8"/>
    <w:rsid w:val="00F64616"/>
    <w:rsid w:val="00F64A38"/>
    <w:rsid w:val="00F64DC4"/>
    <w:rsid w:val="00F64F1F"/>
    <w:rsid w:val="00F64F25"/>
    <w:rsid w:val="00F64FB5"/>
    <w:rsid w:val="00F64FDD"/>
    <w:rsid w:val="00F65007"/>
    <w:rsid w:val="00F6515F"/>
    <w:rsid w:val="00F65A73"/>
    <w:rsid w:val="00F66305"/>
    <w:rsid w:val="00F66699"/>
    <w:rsid w:val="00F666F4"/>
    <w:rsid w:val="00F6677C"/>
    <w:rsid w:val="00F66863"/>
    <w:rsid w:val="00F668F9"/>
    <w:rsid w:val="00F66C51"/>
    <w:rsid w:val="00F6700F"/>
    <w:rsid w:val="00F670B0"/>
    <w:rsid w:val="00F670E1"/>
    <w:rsid w:val="00F67367"/>
    <w:rsid w:val="00F674F2"/>
    <w:rsid w:val="00F67810"/>
    <w:rsid w:val="00F67F98"/>
    <w:rsid w:val="00F7019D"/>
    <w:rsid w:val="00F701F7"/>
    <w:rsid w:val="00F70387"/>
    <w:rsid w:val="00F7046A"/>
    <w:rsid w:val="00F7064E"/>
    <w:rsid w:val="00F70695"/>
    <w:rsid w:val="00F70845"/>
    <w:rsid w:val="00F70989"/>
    <w:rsid w:val="00F70BD8"/>
    <w:rsid w:val="00F70FB7"/>
    <w:rsid w:val="00F71080"/>
    <w:rsid w:val="00F714E3"/>
    <w:rsid w:val="00F715B2"/>
    <w:rsid w:val="00F718C1"/>
    <w:rsid w:val="00F719B2"/>
    <w:rsid w:val="00F71A1F"/>
    <w:rsid w:val="00F71B46"/>
    <w:rsid w:val="00F71E62"/>
    <w:rsid w:val="00F71EFC"/>
    <w:rsid w:val="00F723AF"/>
    <w:rsid w:val="00F72729"/>
    <w:rsid w:val="00F7273C"/>
    <w:rsid w:val="00F728BD"/>
    <w:rsid w:val="00F72BC7"/>
    <w:rsid w:val="00F73017"/>
    <w:rsid w:val="00F73533"/>
    <w:rsid w:val="00F7392D"/>
    <w:rsid w:val="00F7399B"/>
    <w:rsid w:val="00F73BE5"/>
    <w:rsid w:val="00F73BFC"/>
    <w:rsid w:val="00F73C86"/>
    <w:rsid w:val="00F74040"/>
    <w:rsid w:val="00F7407E"/>
    <w:rsid w:val="00F74151"/>
    <w:rsid w:val="00F74370"/>
    <w:rsid w:val="00F74373"/>
    <w:rsid w:val="00F743A1"/>
    <w:rsid w:val="00F743AE"/>
    <w:rsid w:val="00F7443F"/>
    <w:rsid w:val="00F744C5"/>
    <w:rsid w:val="00F74503"/>
    <w:rsid w:val="00F7451E"/>
    <w:rsid w:val="00F745B7"/>
    <w:rsid w:val="00F7466E"/>
    <w:rsid w:val="00F74893"/>
    <w:rsid w:val="00F748B0"/>
    <w:rsid w:val="00F74A79"/>
    <w:rsid w:val="00F74AAB"/>
    <w:rsid w:val="00F74AE7"/>
    <w:rsid w:val="00F74DE0"/>
    <w:rsid w:val="00F74F32"/>
    <w:rsid w:val="00F752E9"/>
    <w:rsid w:val="00F7545F"/>
    <w:rsid w:val="00F75485"/>
    <w:rsid w:val="00F75535"/>
    <w:rsid w:val="00F75549"/>
    <w:rsid w:val="00F756FC"/>
    <w:rsid w:val="00F75A92"/>
    <w:rsid w:val="00F76020"/>
    <w:rsid w:val="00F76259"/>
    <w:rsid w:val="00F763D7"/>
    <w:rsid w:val="00F76556"/>
    <w:rsid w:val="00F76B68"/>
    <w:rsid w:val="00F76D4B"/>
    <w:rsid w:val="00F77172"/>
    <w:rsid w:val="00F7741F"/>
    <w:rsid w:val="00F77553"/>
    <w:rsid w:val="00F775F6"/>
    <w:rsid w:val="00F776CD"/>
    <w:rsid w:val="00F776D0"/>
    <w:rsid w:val="00F778EA"/>
    <w:rsid w:val="00F77FBF"/>
    <w:rsid w:val="00F80056"/>
    <w:rsid w:val="00F805B2"/>
    <w:rsid w:val="00F805D3"/>
    <w:rsid w:val="00F806BC"/>
    <w:rsid w:val="00F80F87"/>
    <w:rsid w:val="00F81219"/>
    <w:rsid w:val="00F8134D"/>
    <w:rsid w:val="00F814E5"/>
    <w:rsid w:val="00F814F2"/>
    <w:rsid w:val="00F81718"/>
    <w:rsid w:val="00F8194F"/>
    <w:rsid w:val="00F81A23"/>
    <w:rsid w:val="00F81A67"/>
    <w:rsid w:val="00F81B70"/>
    <w:rsid w:val="00F81C42"/>
    <w:rsid w:val="00F81C8D"/>
    <w:rsid w:val="00F81CF3"/>
    <w:rsid w:val="00F81E9C"/>
    <w:rsid w:val="00F82097"/>
    <w:rsid w:val="00F820D1"/>
    <w:rsid w:val="00F822B8"/>
    <w:rsid w:val="00F822F8"/>
    <w:rsid w:val="00F82425"/>
    <w:rsid w:val="00F824FA"/>
    <w:rsid w:val="00F828E7"/>
    <w:rsid w:val="00F82AC5"/>
    <w:rsid w:val="00F82B9D"/>
    <w:rsid w:val="00F82C23"/>
    <w:rsid w:val="00F82CCF"/>
    <w:rsid w:val="00F82E0B"/>
    <w:rsid w:val="00F82F5A"/>
    <w:rsid w:val="00F8318A"/>
    <w:rsid w:val="00F832D7"/>
    <w:rsid w:val="00F8330C"/>
    <w:rsid w:val="00F83469"/>
    <w:rsid w:val="00F83488"/>
    <w:rsid w:val="00F83764"/>
    <w:rsid w:val="00F837FB"/>
    <w:rsid w:val="00F839BF"/>
    <w:rsid w:val="00F83C09"/>
    <w:rsid w:val="00F83C4D"/>
    <w:rsid w:val="00F83CA4"/>
    <w:rsid w:val="00F83E92"/>
    <w:rsid w:val="00F83F66"/>
    <w:rsid w:val="00F84114"/>
    <w:rsid w:val="00F84159"/>
    <w:rsid w:val="00F846A6"/>
    <w:rsid w:val="00F8508C"/>
    <w:rsid w:val="00F852DA"/>
    <w:rsid w:val="00F853D4"/>
    <w:rsid w:val="00F85430"/>
    <w:rsid w:val="00F8551B"/>
    <w:rsid w:val="00F855A2"/>
    <w:rsid w:val="00F855EE"/>
    <w:rsid w:val="00F85BD6"/>
    <w:rsid w:val="00F85E08"/>
    <w:rsid w:val="00F85F5D"/>
    <w:rsid w:val="00F86435"/>
    <w:rsid w:val="00F86586"/>
    <w:rsid w:val="00F866CE"/>
    <w:rsid w:val="00F867BD"/>
    <w:rsid w:val="00F86805"/>
    <w:rsid w:val="00F86888"/>
    <w:rsid w:val="00F8690B"/>
    <w:rsid w:val="00F86B2B"/>
    <w:rsid w:val="00F86CF2"/>
    <w:rsid w:val="00F86D5C"/>
    <w:rsid w:val="00F87050"/>
    <w:rsid w:val="00F87111"/>
    <w:rsid w:val="00F8729F"/>
    <w:rsid w:val="00F8745C"/>
    <w:rsid w:val="00F874F1"/>
    <w:rsid w:val="00F876E8"/>
    <w:rsid w:val="00F877DF"/>
    <w:rsid w:val="00F87A12"/>
    <w:rsid w:val="00F87AC7"/>
    <w:rsid w:val="00F87BFB"/>
    <w:rsid w:val="00F87F27"/>
    <w:rsid w:val="00F87FE3"/>
    <w:rsid w:val="00F901E2"/>
    <w:rsid w:val="00F901E5"/>
    <w:rsid w:val="00F90406"/>
    <w:rsid w:val="00F90567"/>
    <w:rsid w:val="00F90604"/>
    <w:rsid w:val="00F906B2"/>
    <w:rsid w:val="00F90D7B"/>
    <w:rsid w:val="00F90E84"/>
    <w:rsid w:val="00F91134"/>
    <w:rsid w:val="00F9122A"/>
    <w:rsid w:val="00F91368"/>
    <w:rsid w:val="00F913BB"/>
    <w:rsid w:val="00F91683"/>
    <w:rsid w:val="00F919CE"/>
    <w:rsid w:val="00F91D4C"/>
    <w:rsid w:val="00F91DA1"/>
    <w:rsid w:val="00F91FB4"/>
    <w:rsid w:val="00F92154"/>
    <w:rsid w:val="00F924C9"/>
    <w:rsid w:val="00F9272D"/>
    <w:rsid w:val="00F928F6"/>
    <w:rsid w:val="00F92B58"/>
    <w:rsid w:val="00F92B6A"/>
    <w:rsid w:val="00F92C16"/>
    <w:rsid w:val="00F92C60"/>
    <w:rsid w:val="00F92E45"/>
    <w:rsid w:val="00F930B1"/>
    <w:rsid w:val="00F93192"/>
    <w:rsid w:val="00F93C18"/>
    <w:rsid w:val="00F93CF8"/>
    <w:rsid w:val="00F940BE"/>
    <w:rsid w:val="00F94120"/>
    <w:rsid w:val="00F941B0"/>
    <w:rsid w:val="00F94914"/>
    <w:rsid w:val="00F94CA9"/>
    <w:rsid w:val="00F94CED"/>
    <w:rsid w:val="00F94E66"/>
    <w:rsid w:val="00F950D1"/>
    <w:rsid w:val="00F95207"/>
    <w:rsid w:val="00F95240"/>
    <w:rsid w:val="00F95257"/>
    <w:rsid w:val="00F9550A"/>
    <w:rsid w:val="00F9566B"/>
    <w:rsid w:val="00F9571E"/>
    <w:rsid w:val="00F958A6"/>
    <w:rsid w:val="00F9592E"/>
    <w:rsid w:val="00F9597F"/>
    <w:rsid w:val="00F95987"/>
    <w:rsid w:val="00F95A5D"/>
    <w:rsid w:val="00F95B8C"/>
    <w:rsid w:val="00F95BC4"/>
    <w:rsid w:val="00F95BF9"/>
    <w:rsid w:val="00F95C95"/>
    <w:rsid w:val="00F95E20"/>
    <w:rsid w:val="00F95E57"/>
    <w:rsid w:val="00F962EF"/>
    <w:rsid w:val="00F96492"/>
    <w:rsid w:val="00F965FF"/>
    <w:rsid w:val="00F9691F"/>
    <w:rsid w:val="00F96A0A"/>
    <w:rsid w:val="00F96AE7"/>
    <w:rsid w:val="00F96B55"/>
    <w:rsid w:val="00F96C56"/>
    <w:rsid w:val="00F96D1F"/>
    <w:rsid w:val="00F96D58"/>
    <w:rsid w:val="00F96D7C"/>
    <w:rsid w:val="00F96DB0"/>
    <w:rsid w:val="00F96E14"/>
    <w:rsid w:val="00F96E1F"/>
    <w:rsid w:val="00F96FCD"/>
    <w:rsid w:val="00F9706A"/>
    <w:rsid w:val="00F972AE"/>
    <w:rsid w:val="00F976D8"/>
    <w:rsid w:val="00F97735"/>
    <w:rsid w:val="00F97A19"/>
    <w:rsid w:val="00F97AD7"/>
    <w:rsid w:val="00F97BF7"/>
    <w:rsid w:val="00F97DAC"/>
    <w:rsid w:val="00F97E4C"/>
    <w:rsid w:val="00F97F11"/>
    <w:rsid w:val="00F97F45"/>
    <w:rsid w:val="00FA021F"/>
    <w:rsid w:val="00FA03A4"/>
    <w:rsid w:val="00FA0702"/>
    <w:rsid w:val="00FA090F"/>
    <w:rsid w:val="00FA10A5"/>
    <w:rsid w:val="00FA1252"/>
    <w:rsid w:val="00FA1399"/>
    <w:rsid w:val="00FA146B"/>
    <w:rsid w:val="00FA1875"/>
    <w:rsid w:val="00FA1984"/>
    <w:rsid w:val="00FA1A74"/>
    <w:rsid w:val="00FA2141"/>
    <w:rsid w:val="00FA22E9"/>
    <w:rsid w:val="00FA2322"/>
    <w:rsid w:val="00FA2368"/>
    <w:rsid w:val="00FA28C0"/>
    <w:rsid w:val="00FA2A51"/>
    <w:rsid w:val="00FA2E0A"/>
    <w:rsid w:val="00FA2EBC"/>
    <w:rsid w:val="00FA32DD"/>
    <w:rsid w:val="00FA32EC"/>
    <w:rsid w:val="00FA383A"/>
    <w:rsid w:val="00FA4045"/>
    <w:rsid w:val="00FA42F3"/>
    <w:rsid w:val="00FA4716"/>
    <w:rsid w:val="00FA477D"/>
    <w:rsid w:val="00FA4960"/>
    <w:rsid w:val="00FA4CE3"/>
    <w:rsid w:val="00FA4DF9"/>
    <w:rsid w:val="00FA4ED0"/>
    <w:rsid w:val="00FA4F0E"/>
    <w:rsid w:val="00FA4F54"/>
    <w:rsid w:val="00FA5135"/>
    <w:rsid w:val="00FA5606"/>
    <w:rsid w:val="00FA5666"/>
    <w:rsid w:val="00FA5B12"/>
    <w:rsid w:val="00FA5F11"/>
    <w:rsid w:val="00FA60B9"/>
    <w:rsid w:val="00FA66D3"/>
    <w:rsid w:val="00FA6761"/>
    <w:rsid w:val="00FA6833"/>
    <w:rsid w:val="00FA695B"/>
    <w:rsid w:val="00FA6991"/>
    <w:rsid w:val="00FA6B90"/>
    <w:rsid w:val="00FA6C38"/>
    <w:rsid w:val="00FA6C52"/>
    <w:rsid w:val="00FA6DC7"/>
    <w:rsid w:val="00FA6E28"/>
    <w:rsid w:val="00FA6E35"/>
    <w:rsid w:val="00FA7005"/>
    <w:rsid w:val="00FA7485"/>
    <w:rsid w:val="00FA749C"/>
    <w:rsid w:val="00FA7582"/>
    <w:rsid w:val="00FA7936"/>
    <w:rsid w:val="00FA7C25"/>
    <w:rsid w:val="00FA7D54"/>
    <w:rsid w:val="00FA7F11"/>
    <w:rsid w:val="00FB0424"/>
    <w:rsid w:val="00FB053C"/>
    <w:rsid w:val="00FB05D0"/>
    <w:rsid w:val="00FB0794"/>
    <w:rsid w:val="00FB0AC1"/>
    <w:rsid w:val="00FB0EC4"/>
    <w:rsid w:val="00FB1072"/>
    <w:rsid w:val="00FB10D5"/>
    <w:rsid w:val="00FB1253"/>
    <w:rsid w:val="00FB12EA"/>
    <w:rsid w:val="00FB149F"/>
    <w:rsid w:val="00FB1500"/>
    <w:rsid w:val="00FB153F"/>
    <w:rsid w:val="00FB154B"/>
    <w:rsid w:val="00FB1B79"/>
    <w:rsid w:val="00FB1CA8"/>
    <w:rsid w:val="00FB1D6E"/>
    <w:rsid w:val="00FB203A"/>
    <w:rsid w:val="00FB2100"/>
    <w:rsid w:val="00FB2282"/>
    <w:rsid w:val="00FB2359"/>
    <w:rsid w:val="00FB24A6"/>
    <w:rsid w:val="00FB24FB"/>
    <w:rsid w:val="00FB2763"/>
    <w:rsid w:val="00FB2B28"/>
    <w:rsid w:val="00FB2B92"/>
    <w:rsid w:val="00FB2DC1"/>
    <w:rsid w:val="00FB2E11"/>
    <w:rsid w:val="00FB2ED4"/>
    <w:rsid w:val="00FB2FC3"/>
    <w:rsid w:val="00FB30C4"/>
    <w:rsid w:val="00FB337A"/>
    <w:rsid w:val="00FB33F7"/>
    <w:rsid w:val="00FB347B"/>
    <w:rsid w:val="00FB3798"/>
    <w:rsid w:val="00FB3866"/>
    <w:rsid w:val="00FB38D3"/>
    <w:rsid w:val="00FB399F"/>
    <w:rsid w:val="00FB3B0C"/>
    <w:rsid w:val="00FB3B2A"/>
    <w:rsid w:val="00FB3B6F"/>
    <w:rsid w:val="00FB3D15"/>
    <w:rsid w:val="00FB3F05"/>
    <w:rsid w:val="00FB4211"/>
    <w:rsid w:val="00FB423B"/>
    <w:rsid w:val="00FB4435"/>
    <w:rsid w:val="00FB4614"/>
    <w:rsid w:val="00FB4689"/>
    <w:rsid w:val="00FB46A4"/>
    <w:rsid w:val="00FB48F0"/>
    <w:rsid w:val="00FB49DB"/>
    <w:rsid w:val="00FB4E25"/>
    <w:rsid w:val="00FB5389"/>
    <w:rsid w:val="00FB53C3"/>
    <w:rsid w:val="00FB54E3"/>
    <w:rsid w:val="00FB5761"/>
    <w:rsid w:val="00FB57D1"/>
    <w:rsid w:val="00FB58FA"/>
    <w:rsid w:val="00FB5A4B"/>
    <w:rsid w:val="00FB5EE3"/>
    <w:rsid w:val="00FB6030"/>
    <w:rsid w:val="00FB60BC"/>
    <w:rsid w:val="00FB63A1"/>
    <w:rsid w:val="00FB688D"/>
    <w:rsid w:val="00FB68BB"/>
    <w:rsid w:val="00FB6A97"/>
    <w:rsid w:val="00FB6B57"/>
    <w:rsid w:val="00FB6B73"/>
    <w:rsid w:val="00FB6CCC"/>
    <w:rsid w:val="00FB6FBF"/>
    <w:rsid w:val="00FB7055"/>
    <w:rsid w:val="00FB71BD"/>
    <w:rsid w:val="00FB7594"/>
    <w:rsid w:val="00FB75B8"/>
    <w:rsid w:val="00FB7B77"/>
    <w:rsid w:val="00FB7C2C"/>
    <w:rsid w:val="00FB7DAC"/>
    <w:rsid w:val="00FB7DFA"/>
    <w:rsid w:val="00FB7F30"/>
    <w:rsid w:val="00FB7FDE"/>
    <w:rsid w:val="00FC0126"/>
    <w:rsid w:val="00FC0218"/>
    <w:rsid w:val="00FC0376"/>
    <w:rsid w:val="00FC054C"/>
    <w:rsid w:val="00FC074D"/>
    <w:rsid w:val="00FC0955"/>
    <w:rsid w:val="00FC0B30"/>
    <w:rsid w:val="00FC0DD0"/>
    <w:rsid w:val="00FC0F02"/>
    <w:rsid w:val="00FC0F1B"/>
    <w:rsid w:val="00FC123B"/>
    <w:rsid w:val="00FC1285"/>
    <w:rsid w:val="00FC12B7"/>
    <w:rsid w:val="00FC1396"/>
    <w:rsid w:val="00FC1509"/>
    <w:rsid w:val="00FC185A"/>
    <w:rsid w:val="00FC19D2"/>
    <w:rsid w:val="00FC1D63"/>
    <w:rsid w:val="00FC24A0"/>
    <w:rsid w:val="00FC252C"/>
    <w:rsid w:val="00FC27C5"/>
    <w:rsid w:val="00FC292A"/>
    <w:rsid w:val="00FC29B7"/>
    <w:rsid w:val="00FC2D65"/>
    <w:rsid w:val="00FC330B"/>
    <w:rsid w:val="00FC3330"/>
    <w:rsid w:val="00FC3595"/>
    <w:rsid w:val="00FC35E6"/>
    <w:rsid w:val="00FC36DA"/>
    <w:rsid w:val="00FC38E7"/>
    <w:rsid w:val="00FC3B2B"/>
    <w:rsid w:val="00FC423F"/>
    <w:rsid w:val="00FC428D"/>
    <w:rsid w:val="00FC42EC"/>
    <w:rsid w:val="00FC43C3"/>
    <w:rsid w:val="00FC48A1"/>
    <w:rsid w:val="00FC49EB"/>
    <w:rsid w:val="00FC4A10"/>
    <w:rsid w:val="00FC4A9D"/>
    <w:rsid w:val="00FC4B28"/>
    <w:rsid w:val="00FC4CCB"/>
    <w:rsid w:val="00FC4D06"/>
    <w:rsid w:val="00FC4D70"/>
    <w:rsid w:val="00FC5133"/>
    <w:rsid w:val="00FC5603"/>
    <w:rsid w:val="00FC57B3"/>
    <w:rsid w:val="00FC5863"/>
    <w:rsid w:val="00FC5AC7"/>
    <w:rsid w:val="00FC5F36"/>
    <w:rsid w:val="00FC5F7D"/>
    <w:rsid w:val="00FC600A"/>
    <w:rsid w:val="00FC6291"/>
    <w:rsid w:val="00FC62C9"/>
    <w:rsid w:val="00FC63E8"/>
    <w:rsid w:val="00FC6653"/>
    <w:rsid w:val="00FC6AA7"/>
    <w:rsid w:val="00FC6EE1"/>
    <w:rsid w:val="00FC6F70"/>
    <w:rsid w:val="00FC6FE4"/>
    <w:rsid w:val="00FC71F7"/>
    <w:rsid w:val="00FC779A"/>
    <w:rsid w:val="00FC7B27"/>
    <w:rsid w:val="00FC7E7F"/>
    <w:rsid w:val="00FC7F9C"/>
    <w:rsid w:val="00FC7FD6"/>
    <w:rsid w:val="00FD0014"/>
    <w:rsid w:val="00FD001A"/>
    <w:rsid w:val="00FD0175"/>
    <w:rsid w:val="00FD02AF"/>
    <w:rsid w:val="00FD03F4"/>
    <w:rsid w:val="00FD04B3"/>
    <w:rsid w:val="00FD05BA"/>
    <w:rsid w:val="00FD080D"/>
    <w:rsid w:val="00FD0C94"/>
    <w:rsid w:val="00FD1416"/>
    <w:rsid w:val="00FD14FA"/>
    <w:rsid w:val="00FD1658"/>
    <w:rsid w:val="00FD1712"/>
    <w:rsid w:val="00FD179C"/>
    <w:rsid w:val="00FD1980"/>
    <w:rsid w:val="00FD19A8"/>
    <w:rsid w:val="00FD19CA"/>
    <w:rsid w:val="00FD1B86"/>
    <w:rsid w:val="00FD1DA5"/>
    <w:rsid w:val="00FD1DF1"/>
    <w:rsid w:val="00FD202C"/>
    <w:rsid w:val="00FD2046"/>
    <w:rsid w:val="00FD2266"/>
    <w:rsid w:val="00FD227E"/>
    <w:rsid w:val="00FD2336"/>
    <w:rsid w:val="00FD2455"/>
    <w:rsid w:val="00FD24D3"/>
    <w:rsid w:val="00FD253F"/>
    <w:rsid w:val="00FD2633"/>
    <w:rsid w:val="00FD271D"/>
    <w:rsid w:val="00FD28E7"/>
    <w:rsid w:val="00FD290F"/>
    <w:rsid w:val="00FD2A4E"/>
    <w:rsid w:val="00FD2D37"/>
    <w:rsid w:val="00FD2F2E"/>
    <w:rsid w:val="00FD335A"/>
    <w:rsid w:val="00FD3546"/>
    <w:rsid w:val="00FD3564"/>
    <w:rsid w:val="00FD3A05"/>
    <w:rsid w:val="00FD3BD9"/>
    <w:rsid w:val="00FD43A1"/>
    <w:rsid w:val="00FD459E"/>
    <w:rsid w:val="00FD47B9"/>
    <w:rsid w:val="00FD482C"/>
    <w:rsid w:val="00FD4977"/>
    <w:rsid w:val="00FD49D4"/>
    <w:rsid w:val="00FD4E80"/>
    <w:rsid w:val="00FD5160"/>
    <w:rsid w:val="00FD5245"/>
    <w:rsid w:val="00FD5409"/>
    <w:rsid w:val="00FD5630"/>
    <w:rsid w:val="00FD569E"/>
    <w:rsid w:val="00FD56EC"/>
    <w:rsid w:val="00FD59EC"/>
    <w:rsid w:val="00FD5AC9"/>
    <w:rsid w:val="00FD5D0D"/>
    <w:rsid w:val="00FD612E"/>
    <w:rsid w:val="00FD6208"/>
    <w:rsid w:val="00FD6362"/>
    <w:rsid w:val="00FD6749"/>
    <w:rsid w:val="00FD6CF5"/>
    <w:rsid w:val="00FD6D75"/>
    <w:rsid w:val="00FD6FCF"/>
    <w:rsid w:val="00FD7174"/>
    <w:rsid w:val="00FD7366"/>
    <w:rsid w:val="00FD7A24"/>
    <w:rsid w:val="00FD7ACC"/>
    <w:rsid w:val="00FD7B6C"/>
    <w:rsid w:val="00FD7EBB"/>
    <w:rsid w:val="00FD7FFD"/>
    <w:rsid w:val="00FE0088"/>
    <w:rsid w:val="00FE0431"/>
    <w:rsid w:val="00FE058D"/>
    <w:rsid w:val="00FE065F"/>
    <w:rsid w:val="00FE074A"/>
    <w:rsid w:val="00FE0BEC"/>
    <w:rsid w:val="00FE0FBA"/>
    <w:rsid w:val="00FE0FD4"/>
    <w:rsid w:val="00FE134A"/>
    <w:rsid w:val="00FE1630"/>
    <w:rsid w:val="00FE1B2E"/>
    <w:rsid w:val="00FE1FC5"/>
    <w:rsid w:val="00FE1FFE"/>
    <w:rsid w:val="00FE2086"/>
    <w:rsid w:val="00FE2168"/>
    <w:rsid w:val="00FE23A4"/>
    <w:rsid w:val="00FE26CE"/>
    <w:rsid w:val="00FE2D18"/>
    <w:rsid w:val="00FE2DB4"/>
    <w:rsid w:val="00FE2F17"/>
    <w:rsid w:val="00FE33E1"/>
    <w:rsid w:val="00FE3534"/>
    <w:rsid w:val="00FE3752"/>
    <w:rsid w:val="00FE37A4"/>
    <w:rsid w:val="00FE39A5"/>
    <w:rsid w:val="00FE3B21"/>
    <w:rsid w:val="00FE3C17"/>
    <w:rsid w:val="00FE3C71"/>
    <w:rsid w:val="00FE3E41"/>
    <w:rsid w:val="00FE4084"/>
    <w:rsid w:val="00FE41F1"/>
    <w:rsid w:val="00FE4465"/>
    <w:rsid w:val="00FE4532"/>
    <w:rsid w:val="00FE4621"/>
    <w:rsid w:val="00FE4779"/>
    <w:rsid w:val="00FE48A5"/>
    <w:rsid w:val="00FE4A1F"/>
    <w:rsid w:val="00FE4D2E"/>
    <w:rsid w:val="00FE4D9E"/>
    <w:rsid w:val="00FE4F78"/>
    <w:rsid w:val="00FE5212"/>
    <w:rsid w:val="00FE5404"/>
    <w:rsid w:val="00FE552A"/>
    <w:rsid w:val="00FE583E"/>
    <w:rsid w:val="00FE59DF"/>
    <w:rsid w:val="00FE5BCB"/>
    <w:rsid w:val="00FE5DFB"/>
    <w:rsid w:val="00FE5F07"/>
    <w:rsid w:val="00FE5F64"/>
    <w:rsid w:val="00FE5FC5"/>
    <w:rsid w:val="00FE6607"/>
    <w:rsid w:val="00FE6650"/>
    <w:rsid w:val="00FE6DD6"/>
    <w:rsid w:val="00FE6F47"/>
    <w:rsid w:val="00FE6F6E"/>
    <w:rsid w:val="00FE70A7"/>
    <w:rsid w:val="00FE72C9"/>
    <w:rsid w:val="00FE76AA"/>
    <w:rsid w:val="00FE76FF"/>
    <w:rsid w:val="00FE79D8"/>
    <w:rsid w:val="00FE7A23"/>
    <w:rsid w:val="00FE7AEC"/>
    <w:rsid w:val="00FE7B94"/>
    <w:rsid w:val="00FE7D03"/>
    <w:rsid w:val="00FF0507"/>
    <w:rsid w:val="00FF054B"/>
    <w:rsid w:val="00FF07BC"/>
    <w:rsid w:val="00FF09C9"/>
    <w:rsid w:val="00FF0B0A"/>
    <w:rsid w:val="00FF0CA7"/>
    <w:rsid w:val="00FF13B4"/>
    <w:rsid w:val="00FF150E"/>
    <w:rsid w:val="00FF186A"/>
    <w:rsid w:val="00FF194A"/>
    <w:rsid w:val="00FF19F6"/>
    <w:rsid w:val="00FF1A03"/>
    <w:rsid w:val="00FF1B17"/>
    <w:rsid w:val="00FF1E92"/>
    <w:rsid w:val="00FF21C9"/>
    <w:rsid w:val="00FF23A6"/>
    <w:rsid w:val="00FF2700"/>
    <w:rsid w:val="00FF27B9"/>
    <w:rsid w:val="00FF2D8B"/>
    <w:rsid w:val="00FF2EA3"/>
    <w:rsid w:val="00FF2EB9"/>
    <w:rsid w:val="00FF314F"/>
    <w:rsid w:val="00FF352B"/>
    <w:rsid w:val="00FF3541"/>
    <w:rsid w:val="00FF3DBF"/>
    <w:rsid w:val="00FF43F1"/>
    <w:rsid w:val="00FF4412"/>
    <w:rsid w:val="00FF4B28"/>
    <w:rsid w:val="00FF4BA3"/>
    <w:rsid w:val="00FF4BB1"/>
    <w:rsid w:val="00FF4C74"/>
    <w:rsid w:val="00FF4E4F"/>
    <w:rsid w:val="00FF4E93"/>
    <w:rsid w:val="00FF4EBC"/>
    <w:rsid w:val="00FF501E"/>
    <w:rsid w:val="00FF526F"/>
    <w:rsid w:val="00FF5504"/>
    <w:rsid w:val="00FF560A"/>
    <w:rsid w:val="00FF587F"/>
    <w:rsid w:val="00FF5992"/>
    <w:rsid w:val="00FF5C7B"/>
    <w:rsid w:val="00FF5C92"/>
    <w:rsid w:val="00FF5E63"/>
    <w:rsid w:val="00FF5EC5"/>
    <w:rsid w:val="00FF62D9"/>
    <w:rsid w:val="00FF62E2"/>
    <w:rsid w:val="00FF63EF"/>
    <w:rsid w:val="00FF6499"/>
    <w:rsid w:val="00FF6547"/>
    <w:rsid w:val="00FF6664"/>
    <w:rsid w:val="00FF6707"/>
    <w:rsid w:val="00FF681F"/>
    <w:rsid w:val="00FF6935"/>
    <w:rsid w:val="00FF6945"/>
    <w:rsid w:val="00FF69DA"/>
    <w:rsid w:val="00FF6B70"/>
    <w:rsid w:val="00FF70D0"/>
    <w:rsid w:val="00FF7114"/>
    <w:rsid w:val="00FF71BD"/>
    <w:rsid w:val="00FF71D5"/>
    <w:rsid w:val="00FF7B96"/>
    <w:rsid w:val="00FF7C4D"/>
    <w:rsid w:val="00FF7D13"/>
    <w:rsid w:val="00FF7DE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430450"/>
  <w15:docId w15:val="{C22516FD-1C81-4A48-A77A-86338611A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9BF"/>
  </w:style>
  <w:style w:type="paragraph" w:styleId="Heading1">
    <w:name w:val="heading 1"/>
    <w:basedOn w:val="ListParagraph"/>
    <w:next w:val="1JOLTBodyText"/>
    <w:link w:val="Heading1Char"/>
    <w:uiPriority w:val="9"/>
    <w:qFormat/>
    <w:rsid w:val="003069BF"/>
    <w:pPr>
      <w:numPr>
        <w:numId w:val="6"/>
      </w:numPr>
      <w:jc w:val="center"/>
      <w:outlineLvl w:val="0"/>
    </w:pPr>
    <w:rPr>
      <w:rFonts w:asciiTheme="majorBidi" w:hAnsiTheme="majorBidi" w:cstheme="majorBidi"/>
      <w:b/>
      <w:bCs/>
      <w:smallCaps/>
    </w:rPr>
  </w:style>
  <w:style w:type="paragraph" w:styleId="Heading2">
    <w:name w:val="heading 2"/>
    <w:basedOn w:val="1JOLTBodyText"/>
    <w:next w:val="1JOLTBodyText"/>
    <w:link w:val="Heading2Char"/>
    <w:uiPriority w:val="9"/>
    <w:semiHidden/>
    <w:unhideWhenUsed/>
    <w:qFormat/>
    <w:rsid w:val="00F60D0B"/>
    <w:pPr>
      <w:keepNext/>
      <w:keepLines/>
      <w:spacing w:before="160" w:after="80"/>
      <w:ind w:firstLine="0"/>
      <w:jc w:val="left"/>
      <w:outlineLvl w:val="1"/>
    </w:pPr>
    <w:rPr>
      <w:rFonts w:asciiTheme="majorHAnsi" w:eastAsiaTheme="majorEastAsia" w:hAnsiTheme="majorHAnsi" w:cstheme="majorBidi"/>
      <w:color w:val="365F91" w:themeColor="accent1" w:themeShade="BF"/>
      <w:sz w:val="32"/>
      <w:szCs w:val="32"/>
    </w:rPr>
  </w:style>
  <w:style w:type="paragraph" w:styleId="Heading30">
    <w:name w:val="heading 3"/>
    <w:basedOn w:val="ListParagraph"/>
    <w:next w:val="1JOLTBodyText"/>
    <w:link w:val="Heading3Char"/>
    <w:uiPriority w:val="9"/>
    <w:semiHidden/>
    <w:unhideWhenUsed/>
    <w:qFormat/>
    <w:rsid w:val="00210D3C"/>
    <w:pPr>
      <w:keepNext/>
      <w:keepLines/>
      <w:spacing w:before="160" w:after="80"/>
      <w:ind w:left="0"/>
      <w:contextualSpacing w:val="0"/>
      <w:outlineLvl w:val="2"/>
    </w:pPr>
    <w:rPr>
      <w:rFonts w:eastAsiaTheme="majorEastAsia" w:cstheme="majorBidi"/>
      <w:color w:val="365F91" w:themeColor="accent1" w:themeShade="BF"/>
      <w:sz w:val="28"/>
      <w:szCs w:val="28"/>
    </w:rPr>
  </w:style>
  <w:style w:type="paragraph" w:styleId="Heading4">
    <w:name w:val="heading 4"/>
    <w:basedOn w:val="Heading30"/>
    <w:next w:val="Normal"/>
    <w:link w:val="Heading4Char"/>
    <w:uiPriority w:val="9"/>
    <w:semiHidden/>
    <w:unhideWhenUsed/>
    <w:qFormat/>
    <w:rsid w:val="005A1E5A"/>
    <w:pPr>
      <w:spacing w:before="80" w:after="40"/>
      <w:outlineLvl w:val="3"/>
    </w:pPr>
    <w:rPr>
      <w:i/>
      <w:iCs/>
      <w:sz w:val="24"/>
      <w:szCs w:val="24"/>
    </w:rPr>
  </w:style>
  <w:style w:type="paragraph" w:styleId="Heading5">
    <w:name w:val="heading 5"/>
    <w:basedOn w:val="ListParagraph"/>
    <w:next w:val="Normal"/>
    <w:link w:val="Heading5Char"/>
    <w:uiPriority w:val="9"/>
    <w:semiHidden/>
    <w:unhideWhenUsed/>
    <w:qFormat/>
    <w:rsid w:val="00AD249B"/>
    <w:pPr>
      <w:keepNext/>
      <w:keepLines/>
      <w:spacing w:before="80" w:after="40"/>
      <w:ind w:left="0"/>
      <w:contextualSpacing w:val="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JOLTBodyText">
    <w:name w:val="1 JOLT Body Text"/>
    <w:rsid w:val="00482DEC"/>
    <w:pPr>
      <w:ind w:firstLine="360"/>
      <w:jc w:val="both"/>
    </w:pPr>
    <w:rPr>
      <w:sz w:val="21"/>
      <w:szCs w:val="21"/>
    </w:rPr>
  </w:style>
  <w:style w:type="paragraph" w:customStyle="1" w:styleId="1JOLTArticleTitle">
    <w:name w:val="1 JOLT Article Title"/>
    <w:next w:val="1JOLTBodyText"/>
    <w:rsid w:val="00482DEC"/>
    <w:pPr>
      <w:jc w:val="center"/>
    </w:pPr>
    <w:rPr>
      <w:rFonts w:cs="Arial"/>
      <w:b/>
      <w:bCs/>
      <w:smallCaps/>
      <w:kern w:val="32"/>
    </w:rPr>
  </w:style>
  <w:style w:type="paragraph" w:customStyle="1" w:styleId="1JOLTAuthorName">
    <w:name w:val="1 JOLT Author Name"/>
    <w:rsid w:val="009541BE"/>
    <w:pPr>
      <w:jc w:val="center"/>
    </w:pPr>
    <w:rPr>
      <w:rFonts w:cs="Arial"/>
      <w:bCs/>
      <w:i/>
      <w:kern w:val="32"/>
      <w:sz w:val="21"/>
      <w:szCs w:val="21"/>
    </w:rPr>
  </w:style>
  <w:style w:type="paragraph" w:styleId="Header">
    <w:name w:val="header"/>
    <w:basedOn w:val="Normal"/>
    <w:link w:val="HeaderChar"/>
    <w:rsid w:val="009541BE"/>
    <w:pPr>
      <w:tabs>
        <w:tab w:val="center" w:pos="4320"/>
        <w:tab w:val="right" w:pos="8640"/>
      </w:tabs>
    </w:pPr>
  </w:style>
  <w:style w:type="paragraph" w:styleId="Footer">
    <w:name w:val="footer"/>
    <w:basedOn w:val="Normal"/>
    <w:link w:val="FooterChar"/>
    <w:uiPriority w:val="99"/>
    <w:rsid w:val="009541BE"/>
    <w:pPr>
      <w:tabs>
        <w:tab w:val="center" w:pos="4320"/>
        <w:tab w:val="right" w:pos="8640"/>
      </w:tabs>
    </w:pPr>
  </w:style>
  <w:style w:type="character" w:styleId="PageNumber">
    <w:name w:val="page number"/>
    <w:basedOn w:val="DefaultParagraphFont"/>
    <w:rsid w:val="00681C33"/>
  </w:style>
  <w:style w:type="paragraph" w:customStyle="1" w:styleId="1JOLTHeadingLevel1">
    <w:name w:val="1 JOLT Heading Level 1"/>
    <w:basedOn w:val="Heading1"/>
    <w:next w:val="1JOLTBodyText"/>
    <w:rsid w:val="004E3D74"/>
    <w:pPr>
      <w:spacing w:after="240"/>
    </w:pPr>
    <w:rPr>
      <w:bCs w:val="0"/>
    </w:rPr>
  </w:style>
  <w:style w:type="paragraph" w:customStyle="1" w:styleId="1JOLTHeadingLevel2">
    <w:name w:val="1 JOLT Heading Level 2"/>
    <w:basedOn w:val="Heading2"/>
    <w:next w:val="1JOLTBodyText"/>
    <w:rsid w:val="004E3D74"/>
    <w:pPr>
      <w:spacing w:after="240"/>
    </w:pPr>
  </w:style>
  <w:style w:type="character" w:customStyle="1" w:styleId="2JOLTFootnoteNumber">
    <w:name w:val="2 JOLT  Footnote Number"/>
    <w:rsid w:val="00FD7824"/>
    <w:rPr>
      <w:rFonts w:ascii="Times New Roman" w:hAnsi="Times New Roman"/>
      <w:position w:val="-1"/>
      <w:sz w:val="16"/>
      <w:szCs w:val="16"/>
    </w:rPr>
  </w:style>
  <w:style w:type="character" w:customStyle="1" w:styleId="2JOLTFootnoteReference">
    <w:name w:val="2 JOLT Footnote Reference"/>
    <w:basedOn w:val="FootnoteReference"/>
    <w:rsid w:val="00E17D36"/>
    <w:rPr>
      <w:rFonts w:ascii="Times New Roman" w:hAnsi="Times New Roman"/>
      <w:color w:val="auto"/>
      <w:sz w:val="21"/>
      <w:szCs w:val="21"/>
      <w:vertAlign w:val="superscript"/>
    </w:rPr>
  </w:style>
  <w:style w:type="paragraph" w:customStyle="1" w:styleId="1JOLTFootnoteText">
    <w:name w:val="1 JOLT Footnote Text"/>
    <w:rsid w:val="00983950"/>
    <w:pPr>
      <w:ind w:firstLine="180"/>
      <w:jc w:val="both"/>
    </w:pPr>
    <w:rPr>
      <w:sz w:val="16"/>
      <w:szCs w:val="16"/>
    </w:rPr>
  </w:style>
  <w:style w:type="character" w:styleId="FootnoteReference">
    <w:name w:val="footnote reference"/>
    <w:aliases w:val="FR,header 3,a Footnote Reference,Footnote Reference Superscript,BVI fnr,Footnote symbol,Footnote,FR + (Complex) Arial,(Latin) 9 pt,(Complex) 10 pt + (Compl...,Nota,Appel note de bas de p,SUPERS,Footnotemark,Footnotemark1,Footnotemark2"/>
    <w:basedOn w:val="DefaultParagraphFont"/>
    <w:uiPriority w:val="99"/>
    <w:qFormat/>
    <w:rsid w:val="00E17D36"/>
    <w:rPr>
      <w:vertAlign w:val="superscript"/>
    </w:rPr>
  </w:style>
  <w:style w:type="paragraph" w:customStyle="1" w:styleId="1JOLTBlockQuote">
    <w:name w:val="1 JOLT Block Quote"/>
    <w:rsid w:val="00983950"/>
    <w:pPr>
      <w:spacing w:after="240"/>
      <w:ind w:left="720" w:right="720"/>
      <w:jc w:val="both"/>
    </w:pPr>
    <w:rPr>
      <w:sz w:val="21"/>
    </w:rPr>
  </w:style>
  <w:style w:type="paragraph" w:customStyle="1" w:styleId="1JOLTFootnoteBlockQuote">
    <w:name w:val="1 JOLT Footnote Block Quote"/>
    <w:rsid w:val="00983950"/>
    <w:pPr>
      <w:ind w:left="720" w:right="720"/>
      <w:jc w:val="both"/>
    </w:pPr>
    <w:rPr>
      <w:sz w:val="16"/>
      <w:szCs w:val="16"/>
    </w:rPr>
  </w:style>
  <w:style w:type="paragraph" w:customStyle="1" w:styleId="1JOLTHeadingLevel3">
    <w:name w:val="1 JOLT Heading Level 3"/>
    <w:basedOn w:val="Heading30"/>
    <w:next w:val="1JOLTBodyText"/>
    <w:rsid w:val="004E3D74"/>
    <w:pPr>
      <w:spacing w:after="240"/>
    </w:pPr>
  </w:style>
  <w:style w:type="paragraph" w:customStyle="1" w:styleId="1JOLTHeadingLevel4">
    <w:name w:val="1 JOLT Heading Level 4"/>
    <w:basedOn w:val="Heading4"/>
    <w:next w:val="1JOLTBodyText"/>
    <w:rsid w:val="004E3D74"/>
    <w:pPr>
      <w:spacing w:after="240"/>
    </w:pPr>
  </w:style>
  <w:style w:type="paragraph" w:customStyle="1" w:styleId="1JOLTEpigraph">
    <w:name w:val="1 JOLT Epigraph"/>
    <w:basedOn w:val="1JOLTBodyText"/>
    <w:rsid w:val="003152FF"/>
    <w:pPr>
      <w:spacing w:before="240" w:after="240"/>
      <w:ind w:left="720" w:right="720" w:firstLine="0"/>
    </w:pPr>
    <w:rPr>
      <w:smallCaps/>
      <w:sz w:val="16"/>
      <w:szCs w:val="16"/>
    </w:rPr>
  </w:style>
  <w:style w:type="paragraph" w:customStyle="1" w:styleId="1JOLTTableFigHeading">
    <w:name w:val="1 JOLT Table/Fig Heading"/>
    <w:basedOn w:val="1JOLTBodyText"/>
    <w:next w:val="1JOLTBodyText"/>
    <w:rsid w:val="00A8597D"/>
    <w:pPr>
      <w:keepNext/>
      <w:spacing w:before="240" w:after="240"/>
      <w:ind w:firstLine="0"/>
      <w:jc w:val="center"/>
    </w:pPr>
  </w:style>
  <w:style w:type="paragraph" w:customStyle="1" w:styleId="1JOLTHeadingLevel5">
    <w:name w:val="1 JOLT Heading Level 5"/>
    <w:basedOn w:val="Heading5"/>
    <w:next w:val="1JOLTBodyText"/>
    <w:rsid w:val="005041F7"/>
    <w:rPr>
      <w:rFonts w:cs="Courier New"/>
      <w:b/>
      <w:i/>
    </w:rPr>
  </w:style>
  <w:style w:type="paragraph" w:styleId="TOC2">
    <w:name w:val="toc 2"/>
    <w:basedOn w:val="1JOLTHeadingLevel2"/>
    <w:next w:val="Normal"/>
    <w:autoRedefine/>
    <w:uiPriority w:val="39"/>
    <w:rsid w:val="007E2B14"/>
    <w:pPr>
      <w:tabs>
        <w:tab w:val="left" w:pos="720"/>
        <w:tab w:val="right" w:leader="dot" w:pos="6470"/>
      </w:tabs>
      <w:spacing w:after="0"/>
      <w:ind w:left="240"/>
      <w:outlineLvl w:val="9"/>
    </w:pPr>
    <w:rPr>
      <w:rFonts w:asciiTheme="majorBidi" w:eastAsia="Calibri" w:hAnsiTheme="majorBidi"/>
      <w:bCs/>
      <w:i/>
      <w:iCs/>
      <w:noProof/>
      <w:sz w:val="20"/>
      <w:szCs w:val="24"/>
    </w:rPr>
  </w:style>
  <w:style w:type="paragraph" w:styleId="TOC3">
    <w:name w:val="toc 3"/>
    <w:basedOn w:val="1JOLTHeadingLevel3"/>
    <w:next w:val="Normal"/>
    <w:autoRedefine/>
    <w:uiPriority w:val="39"/>
    <w:rsid w:val="007059F7"/>
    <w:pPr>
      <w:spacing w:after="0"/>
      <w:ind w:left="480"/>
      <w:outlineLvl w:val="9"/>
    </w:pPr>
    <w:rPr>
      <w:rFonts w:cs="Times New Roman"/>
      <w:bCs/>
      <w:i/>
      <w:iCs/>
      <w:sz w:val="20"/>
    </w:rPr>
  </w:style>
  <w:style w:type="paragraph" w:styleId="TOC4">
    <w:name w:val="toc 4"/>
    <w:basedOn w:val="1JOLTHeadingLevel4"/>
    <w:next w:val="Normal"/>
    <w:autoRedefine/>
    <w:uiPriority w:val="39"/>
    <w:rsid w:val="00254F62"/>
    <w:pPr>
      <w:spacing w:after="0"/>
      <w:ind w:left="720"/>
      <w:outlineLvl w:val="9"/>
    </w:pPr>
    <w:rPr>
      <w:bCs/>
      <w:i w:val="0"/>
      <w:sz w:val="18"/>
    </w:rPr>
  </w:style>
  <w:style w:type="numbering" w:customStyle="1" w:styleId="Style1">
    <w:name w:val="Style1"/>
    <w:uiPriority w:val="99"/>
    <w:rsid w:val="005336C9"/>
    <w:pPr>
      <w:numPr>
        <w:numId w:val="1"/>
      </w:numPr>
    </w:pPr>
  </w:style>
  <w:style w:type="character" w:styleId="Hyperlink">
    <w:name w:val="Hyperlink"/>
    <w:uiPriority w:val="99"/>
    <w:unhideWhenUsed/>
    <w:rsid w:val="005336C9"/>
    <w:rPr>
      <w:color w:val="0000FF"/>
      <w:u w:val="single"/>
    </w:rPr>
  </w:style>
  <w:style w:type="paragraph" w:styleId="FootnoteText">
    <w:name w:val="footnote text"/>
    <w:aliases w:val=" Char Char,ALTS FOOTNOTE,fn,Footnote Text Char Char,Footnote Text Char Char1,Footnote Text Char2,f t,ft,Note de bas de page Car Car,Char,Car,תו תו,Footnote Text תו תו,תו,Footnote Text תו,תו1,Footnote Text תו1 תו תו,ftx Char,ftx,o,fn1,fn2,f"/>
    <w:basedOn w:val="Normal"/>
    <w:link w:val="FootnoteTextChar"/>
    <w:uiPriority w:val="99"/>
    <w:unhideWhenUsed/>
    <w:qFormat/>
    <w:rsid w:val="005336C9"/>
    <w:rPr>
      <w:sz w:val="20"/>
      <w:szCs w:val="20"/>
    </w:rPr>
  </w:style>
  <w:style w:type="character" w:customStyle="1" w:styleId="FootnoteTextChar">
    <w:name w:val="Footnote Text Char"/>
    <w:aliases w:val=" Char Char Char,ALTS FOOTNOTE Char,fn Char1,Footnote Text Char Char Char3,Footnote Text Char Char1 Char,Footnote Text Char2 Char,f t Char,ft Char,Note de bas de page Car Car Char,Char Char2,Car Char,תו תו Char,Footnote Text תו תו Char"/>
    <w:basedOn w:val="DefaultParagraphFont"/>
    <w:link w:val="FootnoteText"/>
    <w:uiPriority w:val="99"/>
    <w:qFormat/>
    <w:rsid w:val="005336C9"/>
    <w:rPr>
      <w:rFonts w:eastAsia="Calibri"/>
    </w:rPr>
  </w:style>
  <w:style w:type="character" w:styleId="CommentReference">
    <w:name w:val="annotation reference"/>
    <w:uiPriority w:val="99"/>
    <w:unhideWhenUsed/>
    <w:rsid w:val="005336C9"/>
    <w:rPr>
      <w:sz w:val="16"/>
      <w:szCs w:val="16"/>
    </w:rPr>
  </w:style>
  <w:style w:type="paragraph" w:styleId="CommentText">
    <w:name w:val="annotation text"/>
    <w:basedOn w:val="Normal"/>
    <w:link w:val="CommentTextChar"/>
    <w:uiPriority w:val="99"/>
    <w:unhideWhenUsed/>
    <w:rsid w:val="005336C9"/>
    <w:rPr>
      <w:sz w:val="20"/>
      <w:szCs w:val="20"/>
    </w:rPr>
  </w:style>
  <w:style w:type="character" w:customStyle="1" w:styleId="CommentTextChar">
    <w:name w:val="Comment Text Char"/>
    <w:basedOn w:val="DefaultParagraphFont"/>
    <w:link w:val="CommentText"/>
    <w:uiPriority w:val="99"/>
    <w:rsid w:val="005336C9"/>
    <w:rPr>
      <w:rFonts w:eastAsia="Calibri"/>
    </w:rPr>
  </w:style>
  <w:style w:type="paragraph" w:customStyle="1" w:styleId="FootNotePara">
    <w:name w:val="_FootNotePara"/>
    <w:basedOn w:val="Normal"/>
    <w:autoRedefine/>
    <w:rsid w:val="005336C9"/>
    <w:pPr>
      <w:suppressLineNumbers/>
      <w:spacing w:before="20" w:line="204" w:lineRule="auto"/>
      <w:jc w:val="both"/>
    </w:pPr>
    <w:rPr>
      <w:rFonts w:ascii="Palatino Linotype" w:eastAsia="Times New Roman" w:hAnsi="Palatino Linotype"/>
      <w:sz w:val="17"/>
      <w:szCs w:val="17"/>
    </w:rPr>
  </w:style>
  <w:style w:type="paragraph" w:styleId="NormalWeb">
    <w:name w:val="Normal (Web)"/>
    <w:basedOn w:val="Normal"/>
    <w:uiPriority w:val="99"/>
    <w:unhideWhenUsed/>
    <w:rsid w:val="005336C9"/>
    <w:pPr>
      <w:spacing w:before="100" w:beforeAutospacing="1" w:after="100" w:afterAutospacing="1"/>
    </w:pPr>
    <w:rPr>
      <w:rFonts w:eastAsia="Times New Roman"/>
    </w:rPr>
  </w:style>
  <w:style w:type="paragraph" w:styleId="BalloonText">
    <w:name w:val="Balloon Text"/>
    <w:basedOn w:val="Normal"/>
    <w:link w:val="BalloonTextChar"/>
    <w:semiHidden/>
    <w:unhideWhenUsed/>
    <w:rsid w:val="005336C9"/>
    <w:rPr>
      <w:rFonts w:ascii="Tahoma" w:hAnsi="Tahoma" w:cs="Tahoma"/>
      <w:sz w:val="16"/>
      <w:szCs w:val="16"/>
    </w:rPr>
  </w:style>
  <w:style w:type="character" w:customStyle="1" w:styleId="BalloonTextChar">
    <w:name w:val="Balloon Text Char"/>
    <w:basedOn w:val="DefaultParagraphFont"/>
    <w:link w:val="BalloonText"/>
    <w:semiHidden/>
    <w:rsid w:val="005336C9"/>
    <w:rPr>
      <w:rFonts w:ascii="Tahoma" w:eastAsia="Calibri" w:hAnsi="Tahoma" w:cs="Tahoma"/>
      <w:sz w:val="16"/>
      <w:szCs w:val="16"/>
    </w:rPr>
  </w:style>
  <w:style w:type="paragraph" w:customStyle="1" w:styleId="1JOLTLists">
    <w:name w:val="1 JOLT Lists"/>
    <w:basedOn w:val="1JOLTBodyText"/>
    <w:rsid w:val="008E3155"/>
    <w:pPr>
      <w:numPr>
        <w:numId w:val="3"/>
      </w:numPr>
      <w:suppressLineNumbers/>
      <w:tabs>
        <w:tab w:val="left" w:pos="0"/>
        <w:tab w:val="left" w:pos="220"/>
      </w:tabs>
      <w:spacing w:after="120"/>
    </w:pPr>
  </w:style>
  <w:style w:type="numbering" w:customStyle="1" w:styleId="1JOLTListText">
    <w:name w:val="1 JOLT List Text"/>
    <w:uiPriority w:val="99"/>
    <w:rsid w:val="00DD3B52"/>
    <w:pPr>
      <w:numPr>
        <w:numId w:val="2"/>
      </w:numPr>
    </w:pPr>
  </w:style>
  <w:style w:type="paragraph" w:customStyle="1" w:styleId="Body">
    <w:name w:val="Body"/>
    <w:rsid w:val="00E42D28"/>
    <w:pPr>
      <w:pBdr>
        <w:top w:val="nil"/>
        <w:left w:val="nil"/>
        <w:bottom w:val="nil"/>
        <w:right w:val="nil"/>
        <w:between w:val="nil"/>
        <w:bar w:val="nil"/>
      </w:pBdr>
      <w:bidi/>
    </w:pPr>
    <w:rPr>
      <w:color w:val="000000"/>
      <w:u w:color="000000"/>
      <w:bdr w:val="nil"/>
    </w:rPr>
  </w:style>
  <w:style w:type="character" w:styleId="PlaceholderText">
    <w:name w:val="Placeholder Text"/>
    <w:basedOn w:val="DefaultParagraphFont"/>
    <w:uiPriority w:val="99"/>
    <w:semiHidden/>
    <w:rsid w:val="00E42D28"/>
    <w:rPr>
      <w:color w:val="808080"/>
    </w:rPr>
  </w:style>
  <w:style w:type="character" w:customStyle="1" w:styleId="Heading3Char">
    <w:name w:val="Heading 3 Char"/>
    <w:link w:val="Heading30"/>
    <w:uiPriority w:val="9"/>
    <w:semiHidden/>
    <w:rsid w:val="00210D3C"/>
    <w:rPr>
      <w:rFonts w:eastAsiaTheme="majorEastAsia" w:cstheme="majorBidi"/>
      <w:color w:val="365F91" w:themeColor="accent1" w:themeShade="BF"/>
      <w:sz w:val="28"/>
      <w:szCs w:val="28"/>
    </w:rPr>
  </w:style>
  <w:style w:type="character" w:styleId="Emphasis">
    <w:name w:val="Emphasis"/>
    <w:basedOn w:val="DefaultParagraphFont"/>
    <w:uiPriority w:val="20"/>
    <w:qFormat/>
    <w:rsid w:val="00E42D28"/>
    <w:rPr>
      <w:i/>
      <w:iCs/>
    </w:rPr>
  </w:style>
  <w:style w:type="character" w:customStyle="1" w:styleId="apple-converted-space">
    <w:name w:val="apple-converted-space"/>
    <w:basedOn w:val="DefaultParagraphFont"/>
    <w:rsid w:val="00E42D28"/>
  </w:style>
  <w:style w:type="character" w:styleId="Strong">
    <w:name w:val="Strong"/>
    <w:basedOn w:val="DefaultParagraphFont"/>
    <w:uiPriority w:val="22"/>
    <w:qFormat/>
    <w:rsid w:val="00E42D28"/>
    <w:rPr>
      <w:b/>
      <w:bCs/>
    </w:rPr>
  </w:style>
  <w:style w:type="paragraph" w:customStyle="1" w:styleId="filenumber0">
    <w:name w:val="filenumber0"/>
    <w:basedOn w:val="Normal"/>
    <w:rsid w:val="00E42D28"/>
    <w:pPr>
      <w:overflowPunct w:val="0"/>
      <w:autoSpaceDE w:val="0"/>
      <w:autoSpaceDN w:val="0"/>
      <w:adjustRightInd w:val="0"/>
      <w:spacing w:before="100" w:beforeAutospacing="1" w:after="100" w:afterAutospacing="1"/>
      <w:ind w:firstLine="360"/>
      <w:jc w:val="both"/>
      <w:textAlignment w:val="baseline"/>
    </w:pPr>
    <w:rPr>
      <w:rFonts w:eastAsia="Times New Roman"/>
      <w:sz w:val="22"/>
      <w:lang w:eastAsia="he-IL" w:bidi="he-IL"/>
    </w:rPr>
  </w:style>
  <w:style w:type="paragraph" w:customStyle="1" w:styleId="filenumber">
    <w:name w:val="filenumber"/>
    <w:basedOn w:val="Normal"/>
    <w:rsid w:val="00E42D28"/>
    <w:pPr>
      <w:overflowPunct w:val="0"/>
      <w:autoSpaceDE w:val="0"/>
      <w:autoSpaceDN w:val="0"/>
      <w:adjustRightInd w:val="0"/>
      <w:spacing w:before="100" w:beforeAutospacing="1" w:after="100" w:afterAutospacing="1"/>
      <w:ind w:firstLine="360"/>
      <w:jc w:val="both"/>
      <w:textAlignment w:val="baseline"/>
    </w:pPr>
    <w:rPr>
      <w:rFonts w:eastAsia="Times New Roman"/>
      <w:sz w:val="22"/>
      <w:lang w:eastAsia="he-IL" w:bidi="he-IL"/>
    </w:rPr>
  </w:style>
  <w:style w:type="paragraph" w:customStyle="1" w:styleId="bodyruller">
    <w:name w:val="bodyruller"/>
    <w:basedOn w:val="Normal"/>
    <w:rsid w:val="00E42D28"/>
    <w:pPr>
      <w:overflowPunct w:val="0"/>
      <w:autoSpaceDE w:val="0"/>
      <w:autoSpaceDN w:val="0"/>
      <w:adjustRightInd w:val="0"/>
      <w:spacing w:before="100" w:beforeAutospacing="1" w:after="100" w:afterAutospacing="1"/>
      <w:ind w:firstLine="360"/>
      <w:jc w:val="both"/>
      <w:textAlignment w:val="baseline"/>
    </w:pPr>
    <w:rPr>
      <w:rFonts w:eastAsia="Times New Roman"/>
      <w:sz w:val="22"/>
      <w:lang w:eastAsia="he-IL" w:bidi="he-IL"/>
    </w:rPr>
  </w:style>
  <w:style w:type="paragraph" w:customStyle="1" w:styleId="ruller3">
    <w:name w:val="ruller3"/>
    <w:basedOn w:val="Normal"/>
    <w:rsid w:val="00E42D28"/>
    <w:pPr>
      <w:overflowPunct w:val="0"/>
      <w:autoSpaceDE w:val="0"/>
      <w:autoSpaceDN w:val="0"/>
      <w:adjustRightInd w:val="0"/>
      <w:spacing w:before="100" w:beforeAutospacing="1" w:after="100" w:afterAutospacing="1"/>
      <w:ind w:firstLine="360"/>
      <w:jc w:val="both"/>
      <w:textAlignment w:val="baseline"/>
    </w:pPr>
    <w:rPr>
      <w:rFonts w:eastAsia="Times New Roman"/>
      <w:sz w:val="22"/>
      <w:lang w:eastAsia="he-IL" w:bidi="he-IL"/>
    </w:rPr>
  </w:style>
  <w:style w:type="paragraph" w:styleId="ListParagraph">
    <w:name w:val="List Paragraph"/>
    <w:basedOn w:val="Normal"/>
    <w:uiPriority w:val="99"/>
    <w:qFormat/>
    <w:rsid w:val="00E42D28"/>
    <w:pPr>
      <w:ind w:left="720"/>
      <w:contextualSpacing/>
    </w:pPr>
  </w:style>
  <w:style w:type="paragraph" w:styleId="NoSpacing">
    <w:name w:val="No Spacing"/>
    <w:uiPriority w:val="1"/>
    <w:qFormat/>
    <w:rsid w:val="00E42D28"/>
    <w:pPr>
      <w:spacing w:after="0" w:line="240" w:lineRule="auto"/>
    </w:pPr>
  </w:style>
  <w:style w:type="character" w:customStyle="1" w:styleId="HeaderChar">
    <w:name w:val="Header Char"/>
    <w:basedOn w:val="DefaultParagraphFont"/>
    <w:link w:val="Header"/>
    <w:rsid w:val="00E42D28"/>
    <w:rPr>
      <w:rFonts w:eastAsia="Calibri"/>
      <w:sz w:val="24"/>
      <w:szCs w:val="22"/>
    </w:rPr>
  </w:style>
  <w:style w:type="character" w:customStyle="1" w:styleId="FooterChar">
    <w:name w:val="Footer Char"/>
    <w:basedOn w:val="DefaultParagraphFont"/>
    <w:link w:val="Footer"/>
    <w:uiPriority w:val="99"/>
    <w:rsid w:val="00E42D28"/>
    <w:rPr>
      <w:rFonts w:eastAsia="Calibri"/>
      <w:sz w:val="24"/>
      <w:szCs w:val="22"/>
    </w:rPr>
  </w:style>
  <w:style w:type="paragraph" w:styleId="CommentSubject">
    <w:name w:val="annotation subject"/>
    <w:basedOn w:val="CommentText"/>
    <w:next w:val="CommentText"/>
    <w:link w:val="CommentSubjectChar"/>
    <w:uiPriority w:val="99"/>
    <w:semiHidden/>
    <w:rsid w:val="00E42D28"/>
    <w:pPr>
      <w:overflowPunct w:val="0"/>
      <w:autoSpaceDE w:val="0"/>
      <w:autoSpaceDN w:val="0"/>
      <w:adjustRightInd w:val="0"/>
      <w:ind w:firstLine="360"/>
      <w:jc w:val="both"/>
      <w:textAlignment w:val="baseline"/>
    </w:pPr>
    <w:rPr>
      <w:rFonts w:eastAsia="Times New Roman"/>
      <w:b/>
      <w:bCs/>
      <w:lang w:eastAsia="he-IL" w:bidi="he-IL"/>
    </w:rPr>
  </w:style>
  <w:style w:type="character" w:customStyle="1" w:styleId="CommentSubjectChar">
    <w:name w:val="Comment Subject Char"/>
    <w:basedOn w:val="CommentTextChar"/>
    <w:link w:val="CommentSubject"/>
    <w:uiPriority w:val="99"/>
    <w:semiHidden/>
    <w:rsid w:val="00E42D28"/>
    <w:rPr>
      <w:rFonts w:eastAsia="Calibri"/>
      <w:b/>
      <w:bCs/>
      <w:lang w:eastAsia="he-IL" w:bidi="he-IL"/>
    </w:rPr>
  </w:style>
  <w:style w:type="character" w:customStyle="1" w:styleId="Heading1Char">
    <w:name w:val="Heading 1 Char"/>
    <w:basedOn w:val="DefaultParagraphFont"/>
    <w:link w:val="Heading1"/>
    <w:uiPriority w:val="9"/>
    <w:rsid w:val="003069BF"/>
    <w:rPr>
      <w:rFonts w:asciiTheme="majorBidi" w:hAnsiTheme="majorBidi" w:cstheme="majorBidi"/>
      <w:b/>
      <w:bCs/>
      <w:smallCaps/>
    </w:rPr>
  </w:style>
  <w:style w:type="character" w:customStyle="1" w:styleId="smcaps">
    <w:name w:val="smcaps"/>
    <w:basedOn w:val="DefaultParagraphFont"/>
    <w:rsid w:val="00E42D28"/>
  </w:style>
  <w:style w:type="paragraph" w:styleId="Revision">
    <w:name w:val="Revision"/>
    <w:hidden/>
    <w:uiPriority w:val="99"/>
    <w:semiHidden/>
    <w:rsid w:val="00E42D28"/>
    <w:rPr>
      <w:rFonts w:eastAsia="Arial Unicode MS"/>
      <w:bdr w:val="nil"/>
    </w:rPr>
  </w:style>
  <w:style w:type="character" w:customStyle="1" w:styleId="Heading2Char">
    <w:name w:val="Heading 2 Char"/>
    <w:link w:val="Heading2"/>
    <w:uiPriority w:val="9"/>
    <w:semiHidden/>
    <w:rsid w:val="00F60D0B"/>
    <w:rPr>
      <w:rFonts w:asciiTheme="majorHAnsi" w:eastAsiaTheme="majorEastAsia" w:hAnsiTheme="majorHAnsi" w:cstheme="majorBidi"/>
      <w:color w:val="365F91" w:themeColor="accent1" w:themeShade="BF"/>
      <w:sz w:val="32"/>
      <w:szCs w:val="32"/>
    </w:rPr>
  </w:style>
  <w:style w:type="character" w:customStyle="1" w:styleId="CharChar">
    <w:name w:val="Char Char"/>
    <w:semiHidden/>
    <w:rsid w:val="00E42D28"/>
    <w:rPr>
      <w:rFonts w:ascii="Times New Roman" w:hAnsi="Times New Roman" w:cs="David"/>
      <w:sz w:val="20"/>
      <w:szCs w:val="20"/>
    </w:rPr>
  </w:style>
  <w:style w:type="character" w:customStyle="1" w:styleId="CharChar1">
    <w:name w:val="Char Char1"/>
    <w:semiHidden/>
    <w:rsid w:val="00E42D28"/>
    <w:rPr>
      <w:rFonts w:ascii="Times New Roman" w:hAnsi="Times New Roman" w:cs="David"/>
      <w:sz w:val="20"/>
      <w:szCs w:val="20"/>
    </w:rPr>
  </w:style>
  <w:style w:type="character" w:customStyle="1" w:styleId="CharChar3">
    <w:name w:val="Char Char3"/>
    <w:basedOn w:val="DefaultParagraphFont"/>
    <w:rsid w:val="00E42D28"/>
  </w:style>
  <w:style w:type="character" w:customStyle="1" w:styleId="CharChar8">
    <w:name w:val="Char Char8"/>
    <w:rsid w:val="00E42D28"/>
    <w:rPr>
      <w:i/>
      <w:iCs/>
      <w:sz w:val="22"/>
      <w:szCs w:val="24"/>
      <w:lang w:val="en-US" w:eastAsia="he-IL" w:bidi="he-IL"/>
    </w:rPr>
  </w:style>
  <w:style w:type="character" w:customStyle="1" w:styleId="apple-tab-span">
    <w:name w:val="apple-tab-span"/>
    <w:basedOn w:val="DefaultParagraphFont"/>
    <w:rsid w:val="00E42D28"/>
  </w:style>
  <w:style w:type="paragraph" w:customStyle="1" w:styleId="Clearformatting">
    <w:name w:val="Clear formatting"/>
    <w:basedOn w:val="Normal"/>
    <w:link w:val="ClearformattingChar"/>
    <w:rsid w:val="00E42D28"/>
    <w:pPr>
      <w:overflowPunct w:val="0"/>
      <w:autoSpaceDE w:val="0"/>
      <w:autoSpaceDN w:val="0"/>
      <w:adjustRightInd w:val="0"/>
      <w:ind w:firstLine="360"/>
      <w:jc w:val="both"/>
      <w:textAlignment w:val="baseline"/>
    </w:pPr>
    <w:rPr>
      <w:rFonts w:eastAsia="Times New Roman"/>
      <w:sz w:val="22"/>
      <w:lang w:eastAsia="he-IL" w:bidi="he-IL"/>
    </w:rPr>
  </w:style>
  <w:style w:type="character" w:customStyle="1" w:styleId="ClearformattingChar">
    <w:name w:val="Clear formatting Char"/>
    <w:link w:val="Clearformatting"/>
    <w:rsid w:val="00E42D28"/>
    <w:rPr>
      <w:sz w:val="22"/>
      <w:szCs w:val="24"/>
      <w:lang w:eastAsia="he-IL" w:bidi="he-IL"/>
    </w:rPr>
  </w:style>
  <w:style w:type="paragraph" w:customStyle="1" w:styleId="Default">
    <w:name w:val="Default"/>
    <w:rsid w:val="00E42D28"/>
    <w:pPr>
      <w:autoSpaceDE w:val="0"/>
      <w:autoSpaceDN w:val="0"/>
      <w:adjustRightInd w:val="0"/>
    </w:pPr>
    <w:rPr>
      <w:rFonts w:ascii="Code" w:hAnsi="Code" w:cs="Code"/>
      <w:color w:val="000000"/>
      <w:lang w:bidi="he-IL"/>
    </w:rPr>
  </w:style>
  <w:style w:type="character" w:styleId="FollowedHyperlink">
    <w:name w:val="FollowedHyperlink"/>
    <w:uiPriority w:val="99"/>
    <w:rsid w:val="00E42D28"/>
    <w:rPr>
      <w:color w:val="800080"/>
      <w:u w:val="single"/>
    </w:rPr>
  </w:style>
  <w:style w:type="character" w:customStyle="1" w:styleId="FootnoteFootnoteReference">
    <w:name w:val="Footnote Footnote Reference"/>
    <w:rsid w:val="00E42D28"/>
    <w:rPr>
      <w:rFonts w:ascii="CG Times" w:hAnsi="CG Times"/>
      <w:sz w:val="16"/>
      <w:vertAlign w:val="baseline"/>
    </w:rPr>
  </w:style>
  <w:style w:type="character" w:customStyle="1" w:styleId="FootnoteTextChar12ptChar">
    <w:name w:val="Footnote Text Char + 12 pt Char"/>
    <w:aliases w:val="Footnote Text Char Char Char"/>
    <w:rsid w:val="00E42D28"/>
    <w:rPr>
      <w:sz w:val="18"/>
      <w:lang w:val="en-US" w:eastAsia="he-IL" w:bidi="he-IL"/>
    </w:rPr>
  </w:style>
  <w:style w:type="character" w:customStyle="1" w:styleId="FootnoteTextChar12ptChar1">
    <w:name w:val="Footnote Text Char + 12 pt Char1"/>
    <w:aliases w:val="Footnote Text Char Char Char1"/>
    <w:rsid w:val="00E42D28"/>
    <w:rPr>
      <w:sz w:val="18"/>
      <w:lang w:val="en-US" w:eastAsia="he-IL" w:bidi="he-IL"/>
    </w:rPr>
  </w:style>
  <w:style w:type="character" w:customStyle="1" w:styleId="FootnoteTextChar12ptChar2">
    <w:name w:val="Footnote Text Char + 12 pt Char2"/>
    <w:aliases w:val="Footnote Text Char Char Char2"/>
    <w:rsid w:val="00E42D28"/>
    <w:rPr>
      <w:sz w:val="18"/>
      <w:lang w:val="en-US" w:eastAsia="he-IL" w:bidi="he-IL"/>
    </w:rPr>
  </w:style>
  <w:style w:type="character" w:customStyle="1" w:styleId="FootnoteTextChar1">
    <w:name w:val="Footnote Text Char1"/>
    <w:aliases w:val="Footnote Text Char + 12 pt Char Char,fn Char"/>
    <w:rsid w:val="00E42D28"/>
    <w:rPr>
      <w:sz w:val="18"/>
      <w:lang w:val="en-US" w:eastAsia="he-IL" w:bidi="he-IL"/>
    </w:rPr>
  </w:style>
  <w:style w:type="character" w:customStyle="1" w:styleId="Heading4Char">
    <w:name w:val="Heading 4 Char"/>
    <w:link w:val="Heading4"/>
    <w:uiPriority w:val="9"/>
    <w:semiHidden/>
    <w:rsid w:val="005A1E5A"/>
    <w:rPr>
      <w:rFonts w:eastAsiaTheme="majorEastAsia" w:cstheme="majorBidi"/>
      <w:i/>
      <w:iCs/>
      <w:color w:val="365F91" w:themeColor="accent1" w:themeShade="BF"/>
    </w:rPr>
  </w:style>
  <w:style w:type="character" w:customStyle="1" w:styleId="informationalsmall">
    <w:name w:val="informationalsmall"/>
    <w:basedOn w:val="DefaultParagraphFont"/>
    <w:rsid w:val="00E42D28"/>
  </w:style>
  <w:style w:type="paragraph" w:styleId="ListBullet">
    <w:name w:val="List Bullet"/>
    <w:basedOn w:val="Normal"/>
    <w:link w:val="ListBulletChar"/>
    <w:rsid w:val="00E42D28"/>
    <w:pPr>
      <w:overflowPunct w:val="0"/>
      <w:autoSpaceDE w:val="0"/>
      <w:autoSpaceDN w:val="0"/>
      <w:adjustRightInd w:val="0"/>
      <w:ind w:firstLine="360"/>
      <w:jc w:val="both"/>
      <w:textAlignment w:val="baseline"/>
    </w:pPr>
    <w:rPr>
      <w:rFonts w:eastAsia="Times New Roman"/>
      <w:sz w:val="22"/>
      <w:lang w:eastAsia="he-IL" w:bidi="he-IL"/>
    </w:rPr>
  </w:style>
  <w:style w:type="character" w:customStyle="1" w:styleId="ListBulletChar">
    <w:name w:val="List Bullet Char"/>
    <w:link w:val="ListBullet"/>
    <w:rsid w:val="00E42D28"/>
    <w:rPr>
      <w:sz w:val="22"/>
      <w:szCs w:val="24"/>
      <w:lang w:eastAsia="he-IL" w:bidi="he-IL"/>
    </w:rPr>
  </w:style>
  <w:style w:type="character" w:customStyle="1" w:styleId="pmterms1">
    <w:name w:val="pmterms1"/>
    <w:basedOn w:val="DefaultParagraphFont"/>
    <w:rsid w:val="00E42D28"/>
  </w:style>
  <w:style w:type="character" w:customStyle="1" w:styleId="pmterms2">
    <w:name w:val="pmterms2"/>
    <w:basedOn w:val="DefaultParagraphFont"/>
    <w:rsid w:val="00E42D28"/>
  </w:style>
  <w:style w:type="character" w:customStyle="1" w:styleId="pmterms3">
    <w:name w:val="pmterms3"/>
    <w:basedOn w:val="DefaultParagraphFont"/>
    <w:rsid w:val="00E42D28"/>
  </w:style>
  <w:style w:type="character" w:customStyle="1" w:styleId="sectionhighlight">
    <w:name w:val="sectionhighlight"/>
    <w:basedOn w:val="DefaultParagraphFont"/>
    <w:rsid w:val="00E42D28"/>
  </w:style>
  <w:style w:type="character" w:customStyle="1" w:styleId="term">
    <w:name w:val="term"/>
    <w:basedOn w:val="DefaultParagraphFont"/>
    <w:rsid w:val="00E42D28"/>
  </w:style>
  <w:style w:type="paragraph" w:customStyle="1" w:styleId="western">
    <w:name w:val="western"/>
    <w:basedOn w:val="Normal"/>
    <w:rsid w:val="00E42D28"/>
    <w:pPr>
      <w:spacing w:before="100" w:beforeAutospacing="1" w:after="100" w:afterAutospacing="1"/>
    </w:pPr>
    <w:rPr>
      <w:rFonts w:eastAsia="Times New Roman"/>
      <w:lang w:bidi="he-IL"/>
    </w:rPr>
  </w:style>
  <w:style w:type="character" w:styleId="BookTitle">
    <w:name w:val="Book Title"/>
    <w:basedOn w:val="DefaultParagraphFont"/>
    <w:uiPriority w:val="33"/>
    <w:qFormat/>
    <w:rsid w:val="00E42D28"/>
    <w:rPr>
      <w:b/>
      <w:bCs/>
      <w:i/>
      <w:iCs/>
      <w:spacing w:val="5"/>
    </w:rPr>
  </w:style>
  <w:style w:type="paragraph" w:styleId="TOC5">
    <w:name w:val="toc 5"/>
    <w:basedOn w:val="Normal"/>
    <w:next w:val="Normal"/>
    <w:autoRedefine/>
    <w:uiPriority w:val="39"/>
    <w:unhideWhenUsed/>
    <w:rsid w:val="00E42D28"/>
    <w:pPr>
      <w:ind w:left="960"/>
    </w:pPr>
    <w:rPr>
      <w:sz w:val="18"/>
      <w:szCs w:val="21"/>
    </w:rPr>
  </w:style>
  <w:style w:type="paragraph" w:styleId="TOC6">
    <w:name w:val="toc 6"/>
    <w:basedOn w:val="Normal"/>
    <w:next w:val="Normal"/>
    <w:autoRedefine/>
    <w:uiPriority w:val="39"/>
    <w:unhideWhenUsed/>
    <w:rsid w:val="00E42D28"/>
    <w:pPr>
      <w:ind w:left="1200"/>
    </w:pPr>
    <w:rPr>
      <w:sz w:val="18"/>
      <w:szCs w:val="21"/>
    </w:rPr>
  </w:style>
  <w:style w:type="paragraph" w:styleId="TOC7">
    <w:name w:val="toc 7"/>
    <w:basedOn w:val="Normal"/>
    <w:next w:val="Normal"/>
    <w:autoRedefine/>
    <w:uiPriority w:val="39"/>
    <w:unhideWhenUsed/>
    <w:rsid w:val="00E42D28"/>
    <w:pPr>
      <w:ind w:left="1440"/>
    </w:pPr>
    <w:rPr>
      <w:sz w:val="18"/>
      <w:szCs w:val="21"/>
    </w:rPr>
  </w:style>
  <w:style w:type="paragraph" w:styleId="TOC8">
    <w:name w:val="toc 8"/>
    <w:basedOn w:val="Normal"/>
    <w:next w:val="Normal"/>
    <w:autoRedefine/>
    <w:uiPriority w:val="39"/>
    <w:unhideWhenUsed/>
    <w:rsid w:val="00E42D28"/>
    <w:pPr>
      <w:ind w:left="1680"/>
    </w:pPr>
    <w:rPr>
      <w:sz w:val="18"/>
      <w:szCs w:val="21"/>
    </w:rPr>
  </w:style>
  <w:style w:type="paragraph" w:styleId="TOC9">
    <w:name w:val="toc 9"/>
    <w:basedOn w:val="Normal"/>
    <w:next w:val="Normal"/>
    <w:autoRedefine/>
    <w:uiPriority w:val="39"/>
    <w:unhideWhenUsed/>
    <w:rsid w:val="00E42D28"/>
    <w:pPr>
      <w:ind w:left="1920"/>
    </w:pPr>
    <w:rPr>
      <w:sz w:val="18"/>
      <w:szCs w:val="21"/>
    </w:rPr>
  </w:style>
  <w:style w:type="paragraph" w:customStyle="1" w:styleId="Document">
    <w:name w:val="_Document"/>
    <w:basedOn w:val="Normal"/>
    <w:link w:val="DocumentChar"/>
    <w:rsid w:val="00E42D28"/>
    <w:pPr>
      <w:widowControl w:val="0"/>
      <w:suppressLineNumbers/>
      <w:tabs>
        <w:tab w:val="left" w:pos="0"/>
        <w:tab w:val="left" w:pos="460"/>
        <w:tab w:val="left" w:pos="620"/>
      </w:tabs>
      <w:spacing w:line="260" w:lineRule="exact"/>
      <w:ind w:firstLine="460"/>
      <w:jc w:val="both"/>
    </w:pPr>
    <w:rPr>
      <w:rFonts w:ascii="TimesTen" w:eastAsia="Times New Roman" w:hAnsi="TimesTen"/>
      <w:sz w:val="23"/>
    </w:rPr>
  </w:style>
  <w:style w:type="paragraph" w:customStyle="1" w:styleId="FootNote">
    <w:name w:val="_FootNote"/>
    <w:basedOn w:val="Document"/>
    <w:link w:val="FootNoteChar"/>
    <w:rsid w:val="00E42D28"/>
    <w:pPr>
      <w:tabs>
        <w:tab w:val="clear" w:pos="0"/>
        <w:tab w:val="clear" w:pos="460"/>
        <w:tab w:val="clear" w:pos="620"/>
        <w:tab w:val="right" w:pos="360"/>
        <w:tab w:val="left" w:pos="440"/>
      </w:tabs>
      <w:spacing w:line="200" w:lineRule="exact"/>
      <w:ind w:firstLine="0"/>
    </w:pPr>
    <w:rPr>
      <w:sz w:val="17"/>
    </w:rPr>
  </w:style>
  <w:style w:type="table" w:styleId="TableGrid">
    <w:name w:val="Table Grid"/>
    <w:basedOn w:val="TableNormal"/>
    <w:uiPriority w:val="39"/>
    <w:rsid w:val="00E42D28"/>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42D28"/>
    <w:pPr>
      <w:pBdr>
        <w:top w:val="nil"/>
        <w:left w:val="nil"/>
        <w:bottom w:val="nil"/>
        <w:right w:val="nil"/>
        <w:between w:val="nil"/>
        <w:bar w:val="nil"/>
      </w:pBdr>
    </w:pPr>
    <w:rPr>
      <w:rFonts w:eastAsia="Arial Unicode MS"/>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journaltitle">
    <w:name w:val="journaltitle"/>
    <w:basedOn w:val="DefaultParagraphFont"/>
    <w:rsid w:val="00E42D28"/>
  </w:style>
  <w:style w:type="character" w:customStyle="1" w:styleId="articlecitationyear">
    <w:name w:val="articlecitation_year"/>
    <w:basedOn w:val="DefaultParagraphFont"/>
    <w:rsid w:val="00E42D28"/>
  </w:style>
  <w:style w:type="character" w:customStyle="1" w:styleId="articlecitationvolume">
    <w:name w:val="articlecitation_volume"/>
    <w:basedOn w:val="DefaultParagraphFont"/>
    <w:rsid w:val="00E42D28"/>
  </w:style>
  <w:style w:type="character" w:customStyle="1" w:styleId="articlecitationpages">
    <w:name w:val="articlecitation_pages"/>
    <w:basedOn w:val="DefaultParagraphFont"/>
    <w:rsid w:val="00E42D28"/>
  </w:style>
  <w:style w:type="character" w:customStyle="1" w:styleId="titleauthoretc">
    <w:name w:val="titleauthoretc"/>
    <w:basedOn w:val="DefaultParagraphFont"/>
    <w:rsid w:val="00E42D28"/>
  </w:style>
  <w:style w:type="paragraph" w:styleId="BodyText">
    <w:name w:val="Body Text"/>
    <w:basedOn w:val="Normal"/>
    <w:link w:val="BodyTextChar"/>
    <w:uiPriority w:val="1"/>
    <w:rsid w:val="00E42D28"/>
    <w:pPr>
      <w:widowControl w:val="0"/>
      <w:spacing w:before="6"/>
      <w:ind w:left="728" w:firstLine="360"/>
    </w:pPr>
    <w:rPr>
      <w:rFonts w:eastAsia="Times New Roman"/>
    </w:rPr>
  </w:style>
  <w:style w:type="character" w:customStyle="1" w:styleId="BodyTextChar">
    <w:name w:val="Body Text Char"/>
    <w:basedOn w:val="DefaultParagraphFont"/>
    <w:link w:val="BodyText"/>
    <w:uiPriority w:val="1"/>
    <w:rsid w:val="00E42D28"/>
    <w:rPr>
      <w:rFonts w:cstheme="minorBidi"/>
      <w:sz w:val="24"/>
      <w:szCs w:val="24"/>
    </w:rPr>
  </w:style>
  <w:style w:type="paragraph" w:customStyle="1" w:styleId="Head1-Article">
    <w:name w:val="_Head1-Article"/>
    <w:basedOn w:val="Normal"/>
    <w:next w:val="Normal"/>
    <w:rsid w:val="00E42D28"/>
    <w:pPr>
      <w:keepNext/>
      <w:widowControl w:val="0"/>
      <w:suppressLineNumbers/>
      <w:tabs>
        <w:tab w:val="left" w:pos="500"/>
      </w:tabs>
      <w:suppressAutoHyphens/>
      <w:spacing w:after="320" w:line="320" w:lineRule="exact"/>
      <w:jc w:val="center"/>
    </w:pPr>
    <w:rPr>
      <w:rFonts w:ascii="TimesTen" w:eastAsia="Times New Roman" w:hAnsi="TimesTen"/>
      <w:caps/>
      <w:noProof/>
      <w:sz w:val="28"/>
    </w:rPr>
  </w:style>
  <w:style w:type="character" w:customStyle="1" w:styleId="m-2689224982085633957gmail-msofootnotereference">
    <w:name w:val="m_-2689224982085633957gmail-msofootnotereference"/>
    <w:basedOn w:val="DefaultParagraphFont"/>
    <w:rsid w:val="00E42D28"/>
  </w:style>
  <w:style w:type="character" w:customStyle="1" w:styleId="footnotemark">
    <w:name w:val="footnote mark"/>
    <w:hidden/>
    <w:rsid w:val="00E42D28"/>
    <w:rPr>
      <w:rFonts w:ascii="Times New Roman" w:eastAsia="Times New Roman" w:hAnsi="Times New Roman" w:cs="Times New Roman"/>
      <w:color w:val="000000"/>
      <w:sz w:val="20"/>
      <w:vertAlign w:val="superscript"/>
    </w:rPr>
  </w:style>
  <w:style w:type="character" w:customStyle="1" w:styleId="Mention1">
    <w:name w:val="Mention1"/>
    <w:basedOn w:val="DefaultParagraphFont"/>
    <w:uiPriority w:val="99"/>
    <w:semiHidden/>
    <w:unhideWhenUsed/>
    <w:rsid w:val="00E42D28"/>
    <w:rPr>
      <w:color w:val="2B579A"/>
      <w:shd w:val="clear" w:color="auto" w:fill="E6E6E6"/>
    </w:rPr>
  </w:style>
  <w:style w:type="table" w:customStyle="1" w:styleId="TableGridLight2">
    <w:name w:val="Table Grid Light2"/>
    <w:basedOn w:val="TableNormal"/>
    <w:uiPriority w:val="40"/>
    <w:rsid w:val="00E42D28"/>
    <w:pPr>
      <w:pBdr>
        <w:top w:val="nil"/>
        <w:left w:val="nil"/>
        <w:bottom w:val="nil"/>
        <w:right w:val="nil"/>
        <w:between w:val="nil"/>
        <w:bar w:val="nil"/>
      </w:pBdr>
    </w:pPr>
    <w:rPr>
      <w:rFonts w:eastAsia="Arial Unicode MS"/>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E42D28"/>
    <w:pPr>
      <w:overflowPunct w:val="0"/>
      <w:autoSpaceDE w:val="0"/>
      <w:autoSpaceDN w:val="0"/>
      <w:adjustRightInd w:val="0"/>
      <w:ind w:firstLine="360"/>
      <w:jc w:val="both"/>
      <w:textAlignment w:val="baseline"/>
    </w:pPr>
    <w:rPr>
      <w:rFonts w:eastAsia="Times New Roman"/>
      <w:lang w:eastAsia="he-IL" w:bidi="he-IL"/>
    </w:rPr>
  </w:style>
  <w:style w:type="character" w:customStyle="1" w:styleId="DocumentMapChar">
    <w:name w:val="Document Map Char"/>
    <w:basedOn w:val="DefaultParagraphFont"/>
    <w:link w:val="DocumentMap"/>
    <w:uiPriority w:val="99"/>
    <w:semiHidden/>
    <w:rsid w:val="00E42D28"/>
    <w:rPr>
      <w:sz w:val="24"/>
      <w:szCs w:val="24"/>
      <w:lang w:eastAsia="he-IL" w:bidi="he-IL"/>
    </w:rPr>
  </w:style>
  <w:style w:type="character" w:customStyle="1" w:styleId="size-xl">
    <w:name w:val="size-xl"/>
    <w:basedOn w:val="DefaultParagraphFont"/>
    <w:rsid w:val="00E42D28"/>
  </w:style>
  <w:style w:type="character" w:customStyle="1" w:styleId="size-m">
    <w:name w:val="size-m"/>
    <w:basedOn w:val="DefaultParagraphFont"/>
    <w:rsid w:val="00E42D28"/>
  </w:style>
  <w:style w:type="character" w:styleId="HTMLCite">
    <w:name w:val="HTML Cite"/>
    <w:basedOn w:val="DefaultParagraphFont"/>
    <w:uiPriority w:val="99"/>
    <w:semiHidden/>
    <w:unhideWhenUsed/>
    <w:rsid w:val="00E42D28"/>
    <w:rPr>
      <w:i/>
      <w:iCs/>
    </w:rPr>
  </w:style>
  <w:style w:type="character" w:customStyle="1" w:styleId="searchtermshighlighted">
    <w:name w:val="searchtermshighlighted"/>
    <w:basedOn w:val="DefaultParagraphFont"/>
    <w:rsid w:val="00E42D28"/>
  </w:style>
  <w:style w:type="character" w:customStyle="1" w:styleId="NoterefInText">
    <w:name w:val="_NoterefInText"/>
    <w:basedOn w:val="PageNumber"/>
    <w:rsid w:val="00A4102A"/>
    <w:rPr>
      <w:rFonts w:ascii="Times New Roman" w:eastAsia="Times New Roman" w:hAnsi="Times New Roman" w:cs="Times New Roman"/>
      <w:sz w:val="20"/>
      <w:szCs w:val="20"/>
      <w:vertAlign w:val="superscript"/>
      <w:lang w:val="en-US"/>
    </w:rPr>
  </w:style>
  <w:style w:type="character" w:customStyle="1" w:styleId="a-size-large">
    <w:name w:val="a-size-large"/>
    <w:basedOn w:val="DefaultParagraphFont"/>
    <w:rsid w:val="00906FA9"/>
  </w:style>
  <w:style w:type="character" w:customStyle="1" w:styleId="a-size-medium">
    <w:name w:val="a-size-medium"/>
    <w:basedOn w:val="DefaultParagraphFont"/>
    <w:rsid w:val="00906FA9"/>
  </w:style>
  <w:style w:type="character" w:customStyle="1" w:styleId="author">
    <w:name w:val="author"/>
    <w:basedOn w:val="DefaultParagraphFont"/>
    <w:rsid w:val="00906FA9"/>
  </w:style>
  <w:style w:type="character" w:customStyle="1" w:styleId="a-color-secondary">
    <w:name w:val="a-color-secondary"/>
    <w:basedOn w:val="DefaultParagraphFont"/>
    <w:rsid w:val="00906FA9"/>
  </w:style>
  <w:style w:type="character" w:customStyle="1" w:styleId="UnresolvedMention1">
    <w:name w:val="Unresolved Mention1"/>
    <w:basedOn w:val="DefaultParagraphFont"/>
    <w:uiPriority w:val="99"/>
    <w:semiHidden/>
    <w:unhideWhenUsed/>
    <w:rsid w:val="0050563A"/>
    <w:rPr>
      <w:color w:val="808080"/>
      <w:shd w:val="clear" w:color="auto" w:fill="E6E6E6"/>
    </w:rPr>
  </w:style>
  <w:style w:type="character" w:customStyle="1" w:styleId="name">
    <w:name w:val="name"/>
    <w:basedOn w:val="DefaultParagraphFont"/>
    <w:rsid w:val="00525D31"/>
  </w:style>
  <w:style w:type="character" w:customStyle="1" w:styleId="surname">
    <w:name w:val="surname"/>
    <w:basedOn w:val="DefaultParagraphFont"/>
    <w:rsid w:val="00525D31"/>
  </w:style>
  <w:style w:type="character" w:customStyle="1" w:styleId="given-names">
    <w:name w:val="given-names"/>
    <w:basedOn w:val="DefaultParagraphFont"/>
    <w:rsid w:val="00525D31"/>
  </w:style>
  <w:style w:type="character" w:customStyle="1" w:styleId="article-title">
    <w:name w:val="article-title"/>
    <w:basedOn w:val="DefaultParagraphFont"/>
    <w:rsid w:val="00525D31"/>
  </w:style>
  <w:style w:type="character" w:customStyle="1" w:styleId="volume">
    <w:name w:val="volume"/>
    <w:basedOn w:val="DefaultParagraphFont"/>
    <w:rsid w:val="00525D31"/>
  </w:style>
  <w:style w:type="character" w:customStyle="1" w:styleId="source">
    <w:name w:val="source"/>
    <w:basedOn w:val="DefaultParagraphFont"/>
    <w:rsid w:val="00525D31"/>
  </w:style>
  <w:style w:type="character" w:customStyle="1" w:styleId="fpage">
    <w:name w:val="fpage"/>
    <w:basedOn w:val="DefaultParagraphFont"/>
    <w:rsid w:val="00525D31"/>
  </w:style>
  <w:style w:type="character" w:customStyle="1" w:styleId="year">
    <w:name w:val="year"/>
    <w:basedOn w:val="DefaultParagraphFont"/>
    <w:rsid w:val="00525D31"/>
  </w:style>
  <w:style w:type="character" w:customStyle="1" w:styleId="fs-author-name">
    <w:name w:val="fs-author-name"/>
    <w:basedOn w:val="DefaultParagraphFont"/>
    <w:rsid w:val="00C0207D"/>
  </w:style>
  <w:style w:type="character" w:styleId="SubtleReference">
    <w:name w:val="Subtle Reference"/>
    <w:basedOn w:val="DefaultParagraphFont"/>
    <w:uiPriority w:val="31"/>
    <w:qFormat/>
    <w:rsid w:val="00AE723C"/>
    <w:rPr>
      <w:smallCaps/>
      <w:color w:val="5A5A5A" w:themeColor="text1" w:themeTint="A5"/>
    </w:rPr>
  </w:style>
  <w:style w:type="paragraph" w:customStyle="1" w:styleId="css-exrw3m">
    <w:name w:val="css-exrw3m"/>
    <w:basedOn w:val="Normal"/>
    <w:rsid w:val="00591527"/>
    <w:pPr>
      <w:spacing w:before="100" w:beforeAutospacing="1" w:after="100" w:afterAutospacing="1"/>
    </w:pPr>
    <w:rPr>
      <w:rFonts w:eastAsia="Times New Roman"/>
      <w:lang w:bidi="he-IL"/>
    </w:rPr>
  </w:style>
  <w:style w:type="character" w:customStyle="1" w:styleId="publishdate">
    <w:name w:val="publishdate"/>
    <w:basedOn w:val="DefaultParagraphFont"/>
    <w:rsid w:val="00780686"/>
  </w:style>
  <w:style w:type="paragraph" w:styleId="TOCHeading">
    <w:name w:val="TOC Heading"/>
    <w:basedOn w:val="Heading1"/>
    <w:next w:val="Normal"/>
    <w:uiPriority w:val="39"/>
    <w:unhideWhenUsed/>
    <w:qFormat/>
    <w:rsid w:val="00954132"/>
    <w:pPr>
      <w:spacing w:before="240" w:after="0"/>
      <w:outlineLvl w:val="9"/>
    </w:pPr>
    <w:rPr>
      <w:sz w:val="32"/>
      <w:szCs w:val="32"/>
    </w:rPr>
  </w:style>
  <w:style w:type="paragraph" w:styleId="TOC1">
    <w:name w:val="toc 1"/>
    <w:basedOn w:val="Normal"/>
    <w:next w:val="Normal"/>
    <w:autoRedefine/>
    <w:uiPriority w:val="39"/>
    <w:unhideWhenUsed/>
    <w:rsid w:val="00CB14C9"/>
    <w:pPr>
      <w:tabs>
        <w:tab w:val="left" w:pos="720"/>
        <w:tab w:val="right" w:leader="dot" w:pos="6470"/>
      </w:tabs>
      <w:spacing w:before="120" w:after="120" w:line="240" w:lineRule="auto"/>
    </w:pPr>
    <w:rPr>
      <w:rFonts w:ascii="Garamond" w:hAnsi="Garamond"/>
      <w:b/>
      <w:bCs/>
      <w:caps/>
      <w:noProof/>
      <w:sz w:val="12"/>
      <w:szCs w:val="16"/>
    </w:rPr>
  </w:style>
  <w:style w:type="paragraph" w:customStyle="1" w:styleId="byline">
    <w:name w:val="byline"/>
    <w:basedOn w:val="Normal"/>
    <w:rsid w:val="00AD480B"/>
    <w:pPr>
      <w:spacing w:before="100" w:beforeAutospacing="1" w:after="100" w:afterAutospacing="1"/>
    </w:pPr>
    <w:rPr>
      <w:rFonts w:eastAsia="Times New Roman"/>
      <w:lang w:bidi="he-IL"/>
    </w:rPr>
  </w:style>
  <w:style w:type="character" w:customStyle="1" w:styleId="UnresolvedMention2">
    <w:name w:val="Unresolved Mention2"/>
    <w:basedOn w:val="DefaultParagraphFont"/>
    <w:uiPriority w:val="99"/>
    <w:semiHidden/>
    <w:unhideWhenUsed/>
    <w:rsid w:val="00D41DF4"/>
    <w:rPr>
      <w:color w:val="605E5C"/>
      <w:shd w:val="clear" w:color="auto" w:fill="E1DFDD"/>
    </w:rPr>
  </w:style>
  <w:style w:type="character" w:customStyle="1" w:styleId="cohl">
    <w:name w:val="co_hl"/>
    <w:basedOn w:val="DefaultParagraphFont"/>
    <w:rsid w:val="009F3BD1"/>
  </w:style>
  <w:style w:type="paragraph" w:customStyle="1" w:styleId="1StQuoteTXT">
    <w:name w:val="_1StQuoteTXT"/>
    <w:basedOn w:val="Document"/>
    <w:next w:val="Document"/>
    <w:rsid w:val="009F3BD1"/>
    <w:pPr>
      <w:tabs>
        <w:tab w:val="clear" w:pos="460"/>
        <w:tab w:val="left" w:pos="240"/>
      </w:tabs>
      <w:spacing w:before="180" w:after="260" w:line="240" w:lineRule="exact"/>
      <w:ind w:left="360" w:right="360" w:firstLine="0"/>
    </w:pPr>
    <w:rPr>
      <w:rFonts w:ascii="TimesNewRomanPS" w:hAnsi="TimesNewRomanPS"/>
      <w:sz w:val="20"/>
    </w:rPr>
  </w:style>
  <w:style w:type="character" w:customStyle="1" w:styleId="NoterefInNote">
    <w:name w:val="_NoterefInNote"/>
    <w:rsid w:val="009F3BD1"/>
    <w:rPr>
      <w:rFonts w:ascii="TimesNewRomanPS" w:hAnsi="TimesNewRomanPS"/>
      <w:sz w:val="20"/>
      <w:szCs w:val="20"/>
    </w:rPr>
  </w:style>
  <w:style w:type="paragraph" w:customStyle="1" w:styleId="SubHead2">
    <w:name w:val="_SubHead2"/>
    <w:basedOn w:val="Normal"/>
    <w:next w:val="Document"/>
    <w:rsid w:val="009F3BD1"/>
    <w:pPr>
      <w:keepNext/>
      <w:widowControl w:val="0"/>
      <w:suppressLineNumbers/>
      <w:tabs>
        <w:tab w:val="left" w:pos="360"/>
      </w:tabs>
      <w:suppressAutoHyphens/>
      <w:spacing w:before="240" w:after="120" w:line="280" w:lineRule="exact"/>
      <w:jc w:val="center"/>
    </w:pPr>
    <w:rPr>
      <w:rFonts w:ascii="TimesNewRomanPS" w:eastAsia="Times New Roman" w:hAnsi="TimesNewRomanPS"/>
      <w:smallCaps/>
      <w:sz w:val="25"/>
    </w:rPr>
  </w:style>
  <w:style w:type="paragraph" w:customStyle="1" w:styleId="SubHead3">
    <w:name w:val="_SubHead3"/>
    <w:basedOn w:val="Normal"/>
    <w:next w:val="Document"/>
    <w:rsid w:val="009F3BD1"/>
    <w:pPr>
      <w:keepNext/>
      <w:widowControl w:val="0"/>
      <w:suppressLineNumbers/>
      <w:tabs>
        <w:tab w:val="left" w:pos="360"/>
      </w:tabs>
      <w:suppressAutoHyphens/>
      <w:spacing w:before="240" w:after="120" w:line="280" w:lineRule="exact"/>
      <w:jc w:val="center"/>
    </w:pPr>
    <w:rPr>
      <w:rFonts w:ascii="TimesNewRomanPS" w:eastAsia="Times New Roman" w:hAnsi="TimesNewRomanPS"/>
      <w:i/>
    </w:rPr>
  </w:style>
  <w:style w:type="character" w:customStyle="1" w:styleId="DocumentChar">
    <w:name w:val="_Document Char"/>
    <w:link w:val="Document"/>
    <w:locked/>
    <w:rsid w:val="009F3BD1"/>
    <w:rPr>
      <w:rFonts w:ascii="TimesTen" w:hAnsi="TimesTen"/>
      <w:sz w:val="23"/>
    </w:rPr>
  </w:style>
  <w:style w:type="character" w:customStyle="1" w:styleId="FootNoteChar">
    <w:name w:val="_FootNote Char"/>
    <w:link w:val="FootNote"/>
    <w:rsid w:val="009F3BD1"/>
    <w:rPr>
      <w:rFonts w:ascii="TimesTen" w:hAnsi="TimesTen"/>
      <w:sz w:val="17"/>
    </w:rPr>
  </w:style>
  <w:style w:type="character" w:customStyle="1" w:styleId="smallcaps">
    <w:name w:val="smallcaps"/>
    <w:basedOn w:val="DefaultParagraphFont"/>
    <w:rsid w:val="009F3BD1"/>
  </w:style>
  <w:style w:type="character" w:customStyle="1" w:styleId="casename">
    <w:name w:val="case_name"/>
    <w:basedOn w:val="DefaultParagraphFont"/>
    <w:rsid w:val="009F3BD1"/>
  </w:style>
  <w:style w:type="character" w:customStyle="1" w:styleId="gd">
    <w:name w:val="gd"/>
    <w:basedOn w:val="DefaultParagraphFont"/>
    <w:rsid w:val="004D6465"/>
  </w:style>
  <w:style w:type="paragraph" w:customStyle="1" w:styleId="Pa17">
    <w:name w:val="Pa17"/>
    <w:basedOn w:val="Normal"/>
    <w:next w:val="Normal"/>
    <w:uiPriority w:val="99"/>
    <w:rsid w:val="004F6D1D"/>
    <w:pPr>
      <w:autoSpaceDE w:val="0"/>
      <w:autoSpaceDN w:val="0"/>
      <w:adjustRightInd w:val="0"/>
      <w:spacing w:line="241" w:lineRule="atLeast"/>
    </w:pPr>
    <w:rPr>
      <w:rFonts w:ascii="Minion Pro" w:hAnsi="Minion Pro"/>
      <w:lang w:val="en-GB" w:bidi="he-IL"/>
    </w:rPr>
  </w:style>
  <w:style w:type="character" w:customStyle="1" w:styleId="A16">
    <w:name w:val="A16"/>
    <w:uiPriority w:val="99"/>
    <w:rsid w:val="004F6D1D"/>
    <w:rPr>
      <w:rFonts w:cs="Minion Pro"/>
      <w:color w:val="000000"/>
      <w:sz w:val="16"/>
      <w:szCs w:val="16"/>
      <w:u w:val="single"/>
    </w:rPr>
  </w:style>
  <w:style w:type="character" w:customStyle="1" w:styleId="UnresolvedMention3">
    <w:name w:val="Unresolved Mention3"/>
    <w:basedOn w:val="DefaultParagraphFont"/>
    <w:uiPriority w:val="99"/>
    <w:semiHidden/>
    <w:unhideWhenUsed/>
    <w:rsid w:val="00121BEB"/>
    <w:rPr>
      <w:color w:val="605E5C"/>
      <w:shd w:val="clear" w:color="auto" w:fill="E1DFDD"/>
    </w:rPr>
  </w:style>
  <w:style w:type="character" w:customStyle="1" w:styleId="UnresolvedMention4">
    <w:name w:val="Unresolved Mention4"/>
    <w:basedOn w:val="DefaultParagraphFont"/>
    <w:uiPriority w:val="99"/>
    <w:semiHidden/>
    <w:unhideWhenUsed/>
    <w:rsid w:val="00585405"/>
    <w:rPr>
      <w:color w:val="605E5C"/>
      <w:shd w:val="clear" w:color="auto" w:fill="E1DFDD"/>
    </w:rPr>
  </w:style>
  <w:style w:type="paragraph" w:customStyle="1" w:styleId="p1">
    <w:name w:val="p1"/>
    <w:basedOn w:val="Normal"/>
    <w:rsid w:val="00D34684"/>
    <w:pPr>
      <w:spacing w:before="100" w:beforeAutospacing="1" w:after="100" w:afterAutospacing="1"/>
    </w:pPr>
    <w:rPr>
      <w:rFonts w:eastAsia="Times New Roman"/>
    </w:rPr>
  </w:style>
  <w:style w:type="paragraph" w:customStyle="1" w:styleId="p2">
    <w:name w:val="p2"/>
    <w:basedOn w:val="Normal"/>
    <w:rsid w:val="00D34684"/>
    <w:pPr>
      <w:spacing w:before="100" w:beforeAutospacing="1" w:after="100" w:afterAutospacing="1"/>
    </w:pPr>
    <w:rPr>
      <w:rFonts w:eastAsia="Times New Roman"/>
    </w:rPr>
  </w:style>
  <w:style w:type="character" w:customStyle="1" w:styleId="UnresolvedMention5">
    <w:name w:val="Unresolved Mention5"/>
    <w:basedOn w:val="DefaultParagraphFont"/>
    <w:uiPriority w:val="99"/>
    <w:semiHidden/>
    <w:unhideWhenUsed/>
    <w:rsid w:val="00AE454B"/>
    <w:rPr>
      <w:color w:val="605E5C"/>
      <w:shd w:val="clear" w:color="auto" w:fill="E1DFDD"/>
    </w:rPr>
  </w:style>
  <w:style w:type="character" w:customStyle="1" w:styleId="Heading5Char">
    <w:name w:val="Heading 5 Char"/>
    <w:basedOn w:val="DefaultParagraphFont"/>
    <w:link w:val="Heading5"/>
    <w:uiPriority w:val="9"/>
    <w:semiHidden/>
    <w:rsid w:val="00AD249B"/>
    <w:rPr>
      <w:rFonts w:eastAsiaTheme="majorEastAsia" w:cstheme="majorBidi"/>
      <w:color w:val="365F91" w:themeColor="accent1" w:themeShade="BF"/>
    </w:rPr>
  </w:style>
  <w:style w:type="paragraph" w:styleId="Title">
    <w:name w:val="Title"/>
    <w:basedOn w:val="Normal"/>
    <w:next w:val="Heading2"/>
    <w:link w:val="TitleChar"/>
    <w:uiPriority w:val="10"/>
    <w:qFormat/>
    <w:rsid w:val="00177816"/>
    <w:pPr>
      <w:jc w:val="center"/>
    </w:pPr>
    <w:rPr>
      <w:rFonts w:asciiTheme="majorBidi" w:hAnsiTheme="majorBidi" w:cstheme="majorBidi"/>
      <w:smallCaps/>
    </w:rPr>
  </w:style>
  <w:style w:type="character" w:customStyle="1" w:styleId="TitleChar">
    <w:name w:val="Title Char"/>
    <w:basedOn w:val="DefaultParagraphFont"/>
    <w:link w:val="Title"/>
    <w:uiPriority w:val="10"/>
    <w:rsid w:val="00177816"/>
    <w:rPr>
      <w:rFonts w:asciiTheme="majorBidi" w:hAnsiTheme="majorBidi" w:cstheme="majorBidi"/>
      <w:smallCaps/>
    </w:rPr>
  </w:style>
  <w:style w:type="paragraph" w:customStyle="1" w:styleId="FootnoteTextbtlj">
    <w:name w:val="_Footnote Text_btlj"/>
    <w:qFormat/>
    <w:rsid w:val="008E6E11"/>
    <w:pPr>
      <w:tabs>
        <w:tab w:val="right" w:pos="576"/>
        <w:tab w:val="left" w:pos="720"/>
      </w:tabs>
      <w:spacing w:line="220" w:lineRule="exact"/>
      <w:jc w:val="both"/>
    </w:pPr>
    <w:rPr>
      <w:rFonts w:ascii="Garamond" w:hAnsi="Garamond"/>
      <w:sz w:val="20"/>
    </w:rPr>
  </w:style>
  <w:style w:type="character" w:customStyle="1" w:styleId="citation-number">
    <w:name w:val="citation-number"/>
    <w:basedOn w:val="DefaultParagraphFont"/>
    <w:rsid w:val="008E6E11"/>
  </w:style>
  <w:style w:type="character" w:customStyle="1" w:styleId="bibitemspan">
    <w:name w:val="bibitemspan"/>
    <w:basedOn w:val="DefaultParagraphFont"/>
    <w:rsid w:val="008E6E11"/>
  </w:style>
  <w:style w:type="character" w:customStyle="1" w:styleId="A12">
    <w:name w:val="A12"/>
    <w:uiPriority w:val="99"/>
    <w:rsid w:val="008E6E11"/>
    <w:rPr>
      <w:rFonts w:cs="Garamond Premier Pro"/>
      <w:color w:val="211D1E"/>
      <w:sz w:val="12"/>
      <w:szCs w:val="12"/>
    </w:rPr>
  </w:style>
  <w:style w:type="paragraph" w:customStyle="1" w:styleId="CM16">
    <w:name w:val="CM16"/>
    <w:basedOn w:val="Default"/>
    <w:next w:val="Default"/>
    <w:uiPriority w:val="99"/>
    <w:rsid w:val="008E6E11"/>
    <w:pPr>
      <w:spacing w:line="188" w:lineRule="atLeast"/>
    </w:pPr>
    <w:rPr>
      <w:rFonts w:ascii="Cambria" w:hAnsi="Cambria" w:cstheme="minorBidi"/>
      <w:color w:val="auto"/>
    </w:rPr>
  </w:style>
  <w:style w:type="paragraph" w:customStyle="1" w:styleId="maintitle">
    <w:name w:val="maintitle"/>
    <w:basedOn w:val="Normal"/>
    <w:rsid w:val="008E6E11"/>
    <w:pPr>
      <w:spacing w:before="100" w:beforeAutospacing="1" w:after="100" w:afterAutospacing="1"/>
    </w:pPr>
    <w:rPr>
      <w:rFonts w:eastAsia="Times New Roman"/>
      <w:lang w:bidi="he-IL"/>
    </w:rPr>
  </w:style>
  <w:style w:type="character" w:customStyle="1" w:styleId="inner">
    <w:name w:val="inner"/>
    <w:basedOn w:val="DefaultParagraphFont"/>
    <w:rsid w:val="008E6E11"/>
  </w:style>
  <w:style w:type="paragraph" w:customStyle="1" w:styleId="publisher-location">
    <w:name w:val="publisher-location"/>
    <w:basedOn w:val="Normal"/>
    <w:rsid w:val="008E6E11"/>
    <w:pPr>
      <w:spacing w:before="100" w:beforeAutospacing="1" w:after="100" w:afterAutospacing="1"/>
    </w:pPr>
    <w:rPr>
      <w:rFonts w:eastAsia="Times New Roman"/>
      <w:lang w:bidi="he-IL"/>
    </w:rPr>
  </w:style>
  <w:style w:type="paragraph" w:customStyle="1" w:styleId="print-publication-date">
    <w:name w:val="print-publication-date"/>
    <w:basedOn w:val="Normal"/>
    <w:rsid w:val="008E6E11"/>
    <w:pPr>
      <w:spacing w:before="100" w:beforeAutospacing="1" w:after="100" w:afterAutospacing="1"/>
    </w:pPr>
    <w:rPr>
      <w:rFonts w:eastAsia="Times New Roman"/>
      <w:lang w:bidi="he-IL"/>
    </w:rPr>
  </w:style>
  <w:style w:type="paragraph" w:customStyle="1" w:styleId="online-edition">
    <w:name w:val="online-edition"/>
    <w:basedOn w:val="Normal"/>
    <w:rsid w:val="008E6E11"/>
    <w:pPr>
      <w:spacing w:before="100" w:beforeAutospacing="1" w:after="100" w:afterAutospacing="1"/>
    </w:pPr>
    <w:rPr>
      <w:rFonts w:eastAsia="Times New Roman"/>
      <w:lang w:bidi="he-IL"/>
    </w:rPr>
  </w:style>
  <w:style w:type="paragraph" w:customStyle="1" w:styleId="containing-site">
    <w:name w:val="containing-site"/>
    <w:basedOn w:val="Normal"/>
    <w:rsid w:val="008E6E11"/>
    <w:pPr>
      <w:spacing w:before="100" w:beforeAutospacing="1" w:after="100" w:afterAutospacing="1"/>
    </w:pPr>
    <w:rPr>
      <w:rFonts w:eastAsia="Times New Roman"/>
      <w:lang w:bidi="he-IL"/>
    </w:rPr>
  </w:style>
  <w:style w:type="paragraph" w:customStyle="1" w:styleId="online-publication-date">
    <w:name w:val="online-publication-date"/>
    <w:basedOn w:val="Normal"/>
    <w:rsid w:val="008E6E11"/>
    <w:pPr>
      <w:spacing w:before="100" w:beforeAutospacing="1" w:after="100" w:afterAutospacing="1"/>
    </w:pPr>
    <w:rPr>
      <w:rFonts w:eastAsia="Times New Roman"/>
      <w:lang w:bidi="he-IL"/>
    </w:rPr>
  </w:style>
  <w:style w:type="character" w:customStyle="1" w:styleId="arxivid">
    <w:name w:val="arxivid"/>
    <w:basedOn w:val="DefaultParagraphFont"/>
    <w:rsid w:val="008E6E11"/>
  </w:style>
  <w:style w:type="paragraph" w:customStyle="1" w:styleId="dcr-n6w1lc">
    <w:name w:val="dcr-n6w1lc"/>
    <w:basedOn w:val="Normal"/>
    <w:rsid w:val="008E6E11"/>
    <w:pPr>
      <w:spacing w:before="100" w:beforeAutospacing="1" w:after="100" w:afterAutospacing="1"/>
    </w:pPr>
    <w:rPr>
      <w:rFonts w:eastAsia="Times New Roman"/>
      <w:lang w:bidi="he-IL"/>
    </w:rPr>
  </w:style>
  <w:style w:type="paragraph" w:customStyle="1" w:styleId="xgmail-dcr-n6w1lc">
    <w:name w:val="x_gmail-dcr-n6w1lc"/>
    <w:basedOn w:val="Normal"/>
    <w:rsid w:val="003906CE"/>
    <w:pPr>
      <w:spacing w:before="100" w:beforeAutospacing="1" w:after="100" w:afterAutospacing="1"/>
    </w:pPr>
    <w:rPr>
      <w:rFonts w:eastAsia="Times New Roman"/>
      <w:lang w:val="en-GB" w:eastAsia="en-GB" w:bidi="he-IL"/>
    </w:rPr>
  </w:style>
  <w:style w:type="character" w:customStyle="1" w:styleId="muxgbd">
    <w:name w:val="muxgbd"/>
    <w:basedOn w:val="DefaultParagraphFont"/>
    <w:rsid w:val="00B213DC"/>
  </w:style>
  <w:style w:type="paragraph" w:styleId="EndnoteText">
    <w:name w:val="endnote text"/>
    <w:basedOn w:val="Normal"/>
    <w:link w:val="EndnoteTextChar"/>
    <w:uiPriority w:val="99"/>
    <w:unhideWhenUsed/>
    <w:rsid w:val="006C1F02"/>
    <w:pPr>
      <w:spacing w:line="264" w:lineRule="auto"/>
      <w:jc w:val="both"/>
    </w:pPr>
    <w:rPr>
      <w:rFonts w:ascii="Linux Libertine" w:hAnsi="Linux Libertine"/>
      <w:sz w:val="20"/>
      <w:szCs w:val="20"/>
    </w:rPr>
  </w:style>
  <w:style w:type="character" w:customStyle="1" w:styleId="EndnoteTextChar">
    <w:name w:val="Endnote Text Char"/>
    <w:basedOn w:val="DefaultParagraphFont"/>
    <w:link w:val="EndnoteText"/>
    <w:uiPriority w:val="99"/>
    <w:rsid w:val="006C1F02"/>
    <w:rPr>
      <w:rFonts w:ascii="Linux Libertine" w:eastAsiaTheme="minorHAnsi" w:hAnsi="Linux Libertine" w:cstheme="minorBidi"/>
      <w:sz w:val="20"/>
      <w:szCs w:val="20"/>
    </w:rPr>
  </w:style>
  <w:style w:type="character" w:styleId="EndnoteReference">
    <w:name w:val="endnote reference"/>
    <w:basedOn w:val="DefaultParagraphFont"/>
    <w:uiPriority w:val="99"/>
    <w:unhideWhenUsed/>
    <w:rsid w:val="006C1F02"/>
    <w:rPr>
      <w:vertAlign w:val="superscript"/>
    </w:rPr>
  </w:style>
  <w:style w:type="paragraph" w:styleId="ListBullet3">
    <w:name w:val="List Bullet 3"/>
    <w:basedOn w:val="Normal"/>
    <w:rsid w:val="006C1F02"/>
    <w:pPr>
      <w:numPr>
        <w:numId w:val="4"/>
      </w:numPr>
      <w:spacing w:line="264" w:lineRule="auto"/>
      <w:contextualSpacing/>
      <w:jc w:val="both"/>
    </w:pPr>
    <w:rPr>
      <w:rFonts w:ascii="Linux Libertine" w:hAnsi="Linux Libertine"/>
      <w:sz w:val="18"/>
    </w:rPr>
  </w:style>
  <w:style w:type="paragraph" w:styleId="ListNumber4">
    <w:name w:val="List Number 4"/>
    <w:basedOn w:val="Normal"/>
    <w:rsid w:val="006C1F02"/>
    <w:pPr>
      <w:numPr>
        <w:numId w:val="5"/>
      </w:numPr>
      <w:spacing w:line="264" w:lineRule="auto"/>
      <w:contextualSpacing/>
      <w:jc w:val="both"/>
    </w:pPr>
    <w:rPr>
      <w:rFonts w:ascii="Linux Libertine" w:hAnsi="Linux Libertine"/>
      <w:sz w:val="18"/>
    </w:rPr>
  </w:style>
  <w:style w:type="character" w:styleId="UnresolvedMention">
    <w:name w:val="Unresolved Mention"/>
    <w:basedOn w:val="DefaultParagraphFont"/>
    <w:uiPriority w:val="99"/>
    <w:semiHidden/>
    <w:unhideWhenUsed/>
    <w:rsid w:val="005478E1"/>
    <w:rPr>
      <w:color w:val="605E5C"/>
      <w:shd w:val="clear" w:color="auto" w:fill="E1DFDD"/>
    </w:rPr>
  </w:style>
  <w:style w:type="paragraph" w:customStyle="1" w:styleId="Heading21">
    <w:name w:val="Heading 21"/>
    <w:basedOn w:val="Heading2"/>
    <w:link w:val="heading2Char0"/>
    <w:qFormat/>
    <w:rsid w:val="00ED2EF5"/>
    <w:pPr>
      <w:numPr>
        <w:numId w:val="8"/>
      </w:numPr>
      <w:jc w:val="center"/>
    </w:pPr>
    <w:rPr>
      <w:rFonts w:asciiTheme="majorBidi" w:eastAsiaTheme="minorHAnsi" w:hAnsiTheme="majorBidi"/>
      <w:smallCaps/>
      <w:color w:val="auto"/>
      <w:sz w:val="24"/>
      <w:szCs w:val="24"/>
    </w:rPr>
  </w:style>
  <w:style w:type="character" w:customStyle="1" w:styleId="heading2Char0">
    <w:name w:val="heading 2 Char"/>
    <w:basedOn w:val="Heading2Char"/>
    <w:link w:val="Heading21"/>
    <w:rsid w:val="00ED2EF5"/>
    <w:rPr>
      <w:rFonts w:asciiTheme="majorBidi" w:eastAsiaTheme="minorHAnsi" w:hAnsiTheme="majorBidi" w:cstheme="majorBidi"/>
      <w:smallCaps/>
      <w:color w:val="365F91" w:themeColor="accent1" w:themeShade="BF"/>
      <w:sz w:val="32"/>
      <w:szCs w:val="32"/>
    </w:rPr>
  </w:style>
  <w:style w:type="paragraph" w:customStyle="1" w:styleId="Heading3">
    <w:name w:val="Heading 3_"/>
    <w:basedOn w:val="Heading30"/>
    <w:link w:val="Heading3Char0"/>
    <w:qFormat/>
    <w:rsid w:val="001833F8"/>
    <w:pPr>
      <w:numPr>
        <w:numId w:val="19"/>
      </w:numPr>
      <w:jc w:val="center"/>
    </w:pPr>
    <w:rPr>
      <w:rFonts w:ascii="Garamond" w:eastAsiaTheme="minorHAnsi" w:hAnsi="Garamond"/>
      <w:i/>
      <w:iCs/>
      <w:smallCaps/>
      <w:color w:val="auto"/>
      <w:sz w:val="24"/>
      <w:szCs w:val="24"/>
    </w:rPr>
  </w:style>
  <w:style w:type="character" w:customStyle="1" w:styleId="Heading3Char0">
    <w:name w:val="Heading 3_ Char"/>
    <w:basedOn w:val="Heading3Char"/>
    <w:link w:val="Heading3"/>
    <w:rsid w:val="001833F8"/>
    <w:rPr>
      <w:rFonts w:ascii="Garamond" w:eastAsiaTheme="minorHAnsi" w:hAnsi="Garamond" w:cstheme="majorBidi"/>
      <w:i/>
      <w:iCs/>
      <w:smallCaps/>
      <w:color w:val="365F91" w:themeColor="accent1" w:themeShade="BF"/>
      <w:sz w:val="28"/>
      <w:szCs w:val="28"/>
    </w:rPr>
  </w:style>
  <w:style w:type="table" w:customStyle="1" w:styleId="QQuestionTable">
    <w:name w:val="QQuestionTable"/>
    <w:uiPriority w:val="99"/>
    <w:qFormat/>
    <w:rsid w:val="00B667BA"/>
    <w:pPr>
      <w:spacing w:after="0" w:line="240" w:lineRule="auto"/>
      <w:jc w:val="center"/>
    </w:pPr>
    <w:rPr>
      <w:rFonts w:eastAsiaTheme="minorEastAsia"/>
      <w:kern w:val="0"/>
      <w:sz w:val="22"/>
      <w:szCs w:val="22"/>
      <w:lang w:val="en-IL" w:eastAsia="zh-CN" w:bidi="he-IL"/>
      <w14:ligatures w14:val="non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B667BA"/>
    <w:pPr>
      <w:spacing w:after="0" w:line="240" w:lineRule="auto"/>
      <w:jc w:val="center"/>
    </w:pPr>
    <w:rPr>
      <w:rFonts w:eastAsiaTheme="minorEastAsia"/>
      <w:kern w:val="0"/>
      <w:sz w:val="22"/>
      <w:szCs w:val="22"/>
      <w14:ligatures w14:val="none"/>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B667BA"/>
    <w:pPr>
      <w:numPr>
        <w:numId w:val="13"/>
      </w:numPr>
    </w:pPr>
  </w:style>
  <w:style w:type="numbering" w:customStyle="1" w:styleId="Singlepunch">
    <w:name w:val="Single punch"/>
    <w:rsid w:val="00B667BA"/>
    <w:pPr>
      <w:numPr>
        <w:numId w:val="15"/>
      </w:numPr>
    </w:pPr>
  </w:style>
  <w:style w:type="paragraph" w:customStyle="1" w:styleId="H2">
    <w:name w:val="H2"/>
    <w:next w:val="Normal"/>
    <w:rsid w:val="00B667BA"/>
    <w:pPr>
      <w:spacing w:after="240" w:line="240" w:lineRule="auto"/>
    </w:pPr>
    <w:rPr>
      <w:rFonts w:eastAsiaTheme="minorEastAsia"/>
      <w:b/>
      <w:color w:val="000000"/>
      <w:kern w:val="0"/>
      <w:sz w:val="48"/>
      <w:szCs w:val="48"/>
      <w14:ligatures w14:val="none"/>
    </w:rPr>
  </w:style>
  <w:style w:type="paragraph" w:customStyle="1" w:styleId="BlockStartLabel">
    <w:name w:val="BlockStartLabel"/>
    <w:basedOn w:val="Normal"/>
    <w:qFormat/>
    <w:rsid w:val="00B667BA"/>
    <w:pPr>
      <w:spacing w:before="120" w:after="120" w:line="240" w:lineRule="auto"/>
    </w:pPr>
    <w:rPr>
      <w:rFonts w:eastAsiaTheme="minorEastAsia"/>
      <w:b/>
      <w:color w:val="CCCCCC"/>
      <w:kern w:val="0"/>
      <w:sz w:val="22"/>
      <w:szCs w:val="22"/>
      <w14:ligatures w14:val="none"/>
    </w:rPr>
  </w:style>
  <w:style w:type="paragraph" w:customStyle="1" w:styleId="BlockEndLabel">
    <w:name w:val="BlockEndLabel"/>
    <w:basedOn w:val="Normal"/>
    <w:qFormat/>
    <w:rsid w:val="00B667BA"/>
    <w:pPr>
      <w:spacing w:before="120" w:after="0" w:line="240" w:lineRule="auto"/>
    </w:pPr>
    <w:rPr>
      <w:rFonts w:eastAsiaTheme="minorEastAsia"/>
      <w:b/>
      <w:color w:val="CCCCCC"/>
      <w:kern w:val="0"/>
      <w:sz w:val="22"/>
      <w:szCs w:val="22"/>
      <w14:ligatures w14:val="none"/>
    </w:rPr>
  </w:style>
  <w:style w:type="paragraph" w:customStyle="1" w:styleId="BlockSeparator">
    <w:name w:val="BlockSeparator"/>
    <w:basedOn w:val="Normal"/>
    <w:qFormat/>
    <w:rsid w:val="00B667BA"/>
    <w:pPr>
      <w:pBdr>
        <w:bottom w:val="single" w:sz="8" w:space="0" w:color="CCCCCC"/>
      </w:pBdr>
      <w:spacing w:after="0" w:line="120" w:lineRule="auto"/>
      <w:jc w:val="center"/>
    </w:pPr>
    <w:rPr>
      <w:rFonts w:eastAsiaTheme="minorEastAsia"/>
      <w:b/>
      <w:color w:val="CCCCCC"/>
      <w:kern w:val="0"/>
      <w:sz w:val="22"/>
      <w:szCs w:val="22"/>
      <w14:ligatures w14:val="none"/>
    </w:rPr>
  </w:style>
  <w:style w:type="paragraph" w:customStyle="1" w:styleId="QuestionSeparator">
    <w:name w:val="QuestionSeparator"/>
    <w:basedOn w:val="Normal"/>
    <w:qFormat/>
    <w:rsid w:val="00B667BA"/>
    <w:pPr>
      <w:pBdr>
        <w:top w:val="dashed" w:sz="8" w:space="0" w:color="CCCCCC"/>
      </w:pBdr>
      <w:spacing w:before="120" w:after="120" w:line="120" w:lineRule="auto"/>
    </w:pPr>
    <w:rPr>
      <w:rFonts w:eastAsiaTheme="minorEastAsia"/>
      <w:kern w:val="0"/>
      <w:sz w:val="22"/>
      <w:szCs w:val="22"/>
      <w14:ligatures w14:val="none"/>
    </w:rPr>
  </w:style>
  <w:style w:type="paragraph" w:customStyle="1" w:styleId="TextEntryLine">
    <w:name w:val="TextEntryLine"/>
    <w:basedOn w:val="Normal"/>
    <w:qFormat/>
    <w:rsid w:val="00B667BA"/>
    <w:pPr>
      <w:spacing w:before="240" w:after="0" w:line="240" w:lineRule="auto"/>
    </w:pPr>
    <w:rPr>
      <w:rFonts w:eastAsiaTheme="minorEastAsia"/>
      <w:kern w:val="0"/>
      <w:sz w:val="22"/>
      <w:szCs w:val="22"/>
      <w14:ligatures w14:val="none"/>
    </w:rPr>
  </w:style>
  <w:style w:type="paragraph" w:customStyle="1" w:styleId="Style2">
    <w:name w:val="Style2"/>
    <w:basedOn w:val="Heading4"/>
    <w:link w:val="Style2Char"/>
    <w:qFormat/>
    <w:rsid w:val="003A0290"/>
    <w:pPr>
      <w:numPr>
        <w:numId w:val="29"/>
      </w:numPr>
      <w:jc w:val="both"/>
    </w:pPr>
    <w:rPr>
      <w:rFonts w:ascii="Garamond" w:hAnsi="Garamond"/>
      <w:bCs/>
      <w:i w:val="0"/>
      <w:color w:val="000000" w:themeColor="text1"/>
    </w:rPr>
  </w:style>
  <w:style w:type="character" w:customStyle="1" w:styleId="Style2Char">
    <w:name w:val="Style2 Char"/>
    <w:basedOn w:val="Heading4Char"/>
    <w:link w:val="Style2"/>
    <w:rsid w:val="003A0290"/>
    <w:rPr>
      <w:rFonts w:ascii="Garamond" w:eastAsiaTheme="majorEastAsia" w:hAnsi="Garamond" w:cstheme="majorBidi"/>
      <w:bCs/>
      <w:i w:val="0"/>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686">
      <w:bodyDiv w:val="1"/>
      <w:marLeft w:val="0"/>
      <w:marRight w:val="0"/>
      <w:marTop w:val="0"/>
      <w:marBottom w:val="0"/>
      <w:divBdr>
        <w:top w:val="none" w:sz="0" w:space="0" w:color="auto"/>
        <w:left w:val="none" w:sz="0" w:space="0" w:color="auto"/>
        <w:bottom w:val="none" w:sz="0" w:space="0" w:color="auto"/>
        <w:right w:val="none" w:sz="0" w:space="0" w:color="auto"/>
      </w:divBdr>
    </w:div>
    <w:div w:id="6446472">
      <w:bodyDiv w:val="1"/>
      <w:marLeft w:val="0"/>
      <w:marRight w:val="0"/>
      <w:marTop w:val="0"/>
      <w:marBottom w:val="0"/>
      <w:divBdr>
        <w:top w:val="none" w:sz="0" w:space="0" w:color="auto"/>
        <w:left w:val="none" w:sz="0" w:space="0" w:color="auto"/>
        <w:bottom w:val="none" w:sz="0" w:space="0" w:color="auto"/>
        <w:right w:val="none" w:sz="0" w:space="0" w:color="auto"/>
      </w:divBdr>
    </w:div>
    <w:div w:id="21516141">
      <w:bodyDiv w:val="1"/>
      <w:marLeft w:val="0"/>
      <w:marRight w:val="0"/>
      <w:marTop w:val="0"/>
      <w:marBottom w:val="0"/>
      <w:divBdr>
        <w:top w:val="none" w:sz="0" w:space="0" w:color="auto"/>
        <w:left w:val="none" w:sz="0" w:space="0" w:color="auto"/>
        <w:bottom w:val="none" w:sz="0" w:space="0" w:color="auto"/>
        <w:right w:val="none" w:sz="0" w:space="0" w:color="auto"/>
      </w:divBdr>
      <w:divsChild>
        <w:div w:id="612791154">
          <w:marLeft w:val="1080"/>
          <w:marRight w:val="0"/>
          <w:marTop w:val="100"/>
          <w:marBottom w:val="0"/>
          <w:divBdr>
            <w:top w:val="none" w:sz="0" w:space="0" w:color="auto"/>
            <w:left w:val="none" w:sz="0" w:space="0" w:color="auto"/>
            <w:bottom w:val="none" w:sz="0" w:space="0" w:color="auto"/>
            <w:right w:val="none" w:sz="0" w:space="0" w:color="auto"/>
          </w:divBdr>
        </w:div>
        <w:div w:id="765732008">
          <w:marLeft w:val="1080"/>
          <w:marRight w:val="0"/>
          <w:marTop w:val="100"/>
          <w:marBottom w:val="0"/>
          <w:divBdr>
            <w:top w:val="none" w:sz="0" w:space="0" w:color="auto"/>
            <w:left w:val="none" w:sz="0" w:space="0" w:color="auto"/>
            <w:bottom w:val="none" w:sz="0" w:space="0" w:color="auto"/>
            <w:right w:val="none" w:sz="0" w:space="0" w:color="auto"/>
          </w:divBdr>
        </w:div>
        <w:div w:id="1450319825">
          <w:marLeft w:val="360"/>
          <w:marRight w:val="0"/>
          <w:marTop w:val="200"/>
          <w:marBottom w:val="0"/>
          <w:divBdr>
            <w:top w:val="none" w:sz="0" w:space="0" w:color="auto"/>
            <w:left w:val="none" w:sz="0" w:space="0" w:color="auto"/>
            <w:bottom w:val="none" w:sz="0" w:space="0" w:color="auto"/>
            <w:right w:val="none" w:sz="0" w:space="0" w:color="auto"/>
          </w:divBdr>
        </w:div>
        <w:div w:id="97215059">
          <w:marLeft w:val="1080"/>
          <w:marRight w:val="0"/>
          <w:marTop w:val="100"/>
          <w:marBottom w:val="0"/>
          <w:divBdr>
            <w:top w:val="none" w:sz="0" w:space="0" w:color="auto"/>
            <w:left w:val="none" w:sz="0" w:space="0" w:color="auto"/>
            <w:bottom w:val="none" w:sz="0" w:space="0" w:color="auto"/>
            <w:right w:val="none" w:sz="0" w:space="0" w:color="auto"/>
          </w:divBdr>
        </w:div>
        <w:div w:id="238561899">
          <w:marLeft w:val="1080"/>
          <w:marRight w:val="0"/>
          <w:marTop w:val="100"/>
          <w:marBottom w:val="0"/>
          <w:divBdr>
            <w:top w:val="none" w:sz="0" w:space="0" w:color="auto"/>
            <w:left w:val="none" w:sz="0" w:space="0" w:color="auto"/>
            <w:bottom w:val="none" w:sz="0" w:space="0" w:color="auto"/>
            <w:right w:val="none" w:sz="0" w:space="0" w:color="auto"/>
          </w:divBdr>
        </w:div>
        <w:div w:id="426850308">
          <w:marLeft w:val="1080"/>
          <w:marRight w:val="0"/>
          <w:marTop w:val="100"/>
          <w:marBottom w:val="0"/>
          <w:divBdr>
            <w:top w:val="none" w:sz="0" w:space="0" w:color="auto"/>
            <w:left w:val="none" w:sz="0" w:space="0" w:color="auto"/>
            <w:bottom w:val="none" w:sz="0" w:space="0" w:color="auto"/>
            <w:right w:val="none" w:sz="0" w:space="0" w:color="auto"/>
          </w:divBdr>
        </w:div>
      </w:divsChild>
    </w:div>
    <w:div w:id="23068955">
      <w:bodyDiv w:val="1"/>
      <w:marLeft w:val="0"/>
      <w:marRight w:val="0"/>
      <w:marTop w:val="0"/>
      <w:marBottom w:val="0"/>
      <w:divBdr>
        <w:top w:val="none" w:sz="0" w:space="0" w:color="auto"/>
        <w:left w:val="none" w:sz="0" w:space="0" w:color="auto"/>
        <w:bottom w:val="none" w:sz="0" w:space="0" w:color="auto"/>
        <w:right w:val="none" w:sz="0" w:space="0" w:color="auto"/>
      </w:divBdr>
      <w:divsChild>
        <w:div w:id="1282345268">
          <w:marLeft w:val="0"/>
          <w:marRight w:val="0"/>
          <w:marTop w:val="0"/>
          <w:marBottom w:val="0"/>
          <w:divBdr>
            <w:top w:val="none" w:sz="0" w:space="0" w:color="auto"/>
            <w:left w:val="none" w:sz="0" w:space="0" w:color="auto"/>
            <w:bottom w:val="none" w:sz="0" w:space="0" w:color="auto"/>
            <w:right w:val="none" w:sz="0" w:space="0" w:color="auto"/>
          </w:divBdr>
        </w:div>
        <w:div w:id="351346376">
          <w:marLeft w:val="0"/>
          <w:marRight w:val="0"/>
          <w:marTop w:val="0"/>
          <w:marBottom w:val="0"/>
          <w:divBdr>
            <w:top w:val="none" w:sz="0" w:space="0" w:color="auto"/>
            <w:left w:val="none" w:sz="0" w:space="0" w:color="auto"/>
            <w:bottom w:val="none" w:sz="0" w:space="0" w:color="auto"/>
            <w:right w:val="none" w:sz="0" w:space="0" w:color="auto"/>
          </w:divBdr>
        </w:div>
        <w:div w:id="1643345414">
          <w:marLeft w:val="0"/>
          <w:marRight w:val="0"/>
          <w:marTop w:val="0"/>
          <w:marBottom w:val="0"/>
          <w:divBdr>
            <w:top w:val="none" w:sz="0" w:space="0" w:color="auto"/>
            <w:left w:val="none" w:sz="0" w:space="0" w:color="auto"/>
            <w:bottom w:val="none" w:sz="0" w:space="0" w:color="auto"/>
            <w:right w:val="none" w:sz="0" w:space="0" w:color="auto"/>
          </w:divBdr>
        </w:div>
        <w:div w:id="1623732462">
          <w:marLeft w:val="0"/>
          <w:marRight w:val="0"/>
          <w:marTop w:val="0"/>
          <w:marBottom w:val="0"/>
          <w:divBdr>
            <w:top w:val="none" w:sz="0" w:space="0" w:color="auto"/>
            <w:left w:val="none" w:sz="0" w:space="0" w:color="auto"/>
            <w:bottom w:val="none" w:sz="0" w:space="0" w:color="auto"/>
            <w:right w:val="none" w:sz="0" w:space="0" w:color="auto"/>
          </w:divBdr>
        </w:div>
        <w:div w:id="665136765">
          <w:marLeft w:val="0"/>
          <w:marRight w:val="0"/>
          <w:marTop w:val="0"/>
          <w:marBottom w:val="0"/>
          <w:divBdr>
            <w:top w:val="none" w:sz="0" w:space="0" w:color="auto"/>
            <w:left w:val="none" w:sz="0" w:space="0" w:color="auto"/>
            <w:bottom w:val="none" w:sz="0" w:space="0" w:color="auto"/>
            <w:right w:val="none" w:sz="0" w:space="0" w:color="auto"/>
          </w:divBdr>
        </w:div>
        <w:div w:id="163592076">
          <w:marLeft w:val="0"/>
          <w:marRight w:val="0"/>
          <w:marTop w:val="0"/>
          <w:marBottom w:val="0"/>
          <w:divBdr>
            <w:top w:val="none" w:sz="0" w:space="0" w:color="auto"/>
            <w:left w:val="none" w:sz="0" w:space="0" w:color="auto"/>
            <w:bottom w:val="none" w:sz="0" w:space="0" w:color="auto"/>
            <w:right w:val="none" w:sz="0" w:space="0" w:color="auto"/>
          </w:divBdr>
        </w:div>
        <w:div w:id="2128811157">
          <w:marLeft w:val="0"/>
          <w:marRight w:val="0"/>
          <w:marTop w:val="0"/>
          <w:marBottom w:val="0"/>
          <w:divBdr>
            <w:top w:val="none" w:sz="0" w:space="0" w:color="auto"/>
            <w:left w:val="none" w:sz="0" w:space="0" w:color="auto"/>
            <w:bottom w:val="none" w:sz="0" w:space="0" w:color="auto"/>
            <w:right w:val="none" w:sz="0" w:space="0" w:color="auto"/>
          </w:divBdr>
        </w:div>
        <w:div w:id="770246714">
          <w:marLeft w:val="0"/>
          <w:marRight w:val="0"/>
          <w:marTop w:val="0"/>
          <w:marBottom w:val="0"/>
          <w:divBdr>
            <w:top w:val="none" w:sz="0" w:space="0" w:color="auto"/>
            <w:left w:val="none" w:sz="0" w:space="0" w:color="auto"/>
            <w:bottom w:val="none" w:sz="0" w:space="0" w:color="auto"/>
            <w:right w:val="none" w:sz="0" w:space="0" w:color="auto"/>
          </w:divBdr>
        </w:div>
        <w:div w:id="463890764">
          <w:marLeft w:val="0"/>
          <w:marRight w:val="0"/>
          <w:marTop w:val="0"/>
          <w:marBottom w:val="0"/>
          <w:divBdr>
            <w:top w:val="none" w:sz="0" w:space="0" w:color="auto"/>
            <w:left w:val="none" w:sz="0" w:space="0" w:color="auto"/>
            <w:bottom w:val="none" w:sz="0" w:space="0" w:color="auto"/>
            <w:right w:val="none" w:sz="0" w:space="0" w:color="auto"/>
          </w:divBdr>
        </w:div>
        <w:div w:id="972440939">
          <w:marLeft w:val="0"/>
          <w:marRight w:val="0"/>
          <w:marTop w:val="0"/>
          <w:marBottom w:val="0"/>
          <w:divBdr>
            <w:top w:val="none" w:sz="0" w:space="0" w:color="auto"/>
            <w:left w:val="none" w:sz="0" w:space="0" w:color="auto"/>
            <w:bottom w:val="none" w:sz="0" w:space="0" w:color="auto"/>
            <w:right w:val="none" w:sz="0" w:space="0" w:color="auto"/>
          </w:divBdr>
        </w:div>
        <w:div w:id="614874514">
          <w:marLeft w:val="0"/>
          <w:marRight w:val="0"/>
          <w:marTop w:val="0"/>
          <w:marBottom w:val="0"/>
          <w:divBdr>
            <w:top w:val="none" w:sz="0" w:space="0" w:color="auto"/>
            <w:left w:val="none" w:sz="0" w:space="0" w:color="auto"/>
            <w:bottom w:val="none" w:sz="0" w:space="0" w:color="auto"/>
            <w:right w:val="none" w:sz="0" w:space="0" w:color="auto"/>
          </w:divBdr>
        </w:div>
        <w:div w:id="319887786">
          <w:marLeft w:val="0"/>
          <w:marRight w:val="0"/>
          <w:marTop w:val="0"/>
          <w:marBottom w:val="0"/>
          <w:divBdr>
            <w:top w:val="none" w:sz="0" w:space="0" w:color="auto"/>
            <w:left w:val="none" w:sz="0" w:space="0" w:color="auto"/>
            <w:bottom w:val="none" w:sz="0" w:space="0" w:color="auto"/>
            <w:right w:val="none" w:sz="0" w:space="0" w:color="auto"/>
          </w:divBdr>
        </w:div>
        <w:div w:id="759790654">
          <w:marLeft w:val="0"/>
          <w:marRight w:val="0"/>
          <w:marTop w:val="0"/>
          <w:marBottom w:val="0"/>
          <w:divBdr>
            <w:top w:val="none" w:sz="0" w:space="0" w:color="auto"/>
            <w:left w:val="none" w:sz="0" w:space="0" w:color="auto"/>
            <w:bottom w:val="none" w:sz="0" w:space="0" w:color="auto"/>
            <w:right w:val="none" w:sz="0" w:space="0" w:color="auto"/>
          </w:divBdr>
        </w:div>
      </w:divsChild>
    </w:div>
    <w:div w:id="29645571">
      <w:bodyDiv w:val="1"/>
      <w:marLeft w:val="0"/>
      <w:marRight w:val="0"/>
      <w:marTop w:val="0"/>
      <w:marBottom w:val="0"/>
      <w:divBdr>
        <w:top w:val="none" w:sz="0" w:space="0" w:color="auto"/>
        <w:left w:val="none" w:sz="0" w:space="0" w:color="auto"/>
        <w:bottom w:val="none" w:sz="0" w:space="0" w:color="auto"/>
        <w:right w:val="none" w:sz="0" w:space="0" w:color="auto"/>
      </w:divBdr>
      <w:divsChild>
        <w:div w:id="177164987">
          <w:marLeft w:val="0"/>
          <w:marRight w:val="0"/>
          <w:marTop w:val="0"/>
          <w:marBottom w:val="0"/>
          <w:divBdr>
            <w:top w:val="single" w:sz="2" w:space="0" w:color="E3E3E3"/>
            <w:left w:val="single" w:sz="2" w:space="0" w:color="E3E3E3"/>
            <w:bottom w:val="single" w:sz="2" w:space="0" w:color="E3E3E3"/>
            <w:right w:val="single" w:sz="2" w:space="0" w:color="E3E3E3"/>
          </w:divBdr>
          <w:divsChild>
            <w:div w:id="236479642">
              <w:marLeft w:val="0"/>
              <w:marRight w:val="0"/>
              <w:marTop w:val="100"/>
              <w:marBottom w:val="100"/>
              <w:divBdr>
                <w:top w:val="single" w:sz="2" w:space="0" w:color="E3E3E3"/>
                <w:left w:val="single" w:sz="2" w:space="0" w:color="E3E3E3"/>
                <w:bottom w:val="single" w:sz="2" w:space="0" w:color="E3E3E3"/>
                <w:right w:val="single" w:sz="2" w:space="0" w:color="E3E3E3"/>
              </w:divBdr>
              <w:divsChild>
                <w:div w:id="2040545472">
                  <w:marLeft w:val="0"/>
                  <w:marRight w:val="0"/>
                  <w:marTop w:val="0"/>
                  <w:marBottom w:val="0"/>
                  <w:divBdr>
                    <w:top w:val="single" w:sz="2" w:space="0" w:color="E3E3E3"/>
                    <w:left w:val="single" w:sz="2" w:space="0" w:color="E3E3E3"/>
                    <w:bottom w:val="single" w:sz="2" w:space="0" w:color="E3E3E3"/>
                    <w:right w:val="single" w:sz="2" w:space="0" w:color="E3E3E3"/>
                  </w:divBdr>
                  <w:divsChild>
                    <w:div w:id="443040475">
                      <w:marLeft w:val="0"/>
                      <w:marRight w:val="0"/>
                      <w:marTop w:val="0"/>
                      <w:marBottom w:val="0"/>
                      <w:divBdr>
                        <w:top w:val="single" w:sz="2" w:space="0" w:color="E3E3E3"/>
                        <w:left w:val="single" w:sz="2" w:space="0" w:color="E3E3E3"/>
                        <w:bottom w:val="single" w:sz="2" w:space="0" w:color="E3E3E3"/>
                        <w:right w:val="single" w:sz="2" w:space="0" w:color="E3E3E3"/>
                      </w:divBdr>
                      <w:divsChild>
                        <w:div w:id="1804810982">
                          <w:marLeft w:val="0"/>
                          <w:marRight w:val="0"/>
                          <w:marTop w:val="0"/>
                          <w:marBottom w:val="0"/>
                          <w:divBdr>
                            <w:top w:val="single" w:sz="2" w:space="0" w:color="E3E3E3"/>
                            <w:left w:val="single" w:sz="2" w:space="0" w:color="E3E3E3"/>
                            <w:bottom w:val="single" w:sz="2" w:space="0" w:color="E3E3E3"/>
                            <w:right w:val="single" w:sz="2" w:space="0" w:color="E3E3E3"/>
                          </w:divBdr>
                          <w:divsChild>
                            <w:div w:id="1437363721">
                              <w:marLeft w:val="0"/>
                              <w:marRight w:val="0"/>
                              <w:marTop w:val="0"/>
                              <w:marBottom w:val="0"/>
                              <w:divBdr>
                                <w:top w:val="single" w:sz="2" w:space="0" w:color="E3E3E3"/>
                                <w:left w:val="single" w:sz="2" w:space="0" w:color="E3E3E3"/>
                                <w:bottom w:val="single" w:sz="2" w:space="0" w:color="E3E3E3"/>
                                <w:right w:val="single" w:sz="2" w:space="0" w:color="E3E3E3"/>
                              </w:divBdr>
                              <w:divsChild>
                                <w:div w:id="2060736737">
                                  <w:marLeft w:val="0"/>
                                  <w:marRight w:val="0"/>
                                  <w:marTop w:val="0"/>
                                  <w:marBottom w:val="0"/>
                                  <w:divBdr>
                                    <w:top w:val="single" w:sz="2" w:space="0" w:color="E3E3E3"/>
                                    <w:left w:val="single" w:sz="2" w:space="0" w:color="E3E3E3"/>
                                    <w:bottom w:val="single" w:sz="2" w:space="0" w:color="E3E3E3"/>
                                    <w:right w:val="single" w:sz="2" w:space="0" w:color="E3E3E3"/>
                                  </w:divBdr>
                                  <w:divsChild>
                                    <w:div w:id="8959679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7330426">
          <w:marLeft w:val="0"/>
          <w:marRight w:val="0"/>
          <w:marTop w:val="0"/>
          <w:marBottom w:val="0"/>
          <w:divBdr>
            <w:top w:val="single" w:sz="2" w:space="0" w:color="E3E3E3"/>
            <w:left w:val="single" w:sz="2" w:space="0" w:color="E3E3E3"/>
            <w:bottom w:val="single" w:sz="2" w:space="0" w:color="E3E3E3"/>
            <w:right w:val="single" w:sz="2" w:space="0" w:color="E3E3E3"/>
          </w:divBdr>
          <w:divsChild>
            <w:div w:id="13113272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1931797">
                  <w:marLeft w:val="0"/>
                  <w:marRight w:val="0"/>
                  <w:marTop w:val="0"/>
                  <w:marBottom w:val="0"/>
                  <w:divBdr>
                    <w:top w:val="single" w:sz="2" w:space="0" w:color="E3E3E3"/>
                    <w:left w:val="single" w:sz="2" w:space="0" w:color="E3E3E3"/>
                    <w:bottom w:val="single" w:sz="2" w:space="0" w:color="E3E3E3"/>
                    <w:right w:val="single" w:sz="2" w:space="0" w:color="E3E3E3"/>
                  </w:divBdr>
                  <w:divsChild>
                    <w:div w:id="1678799750">
                      <w:marLeft w:val="0"/>
                      <w:marRight w:val="0"/>
                      <w:marTop w:val="0"/>
                      <w:marBottom w:val="0"/>
                      <w:divBdr>
                        <w:top w:val="single" w:sz="2" w:space="0" w:color="E3E3E3"/>
                        <w:left w:val="single" w:sz="2" w:space="0" w:color="E3E3E3"/>
                        <w:bottom w:val="single" w:sz="2" w:space="0" w:color="E3E3E3"/>
                        <w:right w:val="single" w:sz="2" w:space="0" w:color="E3E3E3"/>
                      </w:divBdr>
                      <w:divsChild>
                        <w:div w:id="1825975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7435749">
      <w:bodyDiv w:val="1"/>
      <w:marLeft w:val="0"/>
      <w:marRight w:val="0"/>
      <w:marTop w:val="0"/>
      <w:marBottom w:val="0"/>
      <w:divBdr>
        <w:top w:val="none" w:sz="0" w:space="0" w:color="auto"/>
        <w:left w:val="none" w:sz="0" w:space="0" w:color="auto"/>
        <w:bottom w:val="none" w:sz="0" w:space="0" w:color="auto"/>
        <w:right w:val="none" w:sz="0" w:space="0" w:color="auto"/>
      </w:divBdr>
      <w:divsChild>
        <w:div w:id="1575120580">
          <w:marLeft w:val="0"/>
          <w:marRight w:val="0"/>
          <w:marTop w:val="0"/>
          <w:marBottom w:val="0"/>
          <w:divBdr>
            <w:top w:val="none" w:sz="0" w:space="0" w:color="auto"/>
            <w:left w:val="none" w:sz="0" w:space="0" w:color="auto"/>
            <w:bottom w:val="none" w:sz="0" w:space="0" w:color="auto"/>
            <w:right w:val="none" w:sz="0" w:space="0" w:color="auto"/>
          </w:divBdr>
        </w:div>
        <w:div w:id="1968660445">
          <w:marLeft w:val="0"/>
          <w:marRight w:val="0"/>
          <w:marTop w:val="0"/>
          <w:marBottom w:val="0"/>
          <w:divBdr>
            <w:top w:val="single" w:sz="2" w:space="0" w:color="E3E3E3"/>
            <w:left w:val="single" w:sz="2" w:space="0" w:color="E3E3E3"/>
            <w:bottom w:val="single" w:sz="2" w:space="0" w:color="E3E3E3"/>
            <w:right w:val="single" w:sz="2" w:space="0" w:color="E3E3E3"/>
          </w:divBdr>
          <w:divsChild>
            <w:div w:id="1737361405">
              <w:marLeft w:val="0"/>
              <w:marRight w:val="0"/>
              <w:marTop w:val="0"/>
              <w:marBottom w:val="0"/>
              <w:divBdr>
                <w:top w:val="single" w:sz="2" w:space="0" w:color="E3E3E3"/>
                <w:left w:val="single" w:sz="2" w:space="0" w:color="E3E3E3"/>
                <w:bottom w:val="single" w:sz="2" w:space="0" w:color="E3E3E3"/>
                <w:right w:val="single" w:sz="2" w:space="0" w:color="E3E3E3"/>
              </w:divBdr>
              <w:divsChild>
                <w:div w:id="2026708216">
                  <w:marLeft w:val="0"/>
                  <w:marRight w:val="0"/>
                  <w:marTop w:val="0"/>
                  <w:marBottom w:val="0"/>
                  <w:divBdr>
                    <w:top w:val="single" w:sz="2" w:space="0" w:color="E3E3E3"/>
                    <w:left w:val="single" w:sz="2" w:space="0" w:color="E3E3E3"/>
                    <w:bottom w:val="single" w:sz="2" w:space="0" w:color="E3E3E3"/>
                    <w:right w:val="single" w:sz="2" w:space="0" w:color="E3E3E3"/>
                  </w:divBdr>
                  <w:divsChild>
                    <w:div w:id="2021469837">
                      <w:marLeft w:val="0"/>
                      <w:marRight w:val="0"/>
                      <w:marTop w:val="0"/>
                      <w:marBottom w:val="0"/>
                      <w:divBdr>
                        <w:top w:val="single" w:sz="2" w:space="0" w:color="E3E3E3"/>
                        <w:left w:val="single" w:sz="2" w:space="0" w:color="E3E3E3"/>
                        <w:bottom w:val="single" w:sz="2" w:space="0" w:color="E3E3E3"/>
                        <w:right w:val="single" w:sz="2" w:space="0" w:color="E3E3E3"/>
                      </w:divBdr>
                      <w:divsChild>
                        <w:div w:id="1505239008">
                          <w:marLeft w:val="0"/>
                          <w:marRight w:val="0"/>
                          <w:marTop w:val="0"/>
                          <w:marBottom w:val="0"/>
                          <w:divBdr>
                            <w:top w:val="single" w:sz="2" w:space="0" w:color="E3E3E3"/>
                            <w:left w:val="single" w:sz="2" w:space="0" w:color="E3E3E3"/>
                            <w:bottom w:val="single" w:sz="2" w:space="0" w:color="E3E3E3"/>
                            <w:right w:val="single" w:sz="2" w:space="0" w:color="E3E3E3"/>
                          </w:divBdr>
                          <w:divsChild>
                            <w:div w:id="833228183">
                              <w:marLeft w:val="0"/>
                              <w:marRight w:val="0"/>
                              <w:marTop w:val="0"/>
                              <w:marBottom w:val="0"/>
                              <w:divBdr>
                                <w:top w:val="single" w:sz="2" w:space="0" w:color="E3E3E3"/>
                                <w:left w:val="single" w:sz="2" w:space="0" w:color="E3E3E3"/>
                                <w:bottom w:val="single" w:sz="2" w:space="0" w:color="E3E3E3"/>
                                <w:right w:val="single" w:sz="2" w:space="0" w:color="E3E3E3"/>
                              </w:divBdr>
                              <w:divsChild>
                                <w:div w:id="635718139">
                                  <w:marLeft w:val="0"/>
                                  <w:marRight w:val="0"/>
                                  <w:marTop w:val="100"/>
                                  <w:marBottom w:val="100"/>
                                  <w:divBdr>
                                    <w:top w:val="single" w:sz="2" w:space="0" w:color="E3E3E3"/>
                                    <w:left w:val="single" w:sz="2" w:space="0" w:color="E3E3E3"/>
                                    <w:bottom w:val="single" w:sz="2" w:space="0" w:color="E3E3E3"/>
                                    <w:right w:val="single" w:sz="2" w:space="0" w:color="E3E3E3"/>
                                  </w:divBdr>
                                  <w:divsChild>
                                    <w:div w:id="1987390855">
                                      <w:marLeft w:val="0"/>
                                      <w:marRight w:val="0"/>
                                      <w:marTop w:val="0"/>
                                      <w:marBottom w:val="0"/>
                                      <w:divBdr>
                                        <w:top w:val="single" w:sz="2" w:space="0" w:color="E3E3E3"/>
                                        <w:left w:val="single" w:sz="2" w:space="0" w:color="E3E3E3"/>
                                        <w:bottom w:val="single" w:sz="2" w:space="0" w:color="E3E3E3"/>
                                        <w:right w:val="single" w:sz="2" w:space="0" w:color="E3E3E3"/>
                                      </w:divBdr>
                                      <w:divsChild>
                                        <w:div w:id="871304813">
                                          <w:marLeft w:val="0"/>
                                          <w:marRight w:val="0"/>
                                          <w:marTop w:val="0"/>
                                          <w:marBottom w:val="0"/>
                                          <w:divBdr>
                                            <w:top w:val="single" w:sz="2" w:space="0" w:color="E3E3E3"/>
                                            <w:left w:val="single" w:sz="2" w:space="0" w:color="E3E3E3"/>
                                            <w:bottom w:val="single" w:sz="2" w:space="0" w:color="E3E3E3"/>
                                            <w:right w:val="single" w:sz="2" w:space="0" w:color="E3E3E3"/>
                                          </w:divBdr>
                                          <w:divsChild>
                                            <w:div w:id="492645127">
                                              <w:marLeft w:val="0"/>
                                              <w:marRight w:val="0"/>
                                              <w:marTop w:val="0"/>
                                              <w:marBottom w:val="0"/>
                                              <w:divBdr>
                                                <w:top w:val="single" w:sz="2" w:space="0" w:color="E3E3E3"/>
                                                <w:left w:val="single" w:sz="2" w:space="0" w:color="E3E3E3"/>
                                                <w:bottom w:val="single" w:sz="2" w:space="0" w:color="E3E3E3"/>
                                                <w:right w:val="single" w:sz="2" w:space="0" w:color="E3E3E3"/>
                                              </w:divBdr>
                                              <w:divsChild>
                                                <w:div w:id="209464234">
                                                  <w:marLeft w:val="0"/>
                                                  <w:marRight w:val="0"/>
                                                  <w:marTop w:val="0"/>
                                                  <w:marBottom w:val="0"/>
                                                  <w:divBdr>
                                                    <w:top w:val="single" w:sz="2" w:space="0" w:color="E3E3E3"/>
                                                    <w:left w:val="single" w:sz="2" w:space="0" w:color="E3E3E3"/>
                                                    <w:bottom w:val="single" w:sz="2" w:space="0" w:color="E3E3E3"/>
                                                    <w:right w:val="single" w:sz="2" w:space="0" w:color="E3E3E3"/>
                                                  </w:divBdr>
                                                  <w:divsChild>
                                                    <w:div w:id="192764731">
                                                      <w:marLeft w:val="0"/>
                                                      <w:marRight w:val="0"/>
                                                      <w:marTop w:val="0"/>
                                                      <w:marBottom w:val="0"/>
                                                      <w:divBdr>
                                                        <w:top w:val="single" w:sz="2" w:space="0" w:color="E3E3E3"/>
                                                        <w:left w:val="single" w:sz="2" w:space="0" w:color="E3E3E3"/>
                                                        <w:bottom w:val="single" w:sz="2" w:space="0" w:color="E3E3E3"/>
                                                        <w:right w:val="single" w:sz="2" w:space="0" w:color="E3E3E3"/>
                                                      </w:divBdr>
                                                      <w:divsChild>
                                                        <w:div w:id="15795603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7708380">
      <w:bodyDiv w:val="1"/>
      <w:marLeft w:val="0"/>
      <w:marRight w:val="0"/>
      <w:marTop w:val="0"/>
      <w:marBottom w:val="0"/>
      <w:divBdr>
        <w:top w:val="none" w:sz="0" w:space="0" w:color="auto"/>
        <w:left w:val="none" w:sz="0" w:space="0" w:color="auto"/>
        <w:bottom w:val="none" w:sz="0" w:space="0" w:color="auto"/>
        <w:right w:val="none" w:sz="0" w:space="0" w:color="auto"/>
      </w:divBdr>
      <w:divsChild>
        <w:div w:id="18949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4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31544">
      <w:bodyDiv w:val="1"/>
      <w:marLeft w:val="0"/>
      <w:marRight w:val="0"/>
      <w:marTop w:val="0"/>
      <w:marBottom w:val="0"/>
      <w:divBdr>
        <w:top w:val="none" w:sz="0" w:space="0" w:color="auto"/>
        <w:left w:val="none" w:sz="0" w:space="0" w:color="auto"/>
        <w:bottom w:val="none" w:sz="0" w:space="0" w:color="auto"/>
        <w:right w:val="none" w:sz="0" w:space="0" w:color="auto"/>
      </w:divBdr>
    </w:div>
    <w:div w:id="48312735">
      <w:bodyDiv w:val="1"/>
      <w:marLeft w:val="0"/>
      <w:marRight w:val="0"/>
      <w:marTop w:val="0"/>
      <w:marBottom w:val="0"/>
      <w:divBdr>
        <w:top w:val="none" w:sz="0" w:space="0" w:color="auto"/>
        <w:left w:val="none" w:sz="0" w:space="0" w:color="auto"/>
        <w:bottom w:val="none" w:sz="0" w:space="0" w:color="auto"/>
        <w:right w:val="none" w:sz="0" w:space="0" w:color="auto"/>
      </w:divBdr>
    </w:div>
    <w:div w:id="75789780">
      <w:bodyDiv w:val="1"/>
      <w:marLeft w:val="0"/>
      <w:marRight w:val="0"/>
      <w:marTop w:val="0"/>
      <w:marBottom w:val="0"/>
      <w:divBdr>
        <w:top w:val="none" w:sz="0" w:space="0" w:color="auto"/>
        <w:left w:val="none" w:sz="0" w:space="0" w:color="auto"/>
        <w:bottom w:val="none" w:sz="0" w:space="0" w:color="auto"/>
        <w:right w:val="none" w:sz="0" w:space="0" w:color="auto"/>
      </w:divBdr>
    </w:div>
    <w:div w:id="83843250">
      <w:bodyDiv w:val="1"/>
      <w:marLeft w:val="0"/>
      <w:marRight w:val="0"/>
      <w:marTop w:val="0"/>
      <w:marBottom w:val="0"/>
      <w:divBdr>
        <w:top w:val="none" w:sz="0" w:space="0" w:color="auto"/>
        <w:left w:val="none" w:sz="0" w:space="0" w:color="auto"/>
        <w:bottom w:val="none" w:sz="0" w:space="0" w:color="auto"/>
        <w:right w:val="none" w:sz="0" w:space="0" w:color="auto"/>
      </w:divBdr>
    </w:div>
    <w:div w:id="94251035">
      <w:bodyDiv w:val="1"/>
      <w:marLeft w:val="0"/>
      <w:marRight w:val="0"/>
      <w:marTop w:val="0"/>
      <w:marBottom w:val="0"/>
      <w:divBdr>
        <w:top w:val="none" w:sz="0" w:space="0" w:color="auto"/>
        <w:left w:val="none" w:sz="0" w:space="0" w:color="auto"/>
        <w:bottom w:val="none" w:sz="0" w:space="0" w:color="auto"/>
        <w:right w:val="none" w:sz="0" w:space="0" w:color="auto"/>
      </w:divBdr>
    </w:div>
    <w:div w:id="105279118">
      <w:bodyDiv w:val="1"/>
      <w:marLeft w:val="0"/>
      <w:marRight w:val="0"/>
      <w:marTop w:val="0"/>
      <w:marBottom w:val="0"/>
      <w:divBdr>
        <w:top w:val="none" w:sz="0" w:space="0" w:color="auto"/>
        <w:left w:val="none" w:sz="0" w:space="0" w:color="auto"/>
        <w:bottom w:val="none" w:sz="0" w:space="0" w:color="auto"/>
        <w:right w:val="none" w:sz="0" w:space="0" w:color="auto"/>
      </w:divBdr>
    </w:div>
    <w:div w:id="112134614">
      <w:bodyDiv w:val="1"/>
      <w:marLeft w:val="0"/>
      <w:marRight w:val="0"/>
      <w:marTop w:val="0"/>
      <w:marBottom w:val="0"/>
      <w:divBdr>
        <w:top w:val="none" w:sz="0" w:space="0" w:color="auto"/>
        <w:left w:val="none" w:sz="0" w:space="0" w:color="auto"/>
        <w:bottom w:val="none" w:sz="0" w:space="0" w:color="auto"/>
        <w:right w:val="none" w:sz="0" w:space="0" w:color="auto"/>
      </w:divBdr>
      <w:divsChild>
        <w:div w:id="1995989983">
          <w:marLeft w:val="1080"/>
          <w:marRight w:val="0"/>
          <w:marTop w:val="100"/>
          <w:marBottom w:val="0"/>
          <w:divBdr>
            <w:top w:val="none" w:sz="0" w:space="0" w:color="auto"/>
            <w:left w:val="none" w:sz="0" w:space="0" w:color="auto"/>
            <w:bottom w:val="none" w:sz="0" w:space="0" w:color="auto"/>
            <w:right w:val="none" w:sz="0" w:space="0" w:color="auto"/>
          </w:divBdr>
        </w:div>
      </w:divsChild>
    </w:div>
    <w:div w:id="117728425">
      <w:bodyDiv w:val="1"/>
      <w:marLeft w:val="0"/>
      <w:marRight w:val="0"/>
      <w:marTop w:val="0"/>
      <w:marBottom w:val="0"/>
      <w:divBdr>
        <w:top w:val="none" w:sz="0" w:space="0" w:color="auto"/>
        <w:left w:val="none" w:sz="0" w:space="0" w:color="auto"/>
        <w:bottom w:val="none" w:sz="0" w:space="0" w:color="auto"/>
        <w:right w:val="none" w:sz="0" w:space="0" w:color="auto"/>
      </w:divBdr>
      <w:divsChild>
        <w:div w:id="1883011752">
          <w:marLeft w:val="0"/>
          <w:marRight w:val="0"/>
          <w:marTop w:val="0"/>
          <w:marBottom w:val="0"/>
          <w:divBdr>
            <w:top w:val="none" w:sz="0" w:space="0" w:color="auto"/>
            <w:left w:val="none" w:sz="0" w:space="0" w:color="auto"/>
            <w:bottom w:val="none" w:sz="0" w:space="0" w:color="auto"/>
            <w:right w:val="none" w:sz="0" w:space="0" w:color="auto"/>
          </w:divBdr>
        </w:div>
        <w:div w:id="977026570">
          <w:marLeft w:val="0"/>
          <w:marRight w:val="0"/>
          <w:marTop w:val="0"/>
          <w:marBottom w:val="0"/>
          <w:divBdr>
            <w:top w:val="none" w:sz="0" w:space="0" w:color="auto"/>
            <w:left w:val="none" w:sz="0" w:space="0" w:color="auto"/>
            <w:bottom w:val="none" w:sz="0" w:space="0" w:color="auto"/>
            <w:right w:val="none" w:sz="0" w:space="0" w:color="auto"/>
          </w:divBdr>
        </w:div>
        <w:div w:id="601231395">
          <w:marLeft w:val="0"/>
          <w:marRight w:val="0"/>
          <w:marTop w:val="0"/>
          <w:marBottom w:val="0"/>
          <w:divBdr>
            <w:top w:val="none" w:sz="0" w:space="0" w:color="auto"/>
            <w:left w:val="none" w:sz="0" w:space="0" w:color="auto"/>
            <w:bottom w:val="none" w:sz="0" w:space="0" w:color="auto"/>
            <w:right w:val="none" w:sz="0" w:space="0" w:color="auto"/>
          </w:divBdr>
        </w:div>
        <w:div w:id="613558021">
          <w:marLeft w:val="0"/>
          <w:marRight w:val="0"/>
          <w:marTop w:val="0"/>
          <w:marBottom w:val="0"/>
          <w:divBdr>
            <w:top w:val="none" w:sz="0" w:space="0" w:color="auto"/>
            <w:left w:val="none" w:sz="0" w:space="0" w:color="auto"/>
            <w:bottom w:val="none" w:sz="0" w:space="0" w:color="auto"/>
            <w:right w:val="none" w:sz="0" w:space="0" w:color="auto"/>
          </w:divBdr>
        </w:div>
      </w:divsChild>
    </w:div>
    <w:div w:id="134371193">
      <w:bodyDiv w:val="1"/>
      <w:marLeft w:val="0"/>
      <w:marRight w:val="0"/>
      <w:marTop w:val="0"/>
      <w:marBottom w:val="0"/>
      <w:divBdr>
        <w:top w:val="none" w:sz="0" w:space="0" w:color="auto"/>
        <w:left w:val="none" w:sz="0" w:space="0" w:color="auto"/>
        <w:bottom w:val="none" w:sz="0" w:space="0" w:color="auto"/>
        <w:right w:val="none" w:sz="0" w:space="0" w:color="auto"/>
      </w:divBdr>
      <w:divsChild>
        <w:div w:id="458840741">
          <w:marLeft w:val="360"/>
          <w:marRight w:val="0"/>
          <w:marTop w:val="200"/>
          <w:marBottom w:val="0"/>
          <w:divBdr>
            <w:top w:val="none" w:sz="0" w:space="0" w:color="auto"/>
            <w:left w:val="none" w:sz="0" w:space="0" w:color="auto"/>
            <w:bottom w:val="none" w:sz="0" w:space="0" w:color="auto"/>
            <w:right w:val="none" w:sz="0" w:space="0" w:color="auto"/>
          </w:divBdr>
        </w:div>
      </w:divsChild>
    </w:div>
    <w:div w:id="135490306">
      <w:bodyDiv w:val="1"/>
      <w:marLeft w:val="0"/>
      <w:marRight w:val="0"/>
      <w:marTop w:val="0"/>
      <w:marBottom w:val="0"/>
      <w:divBdr>
        <w:top w:val="none" w:sz="0" w:space="0" w:color="auto"/>
        <w:left w:val="none" w:sz="0" w:space="0" w:color="auto"/>
        <w:bottom w:val="none" w:sz="0" w:space="0" w:color="auto"/>
        <w:right w:val="none" w:sz="0" w:space="0" w:color="auto"/>
      </w:divBdr>
    </w:div>
    <w:div w:id="180433192">
      <w:bodyDiv w:val="1"/>
      <w:marLeft w:val="0"/>
      <w:marRight w:val="0"/>
      <w:marTop w:val="0"/>
      <w:marBottom w:val="0"/>
      <w:divBdr>
        <w:top w:val="none" w:sz="0" w:space="0" w:color="auto"/>
        <w:left w:val="none" w:sz="0" w:space="0" w:color="auto"/>
        <w:bottom w:val="none" w:sz="0" w:space="0" w:color="auto"/>
        <w:right w:val="none" w:sz="0" w:space="0" w:color="auto"/>
      </w:divBdr>
    </w:div>
    <w:div w:id="188448733">
      <w:bodyDiv w:val="1"/>
      <w:marLeft w:val="0"/>
      <w:marRight w:val="0"/>
      <w:marTop w:val="0"/>
      <w:marBottom w:val="0"/>
      <w:divBdr>
        <w:top w:val="none" w:sz="0" w:space="0" w:color="auto"/>
        <w:left w:val="none" w:sz="0" w:space="0" w:color="auto"/>
        <w:bottom w:val="none" w:sz="0" w:space="0" w:color="auto"/>
        <w:right w:val="none" w:sz="0" w:space="0" w:color="auto"/>
      </w:divBdr>
    </w:div>
    <w:div w:id="195237154">
      <w:bodyDiv w:val="1"/>
      <w:marLeft w:val="0"/>
      <w:marRight w:val="0"/>
      <w:marTop w:val="0"/>
      <w:marBottom w:val="0"/>
      <w:divBdr>
        <w:top w:val="none" w:sz="0" w:space="0" w:color="auto"/>
        <w:left w:val="none" w:sz="0" w:space="0" w:color="auto"/>
        <w:bottom w:val="none" w:sz="0" w:space="0" w:color="auto"/>
        <w:right w:val="none" w:sz="0" w:space="0" w:color="auto"/>
      </w:divBdr>
    </w:div>
    <w:div w:id="207837301">
      <w:bodyDiv w:val="1"/>
      <w:marLeft w:val="0"/>
      <w:marRight w:val="0"/>
      <w:marTop w:val="0"/>
      <w:marBottom w:val="0"/>
      <w:divBdr>
        <w:top w:val="none" w:sz="0" w:space="0" w:color="auto"/>
        <w:left w:val="none" w:sz="0" w:space="0" w:color="auto"/>
        <w:bottom w:val="none" w:sz="0" w:space="0" w:color="auto"/>
        <w:right w:val="none" w:sz="0" w:space="0" w:color="auto"/>
      </w:divBdr>
    </w:div>
    <w:div w:id="212160675">
      <w:bodyDiv w:val="1"/>
      <w:marLeft w:val="0"/>
      <w:marRight w:val="0"/>
      <w:marTop w:val="0"/>
      <w:marBottom w:val="0"/>
      <w:divBdr>
        <w:top w:val="none" w:sz="0" w:space="0" w:color="auto"/>
        <w:left w:val="none" w:sz="0" w:space="0" w:color="auto"/>
        <w:bottom w:val="none" w:sz="0" w:space="0" w:color="auto"/>
        <w:right w:val="none" w:sz="0" w:space="0" w:color="auto"/>
      </w:divBdr>
    </w:div>
    <w:div w:id="237129661">
      <w:bodyDiv w:val="1"/>
      <w:marLeft w:val="0"/>
      <w:marRight w:val="0"/>
      <w:marTop w:val="0"/>
      <w:marBottom w:val="0"/>
      <w:divBdr>
        <w:top w:val="none" w:sz="0" w:space="0" w:color="auto"/>
        <w:left w:val="none" w:sz="0" w:space="0" w:color="auto"/>
        <w:bottom w:val="none" w:sz="0" w:space="0" w:color="auto"/>
        <w:right w:val="none" w:sz="0" w:space="0" w:color="auto"/>
      </w:divBdr>
    </w:div>
    <w:div w:id="247547151">
      <w:bodyDiv w:val="1"/>
      <w:marLeft w:val="0"/>
      <w:marRight w:val="0"/>
      <w:marTop w:val="0"/>
      <w:marBottom w:val="0"/>
      <w:divBdr>
        <w:top w:val="none" w:sz="0" w:space="0" w:color="auto"/>
        <w:left w:val="none" w:sz="0" w:space="0" w:color="auto"/>
        <w:bottom w:val="none" w:sz="0" w:space="0" w:color="auto"/>
        <w:right w:val="none" w:sz="0" w:space="0" w:color="auto"/>
      </w:divBdr>
      <w:divsChild>
        <w:div w:id="737940413">
          <w:marLeft w:val="0"/>
          <w:marRight w:val="0"/>
          <w:marTop w:val="0"/>
          <w:marBottom w:val="0"/>
          <w:divBdr>
            <w:top w:val="none" w:sz="0" w:space="0" w:color="auto"/>
            <w:left w:val="none" w:sz="0" w:space="0" w:color="auto"/>
            <w:bottom w:val="none" w:sz="0" w:space="0" w:color="auto"/>
            <w:right w:val="none" w:sz="0" w:space="0" w:color="auto"/>
          </w:divBdr>
        </w:div>
        <w:div w:id="1361590694">
          <w:marLeft w:val="0"/>
          <w:marRight w:val="0"/>
          <w:marTop w:val="0"/>
          <w:marBottom w:val="0"/>
          <w:divBdr>
            <w:top w:val="none" w:sz="0" w:space="0" w:color="auto"/>
            <w:left w:val="none" w:sz="0" w:space="0" w:color="auto"/>
            <w:bottom w:val="none" w:sz="0" w:space="0" w:color="auto"/>
            <w:right w:val="none" w:sz="0" w:space="0" w:color="auto"/>
          </w:divBdr>
        </w:div>
        <w:div w:id="873077722">
          <w:marLeft w:val="0"/>
          <w:marRight w:val="0"/>
          <w:marTop w:val="0"/>
          <w:marBottom w:val="0"/>
          <w:divBdr>
            <w:top w:val="none" w:sz="0" w:space="0" w:color="auto"/>
            <w:left w:val="none" w:sz="0" w:space="0" w:color="auto"/>
            <w:bottom w:val="none" w:sz="0" w:space="0" w:color="auto"/>
            <w:right w:val="none" w:sz="0" w:space="0" w:color="auto"/>
          </w:divBdr>
        </w:div>
        <w:div w:id="74592855">
          <w:marLeft w:val="0"/>
          <w:marRight w:val="0"/>
          <w:marTop w:val="0"/>
          <w:marBottom w:val="0"/>
          <w:divBdr>
            <w:top w:val="none" w:sz="0" w:space="0" w:color="auto"/>
            <w:left w:val="none" w:sz="0" w:space="0" w:color="auto"/>
            <w:bottom w:val="none" w:sz="0" w:space="0" w:color="auto"/>
            <w:right w:val="none" w:sz="0" w:space="0" w:color="auto"/>
          </w:divBdr>
        </w:div>
        <w:div w:id="1396471391">
          <w:marLeft w:val="0"/>
          <w:marRight w:val="0"/>
          <w:marTop w:val="0"/>
          <w:marBottom w:val="0"/>
          <w:divBdr>
            <w:top w:val="none" w:sz="0" w:space="0" w:color="auto"/>
            <w:left w:val="none" w:sz="0" w:space="0" w:color="auto"/>
            <w:bottom w:val="none" w:sz="0" w:space="0" w:color="auto"/>
            <w:right w:val="none" w:sz="0" w:space="0" w:color="auto"/>
          </w:divBdr>
        </w:div>
        <w:div w:id="1328635916">
          <w:marLeft w:val="0"/>
          <w:marRight w:val="0"/>
          <w:marTop w:val="0"/>
          <w:marBottom w:val="0"/>
          <w:divBdr>
            <w:top w:val="none" w:sz="0" w:space="0" w:color="auto"/>
            <w:left w:val="none" w:sz="0" w:space="0" w:color="auto"/>
            <w:bottom w:val="none" w:sz="0" w:space="0" w:color="auto"/>
            <w:right w:val="none" w:sz="0" w:space="0" w:color="auto"/>
          </w:divBdr>
        </w:div>
        <w:div w:id="1111124799">
          <w:marLeft w:val="0"/>
          <w:marRight w:val="0"/>
          <w:marTop w:val="0"/>
          <w:marBottom w:val="0"/>
          <w:divBdr>
            <w:top w:val="none" w:sz="0" w:space="0" w:color="auto"/>
            <w:left w:val="none" w:sz="0" w:space="0" w:color="auto"/>
            <w:bottom w:val="none" w:sz="0" w:space="0" w:color="auto"/>
            <w:right w:val="none" w:sz="0" w:space="0" w:color="auto"/>
          </w:divBdr>
        </w:div>
        <w:div w:id="1770469169">
          <w:marLeft w:val="0"/>
          <w:marRight w:val="0"/>
          <w:marTop w:val="0"/>
          <w:marBottom w:val="0"/>
          <w:divBdr>
            <w:top w:val="none" w:sz="0" w:space="0" w:color="auto"/>
            <w:left w:val="none" w:sz="0" w:space="0" w:color="auto"/>
            <w:bottom w:val="none" w:sz="0" w:space="0" w:color="auto"/>
            <w:right w:val="none" w:sz="0" w:space="0" w:color="auto"/>
          </w:divBdr>
        </w:div>
        <w:div w:id="2080008381">
          <w:marLeft w:val="0"/>
          <w:marRight w:val="0"/>
          <w:marTop w:val="0"/>
          <w:marBottom w:val="0"/>
          <w:divBdr>
            <w:top w:val="none" w:sz="0" w:space="0" w:color="auto"/>
            <w:left w:val="none" w:sz="0" w:space="0" w:color="auto"/>
            <w:bottom w:val="none" w:sz="0" w:space="0" w:color="auto"/>
            <w:right w:val="none" w:sz="0" w:space="0" w:color="auto"/>
          </w:divBdr>
        </w:div>
        <w:div w:id="1380590834">
          <w:marLeft w:val="0"/>
          <w:marRight w:val="0"/>
          <w:marTop w:val="0"/>
          <w:marBottom w:val="0"/>
          <w:divBdr>
            <w:top w:val="none" w:sz="0" w:space="0" w:color="auto"/>
            <w:left w:val="none" w:sz="0" w:space="0" w:color="auto"/>
            <w:bottom w:val="none" w:sz="0" w:space="0" w:color="auto"/>
            <w:right w:val="none" w:sz="0" w:space="0" w:color="auto"/>
          </w:divBdr>
        </w:div>
        <w:div w:id="2016226312">
          <w:marLeft w:val="0"/>
          <w:marRight w:val="0"/>
          <w:marTop w:val="0"/>
          <w:marBottom w:val="0"/>
          <w:divBdr>
            <w:top w:val="none" w:sz="0" w:space="0" w:color="auto"/>
            <w:left w:val="none" w:sz="0" w:space="0" w:color="auto"/>
            <w:bottom w:val="none" w:sz="0" w:space="0" w:color="auto"/>
            <w:right w:val="none" w:sz="0" w:space="0" w:color="auto"/>
          </w:divBdr>
        </w:div>
        <w:div w:id="1238907423">
          <w:marLeft w:val="0"/>
          <w:marRight w:val="0"/>
          <w:marTop w:val="0"/>
          <w:marBottom w:val="0"/>
          <w:divBdr>
            <w:top w:val="none" w:sz="0" w:space="0" w:color="auto"/>
            <w:left w:val="none" w:sz="0" w:space="0" w:color="auto"/>
            <w:bottom w:val="none" w:sz="0" w:space="0" w:color="auto"/>
            <w:right w:val="none" w:sz="0" w:space="0" w:color="auto"/>
          </w:divBdr>
        </w:div>
        <w:div w:id="1371416696">
          <w:marLeft w:val="0"/>
          <w:marRight w:val="0"/>
          <w:marTop w:val="0"/>
          <w:marBottom w:val="0"/>
          <w:divBdr>
            <w:top w:val="none" w:sz="0" w:space="0" w:color="auto"/>
            <w:left w:val="none" w:sz="0" w:space="0" w:color="auto"/>
            <w:bottom w:val="none" w:sz="0" w:space="0" w:color="auto"/>
            <w:right w:val="none" w:sz="0" w:space="0" w:color="auto"/>
          </w:divBdr>
        </w:div>
      </w:divsChild>
    </w:div>
    <w:div w:id="251473925">
      <w:bodyDiv w:val="1"/>
      <w:marLeft w:val="0"/>
      <w:marRight w:val="0"/>
      <w:marTop w:val="0"/>
      <w:marBottom w:val="0"/>
      <w:divBdr>
        <w:top w:val="none" w:sz="0" w:space="0" w:color="auto"/>
        <w:left w:val="none" w:sz="0" w:space="0" w:color="auto"/>
        <w:bottom w:val="none" w:sz="0" w:space="0" w:color="auto"/>
        <w:right w:val="none" w:sz="0" w:space="0" w:color="auto"/>
      </w:divBdr>
      <w:divsChild>
        <w:div w:id="1796562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545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5719">
      <w:bodyDiv w:val="1"/>
      <w:marLeft w:val="0"/>
      <w:marRight w:val="0"/>
      <w:marTop w:val="0"/>
      <w:marBottom w:val="0"/>
      <w:divBdr>
        <w:top w:val="none" w:sz="0" w:space="0" w:color="auto"/>
        <w:left w:val="none" w:sz="0" w:space="0" w:color="auto"/>
        <w:bottom w:val="none" w:sz="0" w:space="0" w:color="auto"/>
        <w:right w:val="none" w:sz="0" w:space="0" w:color="auto"/>
      </w:divBdr>
    </w:div>
    <w:div w:id="259874198">
      <w:bodyDiv w:val="1"/>
      <w:marLeft w:val="0"/>
      <w:marRight w:val="0"/>
      <w:marTop w:val="0"/>
      <w:marBottom w:val="0"/>
      <w:divBdr>
        <w:top w:val="none" w:sz="0" w:space="0" w:color="auto"/>
        <w:left w:val="none" w:sz="0" w:space="0" w:color="auto"/>
        <w:bottom w:val="none" w:sz="0" w:space="0" w:color="auto"/>
        <w:right w:val="none" w:sz="0" w:space="0" w:color="auto"/>
      </w:divBdr>
    </w:div>
    <w:div w:id="260181523">
      <w:bodyDiv w:val="1"/>
      <w:marLeft w:val="0"/>
      <w:marRight w:val="0"/>
      <w:marTop w:val="0"/>
      <w:marBottom w:val="0"/>
      <w:divBdr>
        <w:top w:val="none" w:sz="0" w:space="0" w:color="auto"/>
        <w:left w:val="none" w:sz="0" w:space="0" w:color="auto"/>
        <w:bottom w:val="none" w:sz="0" w:space="0" w:color="auto"/>
        <w:right w:val="none" w:sz="0" w:space="0" w:color="auto"/>
      </w:divBdr>
    </w:div>
    <w:div w:id="322246554">
      <w:bodyDiv w:val="1"/>
      <w:marLeft w:val="0"/>
      <w:marRight w:val="0"/>
      <w:marTop w:val="0"/>
      <w:marBottom w:val="0"/>
      <w:divBdr>
        <w:top w:val="none" w:sz="0" w:space="0" w:color="auto"/>
        <w:left w:val="none" w:sz="0" w:space="0" w:color="auto"/>
        <w:bottom w:val="none" w:sz="0" w:space="0" w:color="auto"/>
        <w:right w:val="none" w:sz="0" w:space="0" w:color="auto"/>
      </w:divBdr>
    </w:div>
    <w:div w:id="347365704">
      <w:bodyDiv w:val="1"/>
      <w:marLeft w:val="0"/>
      <w:marRight w:val="0"/>
      <w:marTop w:val="0"/>
      <w:marBottom w:val="0"/>
      <w:divBdr>
        <w:top w:val="none" w:sz="0" w:space="0" w:color="auto"/>
        <w:left w:val="none" w:sz="0" w:space="0" w:color="auto"/>
        <w:bottom w:val="none" w:sz="0" w:space="0" w:color="auto"/>
        <w:right w:val="none" w:sz="0" w:space="0" w:color="auto"/>
      </w:divBdr>
      <w:divsChild>
        <w:div w:id="1528640066">
          <w:marLeft w:val="0"/>
          <w:marRight w:val="0"/>
          <w:marTop w:val="0"/>
          <w:marBottom w:val="0"/>
          <w:divBdr>
            <w:top w:val="none" w:sz="0" w:space="0" w:color="auto"/>
            <w:left w:val="none" w:sz="0" w:space="0" w:color="auto"/>
            <w:bottom w:val="none" w:sz="0" w:space="0" w:color="auto"/>
            <w:right w:val="none" w:sz="0" w:space="0" w:color="auto"/>
          </w:divBdr>
          <w:divsChild>
            <w:div w:id="1117213357">
              <w:marLeft w:val="0"/>
              <w:marRight w:val="0"/>
              <w:marTop w:val="0"/>
              <w:marBottom w:val="0"/>
              <w:divBdr>
                <w:top w:val="none" w:sz="0" w:space="0" w:color="auto"/>
                <w:left w:val="none" w:sz="0" w:space="0" w:color="auto"/>
                <w:bottom w:val="none" w:sz="0" w:space="0" w:color="auto"/>
                <w:right w:val="none" w:sz="0" w:space="0" w:color="auto"/>
              </w:divBdr>
              <w:divsChild>
                <w:div w:id="13726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21415">
      <w:bodyDiv w:val="1"/>
      <w:marLeft w:val="0"/>
      <w:marRight w:val="0"/>
      <w:marTop w:val="0"/>
      <w:marBottom w:val="0"/>
      <w:divBdr>
        <w:top w:val="none" w:sz="0" w:space="0" w:color="auto"/>
        <w:left w:val="none" w:sz="0" w:space="0" w:color="auto"/>
        <w:bottom w:val="none" w:sz="0" w:space="0" w:color="auto"/>
        <w:right w:val="none" w:sz="0" w:space="0" w:color="auto"/>
      </w:divBdr>
    </w:div>
    <w:div w:id="373115832">
      <w:bodyDiv w:val="1"/>
      <w:marLeft w:val="0"/>
      <w:marRight w:val="0"/>
      <w:marTop w:val="0"/>
      <w:marBottom w:val="0"/>
      <w:divBdr>
        <w:top w:val="none" w:sz="0" w:space="0" w:color="auto"/>
        <w:left w:val="none" w:sz="0" w:space="0" w:color="auto"/>
        <w:bottom w:val="none" w:sz="0" w:space="0" w:color="auto"/>
        <w:right w:val="none" w:sz="0" w:space="0" w:color="auto"/>
      </w:divBdr>
    </w:div>
    <w:div w:id="375811857">
      <w:bodyDiv w:val="1"/>
      <w:marLeft w:val="0"/>
      <w:marRight w:val="0"/>
      <w:marTop w:val="0"/>
      <w:marBottom w:val="0"/>
      <w:divBdr>
        <w:top w:val="none" w:sz="0" w:space="0" w:color="auto"/>
        <w:left w:val="none" w:sz="0" w:space="0" w:color="auto"/>
        <w:bottom w:val="none" w:sz="0" w:space="0" w:color="auto"/>
        <w:right w:val="none" w:sz="0" w:space="0" w:color="auto"/>
      </w:divBdr>
    </w:div>
    <w:div w:id="378864389">
      <w:bodyDiv w:val="1"/>
      <w:marLeft w:val="0"/>
      <w:marRight w:val="0"/>
      <w:marTop w:val="0"/>
      <w:marBottom w:val="0"/>
      <w:divBdr>
        <w:top w:val="none" w:sz="0" w:space="0" w:color="auto"/>
        <w:left w:val="none" w:sz="0" w:space="0" w:color="auto"/>
        <w:bottom w:val="none" w:sz="0" w:space="0" w:color="auto"/>
        <w:right w:val="none" w:sz="0" w:space="0" w:color="auto"/>
      </w:divBdr>
    </w:div>
    <w:div w:id="391346414">
      <w:bodyDiv w:val="1"/>
      <w:marLeft w:val="0"/>
      <w:marRight w:val="0"/>
      <w:marTop w:val="0"/>
      <w:marBottom w:val="0"/>
      <w:divBdr>
        <w:top w:val="none" w:sz="0" w:space="0" w:color="auto"/>
        <w:left w:val="none" w:sz="0" w:space="0" w:color="auto"/>
        <w:bottom w:val="none" w:sz="0" w:space="0" w:color="auto"/>
        <w:right w:val="none" w:sz="0" w:space="0" w:color="auto"/>
      </w:divBdr>
    </w:div>
    <w:div w:id="395513658">
      <w:bodyDiv w:val="1"/>
      <w:marLeft w:val="0"/>
      <w:marRight w:val="0"/>
      <w:marTop w:val="0"/>
      <w:marBottom w:val="0"/>
      <w:divBdr>
        <w:top w:val="none" w:sz="0" w:space="0" w:color="auto"/>
        <w:left w:val="none" w:sz="0" w:space="0" w:color="auto"/>
        <w:bottom w:val="none" w:sz="0" w:space="0" w:color="auto"/>
        <w:right w:val="none" w:sz="0" w:space="0" w:color="auto"/>
      </w:divBdr>
      <w:divsChild>
        <w:div w:id="318385716">
          <w:marLeft w:val="1080"/>
          <w:marRight w:val="0"/>
          <w:marTop w:val="100"/>
          <w:marBottom w:val="0"/>
          <w:divBdr>
            <w:top w:val="none" w:sz="0" w:space="0" w:color="auto"/>
            <w:left w:val="none" w:sz="0" w:space="0" w:color="auto"/>
            <w:bottom w:val="none" w:sz="0" w:space="0" w:color="auto"/>
            <w:right w:val="none" w:sz="0" w:space="0" w:color="auto"/>
          </w:divBdr>
        </w:div>
      </w:divsChild>
    </w:div>
    <w:div w:id="399065104">
      <w:bodyDiv w:val="1"/>
      <w:marLeft w:val="0"/>
      <w:marRight w:val="0"/>
      <w:marTop w:val="0"/>
      <w:marBottom w:val="0"/>
      <w:divBdr>
        <w:top w:val="none" w:sz="0" w:space="0" w:color="auto"/>
        <w:left w:val="none" w:sz="0" w:space="0" w:color="auto"/>
        <w:bottom w:val="none" w:sz="0" w:space="0" w:color="auto"/>
        <w:right w:val="none" w:sz="0" w:space="0" w:color="auto"/>
      </w:divBdr>
    </w:div>
    <w:div w:id="419790484">
      <w:bodyDiv w:val="1"/>
      <w:marLeft w:val="0"/>
      <w:marRight w:val="0"/>
      <w:marTop w:val="0"/>
      <w:marBottom w:val="0"/>
      <w:divBdr>
        <w:top w:val="none" w:sz="0" w:space="0" w:color="auto"/>
        <w:left w:val="none" w:sz="0" w:space="0" w:color="auto"/>
        <w:bottom w:val="none" w:sz="0" w:space="0" w:color="auto"/>
        <w:right w:val="none" w:sz="0" w:space="0" w:color="auto"/>
      </w:divBdr>
    </w:div>
    <w:div w:id="427233837">
      <w:bodyDiv w:val="1"/>
      <w:marLeft w:val="0"/>
      <w:marRight w:val="0"/>
      <w:marTop w:val="0"/>
      <w:marBottom w:val="0"/>
      <w:divBdr>
        <w:top w:val="none" w:sz="0" w:space="0" w:color="auto"/>
        <w:left w:val="none" w:sz="0" w:space="0" w:color="auto"/>
        <w:bottom w:val="none" w:sz="0" w:space="0" w:color="auto"/>
        <w:right w:val="none" w:sz="0" w:space="0" w:color="auto"/>
      </w:divBdr>
    </w:div>
    <w:div w:id="428548069">
      <w:bodyDiv w:val="1"/>
      <w:marLeft w:val="0"/>
      <w:marRight w:val="0"/>
      <w:marTop w:val="0"/>
      <w:marBottom w:val="0"/>
      <w:divBdr>
        <w:top w:val="none" w:sz="0" w:space="0" w:color="auto"/>
        <w:left w:val="none" w:sz="0" w:space="0" w:color="auto"/>
        <w:bottom w:val="none" w:sz="0" w:space="0" w:color="auto"/>
        <w:right w:val="none" w:sz="0" w:space="0" w:color="auto"/>
      </w:divBdr>
      <w:divsChild>
        <w:div w:id="782727941">
          <w:marLeft w:val="0"/>
          <w:marRight w:val="0"/>
          <w:marTop w:val="240"/>
          <w:marBottom w:val="0"/>
          <w:divBdr>
            <w:top w:val="none" w:sz="0" w:space="0" w:color="auto"/>
            <w:left w:val="none" w:sz="0" w:space="0" w:color="auto"/>
            <w:bottom w:val="none" w:sz="0" w:space="0" w:color="auto"/>
            <w:right w:val="none" w:sz="0" w:space="0" w:color="auto"/>
          </w:divBdr>
          <w:divsChild>
            <w:div w:id="9439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5391">
      <w:bodyDiv w:val="1"/>
      <w:marLeft w:val="0"/>
      <w:marRight w:val="0"/>
      <w:marTop w:val="0"/>
      <w:marBottom w:val="0"/>
      <w:divBdr>
        <w:top w:val="none" w:sz="0" w:space="0" w:color="auto"/>
        <w:left w:val="none" w:sz="0" w:space="0" w:color="auto"/>
        <w:bottom w:val="none" w:sz="0" w:space="0" w:color="auto"/>
        <w:right w:val="none" w:sz="0" w:space="0" w:color="auto"/>
      </w:divBdr>
      <w:divsChild>
        <w:div w:id="755588995">
          <w:marLeft w:val="0"/>
          <w:marRight w:val="0"/>
          <w:marTop w:val="0"/>
          <w:marBottom w:val="0"/>
          <w:divBdr>
            <w:top w:val="none" w:sz="0" w:space="0" w:color="auto"/>
            <w:left w:val="none" w:sz="0" w:space="0" w:color="auto"/>
            <w:bottom w:val="none" w:sz="0" w:space="0" w:color="auto"/>
            <w:right w:val="none" w:sz="0" w:space="0" w:color="auto"/>
          </w:divBdr>
        </w:div>
        <w:div w:id="1015234316">
          <w:marLeft w:val="0"/>
          <w:marRight w:val="0"/>
          <w:marTop w:val="0"/>
          <w:marBottom w:val="0"/>
          <w:divBdr>
            <w:top w:val="none" w:sz="0" w:space="0" w:color="auto"/>
            <w:left w:val="none" w:sz="0" w:space="0" w:color="auto"/>
            <w:bottom w:val="none" w:sz="0" w:space="0" w:color="auto"/>
            <w:right w:val="none" w:sz="0" w:space="0" w:color="auto"/>
          </w:divBdr>
        </w:div>
        <w:div w:id="1529760514">
          <w:marLeft w:val="0"/>
          <w:marRight w:val="0"/>
          <w:marTop w:val="0"/>
          <w:marBottom w:val="0"/>
          <w:divBdr>
            <w:top w:val="none" w:sz="0" w:space="0" w:color="auto"/>
            <w:left w:val="none" w:sz="0" w:space="0" w:color="auto"/>
            <w:bottom w:val="none" w:sz="0" w:space="0" w:color="auto"/>
            <w:right w:val="none" w:sz="0" w:space="0" w:color="auto"/>
          </w:divBdr>
        </w:div>
        <w:div w:id="1922981439">
          <w:marLeft w:val="0"/>
          <w:marRight w:val="0"/>
          <w:marTop w:val="0"/>
          <w:marBottom w:val="0"/>
          <w:divBdr>
            <w:top w:val="none" w:sz="0" w:space="0" w:color="auto"/>
            <w:left w:val="none" w:sz="0" w:space="0" w:color="auto"/>
            <w:bottom w:val="none" w:sz="0" w:space="0" w:color="auto"/>
            <w:right w:val="none" w:sz="0" w:space="0" w:color="auto"/>
          </w:divBdr>
        </w:div>
      </w:divsChild>
    </w:div>
    <w:div w:id="480392472">
      <w:bodyDiv w:val="1"/>
      <w:marLeft w:val="0"/>
      <w:marRight w:val="0"/>
      <w:marTop w:val="0"/>
      <w:marBottom w:val="0"/>
      <w:divBdr>
        <w:top w:val="none" w:sz="0" w:space="0" w:color="auto"/>
        <w:left w:val="none" w:sz="0" w:space="0" w:color="auto"/>
        <w:bottom w:val="none" w:sz="0" w:space="0" w:color="auto"/>
        <w:right w:val="none" w:sz="0" w:space="0" w:color="auto"/>
      </w:divBdr>
    </w:div>
    <w:div w:id="491679110">
      <w:bodyDiv w:val="1"/>
      <w:marLeft w:val="0"/>
      <w:marRight w:val="0"/>
      <w:marTop w:val="0"/>
      <w:marBottom w:val="0"/>
      <w:divBdr>
        <w:top w:val="none" w:sz="0" w:space="0" w:color="auto"/>
        <w:left w:val="none" w:sz="0" w:space="0" w:color="auto"/>
        <w:bottom w:val="none" w:sz="0" w:space="0" w:color="auto"/>
        <w:right w:val="none" w:sz="0" w:space="0" w:color="auto"/>
      </w:divBdr>
      <w:divsChild>
        <w:div w:id="1700931581">
          <w:marLeft w:val="0"/>
          <w:marRight w:val="0"/>
          <w:marTop w:val="0"/>
          <w:marBottom w:val="0"/>
          <w:divBdr>
            <w:top w:val="none" w:sz="0" w:space="0" w:color="auto"/>
            <w:left w:val="none" w:sz="0" w:space="0" w:color="auto"/>
            <w:bottom w:val="none" w:sz="0" w:space="0" w:color="auto"/>
            <w:right w:val="none" w:sz="0" w:space="0" w:color="auto"/>
          </w:divBdr>
        </w:div>
      </w:divsChild>
    </w:div>
    <w:div w:id="498035568">
      <w:bodyDiv w:val="1"/>
      <w:marLeft w:val="0"/>
      <w:marRight w:val="0"/>
      <w:marTop w:val="0"/>
      <w:marBottom w:val="0"/>
      <w:divBdr>
        <w:top w:val="none" w:sz="0" w:space="0" w:color="auto"/>
        <w:left w:val="none" w:sz="0" w:space="0" w:color="auto"/>
        <w:bottom w:val="none" w:sz="0" w:space="0" w:color="auto"/>
        <w:right w:val="none" w:sz="0" w:space="0" w:color="auto"/>
      </w:divBdr>
    </w:div>
    <w:div w:id="501821845">
      <w:bodyDiv w:val="1"/>
      <w:marLeft w:val="0"/>
      <w:marRight w:val="0"/>
      <w:marTop w:val="0"/>
      <w:marBottom w:val="0"/>
      <w:divBdr>
        <w:top w:val="none" w:sz="0" w:space="0" w:color="auto"/>
        <w:left w:val="none" w:sz="0" w:space="0" w:color="auto"/>
        <w:bottom w:val="none" w:sz="0" w:space="0" w:color="auto"/>
        <w:right w:val="none" w:sz="0" w:space="0" w:color="auto"/>
      </w:divBdr>
      <w:divsChild>
        <w:div w:id="17679670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75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415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202832">
      <w:bodyDiv w:val="1"/>
      <w:marLeft w:val="0"/>
      <w:marRight w:val="0"/>
      <w:marTop w:val="0"/>
      <w:marBottom w:val="0"/>
      <w:divBdr>
        <w:top w:val="none" w:sz="0" w:space="0" w:color="auto"/>
        <w:left w:val="none" w:sz="0" w:space="0" w:color="auto"/>
        <w:bottom w:val="none" w:sz="0" w:space="0" w:color="auto"/>
        <w:right w:val="none" w:sz="0" w:space="0" w:color="auto"/>
      </w:divBdr>
    </w:div>
    <w:div w:id="526259999">
      <w:bodyDiv w:val="1"/>
      <w:marLeft w:val="0"/>
      <w:marRight w:val="0"/>
      <w:marTop w:val="0"/>
      <w:marBottom w:val="0"/>
      <w:divBdr>
        <w:top w:val="none" w:sz="0" w:space="0" w:color="auto"/>
        <w:left w:val="none" w:sz="0" w:space="0" w:color="auto"/>
        <w:bottom w:val="none" w:sz="0" w:space="0" w:color="auto"/>
        <w:right w:val="none" w:sz="0" w:space="0" w:color="auto"/>
      </w:divBdr>
    </w:div>
    <w:div w:id="550381163">
      <w:bodyDiv w:val="1"/>
      <w:marLeft w:val="0"/>
      <w:marRight w:val="0"/>
      <w:marTop w:val="0"/>
      <w:marBottom w:val="0"/>
      <w:divBdr>
        <w:top w:val="none" w:sz="0" w:space="0" w:color="auto"/>
        <w:left w:val="none" w:sz="0" w:space="0" w:color="auto"/>
        <w:bottom w:val="none" w:sz="0" w:space="0" w:color="auto"/>
        <w:right w:val="none" w:sz="0" w:space="0" w:color="auto"/>
      </w:divBdr>
      <w:divsChild>
        <w:div w:id="305552118">
          <w:marLeft w:val="1080"/>
          <w:marRight w:val="0"/>
          <w:marTop w:val="100"/>
          <w:marBottom w:val="0"/>
          <w:divBdr>
            <w:top w:val="none" w:sz="0" w:space="0" w:color="auto"/>
            <w:left w:val="none" w:sz="0" w:space="0" w:color="auto"/>
            <w:bottom w:val="none" w:sz="0" w:space="0" w:color="auto"/>
            <w:right w:val="none" w:sz="0" w:space="0" w:color="auto"/>
          </w:divBdr>
        </w:div>
      </w:divsChild>
    </w:div>
    <w:div w:id="553202740">
      <w:bodyDiv w:val="1"/>
      <w:marLeft w:val="0"/>
      <w:marRight w:val="0"/>
      <w:marTop w:val="0"/>
      <w:marBottom w:val="0"/>
      <w:divBdr>
        <w:top w:val="none" w:sz="0" w:space="0" w:color="auto"/>
        <w:left w:val="none" w:sz="0" w:space="0" w:color="auto"/>
        <w:bottom w:val="none" w:sz="0" w:space="0" w:color="auto"/>
        <w:right w:val="none" w:sz="0" w:space="0" w:color="auto"/>
      </w:divBdr>
      <w:divsChild>
        <w:div w:id="173306287">
          <w:marLeft w:val="0"/>
          <w:marRight w:val="0"/>
          <w:marTop w:val="0"/>
          <w:marBottom w:val="0"/>
          <w:divBdr>
            <w:top w:val="none" w:sz="0" w:space="0" w:color="auto"/>
            <w:left w:val="none" w:sz="0" w:space="0" w:color="auto"/>
            <w:bottom w:val="none" w:sz="0" w:space="0" w:color="auto"/>
            <w:right w:val="none" w:sz="0" w:space="0" w:color="auto"/>
          </w:divBdr>
        </w:div>
        <w:div w:id="1802071982">
          <w:marLeft w:val="0"/>
          <w:marRight w:val="0"/>
          <w:marTop w:val="0"/>
          <w:marBottom w:val="0"/>
          <w:divBdr>
            <w:top w:val="none" w:sz="0" w:space="0" w:color="auto"/>
            <w:left w:val="none" w:sz="0" w:space="0" w:color="auto"/>
            <w:bottom w:val="none" w:sz="0" w:space="0" w:color="auto"/>
            <w:right w:val="none" w:sz="0" w:space="0" w:color="auto"/>
          </w:divBdr>
        </w:div>
        <w:div w:id="525219148">
          <w:marLeft w:val="0"/>
          <w:marRight w:val="0"/>
          <w:marTop w:val="0"/>
          <w:marBottom w:val="0"/>
          <w:divBdr>
            <w:top w:val="none" w:sz="0" w:space="0" w:color="auto"/>
            <w:left w:val="none" w:sz="0" w:space="0" w:color="auto"/>
            <w:bottom w:val="none" w:sz="0" w:space="0" w:color="auto"/>
            <w:right w:val="none" w:sz="0" w:space="0" w:color="auto"/>
          </w:divBdr>
        </w:div>
        <w:div w:id="1217665523">
          <w:marLeft w:val="0"/>
          <w:marRight w:val="0"/>
          <w:marTop w:val="0"/>
          <w:marBottom w:val="0"/>
          <w:divBdr>
            <w:top w:val="none" w:sz="0" w:space="0" w:color="auto"/>
            <w:left w:val="none" w:sz="0" w:space="0" w:color="auto"/>
            <w:bottom w:val="none" w:sz="0" w:space="0" w:color="auto"/>
            <w:right w:val="none" w:sz="0" w:space="0" w:color="auto"/>
          </w:divBdr>
        </w:div>
        <w:div w:id="81336235">
          <w:marLeft w:val="0"/>
          <w:marRight w:val="0"/>
          <w:marTop w:val="0"/>
          <w:marBottom w:val="0"/>
          <w:divBdr>
            <w:top w:val="none" w:sz="0" w:space="0" w:color="auto"/>
            <w:left w:val="none" w:sz="0" w:space="0" w:color="auto"/>
            <w:bottom w:val="none" w:sz="0" w:space="0" w:color="auto"/>
            <w:right w:val="none" w:sz="0" w:space="0" w:color="auto"/>
          </w:divBdr>
        </w:div>
        <w:div w:id="92558715">
          <w:marLeft w:val="0"/>
          <w:marRight w:val="0"/>
          <w:marTop w:val="0"/>
          <w:marBottom w:val="0"/>
          <w:divBdr>
            <w:top w:val="none" w:sz="0" w:space="0" w:color="auto"/>
            <w:left w:val="none" w:sz="0" w:space="0" w:color="auto"/>
            <w:bottom w:val="none" w:sz="0" w:space="0" w:color="auto"/>
            <w:right w:val="none" w:sz="0" w:space="0" w:color="auto"/>
          </w:divBdr>
        </w:div>
        <w:div w:id="2032418648">
          <w:marLeft w:val="0"/>
          <w:marRight w:val="0"/>
          <w:marTop w:val="0"/>
          <w:marBottom w:val="0"/>
          <w:divBdr>
            <w:top w:val="none" w:sz="0" w:space="0" w:color="auto"/>
            <w:left w:val="none" w:sz="0" w:space="0" w:color="auto"/>
            <w:bottom w:val="none" w:sz="0" w:space="0" w:color="auto"/>
            <w:right w:val="none" w:sz="0" w:space="0" w:color="auto"/>
          </w:divBdr>
        </w:div>
        <w:div w:id="886718991">
          <w:marLeft w:val="0"/>
          <w:marRight w:val="0"/>
          <w:marTop w:val="0"/>
          <w:marBottom w:val="0"/>
          <w:divBdr>
            <w:top w:val="none" w:sz="0" w:space="0" w:color="auto"/>
            <w:left w:val="none" w:sz="0" w:space="0" w:color="auto"/>
            <w:bottom w:val="none" w:sz="0" w:space="0" w:color="auto"/>
            <w:right w:val="none" w:sz="0" w:space="0" w:color="auto"/>
          </w:divBdr>
        </w:div>
        <w:div w:id="1273319417">
          <w:marLeft w:val="0"/>
          <w:marRight w:val="0"/>
          <w:marTop w:val="0"/>
          <w:marBottom w:val="0"/>
          <w:divBdr>
            <w:top w:val="none" w:sz="0" w:space="0" w:color="auto"/>
            <w:left w:val="none" w:sz="0" w:space="0" w:color="auto"/>
            <w:bottom w:val="none" w:sz="0" w:space="0" w:color="auto"/>
            <w:right w:val="none" w:sz="0" w:space="0" w:color="auto"/>
          </w:divBdr>
        </w:div>
        <w:div w:id="562057932">
          <w:marLeft w:val="0"/>
          <w:marRight w:val="0"/>
          <w:marTop w:val="0"/>
          <w:marBottom w:val="0"/>
          <w:divBdr>
            <w:top w:val="none" w:sz="0" w:space="0" w:color="auto"/>
            <w:left w:val="none" w:sz="0" w:space="0" w:color="auto"/>
            <w:bottom w:val="none" w:sz="0" w:space="0" w:color="auto"/>
            <w:right w:val="none" w:sz="0" w:space="0" w:color="auto"/>
          </w:divBdr>
        </w:div>
        <w:div w:id="140931378">
          <w:marLeft w:val="0"/>
          <w:marRight w:val="0"/>
          <w:marTop w:val="0"/>
          <w:marBottom w:val="0"/>
          <w:divBdr>
            <w:top w:val="none" w:sz="0" w:space="0" w:color="auto"/>
            <w:left w:val="none" w:sz="0" w:space="0" w:color="auto"/>
            <w:bottom w:val="none" w:sz="0" w:space="0" w:color="auto"/>
            <w:right w:val="none" w:sz="0" w:space="0" w:color="auto"/>
          </w:divBdr>
        </w:div>
        <w:div w:id="883634897">
          <w:marLeft w:val="0"/>
          <w:marRight w:val="0"/>
          <w:marTop w:val="0"/>
          <w:marBottom w:val="0"/>
          <w:divBdr>
            <w:top w:val="none" w:sz="0" w:space="0" w:color="auto"/>
            <w:left w:val="none" w:sz="0" w:space="0" w:color="auto"/>
            <w:bottom w:val="none" w:sz="0" w:space="0" w:color="auto"/>
            <w:right w:val="none" w:sz="0" w:space="0" w:color="auto"/>
          </w:divBdr>
        </w:div>
        <w:div w:id="93718456">
          <w:marLeft w:val="0"/>
          <w:marRight w:val="0"/>
          <w:marTop w:val="0"/>
          <w:marBottom w:val="0"/>
          <w:divBdr>
            <w:top w:val="none" w:sz="0" w:space="0" w:color="auto"/>
            <w:left w:val="none" w:sz="0" w:space="0" w:color="auto"/>
            <w:bottom w:val="none" w:sz="0" w:space="0" w:color="auto"/>
            <w:right w:val="none" w:sz="0" w:space="0" w:color="auto"/>
          </w:divBdr>
        </w:div>
      </w:divsChild>
    </w:div>
    <w:div w:id="553321067">
      <w:bodyDiv w:val="1"/>
      <w:marLeft w:val="0"/>
      <w:marRight w:val="0"/>
      <w:marTop w:val="0"/>
      <w:marBottom w:val="0"/>
      <w:divBdr>
        <w:top w:val="none" w:sz="0" w:space="0" w:color="auto"/>
        <w:left w:val="none" w:sz="0" w:space="0" w:color="auto"/>
        <w:bottom w:val="none" w:sz="0" w:space="0" w:color="auto"/>
        <w:right w:val="none" w:sz="0" w:space="0" w:color="auto"/>
      </w:divBdr>
    </w:div>
    <w:div w:id="583732004">
      <w:bodyDiv w:val="1"/>
      <w:marLeft w:val="0"/>
      <w:marRight w:val="0"/>
      <w:marTop w:val="0"/>
      <w:marBottom w:val="0"/>
      <w:divBdr>
        <w:top w:val="none" w:sz="0" w:space="0" w:color="auto"/>
        <w:left w:val="none" w:sz="0" w:space="0" w:color="auto"/>
        <w:bottom w:val="none" w:sz="0" w:space="0" w:color="auto"/>
        <w:right w:val="none" w:sz="0" w:space="0" w:color="auto"/>
      </w:divBdr>
    </w:div>
    <w:div w:id="604852540">
      <w:bodyDiv w:val="1"/>
      <w:marLeft w:val="0"/>
      <w:marRight w:val="0"/>
      <w:marTop w:val="0"/>
      <w:marBottom w:val="0"/>
      <w:divBdr>
        <w:top w:val="none" w:sz="0" w:space="0" w:color="auto"/>
        <w:left w:val="none" w:sz="0" w:space="0" w:color="auto"/>
        <w:bottom w:val="none" w:sz="0" w:space="0" w:color="auto"/>
        <w:right w:val="none" w:sz="0" w:space="0" w:color="auto"/>
      </w:divBdr>
    </w:div>
    <w:div w:id="613369432">
      <w:bodyDiv w:val="1"/>
      <w:marLeft w:val="0"/>
      <w:marRight w:val="0"/>
      <w:marTop w:val="0"/>
      <w:marBottom w:val="0"/>
      <w:divBdr>
        <w:top w:val="none" w:sz="0" w:space="0" w:color="auto"/>
        <w:left w:val="none" w:sz="0" w:space="0" w:color="auto"/>
        <w:bottom w:val="none" w:sz="0" w:space="0" w:color="auto"/>
        <w:right w:val="none" w:sz="0" w:space="0" w:color="auto"/>
      </w:divBdr>
    </w:div>
    <w:div w:id="620307238">
      <w:bodyDiv w:val="1"/>
      <w:marLeft w:val="0"/>
      <w:marRight w:val="0"/>
      <w:marTop w:val="0"/>
      <w:marBottom w:val="0"/>
      <w:divBdr>
        <w:top w:val="none" w:sz="0" w:space="0" w:color="auto"/>
        <w:left w:val="none" w:sz="0" w:space="0" w:color="auto"/>
        <w:bottom w:val="none" w:sz="0" w:space="0" w:color="auto"/>
        <w:right w:val="none" w:sz="0" w:space="0" w:color="auto"/>
      </w:divBdr>
      <w:divsChild>
        <w:div w:id="1073546715">
          <w:marLeft w:val="0"/>
          <w:marRight w:val="0"/>
          <w:marTop w:val="0"/>
          <w:marBottom w:val="0"/>
          <w:divBdr>
            <w:top w:val="none" w:sz="0" w:space="0" w:color="auto"/>
            <w:left w:val="none" w:sz="0" w:space="0" w:color="auto"/>
            <w:bottom w:val="none" w:sz="0" w:space="0" w:color="auto"/>
            <w:right w:val="none" w:sz="0" w:space="0" w:color="auto"/>
          </w:divBdr>
          <w:divsChild>
            <w:div w:id="1382900097">
              <w:marLeft w:val="0"/>
              <w:marRight w:val="0"/>
              <w:marTop w:val="0"/>
              <w:marBottom w:val="0"/>
              <w:divBdr>
                <w:top w:val="none" w:sz="0" w:space="0" w:color="auto"/>
                <w:left w:val="none" w:sz="0" w:space="0" w:color="auto"/>
                <w:bottom w:val="none" w:sz="0" w:space="0" w:color="auto"/>
                <w:right w:val="none" w:sz="0" w:space="0" w:color="auto"/>
              </w:divBdr>
              <w:divsChild>
                <w:div w:id="4594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2009">
      <w:bodyDiv w:val="1"/>
      <w:marLeft w:val="0"/>
      <w:marRight w:val="0"/>
      <w:marTop w:val="0"/>
      <w:marBottom w:val="0"/>
      <w:divBdr>
        <w:top w:val="none" w:sz="0" w:space="0" w:color="auto"/>
        <w:left w:val="none" w:sz="0" w:space="0" w:color="auto"/>
        <w:bottom w:val="none" w:sz="0" w:space="0" w:color="auto"/>
        <w:right w:val="none" w:sz="0" w:space="0" w:color="auto"/>
      </w:divBdr>
    </w:div>
    <w:div w:id="645284063">
      <w:bodyDiv w:val="1"/>
      <w:marLeft w:val="0"/>
      <w:marRight w:val="0"/>
      <w:marTop w:val="0"/>
      <w:marBottom w:val="0"/>
      <w:divBdr>
        <w:top w:val="none" w:sz="0" w:space="0" w:color="auto"/>
        <w:left w:val="none" w:sz="0" w:space="0" w:color="auto"/>
        <w:bottom w:val="none" w:sz="0" w:space="0" w:color="auto"/>
        <w:right w:val="none" w:sz="0" w:space="0" w:color="auto"/>
      </w:divBdr>
      <w:divsChild>
        <w:div w:id="1935477237">
          <w:marLeft w:val="0"/>
          <w:marRight w:val="0"/>
          <w:marTop w:val="0"/>
          <w:marBottom w:val="0"/>
          <w:divBdr>
            <w:top w:val="none" w:sz="0" w:space="0" w:color="auto"/>
            <w:left w:val="none" w:sz="0" w:space="0" w:color="auto"/>
            <w:bottom w:val="none" w:sz="0" w:space="0" w:color="auto"/>
            <w:right w:val="none" w:sz="0" w:space="0" w:color="auto"/>
          </w:divBdr>
        </w:div>
        <w:div w:id="2001539481">
          <w:marLeft w:val="0"/>
          <w:marRight w:val="0"/>
          <w:marTop w:val="0"/>
          <w:marBottom w:val="0"/>
          <w:divBdr>
            <w:top w:val="none" w:sz="0" w:space="0" w:color="auto"/>
            <w:left w:val="none" w:sz="0" w:space="0" w:color="auto"/>
            <w:bottom w:val="none" w:sz="0" w:space="0" w:color="auto"/>
            <w:right w:val="none" w:sz="0" w:space="0" w:color="auto"/>
          </w:divBdr>
        </w:div>
        <w:div w:id="576984997">
          <w:marLeft w:val="0"/>
          <w:marRight w:val="0"/>
          <w:marTop w:val="0"/>
          <w:marBottom w:val="0"/>
          <w:divBdr>
            <w:top w:val="none" w:sz="0" w:space="0" w:color="auto"/>
            <w:left w:val="none" w:sz="0" w:space="0" w:color="auto"/>
            <w:bottom w:val="none" w:sz="0" w:space="0" w:color="auto"/>
            <w:right w:val="none" w:sz="0" w:space="0" w:color="auto"/>
          </w:divBdr>
        </w:div>
        <w:div w:id="897938959">
          <w:marLeft w:val="0"/>
          <w:marRight w:val="0"/>
          <w:marTop w:val="0"/>
          <w:marBottom w:val="0"/>
          <w:divBdr>
            <w:top w:val="none" w:sz="0" w:space="0" w:color="auto"/>
            <w:left w:val="none" w:sz="0" w:space="0" w:color="auto"/>
            <w:bottom w:val="none" w:sz="0" w:space="0" w:color="auto"/>
            <w:right w:val="none" w:sz="0" w:space="0" w:color="auto"/>
          </w:divBdr>
        </w:div>
        <w:div w:id="1021123026">
          <w:marLeft w:val="0"/>
          <w:marRight w:val="0"/>
          <w:marTop w:val="0"/>
          <w:marBottom w:val="0"/>
          <w:divBdr>
            <w:top w:val="none" w:sz="0" w:space="0" w:color="auto"/>
            <w:left w:val="none" w:sz="0" w:space="0" w:color="auto"/>
            <w:bottom w:val="none" w:sz="0" w:space="0" w:color="auto"/>
            <w:right w:val="none" w:sz="0" w:space="0" w:color="auto"/>
          </w:divBdr>
        </w:div>
        <w:div w:id="197207057">
          <w:marLeft w:val="0"/>
          <w:marRight w:val="0"/>
          <w:marTop w:val="0"/>
          <w:marBottom w:val="0"/>
          <w:divBdr>
            <w:top w:val="none" w:sz="0" w:space="0" w:color="auto"/>
            <w:left w:val="none" w:sz="0" w:space="0" w:color="auto"/>
            <w:bottom w:val="none" w:sz="0" w:space="0" w:color="auto"/>
            <w:right w:val="none" w:sz="0" w:space="0" w:color="auto"/>
          </w:divBdr>
        </w:div>
        <w:div w:id="817461172">
          <w:marLeft w:val="0"/>
          <w:marRight w:val="0"/>
          <w:marTop w:val="0"/>
          <w:marBottom w:val="0"/>
          <w:divBdr>
            <w:top w:val="none" w:sz="0" w:space="0" w:color="auto"/>
            <w:left w:val="none" w:sz="0" w:space="0" w:color="auto"/>
            <w:bottom w:val="none" w:sz="0" w:space="0" w:color="auto"/>
            <w:right w:val="none" w:sz="0" w:space="0" w:color="auto"/>
          </w:divBdr>
        </w:div>
        <w:div w:id="1895654585">
          <w:marLeft w:val="0"/>
          <w:marRight w:val="0"/>
          <w:marTop w:val="0"/>
          <w:marBottom w:val="0"/>
          <w:divBdr>
            <w:top w:val="none" w:sz="0" w:space="0" w:color="auto"/>
            <w:left w:val="none" w:sz="0" w:space="0" w:color="auto"/>
            <w:bottom w:val="none" w:sz="0" w:space="0" w:color="auto"/>
            <w:right w:val="none" w:sz="0" w:space="0" w:color="auto"/>
          </w:divBdr>
        </w:div>
        <w:div w:id="1152789436">
          <w:marLeft w:val="0"/>
          <w:marRight w:val="0"/>
          <w:marTop w:val="0"/>
          <w:marBottom w:val="0"/>
          <w:divBdr>
            <w:top w:val="none" w:sz="0" w:space="0" w:color="auto"/>
            <w:left w:val="none" w:sz="0" w:space="0" w:color="auto"/>
            <w:bottom w:val="none" w:sz="0" w:space="0" w:color="auto"/>
            <w:right w:val="none" w:sz="0" w:space="0" w:color="auto"/>
          </w:divBdr>
        </w:div>
        <w:div w:id="1683363213">
          <w:marLeft w:val="0"/>
          <w:marRight w:val="0"/>
          <w:marTop w:val="0"/>
          <w:marBottom w:val="0"/>
          <w:divBdr>
            <w:top w:val="none" w:sz="0" w:space="0" w:color="auto"/>
            <w:left w:val="none" w:sz="0" w:space="0" w:color="auto"/>
            <w:bottom w:val="none" w:sz="0" w:space="0" w:color="auto"/>
            <w:right w:val="none" w:sz="0" w:space="0" w:color="auto"/>
          </w:divBdr>
        </w:div>
        <w:div w:id="1387559989">
          <w:marLeft w:val="0"/>
          <w:marRight w:val="0"/>
          <w:marTop w:val="0"/>
          <w:marBottom w:val="0"/>
          <w:divBdr>
            <w:top w:val="none" w:sz="0" w:space="0" w:color="auto"/>
            <w:left w:val="none" w:sz="0" w:space="0" w:color="auto"/>
            <w:bottom w:val="none" w:sz="0" w:space="0" w:color="auto"/>
            <w:right w:val="none" w:sz="0" w:space="0" w:color="auto"/>
          </w:divBdr>
        </w:div>
        <w:div w:id="933512744">
          <w:marLeft w:val="0"/>
          <w:marRight w:val="0"/>
          <w:marTop w:val="0"/>
          <w:marBottom w:val="0"/>
          <w:divBdr>
            <w:top w:val="none" w:sz="0" w:space="0" w:color="auto"/>
            <w:left w:val="none" w:sz="0" w:space="0" w:color="auto"/>
            <w:bottom w:val="none" w:sz="0" w:space="0" w:color="auto"/>
            <w:right w:val="none" w:sz="0" w:space="0" w:color="auto"/>
          </w:divBdr>
        </w:div>
        <w:div w:id="220677596">
          <w:marLeft w:val="0"/>
          <w:marRight w:val="0"/>
          <w:marTop w:val="0"/>
          <w:marBottom w:val="0"/>
          <w:divBdr>
            <w:top w:val="none" w:sz="0" w:space="0" w:color="auto"/>
            <w:left w:val="none" w:sz="0" w:space="0" w:color="auto"/>
            <w:bottom w:val="none" w:sz="0" w:space="0" w:color="auto"/>
            <w:right w:val="none" w:sz="0" w:space="0" w:color="auto"/>
          </w:divBdr>
        </w:div>
      </w:divsChild>
    </w:div>
    <w:div w:id="658387268">
      <w:bodyDiv w:val="1"/>
      <w:marLeft w:val="0"/>
      <w:marRight w:val="0"/>
      <w:marTop w:val="0"/>
      <w:marBottom w:val="0"/>
      <w:divBdr>
        <w:top w:val="none" w:sz="0" w:space="0" w:color="auto"/>
        <w:left w:val="none" w:sz="0" w:space="0" w:color="auto"/>
        <w:bottom w:val="none" w:sz="0" w:space="0" w:color="auto"/>
        <w:right w:val="none" w:sz="0" w:space="0" w:color="auto"/>
      </w:divBdr>
    </w:div>
    <w:div w:id="686636900">
      <w:bodyDiv w:val="1"/>
      <w:marLeft w:val="0"/>
      <w:marRight w:val="0"/>
      <w:marTop w:val="0"/>
      <w:marBottom w:val="0"/>
      <w:divBdr>
        <w:top w:val="none" w:sz="0" w:space="0" w:color="auto"/>
        <w:left w:val="none" w:sz="0" w:space="0" w:color="auto"/>
        <w:bottom w:val="none" w:sz="0" w:space="0" w:color="auto"/>
        <w:right w:val="none" w:sz="0" w:space="0" w:color="auto"/>
      </w:divBdr>
    </w:div>
    <w:div w:id="686752416">
      <w:bodyDiv w:val="1"/>
      <w:marLeft w:val="0"/>
      <w:marRight w:val="0"/>
      <w:marTop w:val="0"/>
      <w:marBottom w:val="0"/>
      <w:divBdr>
        <w:top w:val="none" w:sz="0" w:space="0" w:color="auto"/>
        <w:left w:val="none" w:sz="0" w:space="0" w:color="auto"/>
        <w:bottom w:val="none" w:sz="0" w:space="0" w:color="auto"/>
        <w:right w:val="none" w:sz="0" w:space="0" w:color="auto"/>
      </w:divBdr>
    </w:div>
    <w:div w:id="694619436">
      <w:bodyDiv w:val="1"/>
      <w:marLeft w:val="0"/>
      <w:marRight w:val="0"/>
      <w:marTop w:val="0"/>
      <w:marBottom w:val="0"/>
      <w:divBdr>
        <w:top w:val="none" w:sz="0" w:space="0" w:color="auto"/>
        <w:left w:val="none" w:sz="0" w:space="0" w:color="auto"/>
        <w:bottom w:val="none" w:sz="0" w:space="0" w:color="auto"/>
        <w:right w:val="none" w:sz="0" w:space="0" w:color="auto"/>
      </w:divBdr>
    </w:div>
    <w:div w:id="707295902">
      <w:bodyDiv w:val="1"/>
      <w:marLeft w:val="0"/>
      <w:marRight w:val="0"/>
      <w:marTop w:val="0"/>
      <w:marBottom w:val="0"/>
      <w:divBdr>
        <w:top w:val="none" w:sz="0" w:space="0" w:color="auto"/>
        <w:left w:val="none" w:sz="0" w:space="0" w:color="auto"/>
        <w:bottom w:val="none" w:sz="0" w:space="0" w:color="auto"/>
        <w:right w:val="none" w:sz="0" w:space="0" w:color="auto"/>
      </w:divBdr>
    </w:div>
    <w:div w:id="717124899">
      <w:bodyDiv w:val="1"/>
      <w:marLeft w:val="0"/>
      <w:marRight w:val="0"/>
      <w:marTop w:val="0"/>
      <w:marBottom w:val="0"/>
      <w:divBdr>
        <w:top w:val="none" w:sz="0" w:space="0" w:color="auto"/>
        <w:left w:val="none" w:sz="0" w:space="0" w:color="auto"/>
        <w:bottom w:val="none" w:sz="0" w:space="0" w:color="auto"/>
        <w:right w:val="none" w:sz="0" w:space="0" w:color="auto"/>
      </w:divBdr>
    </w:div>
    <w:div w:id="737634535">
      <w:bodyDiv w:val="1"/>
      <w:marLeft w:val="0"/>
      <w:marRight w:val="0"/>
      <w:marTop w:val="0"/>
      <w:marBottom w:val="0"/>
      <w:divBdr>
        <w:top w:val="none" w:sz="0" w:space="0" w:color="auto"/>
        <w:left w:val="none" w:sz="0" w:space="0" w:color="auto"/>
        <w:bottom w:val="none" w:sz="0" w:space="0" w:color="auto"/>
        <w:right w:val="none" w:sz="0" w:space="0" w:color="auto"/>
      </w:divBdr>
      <w:divsChild>
        <w:div w:id="1253588083">
          <w:blockQuote w:val="1"/>
          <w:marLeft w:val="548"/>
          <w:marRight w:val="1643"/>
          <w:marTop w:val="0"/>
          <w:marBottom w:val="0"/>
          <w:divBdr>
            <w:top w:val="none" w:sz="0" w:space="0" w:color="auto"/>
            <w:left w:val="single" w:sz="18" w:space="15" w:color="E9E9E9"/>
            <w:bottom w:val="none" w:sz="0" w:space="0" w:color="auto"/>
            <w:right w:val="none" w:sz="0" w:space="0" w:color="auto"/>
          </w:divBdr>
        </w:div>
      </w:divsChild>
    </w:div>
    <w:div w:id="746925340">
      <w:bodyDiv w:val="1"/>
      <w:marLeft w:val="0"/>
      <w:marRight w:val="0"/>
      <w:marTop w:val="0"/>
      <w:marBottom w:val="0"/>
      <w:divBdr>
        <w:top w:val="none" w:sz="0" w:space="0" w:color="auto"/>
        <w:left w:val="none" w:sz="0" w:space="0" w:color="auto"/>
        <w:bottom w:val="none" w:sz="0" w:space="0" w:color="auto"/>
        <w:right w:val="none" w:sz="0" w:space="0" w:color="auto"/>
      </w:divBdr>
    </w:div>
    <w:div w:id="750394983">
      <w:bodyDiv w:val="1"/>
      <w:marLeft w:val="0"/>
      <w:marRight w:val="0"/>
      <w:marTop w:val="0"/>
      <w:marBottom w:val="0"/>
      <w:divBdr>
        <w:top w:val="none" w:sz="0" w:space="0" w:color="auto"/>
        <w:left w:val="none" w:sz="0" w:space="0" w:color="auto"/>
        <w:bottom w:val="none" w:sz="0" w:space="0" w:color="auto"/>
        <w:right w:val="none" w:sz="0" w:space="0" w:color="auto"/>
      </w:divBdr>
    </w:div>
    <w:div w:id="774708869">
      <w:bodyDiv w:val="1"/>
      <w:marLeft w:val="0"/>
      <w:marRight w:val="0"/>
      <w:marTop w:val="0"/>
      <w:marBottom w:val="0"/>
      <w:divBdr>
        <w:top w:val="none" w:sz="0" w:space="0" w:color="auto"/>
        <w:left w:val="none" w:sz="0" w:space="0" w:color="auto"/>
        <w:bottom w:val="none" w:sz="0" w:space="0" w:color="auto"/>
        <w:right w:val="none" w:sz="0" w:space="0" w:color="auto"/>
      </w:divBdr>
      <w:divsChild>
        <w:div w:id="776683781">
          <w:marLeft w:val="0"/>
          <w:marRight w:val="0"/>
          <w:marTop w:val="0"/>
          <w:marBottom w:val="0"/>
          <w:divBdr>
            <w:top w:val="none" w:sz="0" w:space="0" w:color="auto"/>
            <w:left w:val="none" w:sz="0" w:space="0" w:color="auto"/>
            <w:bottom w:val="none" w:sz="0" w:space="0" w:color="auto"/>
            <w:right w:val="none" w:sz="0" w:space="0" w:color="auto"/>
          </w:divBdr>
        </w:div>
        <w:div w:id="1854804354">
          <w:marLeft w:val="0"/>
          <w:marRight w:val="0"/>
          <w:marTop w:val="0"/>
          <w:marBottom w:val="0"/>
          <w:divBdr>
            <w:top w:val="none" w:sz="0" w:space="0" w:color="auto"/>
            <w:left w:val="none" w:sz="0" w:space="0" w:color="auto"/>
            <w:bottom w:val="none" w:sz="0" w:space="0" w:color="auto"/>
            <w:right w:val="none" w:sz="0" w:space="0" w:color="auto"/>
          </w:divBdr>
        </w:div>
        <w:div w:id="1097795494">
          <w:marLeft w:val="0"/>
          <w:marRight w:val="0"/>
          <w:marTop w:val="0"/>
          <w:marBottom w:val="0"/>
          <w:divBdr>
            <w:top w:val="none" w:sz="0" w:space="0" w:color="auto"/>
            <w:left w:val="none" w:sz="0" w:space="0" w:color="auto"/>
            <w:bottom w:val="none" w:sz="0" w:space="0" w:color="auto"/>
            <w:right w:val="none" w:sz="0" w:space="0" w:color="auto"/>
          </w:divBdr>
        </w:div>
        <w:div w:id="103889937">
          <w:marLeft w:val="0"/>
          <w:marRight w:val="0"/>
          <w:marTop w:val="0"/>
          <w:marBottom w:val="0"/>
          <w:divBdr>
            <w:top w:val="none" w:sz="0" w:space="0" w:color="auto"/>
            <w:left w:val="none" w:sz="0" w:space="0" w:color="auto"/>
            <w:bottom w:val="none" w:sz="0" w:space="0" w:color="auto"/>
            <w:right w:val="none" w:sz="0" w:space="0" w:color="auto"/>
          </w:divBdr>
        </w:div>
        <w:div w:id="30418531">
          <w:marLeft w:val="0"/>
          <w:marRight w:val="0"/>
          <w:marTop w:val="0"/>
          <w:marBottom w:val="0"/>
          <w:divBdr>
            <w:top w:val="none" w:sz="0" w:space="0" w:color="auto"/>
            <w:left w:val="none" w:sz="0" w:space="0" w:color="auto"/>
            <w:bottom w:val="none" w:sz="0" w:space="0" w:color="auto"/>
            <w:right w:val="none" w:sz="0" w:space="0" w:color="auto"/>
          </w:divBdr>
        </w:div>
        <w:div w:id="974530843">
          <w:marLeft w:val="0"/>
          <w:marRight w:val="0"/>
          <w:marTop w:val="0"/>
          <w:marBottom w:val="0"/>
          <w:divBdr>
            <w:top w:val="none" w:sz="0" w:space="0" w:color="auto"/>
            <w:left w:val="none" w:sz="0" w:space="0" w:color="auto"/>
            <w:bottom w:val="none" w:sz="0" w:space="0" w:color="auto"/>
            <w:right w:val="none" w:sz="0" w:space="0" w:color="auto"/>
          </w:divBdr>
        </w:div>
        <w:div w:id="35784319">
          <w:marLeft w:val="0"/>
          <w:marRight w:val="0"/>
          <w:marTop w:val="0"/>
          <w:marBottom w:val="0"/>
          <w:divBdr>
            <w:top w:val="none" w:sz="0" w:space="0" w:color="auto"/>
            <w:left w:val="none" w:sz="0" w:space="0" w:color="auto"/>
            <w:bottom w:val="none" w:sz="0" w:space="0" w:color="auto"/>
            <w:right w:val="none" w:sz="0" w:space="0" w:color="auto"/>
          </w:divBdr>
        </w:div>
      </w:divsChild>
    </w:div>
    <w:div w:id="804007567">
      <w:bodyDiv w:val="1"/>
      <w:marLeft w:val="0"/>
      <w:marRight w:val="0"/>
      <w:marTop w:val="0"/>
      <w:marBottom w:val="0"/>
      <w:divBdr>
        <w:top w:val="none" w:sz="0" w:space="0" w:color="auto"/>
        <w:left w:val="none" w:sz="0" w:space="0" w:color="auto"/>
        <w:bottom w:val="none" w:sz="0" w:space="0" w:color="auto"/>
        <w:right w:val="none" w:sz="0" w:space="0" w:color="auto"/>
      </w:divBdr>
    </w:div>
    <w:div w:id="804199381">
      <w:bodyDiv w:val="1"/>
      <w:marLeft w:val="0"/>
      <w:marRight w:val="0"/>
      <w:marTop w:val="0"/>
      <w:marBottom w:val="0"/>
      <w:divBdr>
        <w:top w:val="none" w:sz="0" w:space="0" w:color="auto"/>
        <w:left w:val="none" w:sz="0" w:space="0" w:color="auto"/>
        <w:bottom w:val="none" w:sz="0" w:space="0" w:color="auto"/>
        <w:right w:val="none" w:sz="0" w:space="0" w:color="auto"/>
      </w:divBdr>
    </w:div>
    <w:div w:id="835539136">
      <w:bodyDiv w:val="1"/>
      <w:marLeft w:val="0"/>
      <w:marRight w:val="0"/>
      <w:marTop w:val="0"/>
      <w:marBottom w:val="0"/>
      <w:divBdr>
        <w:top w:val="none" w:sz="0" w:space="0" w:color="auto"/>
        <w:left w:val="none" w:sz="0" w:space="0" w:color="auto"/>
        <w:bottom w:val="none" w:sz="0" w:space="0" w:color="auto"/>
        <w:right w:val="none" w:sz="0" w:space="0" w:color="auto"/>
      </w:divBdr>
    </w:div>
    <w:div w:id="840005326">
      <w:bodyDiv w:val="1"/>
      <w:marLeft w:val="0"/>
      <w:marRight w:val="0"/>
      <w:marTop w:val="0"/>
      <w:marBottom w:val="0"/>
      <w:divBdr>
        <w:top w:val="none" w:sz="0" w:space="0" w:color="auto"/>
        <w:left w:val="none" w:sz="0" w:space="0" w:color="auto"/>
        <w:bottom w:val="none" w:sz="0" w:space="0" w:color="auto"/>
        <w:right w:val="none" w:sz="0" w:space="0" w:color="auto"/>
      </w:divBdr>
      <w:divsChild>
        <w:div w:id="1323312532">
          <w:marLeft w:val="0"/>
          <w:marRight w:val="0"/>
          <w:marTop w:val="0"/>
          <w:marBottom w:val="0"/>
          <w:divBdr>
            <w:top w:val="none" w:sz="0" w:space="0" w:color="auto"/>
            <w:left w:val="none" w:sz="0" w:space="0" w:color="auto"/>
            <w:bottom w:val="none" w:sz="0" w:space="0" w:color="auto"/>
            <w:right w:val="none" w:sz="0" w:space="0" w:color="auto"/>
          </w:divBdr>
          <w:divsChild>
            <w:div w:id="1672365660">
              <w:marLeft w:val="0"/>
              <w:marRight w:val="0"/>
              <w:marTop w:val="0"/>
              <w:marBottom w:val="0"/>
              <w:divBdr>
                <w:top w:val="none" w:sz="0" w:space="0" w:color="auto"/>
                <w:left w:val="none" w:sz="0" w:space="0" w:color="auto"/>
                <w:bottom w:val="none" w:sz="0" w:space="0" w:color="auto"/>
                <w:right w:val="none" w:sz="0" w:space="0" w:color="auto"/>
              </w:divBdr>
              <w:divsChild>
                <w:div w:id="9517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4878">
      <w:bodyDiv w:val="1"/>
      <w:marLeft w:val="0"/>
      <w:marRight w:val="0"/>
      <w:marTop w:val="0"/>
      <w:marBottom w:val="0"/>
      <w:divBdr>
        <w:top w:val="none" w:sz="0" w:space="0" w:color="auto"/>
        <w:left w:val="none" w:sz="0" w:space="0" w:color="auto"/>
        <w:bottom w:val="none" w:sz="0" w:space="0" w:color="auto"/>
        <w:right w:val="none" w:sz="0" w:space="0" w:color="auto"/>
      </w:divBdr>
      <w:divsChild>
        <w:div w:id="586773927">
          <w:marLeft w:val="1080"/>
          <w:marRight w:val="0"/>
          <w:marTop w:val="100"/>
          <w:marBottom w:val="0"/>
          <w:divBdr>
            <w:top w:val="none" w:sz="0" w:space="0" w:color="auto"/>
            <w:left w:val="none" w:sz="0" w:space="0" w:color="auto"/>
            <w:bottom w:val="none" w:sz="0" w:space="0" w:color="auto"/>
            <w:right w:val="none" w:sz="0" w:space="0" w:color="auto"/>
          </w:divBdr>
        </w:div>
      </w:divsChild>
    </w:div>
    <w:div w:id="843396265">
      <w:bodyDiv w:val="1"/>
      <w:marLeft w:val="0"/>
      <w:marRight w:val="0"/>
      <w:marTop w:val="0"/>
      <w:marBottom w:val="0"/>
      <w:divBdr>
        <w:top w:val="none" w:sz="0" w:space="0" w:color="auto"/>
        <w:left w:val="none" w:sz="0" w:space="0" w:color="auto"/>
        <w:bottom w:val="none" w:sz="0" w:space="0" w:color="auto"/>
        <w:right w:val="none" w:sz="0" w:space="0" w:color="auto"/>
      </w:divBdr>
    </w:div>
    <w:div w:id="860095222">
      <w:bodyDiv w:val="1"/>
      <w:marLeft w:val="0"/>
      <w:marRight w:val="0"/>
      <w:marTop w:val="0"/>
      <w:marBottom w:val="0"/>
      <w:divBdr>
        <w:top w:val="none" w:sz="0" w:space="0" w:color="auto"/>
        <w:left w:val="none" w:sz="0" w:space="0" w:color="auto"/>
        <w:bottom w:val="none" w:sz="0" w:space="0" w:color="auto"/>
        <w:right w:val="none" w:sz="0" w:space="0" w:color="auto"/>
      </w:divBdr>
      <w:divsChild>
        <w:div w:id="1336112917">
          <w:marLeft w:val="1080"/>
          <w:marRight w:val="0"/>
          <w:marTop w:val="100"/>
          <w:marBottom w:val="0"/>
          <w:divBdr>
            <w:top w:val="none" w:sz="0" w:space="0" w:color="auto"/>
            <w:left w:val="none" w:sz="0" w:space="0" w:color="auto"/>
            <w:bottom w:val="none" w:sz="0" w:space="0" w:color="auto"/>
            <w:right w:val="none" w:sz="0" w:space="0" w:color="auto"/>
          </w:divBdr>
        </w:div>
        <w:div w:id="1972251019">
          <w:marLeft w:val="1080"/>
          <w:marRight w:val="0"/>
          <w:marTop w:val="100"/>
          <w:marBottom w:val="0"/>
          <w:divBdr>
            <w:top w:val="none" w:sz="0" w:space="0" w:color="auto"/>
            <w:left w:val="none" w:sz="0" w:space="0" w:color="auto"/>
            <w:bottom w:val="none" w:sz="0" w:space="0" w:color="auto"/>
            <w:right w:val="none" w:sz="0" w:space="0" w:color="auto"/>
          </w:divBdr>
        </w:div>
        <w:div w:id="298658820">
          <w:marLeft w:val="1080"/>
          <w:marRight w:val="0"/>
          <w:marTop w:val="100"/>
          <w:marBottom w:val="0"/>
          <w:divBdr>
            <w:top w:val="none" w:sz="0" w:space="0" w:color="auto"/>
            <w:left w:val="none" w:sz="0" w:space="0" w:color="auto"/>
            <w:bottom w:val="none" w:sz="0" w:space="0" w:color="auto"/>
            <w:right w:val="none" w:sz="0" w:space="0" w:color="auto"/>
          </w:divBdr>
        </w:div>
      </w:divsChild>
    </w:div>
    <w:div w:id="895748164">
      <w:bodyDiv w:val="1"/>
      <w:marLeft w:val="0"/>
      <w:marRight w:val="0"/>
      <w:marTop w:val="0"/>
      <w:marBottom w:val="0"/>
      <w:divBdr>
        <w:top w:val="none" w:sz="0" w:space="0" w:color="auto"/>
        <w:left w:val="none" w:sz="0" w:space="0" w:color="auto"/>
        <w:bottom w:val="none" w:sz="0" w:space="0" w:color="auto"/>
        <w:right w:val="none" w:sz="0" w:space="0" w:color="auto"/>
      </w:divBdr>
    </w:div>
    <w:div w:id="896162598">
      <w:bodyDiv w:val="1"/>
      <w:marLeft w:val="0"/>
      <w:marRight w:val="0"/>
      <w:marTop w:val="0"/>
      <w:marBottom w:val="0"/>
      <w:divBdr>
        <w:top w:val="none" w:sz="0" w:space="0" w:color="auto"/>
        <w:left w:val="none" w:sz="0" w:space="0" w:color="auto"/>
        <w:bottom w:val="none" w:sz="0" w:space="0" w:color="auto"/>
        <w:right w:val="none" w:sz="0" w:space="0" w:color="auto"/>
      </w:divBdr>
      <w:divsChild>
        <w:div w:id="390009632">
          <w:blockQuote w:val="1"/>
          <w:marLeft w:val="548"/>
          <w:marRight w:val="1643"/>
          <w:marTop w:val="0"/>
          <w:marBottom w:val="0"/>
          <w:divBdr>
            <w:top w:val="none" w:sz="0" w:space="0" w:color="auto"/>
            <w:left w:val="single" w:sz="18" w:space="15" w:color="E9E9E9"/>
            <w:bottom w:val="none" w:sz="0" w:space="0" w:color="auto"/>
            <w:right w:val="none" w:sz="0" w:space="0" w:color="auto"/>
          </w:divBdr>
        </w:div>
      </w:divsChild>
    </w:div>
    <w:div w:id="901602774">
      <w:bodyDiv w:val="1"/>
      <w:marLeft w:val="0"/>
      <w:marRight w:val="0"/>
      <w:marTop w:val="0"/>
      <w:marBottom w:val="0"/>
      <w:divBdr>
        <w:top w:val="none" w:sz="0" w:space="0" w:color="auto"/>
        <w:left w:val="none" w:sz="0" w:space="0" w:color="auto"/>
        <w:bottom w:val="none" w:sz="0" w:space="0" w:color="auto"/>
        <w:right w:val="none" w:sz="0" w:space="0" w:color="auto"/>
      </w:divBdr>
    </w:div>
    <w:div w:id="915163426">
      <w:bodyDiv w:val="1"/>
      <w:marLeft w:val="0"/>
      <w:marRight w:val="0"/>
      <w:marTop w:val="0"/>
      <w:marBottom w:val="0"/>
      <w:divBdr>
        <w:top w:val="none" w:sz="0" w:space="0" w:color="auto"/>
        <w:left w:val="none" w:sz="0" w:space="0" w:color="auto"/>
        <w:bottom w:val="none" w:sz="0" w:space="0" w:color="auto"/>
        <w:right w:val="none" w:sz="0" w:space="0" w:color="auto"/>
      </w:divBdr>
    </w:div>
    <w:div w:id="917709293">
      <w:bodyDiv w:val="1"/>
      <w:marLeft w:val="0"/>
      <w:marRight w:val="0"/>
      <w:marTop w:val="0"/>
      <w:marBottom w:val="0"/>
      <w:divBdr>
        <w:top w:val="none" w:sz="0" w:space="0" w:color="auto"/>
        <w:left w:val="none" w:sz="0" w:space="0" w:color="auto"/>
        <w:bottom w:val="none" w:sz="0" w:space="0" w:color="auto"/>
        <w:right w:val="none" w:sz="0" w:space="0" w:color="auto"/>
      </w:divBdr>
    </w:div>
    <w:div w:id="958877859">
      <w:bodyDiv w:val="1"/>
      <w:marLeft w:val="0"/>
      <w:marRight w:val="0"/>
      <w:marTop w:val="0"/>
      <w:marBottom w:val="0"/>
      <w:divBdr>
        <w:top w:val="none" w:sz="0" w:space="0" w:color="auto"/>
        <w:left w:val="none" w:sz="0" w:space="0" w:color="auto"/>
        <w:bottom w:val="none" w:sz="0" w:space="0" w:color="auto"/>
        <w:right w:val="none" w:sz="0" w:space="0" w:color="auto"/>
      </w:divBdr>
    </w:div>
    <w:div w:id="970864321">
      <w:bodyDiv w:val="1"/>
      <w:marLeft w:val="0"/>
      <w:marRight w:val="0"/>
      <w:marTop w:val="0"/>
      <w:marBottom w:val="0"/>
      <w:divBdr>
        <w:top w:val="none" w:sz="0" w:space="0" w:color="auto"/>
        <w:left w:val="none" w:sz="0" w:space="0" w:color="auto"/>
        <w:bottom w:val="none" w:sz="0" w:space="0" w:color="auto"/>
        <w:right w:val="none" w:sz="0" w:space="0" w:color="auto"/>
      </w:divBdr>
    </w:div>
    <w:div w:id="982807901">
      <w:bodyDiv w:val="1"/>
      <w:marLeft w:val="0"/>
      <w:marRight w:val="0"/>
      <w:marTop w:val="0"/>
      <w:marBottom w:val="0"/>
      <w:divBdr>
        <w:top w:val="none" w:sz="0" w:space="0" w:color="auto"/>
        <w:left w:val="none" w:sz="0" w:space="0" w:color="auto"/>
        <w:bottom w:val="none" w:sz="0" w:space="0" w:color="auto"/>
        <w:right w:val="none" w:sz="0" w:space="0" w:color="auto"/>
      </w:divBdr>
    </w:div>
    <w:div w:id="999696752">
      <w:bodyDiv w:val="1"/>
      <w:marLeft w:val="0"/>
      <w:marRight w:val="0"/>
      <w:marTop w:val="0"/>
      <w:marBottom w:val="0"/>
      <w:divBdr>
        <w:top w:val="none" w:sz="0" w:space="0" w:color="auto"/>
        <w:left w:val="none" w:sz="0" w:space="0" w:color="auto"/>
        <w:bottom w:val="none" w:sz="0" w:space="0" w:color="auto"/>
        <w:right w:val="none" w:sz="0" w:space="0" w:color="auto"/>
      </w:divBdr>
      <w:divsChild>
        <w:div w:id="1228613703">
          <w:marLeft w:val="1080"/>
          <w:marRight w:val="0"/>
          <w:marTop w:val="100"/>
          <w:marBottom w:val="0"/>
          <w:divBdr>
            <w:top w:val="none" w:sz="0" w:space="0" w:color="auto"/>
            <w:left w:val="none" w:sz="0" w:space="0" w:color="auto"/>
            <w:bottom w:val="none" w:sz="0" w:space="0" w:color="auto"/>
            <w:right w:val="none" w:sz="0" w:space="0" w:color="auto"/>
          </w:divBdr>
        </w:div>
      </w:divsChild>
    </w:div>
    <w:div w:id="1002732485">
      <w:bodyDiv w:val="1"/>
      <w:marLeft w:val="0"/>
      <w:marRight w:val="0"/>
      <w:marTop w:val="0"/>
      <w:marBottom w:val="0"/>
      <w:divBdr>
        <w:top w:val="none" w:sz="0" w:space="0" w:color="auto"/>
        <w:left w:val="none" w:sz="0" w:space="0" w:color="auto"/>
        <w:bottom w:val="none" w:sz="0" w:space="0" w:color="auto"/>
        <w:right w:val="none" w:sz="0" w:space="0" w:color="auto"/>
      </w:divBdr>
    </w:div>
    <w:div w:id="1015301973">
      <w:bodyDiv w:val="1"/>
      <w:marLeft w:val="0"/>
      <w:marRight w:val="0"/>
      <w:marTop w:val="0"/>
      <w:marBottom w:val="0"/>
      <w:divBdr>
        <w:top w:val="none" w:sz="0" w:space="0" w:color="auto"/>
        <w:left w:val="none" w:sz="0" w:space="0" w:color="auto"/>
        <w:bottom w:val="none" w:sz="0" w:space="0" w:color="auto"/>
        <w:right w:val="none" w:sz="0" w:space="0" w:color="auto"/>
      </w:divBdr>
      <w:divsChild>
        <w:div w:id="1344554577">
          <w:marLeft w:val="360"/>
          <w:marRight w:val="0"/>
          <w:marTop w:val="200"/>
          <w:marBottom w:val="0"/>
          <w:divBdr>
            <w:top w:val="none" w:sz="0" w:space="0" w:color="auto"/>
            <w:left w:val="none" w:sz="0" w:space="0" w:color="auto"/>
            <w:bottom w:val="none" w:sz="0" w:space="0" w:color="auto"/>
            <w:right w:val="none" w:sz="0" w:space="0" w:color="auto"/>
          </w:divBdr>
        </w:div>
      </w:divsChild>
    </w:div>
    <w:div w:id="1019165475">
      <w:bodyDiv w:val="1"/>
      <w:marLeft w:val="0"/>
      <w:marRight w:val="0"/>
      <w:marTop w:val="0"/>
      <w:marBottom w:val="0"/>
      <w:divBdr>
        <w:top w:val="none" w:sz="0" w:space="0" w:color="auto"/>
        <w:left w:val="none" w:sz="0" w:space="0" w:color="auto"/>
        <w:bottom w:val="none" w:sz="0" w:space="0" w:color="auto"/>
        <w:right w:val="none" w:sz="0" w:space="0" w:color="auto"/>
      </w:divBdr>
    </w:div>
    <w:div w:id="1021321091">
      <w:bodyDiv w:val="1"/>
      <w:marLeft w:val="0"/>
      <w:marRight w:val="0"/>
      <w:marTop w:val="0"/>
      <w:marBottom w:val="0"/>
      <w:divBdr>
        <w:top w:val="none" w:sz="0" w:space="0" w:color="auto"/>
        <w:left w:val="none" w:sz="0" w:space="0" w:color="auto"/>
        <w:bottom w:val="none" w:sz="0" w:space="0" w:color="auto"/>
        <w:right w:val="none" w:sz="0" w:space="0" w:color="auto"/>
      </w:divBdr>
    </w:div>
    <w:div w:id="1064645989">
      <w:bodyDiv w:val="1"/>
      <w:marLeft w:val="0"/>
      <w:marRight w:val="0"/>
      <w:marTop w:val="0"/>
      <w:marBottom w:val="0"/>
      <w:divBdr>
        <w:top w:val="none" w:sz="0" w:space="0" w:color="auto"/>
        <w:left w:val="none" w:sz="0" w:space="0" w:color="auto"/>
        <w:bottom w:val="none" w:sz="0" w:space="0" w:color="auto"/>
        <w:right w:val="none" w:sz="0" w:space="0" w:color="auto"/>
      </w:divBdr>
      <w:divsChild>
        <w:div w:id="1236937272">
          <w:marLeft w:val="0"/>
          <w:marRight w:val="0"/>
          <w:marTop w:val="0"/>
          <w:marBottom w:val="0"/>
          <w:divBdr>
            <w:top w:val="none" w:sz="0" w:space="0" w:color="auto"/>
            <w:left w:val="none" w:sz="0" w:space="0" w:color="auto"/>
            <w:bottom w:val="none" w:sz="0" w:space="0" w:color="auto"/>
            <w:right w:val="none" w:sz="0" w:space="0" w:color="auto"/>
          </w:divBdr>
          <w:divsChild>
            <w:div w:id="647638611">
              <w:marLeft w:val="0"/>
              <w:marRight w:val="0"/>
              <w:marTop w:val="0"/>
              <w:marBottom w:val="0"/>
              <w:divBdr>
                <w:top w:val="none" w:sz="0" w:space="0" w:color="auto"/>
                <w:left w:val="none" w:sz="0" w:space="0" w:color="auto"/>
                <w:bottom w:val="none" w:sz="0" w:space="0" w:color="auto"/>
                <w:right w:val="none" w:sz="0" w:space="0" w:color="auto"/>
              </w:divBdr>
              <w:divsChild>
                <w:div w:id="1652559230">
                  <w:marLeft w:val="0"/>
                  <w:marRight w:val="0"/>
                  <w:marTop w:val="0"/>
                  <w:marBottom w:val="0"/>
                  <w:divBdr>
                    <w:top w:val="none" w:sz="0" w:space="0" w:color="auto"/>
                    <w:left w:val="none" w:sz="0" w:space="0" w:color="auto"/>
                    <w:bottom w:val="none" w:sz="0" w:space="0" w:color="auto"/>
                    <w:right w:val="none" w:sz="0" w:space="0" w:color="auto"/>
                  </w:divBdr>
                  <w:divsChild>
                    <w:div w:id="12895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60298">
      <w:bodyDiv w:val="1"/>
      <w:marLeft w:val="0"/>
      <w:marRight w:val="0"/>
      <w:marTop w:val="0"/>
      <w:marBottom w:val="0"/>
      <w:divBdr>
        <w:top w:val="none" w:sz="0" w:space="0" w:color="auto"/>
        <w:left w:val="none" w:sz="0" w:space="0" w:color="auto"/>
        <w:bottom w:val="none" w:sz="0" w:space="0" w:color="auto"/>
        <w:right w:val="none" w:sz="0" w:space="0" w:color="auto"/>
      </w:divBdr>
      <w:divsChild>
        <w:div w:id="414322227">
          <w:marLeft w:val="0"/>
          <w:marRight w:val="0"/>
          <w:marTop w:val="0"/>
          <w:marBottom w:val="0"/>
          <w:divBdr>
            <w:top w:val="none" w:sz="0" w:space="0" w:color="auto"/>
            <w:left w:val="none" w:sz="0" w:space="0" w:color="auto"/>
            <w:bottom w:val="none" w:sz="0" w:space="0" w:color="auto"/>
            <w:right w:val="none" w:sz="0" w:space="0" w:color="auto"/>
          </w:divBdr>
          <w:divsChild>
            <w:div w:id="1379817342">
              <w:marLeft w:val="0"/>
              <w:marRight w:val="0"/>
              <w:marTop w:val="0"/>
              <w:marBottom w:val="0"/>
              <w:divBdr>
                <w:top w:val="none" w:sz="0" w:space="0" w:color="auto"/>
                <w:left w:val="none" w:sz="0" w:space="0" w:color="auto"/>
                <w:bottom w:val="none" w:sz="0" w:space="0" w:color="auto"/>
                <w:right w:val="none" w:sz="0" w:space="0" w:color="auto"/>
              </w:divBdr>
              <w:divsChild>
                <w:div w:id="9444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3464">
      <w:bodyDiv w:val="1"/>
      <w:marLeft w:val="0"/>
      <w:marRight w:val="0"/>
      <w:marTop w:val="0"/>
      <w:marBottom w:val="0"/>
      <w:divBdr>
        <w:top w:val="none" w:sz="0" w:space="0" w:color="auto"/>
        <w:left w:val="none" w:sz="0" w:space="0" w:color="auto"/>
        <w:bottom w:val="none" w:sz="0" w:space="0" w:color="auto"/>
        <w:right w:val="none" w:sz="0" w:space="0" w:color="auto"/>
      </w:divBdr>
      <w:divsChild>
        <w:div w:id="1492718738">
          <w:marLeft w:val="0"/>
          <w:marRight w:val="0"/>
          <w:marTop w:val="0"/>
          <w:marBottom w:val="0"/>
          <w:divBdr>
            <w:top w:val="none" w:sz="0" w:space="0" w:color="auto"/>
            <w:left w:val="none" w:sz="0" w:space="0" w:color="auto"/>
            <w:bottom w:val="none" w:sz="0" w:space="0" w:color="auto"/>
            <w:right w:val="none" w:sz="0" w:space="0" w:color="auto"/>
          </w:divBdr>
        </w:div>
        <w:div w:id="975380655">
          <w:marLeft w:val="0"/>
          <w:marRight w:val="0"/>
          <w:marTop w:val="0"/>
          <w:marBottom w:val="0"/>
          <w:divBdr>
            <w:top w:val="none" w:sz="0" w:space="0" w:color="auto"/>
            <w:left w:val="none" w:sz="0" w:space="0" w:color="auto"/>
            <w:bottom w:val="none" w:sz="0" w:space="0" w:color="auto"/>
            <w:right w:val="none" w:sz="0" w:space="0" w:color="auto"/>
          </w:divBdr>
        </w:div>
        <w:div w:id="1489327196">
          <w:marLeft w:val="0"/>
          <w:marRight w:val="0"/>
          <w:marTop w:val="0"/>
          <w:marBottom w:val="0"/>
          <w:divBdr>
            <w:top w:val="none" w:sz="0" w:space="0" w:color="auto"/>
            <w:left w:val="none" w:sz="0" w:space="0" w:color="auto"/>
            <w:bottom w:val="none" w:sz="0" w:space="0" w:color="auto"/>
            <w:right w:val="none" w:sz="0" w:space="0" w:color="auto"/>
          </w:divBdr>
        </w:div>
        <w:div w:id="1992514558">
          <w:marLeft w:val="0"/>
          <w:marRight w:val="0"/>
          <w:marTop w:val="0"/>
          <w:marBottom w:val="0"/>
          <w:divBdr>
            <w:top w:val="none" w:sz="0" w:space="0" w:color="auto"/>
            <w:left w:val="none" w:sz="0" w:space="0" w:color="auto"/>
            <w:bottom w:val="none" w:sz="0" w:space="0" w:color="auto"/>
            <w:right w:val="none" w:sz="0" w:space="0" w:color="auto"/>
          </w:divBdr>
        </w:div>
      </w:divsChild>
    </w:div>
    <w:div w:id="1078597902">
      <w:bodyDiv w:val="1"/>
      <w:marLeft w:val="0"/>
      <w:marRight w:val="0"/>
      <w:marTop w:val="0"/>
      <w:marBottom w:val="0"/>
      <w:divBdr>
        <w:top w:val="none" w:sz="0" w:space="0" w:color="auto"/>
        <w:left w:val="none" w:sz="0" w:space="0" w:color="auto"/>
        <w:bottom w:val="none" w:sz="0" w:space="0" w:color="auto"/>
        <w:right w:val="none" w:sz="0" w:space="0" w:color="auto"/>
      </w:divBdr>
    </w:div>
    <w:div w:id="1088843816">
      <w:bodyDiv w:val="1"/>
      <w:marLeft w:val="0"/>
      <w:marRight w:val="0"/>
      <w:marTop w:val="0"/>
      <w:marBottom w:val="0"/>
      <w:divBdr>
        <w:top w:val="none" w:sz="0" w:space="0" w:color="auto"/>
        <w:left w:val="none" w:sz="0" w:space="0" w:color="auto"/>
        <w:bottom w:val="none" w:sz="0" w:space="0" w:color="auto"/>
        <w:right w:val="none" w:sz="0" w:space="0" w:color="auto"/>
      </w:divBdr>
    </w:div>
    <w:div w:id="1126005268">
      <w:bodyDiv w:val="1"/>
      <w:marLeft w:val="0"/>
      <w:marRight w:val="0"/>
      <w:marTop w:val="0"/>
      <w:marBottom w:val="0"/>
      <w:divBdr>
        <w:top w:val="none" w:sz="0" w:space="0" w:color="auto"/>
        <w:left w:val="none" w:sz="0" w:space="0" w:color="auto"/>
        <w:bottom w:val="none" w:sz="0" w:space="0" w:color="auto"/>
        <w:right w:val="none" w:sz="0" w:space="0" w:color="auto"/>
      </w:divBdr>
      <w:divsChild>
        <w:div w:id="1696927884">
          <w:marLeft w:val="0"/>
          <w:marRight w:val="0"/>
          <w:marTop w:val="0"/>
          <w:marBottom w:val="0"/>
          <w:divBdr>
            <w:top w:val="none" w:sz="0" w:space="0" w:color="auto"/>
            <w:left w:val="none" w:sz="0" w:space="0" w:color="auto"/>
            <w:bottom w:val="none" w:sz="0" w:space="0" w:color="auto"/>
            <w:right w:val="none" w:sz="0" w:space="0" w:color="auto"/>
          </w:divBdr>
        </w:div>
        <w:div w:id="1501509585">
          <w:marLeft w:val="0"/>
          <w:marRight w:val="0"/>
          <w:marTop w:val="0"/>
          <w:marBottom w:val="0"/>
          <w:divBdr>
            <w:top w:val="none" w:sz="0" w:space="0" w:color="auto"/>
            <w:left w:val="none" w:sz="0" w:space="0" w:color="auto"/>
            <w:bottom w:val="none" w:sz="0" w:space="0" w:color="auto"/>
            <w:right w:val="none" w:sz="0" w:space="0" w:color="auto"/>
          </w:divBdr>
        </w:div>
        <w:div w:id="1399012238">
          <w:marLeft w:val="0"/>
          <w:marRight w:val="0"/>
          <w:marTop w:val="0"/>
          <w:marBottom w:val="0"/>
          <w:divBdr>
            <w:top w:val="none" w:sz="0" w:space="0" w:color="auto"/>
            <w:left w:val="none" w:sz="0" w:space="0" w:color="auto"/>
            <w:bottom w:val="none" w:sz="0" w:space="0" w:color="auto"/>
            <w:right w:val="none" w:sz="0" w:space="0" w:color="auto"/>
          </w:divBdr>
        </w:div>
        <w:div w:id="1360087613">
          <w:marLeft w:val="0"/>
          <w:marRight w:val="0"/>
          <w:marTop w:val="0"/>
          <w:marBottom w:val="0"/>
          <w:divBdr>
            <w:top w:val="none" w:sz="0" w:space="0" w:color="auto"/>
            <w:left w:val="none" w:sz="0" w:space="0" w:color="auto"/>
            <w:bottom w:val="none" w:sz="0" w:space="0" w:color="auto"/>
            <w:right w:val="none" w:sz="0" w:space="0" w:color="auto"/>
          </w:divBdr>
        </w:div>
        <w:div w:id="671834061">
          <w:marLeft w:val="0"/>
          <w:marRight w:val="0"/>
          <w:marTop w:val="0"/>
          <w:marBottom w:val="0"/>
          <w:divBdr>
            <w:top w:val="none" w:sz="0" w:space="0" w:color="auto"/>
            <w:left w:val="none" w:sz="0" w:space="0" w:color="auto"/>
            <w:bottom w:val="none" w:sz="0" w:space="0" w:color="auto"/>
            <w:right w:val="none" w:sz="0" w:space="0" w:color="auto"/>
          </w:divBdr>
        </w:div>
        <w:div w:id="1820533225">
          <w:marLeft w:val="0"/>
          <w:marRight w:val="0"/>
          <w:marTop w:val="0"/>
          <w:marBottom w:val="0"/>
          <w:divBdr>
            <w:top w:val="none" w:sz="0" w:space="0" w:color="auto"/>
            <w:left w:val="none" w:sz="0" w:space="0" w:color="auto"/>
            <w:bottom w:val="none" w:sz="0" w:space="0" w:color="auto"/>
            <w:right w:val="none" w:sz="0" w:space="0" w:color="auto"/>
          </w:divBdr>
        </w:div>
        <w:div w:id="1953586594">
          <w:marLeft w:val="0"/>
          <w:marRight w:val="0"/>
          <w:marTop w:val="0"/>
          <w:marBottom w:val="0"/>
          <w:divBdr>
            <w:top w:val="none" w:sz="0" w:space="0" w:color="auto"/>
            <w:left w:val="none" w:sz="0" w:space="0" w:color="auto"/>
            <w:bottom w:val="none" w:sz="0" w:space="0" w:color="auto"/>
            <w:right w:val="none" w:sz="0" w:space="0" w:color="auto"/>
          </w:divBdr>
        </w:div>
      </w:divsChild>
    </w:div>
    <w:div w:id="1130131182">
      <w:bodyDiv w:val="1"/>
      <w:marLeft w:val="0"/>
      <w:marRight w:val="0"/>
      <w:marTop w:val="0"/>
      <w:marBottom w:val="0"/>
      <w:divBdr>
        <w:top w:val="none" w:sz="0" w:space="0" w:color="auto"/>
        <w:left w:val="none" w:sz="0" w:space="0" w:color="auto"/>
        <w:bottom w:val="none" w:sz="0" w:space="0" w:color="auto"/>
        <w:right w:val="none" w:sz="0" w:space="0" w:color="auto"/>
      </w:divBdr>
    </w:div>
    <w:div w:id="1141968984">
      <w:bodyDiv w:val="1"/>
      <w:marLeft w:val="0"/>
      <w:marRight w:val="0"/>
      <w:marTop w:val="0"/>
      <w:marBottom w:val="0"/>
      <w:divBdr>
        <w:top w:val="none" w:sz="0" w:space="0" w:color="auto"/>
        <w:left w:val="none" w:sz="0" w:space="0" w:color="auto"/>
        <w:bottom w:val="none" w:sz="0" w:space="0" w:color="auto"/>
        <w:right w:val="none" w:sz="0" w:space="0" w:color="auto"/>
      </w:divBdr>
    </w:div>
    <w:div w:id="1147161148">
      <w:bodyDiv w:val="1"/>
      <w:marLeft w:val="0"/>
      <w:marRight w:val="0"/>
      <w:marTop w:val="0"/>
      <w:marBottom w:val="0"/>
      <w:divBdr>
        <w:top w:val="none" w:sz="0" w:space="0" w:color="auto"/>
        <w:left w:val="none" w:sz="0" w:space="0" w:color="auto"/>
        <w:bottom w:val="none" w:sz="0" w:space="0" w:color="auto"/>
        <w:right w:val="none" w:sz="0" w:space="0" w:color="auto"/>
      </w:divBdr>
    </w:div>
    <w:div w:id="1152210361">
      <w:bodyDiv w:val="1"/>
      <w:marLeft w:val="0"/>
      <w:marRight w:val="0"/>
      <w:marTop w:val="0"/>
      <w:marBottom w:val="0"/>
      <w:divBdr>
        <w:top w:val="none" w:sz="0" w:space="0" w:color="auto"/>
        <w:left w:val="none" w:sz="0" w:space="0" w:color="auto"/>
        <w:bottom w:val="none" w:sz="0" w:space="0" w:color="auto"/>
        <w:right w:val="none" w:sz="0" w:space="0" w:color="auto"/>
      </w:divBdr>
    </w:div>
    <w:div w:id="1153444458">
      <w:bodyDiv w:val="1"/>
      <w:marLeft w:val="0"/>
      <w:marRight w:val="0"/>
      <w:marTop w:val="0"/>
      <w:marBottom w:val="0"/>
      <w:divBdr>
        <w:top w:val="none" w:sz="0" w:space="0" w:color="auto"/>
        <w:left w:val="none" w:sz="0" w:space="0" w:color="auto"/>
        <w:bottom w:val="none" w:sz="0" w:space="0" w:color="auto"/>
        <w:right w:val="none" w:sz="0" w:space="0" w:color="auto"/>
      </w:divBdr>
    </w:div>
    <w:div w:id="1225795368">
      <w:bodyDiv w:val="1"/>
      <w:marLeft w:val="0"/>
      <w:marRight w:val="0"/>
      <w:marTop w:val="0"/>
      <w:marBottom w:val="0"/>
      <w:divBdr>
        <w:top w:val="none" w:sz="0" w:space="0" w:color="auto"/>
        <w:left w:val="none" w:sz="0" w:space="0" w:color="auto"/>
        <w:bottom w:val="none" w:sz="0" w:space="0" w:color="auto"/>
        <w:right w:val="none" w:sz="0" w:space="0" w:color="auto"/>
      </w:divBdr>
    </w:div>
    <w:div w:id="1230534850">
      <w:bodyDiv w:val="1"/>
      <w:marLeft w:val="0"/>
      <w:marRight w:val="0"/>
      <w:marTop w:val="0"/>
      <w:marBottom w:val="0"/>
      <w:divBdr>
        <w:top w:val="none" w:sz="0" w:space="0" w:color="auto"/>
        <w:left w:val="none" w:sz="0" w:space="0" w:color="auto"/>
        <w:bottom w:val="none" w:sz="0" w:space="0" w:color="auto"/>
        <w:right w:val="none" w:sz="0" w:space="0" w:color="auto"/>
      </w:divBdr>
    </w:div>
    <w:div w:id="1240558660">
      <w:bodyDiv w:val="1"/>
      <w:marLeft w:val="0"/>
      <w:marRight w:val="0"/>
      <w:marTop w:val="0"/>
      <w:marBottom w:val="0"/>
      <w:divBdr>
        <w:top w:val="none" w:sz="0" w:space="0" w:color="auto"/>
        <w:left w:val="none" w:sz="0" w:space="0" w:color="auto"/>
        <w:bottom w:val="none" w:sz="0" w:space="0" w:color="auto"/>
        <w:right w:val="none" w:sz="0" w:space="0" w:color="auto"/>
      </w:divBdr>
    </w:div>
    <w:div w:id="1249270086">
      <w:bodyDiv w:val="1"/>
      <w:marLeft w:val="0"/>
      <w:marRight w:val="0"/>
      <w:marTop w:val="0"/>
      <w:marBottom w:val="0"/>
      <w:divBdr>
        <w:top w:val="none" w:sz="0" w:space="0" w:color="auto"/>
        <w:left w:val="none" w:sz="0" w:space="0" w:color="auto"/>
        <w:bottom w:val="none" w:sz="0" w:space="0" w:color="auto"/>
        <w:right w:val="none" w:sz="0" w:space="0" w:color="auto"/>
      </w:divBdr>
    </w:div>
    <w:div w:id="1264918013">
      <w:bodyDiv w:val="1"/>
      <w:marLeft w:val="0"/>
      <w:marRight w:val="0"/>
      <w:marTop w:val="0"/>
      <w:marBottom w:val="0"/>
      <w:divBdr>
        <w:top w:val="none" w:sz="0" w:space="0" w:color="auto"/>
        <w:left w:val="none" w:sz="0" w:space="0" w:color="auto"/>
        <w:bottom w:val="none" w:sz="0" w:space="0" w:color="auto"/>
        <w:right w:val="none" w:sz="0" w:space="0" w:color="auto"/>
      </w:divBdr>
    </w:div>
    <w:div w:id="1265991181">
      <w:bodyDiv w:val="1"/>
      <w:marLeft w:val="0"/>
      <w:marRight w:val="0"/>
      <w:marTop w:val="0"/>
      <w:marBottom w:val="0"/>
      <w:divBdr>
        <w:top w:val="none" w:sz="0" w:space="0" w:color="auto"/>
        <w:left w:val="none" w:sz="0" w:space="0" w:color="auto"/>
        <w:bottom w:val="none" w:sz="0" w:space="0" w:color="auto"/>
        <w:right w:val="none" w:sz="0" w:space="0" w:color="auto"/>
      </w:divBdr>
      <w:divsChild>
        <w:div w:id="313073184">
          <w:marLeft w:val="0"/>
          <w:marRight w:val="0"/>
          <w:marTop w:val="0"/>
          <w:marBottom w:val="0"/>
          <w:divBdr>
            <w:top w:val="none" w:sz="0" w:space="0" w:color="auto"/>
            <w:left w:val="none" w:sz="0" w:space="0" w:color="auto"/>
            <w:bottom w:val="none" w:sz="0" w:space="0" w:color="auto"/>
            <w:right w:val="none" w:sz="0" w:space="0" w:color="auto"/>
          </w:divBdr>
          <w:divsChild>
            <w:div w:id="953093785">
              <w:marLeft w:val="0"/>
              <w:marRight w:val="0"/>
              <w:marTop w:val="0"/>
              <w:marBottom w:val="0"/>
              <w:divBdr>
                <w:top w:val="none" w:sz="0" w:space="0" w:color="auto"/>
                <w:left w:val="none" w:sz="0" w:space="0" w:color="auto"/>
                <w:bottom w:val="none" w:sz="0" w:space="0" w:color="auto"/>
                <w:right w:val="none" w:sz="0" w:space="0" w:color="auto"/>
              </w:divBdr>
              <w:divsChild>
                <w:div w:id="7238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51627">
      <w:bodyDiv w:val="1"/>
      <w:marLeft w:val="0"/>
      <w:marRight w:val="0"/>
      <w:marTop w:val="0"/>
      <w:marBottom w:val="0"/>
      <w:divBdr>
        <w:top w:val="none" w:sz="0" w:space="0" w:color="auto"/>
        <w:left w:val="none" w:sz="0" w:space="0" w:color="auto"/>
        <w:bottom w:val="none" w:sz="0" w:space="0" w:color="auto"/>
        <w:right w:val="none" w:sz="0" w:space="0" w:color="auto"/>
      </w:divBdr>
    </w:div>
    <w:div w:id="1281720000">
      <w:bodyDiv w:val="1"/>
      <w:marLeft w:val="0"/>
      <w:marRight w:val="0"/>
      <w:marTop w:val="0"/>
      <w:marBottom w:val="0"/>
      <w:divBdr>
        <w:top w:val="none" w:sz="0" w:space="0" w:color="auto"/>
        <w:left w:val="none" w:sz="0" w:space="0" w:color="auto"/>
        <w:bottom w:val="none" w:sz="0" w:space="0" w:color="auto"/>
        <w:right w:val="none" w:sz="0" w:space="0" w:color="auto"/>
      </w:divBdr>
    </w:div>
    <w:div w:id="1283030741">
      <w:bodyDiv w:val="1"/>
      <w:marLeft w:val="0"/>
      <w:marRight w:val="0"/>
      <w:marTop w:val="0"/>
      <w:marBottom w:val="0"/>
      <w:divBdr>
        <w:top w:val="none" w:sz="0" w:space="0" w:color="auto"/>
        <w:left w:val="none" w:sz="0" w:space="0" w:color="auto"/>
        <w:bottom w:val="none" w:sz="0" w:space="0" w:color="auto"/>
        <w:right w:val="none" w:sz="0" w:space="0" w:color="auto"/>
      </w:divBdr>
    </w:div>
    <w:div w:id="1320420353">
      <w:bodyDiv w:val="1"/>
      <w:marLeft w:val="0"/>
      <w:marRight w:val="0"/>
      <w:marTop w:val="0"/>
      <w:marBottom w:val="0"/>
      <w:divBdr>
        <w:top w:val="none" w:sz="0" w:space="0" w:color="auto"/>
        <w:left w:val="none" w:sz="0" w:space="0" w:color="auto"/>
        <w:bottom w:val="none" w:sz="0" w:space="0" w:color="auto"/>
        <w:right w:val="none" w:sz="0" w:space="0" w:color="auto"/>
      </w:divBdr>
      <w:divsChild>
        <w:div w:id="940114519">
          <w:marLeft w:val="0"/>
          <w:marRight w:val="0"/>
          <w:marTop w:val="0"/>
          <w:marBottom w:val="0"/>
          <w:divBdr>
            <w:top w:val="none" w:sz="0" w:space="0" w:color="auto"/>
            <w:left w:val="none" w:sz="0" w:space="0" w:color="auto"/>
            <w:bottom w:val="none" w:sz="0" w:space="0" w:color="auto"/>
            <w:right w:val="none" w:sz="0" w:space="0" w:color="auto"/>
          </w:divBdr>
          <w:divsChild>
            <w:div w:id="1254440435">
              <w:marLeft w:val="0"/>
              <w:marRight w:val="0"/>
              <w:marTop w:val="0"/>
              <w:marBottom w:val="0"/>
              <w:divBdr>
                <w:top w:val="none" w:sz="0" w:space="0" w:color="auto"/>
                <w:left w:val="none" w:sz="0" w:space="0" w:color="auto"/>
                <w:bottom w:val="none" w:sz="0" w:space="0" w:color="auto"/>
                <w:right w:val="none" w:sz="0" w:space="0" w:color="auto"/>
              </w:divBdr>
              <w:divsChild>
                <w:div w:id="5783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8525">
      <w:bodyDiv w:val="1"/>
      <w:marLeft w:val="0"/>
      <w:marRight w:val="0"/>
      <w:marTop w:val="0"/>
      <w:marBottom w:val="0"/>
      <w:divBdr>
        <w:top w:val="none" w:sz="0" w:space="0" w:color="auto"/>
        <w:left w:val="none" w:sz="0" w:space="0" w:color="auto"/>
        <w:bottom w:val="none" w:sz="0" w:space="0" w:color="auto"/>
        <w:right w:val="none" w:sz="0" w:space="0" w:color="auto"/>
      </w:divBdr>
      <w:divsChild>
        <w:div w:id="39012155">
          <w:marLeft w:val="1080"/>
          <w:marRight w:val="0"/>
          <w:marTop w:val="100"/>
          <w:marBottom w:val="0"/>
          <w:divBdr>
            <w:top w:val="none" w:sz="0" w:space="0" w:color="auto"/>
            <w:left w:val="none" w:sz="0" w:space="0" w:color="auto"/>
            <w:bottom w:val="none" w:sz="0" w:space="0" w:color="auto"/>
            <w:right w:val="none" w:sz="0" w:space="0" w:color="auto"/>
          </w:divBdr>
        </w:div>
      </w:divsChild>
    </w:div>
    <w:div w:id="1339313771">
      <w:bodyDiv w:val="1"/>
      <w:marLeft w:val="0"/>
      <w:marRight w:val="0"/>
      <w:marTop w:val="0"/>
      <w:marBottom w:val="0"/>
      <w:divBdr>
        <w:top w:val="none" w:sz="0" w:space="0" w:color="auto"/>
        <w:left w:val="none" w:sz="0" w:space="0" w:color="auto"/>
        <w:bottom w:val="none" w:sz="0" w:space="0" w:color="auto"/>
        <w:right w:val="none" w:sz="0" w:space="0" w:color="auto"/>
      </w:divBdr>
    </w:div>
    <w:div w:id="1353072134">
      <w:bodyDiv w:val="1"/>
      <w:marLeft w:val="0"/>
      <w:marRight w:val="0"/>
      <w:marTop w:val="0"/>
      <w:marBottom w:val="0"/>
      <w:divBdr>
        <w:top w:val="none" w:sz="0" w:space="0" w:color="auto"/>
        <w:left w:val="none" w:sz="0" w:space="0" w:color="auto"/>
        <w:bottom w:val="none" w:sz="0" w:space="0" w:color="auto"/>
        <w:right w:val="none" w:sz="0" w:space="0" w:color="auto"/>
      </w:divBdr>
    </w:div>
    <w:div w:id="1363508393">
      <w:bodyDiv w:val="1"/>
      <w:marLeft w:val="0"/>
      <w:marRight w:val="0"/>
      <w:marTop w:val="0"/>
      <w:marBottom w:val="0"/>
      <w:divBdr>
        <w:top w:val="none" w:sz="0" w:space="0" w:color="auto"/>
        <w:left w:val="none" w:sz="0" w:space="0" w:color="auto"/>
        <w:bottom w:val="none" w:sz="0" w:space="0" w:color="auto"/>
        <w:right w:val="none" w:sz="0" w:space="0" w:color="auto"/>
      </w:divBdr>
      <w:divsChild>
        <w:div w:id="1227451855">
          <w:marLeft w:val="1080"/>
          <w:marRight w:val="0"/>
          <w:marTop w:val="100"/>
          <w:marBottom w:val="0"/>
          <w:divBdr>
            <w:top w:val="none" w:sz="0" w:space="0" w:color="auto"/>
            <w:left w:val="none" w:sz="0" w:space="0" w:color="auto"/>
            <w:bottom w:val="none" w:sz="0" w:space="0" w:color="auto"/>
            <w:right w:val="none" w:sz="0" w:space="0" w:color="auto"/>
          </w:divBdr>
        </w:div>
      </w:divsChild>
    </w:div>
    <w:div w:id="1369182840">
      <w:bodyDiv w:val="1"/>
      <w:marLeft w:val="0"/>
      <w:marRight w:val="0"/>
      <w:marTop w:val="0"/>
      <w:marBottom w:val="0"/>
      <w:divBdr>
        <w:top w:val="none" w:sz="0" w:space="0" w:color="auto"/>
        <w:left w:val="none" w:sz="0" w:space="0" w:color="auto"/>
        <w:bottom w:val="none" w:sz="0" w:space="0" w:color="auto"/>
        <w:right w:val="none" w:sz="0" w:space="0" w:color="auto"/>
      </w:divBdr>
    </w:div>
    <w:div w:id="1386954048">
      <w:bodyDiv w:val="1"/>
      <w:marLeft w:val="0"/>
      <w:marRight w:val="0"/>
      <w:marTop w:val="0"/>
      <w:marBottom w:val="0"/>
      <w:divBdr>
        <w:top w:val="none" w:sz="0" w:space="0" w:color="auto"/>
        <w:left w:val="none" w:sz="0" w:space="0" w:color="auto"/>
        <w:bottom w:val="none" w:sz="0" w:space="0" w:color="auto"/>
        <w:right w:val="none" w:sz="0" w:space="0" w:color="auto"/>
      </w:divBdr>
      <w:divsChild>
        <w:div w:id="1456556336">
          <w:marLeft w:val="360"/>
          <w:marRight w:val="0"/>
          <w:marTop w:val="200"/>
          <w:marBottom w:val="0"/>
          <w:divBdr>
            <w:top w:val="none" w:sz="0" w:space="0" w:color="auto"/>
            <w:left w:val="none" w:sz="0" w:space="0" w:color="auto"/>
            <w:bottom w:val="none" w:sz="0" w:space="0" w:color="auto"/>
            <w:right w:val="none" w:sz="0" w:space="0" w:color="auto"/>
          </w:divBdr>
        </w:div>
      </w:divsChild>
    </w:div>
    <w:div w:id="1401712578">
      <w:bodyDiv w:val="1"/>
      <w:marLeft w:val="0"/>
      <w:marRight w:val="0"/>
      <w:marTop w:val="0"/>
      <w:marBottom w:val="0"/>
      <w:divBdr>
        <w:top w:val="none" w:sz="0" w:space="0" w:color="auto"/>
        <w:left w:val="none" w:sz="0" w:space="0" w:color="auto"/>
        <w:bottom w:val="none" w:sz="0" w:space="0" w:color="auto"/>
        <w:right w:val="none" w:sz="0" w:space="0" w:color="auto"/>
      </w:divBdr>
    </w:div>
    <w:div w:id="1403747439">
      <w:bodyDiv w:val="1"/>
      <w:marLeft w:val="0"/>
      <w:marRight w:val="0"/>
      <w:marTop w:val="0"/>
      <w:marBottom w:val="0"/>
      <w:divBdr>
        <w:top w:val="none" w:sz="0" w:space="0" w:color="auto"/>
        <w:left w:val="none" w:sz="0" w:space="0" w:color="auto"/>
        <w:bottom w:val="none" w:sz="0" w:space="0" w:color="auto"/>
        <w:right w:val="none" w:sz="0" w:space="0" w:color="auto"/>
      </w:divBdr>
      <w:divsChild>
        <w:div w:id="167838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035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838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579816">
      <w:bodyDiv w:val="1"/>
      <w:marLeft w:val="0"/>
      <w:marRight w:val="0"/>
      <w:marTop w:val="0"/>
      <w:marBottom w:val="0"/>
      <w:divBdr>
        <w:top w:val="none" w:sz="0" w:space="0" w:color="auto"/>
        <w:left w:val="none" w:sz="0" w:space="0" w:color="auto"/>
        <w:bottom w:val="none" w:sz="0" w:space="0" w:color="auto"/>
        <w:right w:val="none" w:sz="0" w:space="0" w:color="auto"/>
      </w:divBdr>
      <w:divsChild>
        <w:div w:id="1664580305">
          <w:marLeft w:val="1080"/>
          <w:marRight w:val="0"/>
          <w:marTop w:val="100"/>
          <w:marBottom w:val="0"/>
          <w:divBdr>
            <w:top w:val="none" w:sz="0" w:space="0" w:color="auto"/>
            <w:left w:val="none" w:sz="0" w:space="0" w:color="auto"/>
            <w:bottom w:val="none" w:sz="0" w:space="0" w:color="auto"/>
            <w:right w:val="none" w:sz="0" w:space="0" w:color="auto"/>
          </w:divBdr>
        </w:div>
      </w:divsChild>
    </w:div>
    <w:div w:id="1418286221">
      <w:bodyDiv w:val="1"/>
      <w:marLeft w:val="0"/>
      <w:marRight w:val="0"/>
      <w:marTop w:val="0"/>
      <w:marBottom w:val="0"/>
      <w:divBdr>
        <w:top w:val="none" w:sz="0" w:space="0" w:color="auto"/>
        <w:left w:val="none" w:sz="0" w:space="0" w:color="auto"/>
        <w:bottom w:val="none" w:sz="0" w:space="0" w:color="auto"/>
        <w:right w:val="none" w:sz="0" w:space="0" w:color="auto"/>
      </w:divBdr>
    </w:div>
    <w:div w:id="1419255241">
      <w:bodyDiv w:val="1"/>
      <w:marLeft w:val="0"/>
      <w:marRight w:val="0"/>
      <w:marTop w:val="0"/>
      <w:marBottom w:val="0"/>
      <w:divBdr>
        <w:top w:val="none" w:sz="0" w:space="0" w:color="auto"/>
        <w:left w:val="none" w:sz="0" w:space="0" w:color="auto"/>
        <w:bottom w:val="none" w:sz="0" w:space="0" w:color="auto"/>
        <w:right w:val="none" w:sz="0" w:space="0" w:color="auto"/>
      </w:divBdr>
    </w:div>
    <w:div w:id="1423916480">
      <w:bodyDiv w:val="1"/>
      <w:marLeft w:val="0"/>
      <w:marRight w:val="0"/>
      <w:marTop w:val="0"/>
      <w:marBottom w:val="0"/>
      <w:divBdr>
        <w:top w:val="none" w:sz="0" w:space="0" w:color="auto"/>
        <w:left w:val="none" w:sz="0" w:space="0" w:color="auto"/>
        <w:bottom w:val="none" w:sz="0" w:space="0" w:color="auto"/>
        <w:right w:val="none" w:sz="0" w:space="0" w:color="auto"/>
      </w:divBdr>
    </w:div>
    <w:div w:id="1426457628">
      <w:bodyDiv w:val="1"/>
      <w:marLeft w:val="0"/>
      <w:marRight w:val="0"/>
      <w:marTop w:val="0"/>
      <w:marBottom w:val="0"/>
      <w:divBdr>
        <w:top w:val="none" w:sz="0" w:space="0" w:color="auto"/>
        <w:left w:val="none" w:sz="0" w:space="0" w:color="auto"/>
        <w:bottom w:val="none" w:sz="0" w:space="0" w:color="auto"/>
        <w:right w:val="none" w:sz="0" w:space="0" w:color="auto"/>
      </w:divBdr>
    </w:div>
    <w:div w:id="1433087220">
      <w:bodyDiv w:val="1"/>
      <w:marLeft w:val="0"/>
      <w:marRight w:val="0"/>
      <w:marTop w:val="0"/>
      <w:marBottom w:val="0"/>
      <w:divBdr>
        <w:top w:val="none" w:sz="0" w:space="0" w:color="auto"/>
        <w:left w:val="none" w:sz="0" w:space="0" w:color="auto"/>
        <w:bottom w:val="none" w:sz="0" w:space="0" w:color="auto"/>
        <w:right w:val="none" w:sz="0" w:space="0" w:color="auto"/>
      </w:divBdr>
      <w:divsChild>
        <w:div w:id="1911578192">
          <w:marLeft w:val="0"/>
          <w:marRight w:val="0"/>
          <w:marTop w:val="0"/>
          <w:marBottom w:val="150"/>
          <w:divBdr>
            <w:top w:val="none" w:sz="0" w:space="0" w:color="auto"/>
            <w:left w:val="none" w:sz="0" w:space="0" w:color="auto"/>
            <w:bottom w:val="none" w:sz="0" w:space="0" w:color="auto"/>
            <w:right w:val="none" w:sz="0" w:space="0" w:color="auto"/>
          </w:divBdr>
          <w:divsChild>
            <w:div w:id="10838403">
              <w:marLeft w:val="0"/>
              <w:marRight w:val="0"/>
              <w:marTop w:val="0"/>
              <w:marBottom w:val="0"/>
              <w:divBdr>
                <w:top w:val="none" w:sz="0" w:space="0" w:color="auto"/>
                <w:left w:val="none" w:sz="0" w:space="0" w:color="auto"/>
                <w:bottom w:val="none" w:sz="0" w:space="0" w:color="auto"/>
                <w:right w:val="none" w:sz="0" w:space="0" w:color="auto"/>
              </w:divBdr>
              <w:divsChild>
                <w:div w:id="89929995">
                  <w:marLeft w:val="0"/>
                  <w:marRight w:val="0"/>
                  <w:marTop w:val="0"/>
                  <w:marBottom w:val="0"/>
                  <w:divBdr>
                    <w:top w:val="none" w:sz="0" w:space="0" w:color="auto"/>
                    <w:left w:val="none" w:sz="0" w:space="0" w:color="auto"/>
                    <w:bottom w:val="none" w:sz="0" w:space="0" w:color="auto"/>
                    <w:right w:val="none" w:sz="0" w:space="0" w:color="auto"/>
                  </w:divBdr>
                  <w:divsChild>
                    <w:div w:id="9261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7122">
          <w:marLeft w:val="0"/>
          <w:marRight w:val="0"/>
          <w:marTop w:val="0"/>
          <w:marBottom w:val="0"/>
          <w:divBdr>
            <w:top w:val="none" w:sz="0" w:space="0" w:color="auto"/>
            <w:left w:val="none" w:sz="0" w:space="0" w:color="auto"/>
            <w:bottom w:val="none" w:sz="0" w:space="0" w:color="auto"/>
            <w:right w:val="none" w:sz="0" w:space="0" w:color="auto"/>
          </w:divBdr>
          <w:divsChild>
            <w:div w:id="20324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0428">
      <w:bodyDiv w:val="1"/>
      <w:marLeft w:val="0"/>
      <w:marRight w:val="0"/>
      <w:marTop w:val="0"/>
      <w:marBottom w:val="0"/>
      <w:divBdr>
        <w:top w:val="none" w:sz="0" w:space="0" w:color="auto"/>
        <w:left w:val="none" w:sz="0" w:space="0" w:color="auto"/>
        <w:bottom w:val="none" w:sz="0" w:space="0" w:color="auto"/>
        <w:right w:val="none" w:sz="0" w:space="0" w:color="auto"/>
      </w:divBdr>
    </w:div>
    <w:div w:id="1459034936">
      <w:bodyDiv w:val="1"/>
      <w:marLeft w:val="0"/>
      <w:marRight w:val="0"/>
      <w:marTop w:val="0"/>
      <w:marBottom w:val="0"/>
      <w:divBdr>
        <w:top w:val="none" w:sz="0" w:space="0" w:color="auto"/>
        <w:left w:val="none" w:sz="0" w:space="0" w:color="auto"/>
        <w:bottom w:val="none" w:sz="0" w:space="0" w:color="auto"/>
        <w:right w:val="none" w:sz="0" w:space="0" w:color="auto"/>
      </w:divBdr>
    </w:div>
    <w:div w:id="1461066972">
      <w:bodyDiv w:val="1"/>
      <w:marLeft w:val="0"/>
      <w:marRight w:val="0"/>
      <w:marTop w:val="0"/>
      <w:marBottom w:val="0"/>
      <w:divBdr>
        <w:top w:val="none" w:sz="0" w:space="0" w:color="auto"/>
        <w:left w:val="none" w:sz="0" w:space="0" w:color="auto"/>
        <w:bottom w:val="none" w:sz="0" w:space="0" w:color="auto"/>
        <w:right w:val="none" w:sz="0" w:space="0" w:color="auto"/>
      </w:divBdr>
      <w:divsChild>
        <w:div w:id="692651274">
          <w:marLeft w:val="1080"/>
          <w:marRight w:val="0"/>
          <w:marTop w:val="100"/>
          <w:marBottom w:val="0"/>
          <w:divBdr>
            <w:top w:val="none" w:sz="0" w:space="0" w:color="auto"/>
            <w:left w:val="none" w:sz="0" w:space="0" w:color="auto"/>
            <w:bottom w:val="none" w:sz="0" w:space="0" w:color="auto"/>
            <w:right w:val="none" w:sz="0" w:space="0" w:color="auto"/>
          </w:divBdr>
        </w:div>
      </w:divsChild>
    </w:div>
    <w:div w:id="1488283018">
      <w:bodyDiv w:val="1"/>
      <w:marLeft w:val="0"/>
      <w:marRight w:val="0"/>
      <w:marTop w:val="0"/>
      <w:marBottom w:val="0"/>
      <w:divBdr>
        <w:top w:val="none" w:sz="0" w:space="0" w:color="auto"/>
        <w:left w:val="none" w:sz="0" w:space="0" w:color="auto"/>
        <w:bottom w:val="none" w:sz="0" w:space="0" w:color="auto"/>
        <w:right w:val="none" w:sz="0" w:space="0" w:color="auto"/>
      </w:divBdr>
      <w:divsChild>
        <w:div w:id="1296333515">
          <w:marLeft w:val="0"/>
          <w:marRight w:val="0"/>
          <w:marTop w:val="0"/>
          <w:marBottom w:val="0"/>
          <w:divBdr>
            <w:top w:val="none" w:sz="0" w:space="0" w:color="auto"/>
            <w:left w:val="none" w:sz="0" w:space="0" w:color="auto"/>
            <w:bottom w:val="none" w:sz="0" w:space="0" w:color="auto"/>
            <w:right w:val="none" w:sz="0" w:space="0" w:color="auto"/>
          </w:divBdr>
          <w:divsChild>
            <w:div w:id="1347753130">
              <w:marLeft w:val="0"/>
              <w:marRight w:val="0"/>
              <w:marTop w:val="0"/>
              <w:marBottom w:val="0"/>
              <w:divBdr>
                <w:top w:val="none" w:sz="0" w:space="0" w:color="auto"/>
                <w:left w:val="none" w:sz="0" w:space="0" w:color="auto"/>
                <w:bottom w:val="none" w:sz="0" w:space="0" w:color="auto"/>
                <w:right w:val="none" w:sz="0" w:space="0" w:color="auto"/>
              </w:divBdr>
              <w:divsChild>
                <w:div w:id="21339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93749">
      <w:bodyDiv w:val="1"/>
      <w:marLeft w:val="0"/>
      <w:marRight w:val="0"/>
      <w:marTop w:val="0"/>
      <w:marBottom w:val="0"/>
      <w:divBdr>
        <w:top w:val="none" w:sz="0" w:space="0" w:color="auto"/>
        <w:left w:val="none" w:sz="0" w:space="0" w:color="auto"/>
        <w:bottom w:val="none" w:sz="0" w:space="0" w:color="auto"/>
        <w:right w:val="none" w:sz="0" w:space="0" w:color="auto"/>
      </w:divBdr>
    </w:div>
    <w:div w:id="1508708784">
      <w:bodyDiv w:val="1"/>
      <w:marLeft w:val="0"/>
      <w:marRight w:val="0"/>
      <w:marTop w:val="0"/>
      <w:marBottom w:val="0"/>
      <w:divBdr>
        <w:top w:val="none" w:sz="0" w:space="0" w:color="auto"/>
        <w:left w:val="none" w:sz="0" w:space="0" w:color="auto"/>
        <w:bottom w:val="none" w:sz="0" w:space="0" w:color="auto"/>
        <w:right w:val="none" w:sz="0" w:space="0" w:color="auto"/>
      </w:divBdr>
    </w:div>
    <w:div w:id="1527596251">
      <w:bodyDiv w:val="1"/>
      <w:marLeft w:val="0"/>
      <w:marRight w:val="0"/>
      <w:marTop w:val="0"/>
      <w:marBottom w:val="0"/>
      <w:divBdr>
        <w:top w:val="none" w:sz="0" w:space="0" w:color="auto"/>
        <w:left w:val="none" w:sz="0" w:space="0" w:color="auto"/>
        <w:bottom w:val="none" w:sz="0" w:space="0" w:color="auto"/>
        <w:right w:val="none" w:sz="0" w:space="0" w:color="auto"/>
      </w:divBdr>
    </w:div>
    <w:div w:id="1544442391">
      <w:bodyDiv w:val="1"/>
      <w:marLeft w:val="0"/>
      <w:marRight w:val="0"/>
      <w:marTop w:val="0"/>
      <w:marBottom w:val="0"/>
      <w:divBdr>
        <w:top w:val="none" w:sz="0" w:space="0" w:color="auto"/>
        <w:left w:val="none" w:sz="0" w:space="0" w:color="auto"/>
        <w:bottom w:val="none" w:sz="0" w:space="0" w:color="auto"/>
        <w:right w:val="none" w:sz="0" w:space="0" w:color="auto"/>
      </w:divBdr>
    </w:div>
    <w:div w:id="1559364562">
      <w:bodyDiv w:val="1"/>
      <w:marLeft w:val="0"/>
      <w:marRight w:val="0"/>
      <w:marTop w:val="0"/>
      <w:marBottom w:val="0"/>
      <w:divBdr>
        <w:top w:val="none" w:sz="0" w:space="0" w:color="auto"/>
        <w:left w:val="none" w:sz="0" w:space="0" w:color="auto"/>
        <w:bottom w:val="none" w:sz="0" w:space="0" w:color="auto"/>
        <w:right w:val="none" w:sz="0" w:space="0" w:color="auto"/>
      </w:divBdr>
      <w:divsChild>
        <w:div w:id="1742288472">
          <w:marLeft w:val="0"/>
          <w:marRight w:val="0"/>
          <w:marTop w:val="0"/>
          <w:marBottom w:val="0"/>
          <w:divBdr>
            <w:top w:val="none" w:sz="0" w:space="0" w:color="auto"/>
            <w:left w:val="none" w:sz="0" w:space="0" w:color="auto"/>
            <w:bottom w:val="none" w:sz="0" w:space="0" w:color="auto"/>
            <w:right w:val="none" w:sz="0" w:space="0" w:color="auto"/>
          </w:divBdr>
          <w:divsChild>
            <w:div w:id="625544185">
              <w:marLeft w:val="0"/>
              <w:marRight w:val="0"/>
              <w:marTop w:val="0"/>
              <w:marBottom w:val="0"/>
              <w:divBdr>
                <w:top w:val="none" w:sz="0" w:space="0" w:color="auto"/>
                <w:left w:val="none" w:sz="0" w:space="0" w:color="auto"/>
                <w:bottom w:val="none" w:sz="0" w:space="0" w:color="auto"/>
                <w:right w:val="none" w:sz="0" w:space="0" w:color="auto"/>
              </w:divBdr>
              <w:divsChild>
                <w:div w:id="2098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8201">
      <w:bodyDiv w:val="1"/>
      <w:marLeft w:val="0"/>
      <w:marRight w:val="0"/>
      <w:marTop w:val="0"/>
      <w:marBottom w:val="0"/>
      <w:divBdr>
        <w:top w:val="none" w:sz="0" w:space="0" w:color="auto"/>
        <w:left w:val="none" w:sz="0" w:space="0" w:color="auto"/>
        <w:bottom w:val="none" w:sz="0" w:space="0" w:color="auto"/>
        <w:right w:val="none" w:sz="0" w:space="0" w:color="auto"/>
      </w:divBdr>
    </w:div>
    <w:div w:id="1596131384">
      <w:bodyDiv w:val="1"/>
      <w:marLeft w:val="0"/>
      <w:marRight w:val="0"/>
      <w:marTop w:val="0"/>
      <w:marBottom w:val="0"/>
      <w:divBdr>
        <w:top w:val="none" w:sz="0" w:space="0" w:color="auto"/>
        <w:left w:val="none" w:sz="0" w:space="0" w:color="auto"/>
        <w:bottom w:val="none" w:sz="0" w:space="0" w:color="auto"/>
        <w:right w:val="none" w:sz="0" w:space="0" w:color="auto"/>
      </w:divBdr>
    </w:div>
    <w:div w:id="1618876825">
      <w:bodyDiv w:val="1"/>
      <w:marLeft w:val="0"/>
      <w:marRight w:val="0"/>
      <w:marTop w:val="0"/>
      <w:marBottom w:val="0"/>
      <w:divBdr>
        <w:top w:val="none" w:sz="0" w:space="0" w:color="auto"/>
        <w:left w:val="none" w:sz="0" w:space="0" w:color="auto"/>
        <w:bottom w:val="none" w:sz="0" w:space="0" w:color="auto"/>
        <w:right w:val="none" w:sz="0" w:space="0" w:color="auto"/>
      </w:divBdr>
    </w:div>
    <w:div w:id="1666005521">
      <w:bodyDiv w:val="1"/>
      <w:marLeft w:val="0"/>
      <w:marRight w:val="0"/>
      <w:marTop w:val="0"/>
      <w:marBottom w:val="0"/>
      <w:divBdr>
        <w:top w:val="none" w:sz="0" w:space="0" w:color="auto"/>
        <w:left w:val="none" w:sz="0" w:space="0" w:color="auto"/>
        <w:bottom w:val="none" w:sz="0" w:space="0" w:color="auto"/>
        <w:right w:val="none" w:sz="0" w:space="0" w:color="auto"/>
      </w:divBdr>
    </w:div>
    <w:div w:id="1680156566">
      <w:bodyDiv w:val="1"/>
      <w:marLeft w:val="0"/>
      <w:marRight w:val="0"/>
      <w:marTop w:val="0"/>
      <w:marBottom w:val="0"/>
      <w:divBdr>
        <w:top w:val="none" w:sz="0" w:space="0" w:color="auto"/>
        <w:left w:val="none" w:sz="0" w:space="0" w:color="auto"/>
        <w:bottom w:val="none" w:sz="0" w:space="0" w:color="auto"/>
        <w:right w:val="none" w:sz="0" w:space="0" w:color="auto"/>
      </w:divBdr>
    </w:div>
    <w:div w:id="1687638982">
      <w:bodyDiv w:val="1"/>
      <w:marLeft w:val="0"/>
      <w:marRight w:val="0"/>
      <w:marTop w:val="0"/>
      <w:marBottom w:val="0"/>
      <w:divBdr>
        <w:top w:val="none" w:sz="0" w:space="0" w:color="auto"/>
        <w:left w:val="none" w:sz="0" w:space="0" w:color="auto"/>
        <w:bottom w:val="none" w:sz="0" w:space="0" w:color="auto"/>
        <w:right w:val="none" w:sz="0" w:space="0" w:color="auto"/>
      </w:divBdr>
      <w:divsChild>
        <w:div w:id="15081156">
          <w:marLeft w:val="1080"/>
          <w:marRight w:val="0"/>
          <w:marTop w:val="100"/>
          <w:marBottom w:val="0"/>
          <w:divBdr>
            <w:top w:val="none" w:sz="0" w:space="0" w:color="auto"/>
            <w:left w:val="none" w:sz="0" w:space="0" w:color="auto"/>
            <w:bottom w:val="none" w:sz="0" w:space="0" w:color="auto"/>
            <w:right w:val="none" w:sz="0" w:space="0" w:color="auto"/>
          </w:divBdr>
        </w:div>
      </w:divsChild>
    </w:div>
    <w:div w:id="1697345071">
      <w:bodyDiv w:val="1"/>
      <w:marLeft w:val="0"/>
      <w:marRight w:val="0"/>
      <w:marTop w:val="0"/>
      <w:marBottom w:val="0"/>
      <w:divBdr>
        <w:top w:val="none" w:sz="0" w:space="0" w:color="auto"/>
        <w:left w:val="none" w:sz="0" w:space="0" w:color="auto"/>
        <w:bottom w:val="none" w:sz="0" w:space="0" w:color="auto"/>
        <w:right w:val="none" w:sz="0" w:space="0" w:color="auto"/>
      </w:divBdr>
      <w:divsChild>
        <w:div w:id="894777781">
          <w:marLeft w:val="0"/>
          <w:marRight w:val="0"/>
          <w:marTop w:val="0"/>
          <w:marBottom w:val="0"/>
          <w:divBdr>
            <w:top w:val="none" w:sz="0" w:space="0" w:color="auto"/>
            <w:left w:val="none" w:sz="0" w:space="0" w:color="auto"/>
            <w:bottom w:val="none" w:sz="0" w:space="0" w:color="auto"/>
            <w:right w:val="none" w:sz="0" w:space="0" w:color="auto"/>
          </w:divBdr>
          <w:divsChild>
            <w:div w:id="1144156820">
              <w:marLeft w:val="0"/>
              <w:marRight w:val="0"/>
              <w:marTop w:val="0"/>
              <w:marBottom w:val="0"/>
              <w:divBdr>
                <w:top w:val="none" w:sz="0" w:space="0" w:color="auto"/>
                <w:left w:val="none" w:sz="0" w:space="0" w:color="auto"/>
                <w:bottom w:val="none" w:sz="0" w:space="0" w:color="auto"/>
                <w:right w:val="none" w:sz="0" w:space="0" w:color="auto"/>
              </w:divBdr>
              <w:divsChild>
                <w:div w:id="14063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3745">
      <w:bodyDiv w:val="1"/>
      <w:marLeft w:val="0"/>
      <w:marRight w:val="0"/>
      <w:marTop w:val="0"/>
      <w:marBottom w:val="0"/>
      <w:divBdr>
        <w:top w:val="none" w:sz="0" w:space="0" w:color="auto"/>
        <w:left w:val="none" w:sz="0" w:space="0" w:color="auto"/>
        <w:bottom w:val="none" w:sz="0" w:space="0" w:color="auto"/>
        <w:right w:val="none" w:sz="0" w:space="0" w:color="auto"/>
      </w:divBdr>
    </w:div>
    <w:div w:id="1718166691">
      <w:bodyDiv w:val="1"/>
      <w:marLeft w:val="0"/>
      <w:marRight w:val="0"/>
      <w:marTop w:val="0"/>
      <w:marBottom w:val="0"/>
      <w:divBdr>
        <w:top w:val="none" w:sz="0" w:space="0" w:color="auto"/>
        <w:left w:val="none" w:sz="0" w:space="0" w:color="auto"/>
        <w:bottom w:val="none" w:sz="0" w:space="0" w:color="auto"/>
        <w:right w:val="none" w:sz="0" w:space="0" w:color="auto"/>
      </w:divBdr>
    </w:div>
    <w:div w:id="1737820371">
      <w:bodyDiv w:val="1"/>
      <w:marLeft w:val="0"/>
      <w:marRight w:val="0"/>
      <w:marTop w:val="0"/>
      <w:marBottom w:val="0"/>
      <w:divBdr>
        <w:top w:val="none" w:sz="0" w:space="0" w:color="auto"/>
        <w:left w:val="none" w:sz="0" w:space="0" w:color="auto"/>
        <w:bottom w:val="none" w:sz="0" w:space="0" w:color="auto"/>
        <w:right w:val="none" w:sz="0" w:space="0" w:color="auto"/>
      </w:divBdr>
      <w:divsChild>
        <w:div w:id="120346306">
          <w:marLeft w:val="1800"/>
          <w:marRight w:val="0"/>
          <w:marTop w:val="100"/>
          <w:marBottom w:val="0"/>
          <w:divBdr>
            <w:top w:val="none" w:sz="0" w:space="0" w:color="auto"/>
            <w:left w:val="none" w:sz="0" w:space="0" w:color="auto"/>
            <w:bottom w:val="none" w:sz="0" w:space="0" w:color="auto"/>
            <w:right w:val="none" w:sz="0" w:space="0" w:color="auto"/>
          </w:divBdr>
        </w:div>
      </w:divsChild>
    </w:div>
    <w:div w:id="1740440731">
      <w:bodyDiv w:val="1"/>
      <w:marLeft w:val="0"/>
      <w:marRight w:val="0"/>
      <w:marTop w:val="0"/>
      <w:marBottom w:val="0"/>
      <w:divBdr>
        <w:top w:val="none" w:sz="0" w:space="0" w:color="auto"/>
        <w:left w:val="none" w:sz="0" w:space="0" w:color="auto"/>
        <w:bottom w:val="none" w:sz="0" w:space="0" w:color="auto"/>
        <w:right w:val="none" w:sz="0" w:space="0" w:color="auto"/>
      </w:divBdr>
      <w:divsChild>
        <w:div w:id="1343583493">
          <w:marLeft w:val="1800"/>
          <w:marRight w:val="0"/>
          <w:marTop w:val="100"/>
          <w:marBottom w:val="0"/>
          <w:divBdr>
            <w:top w:val="none" w:sz="0" w:space="0" w:color="auto"/>
            <w:left w:val="none" w:sz="0" w:space="0" w:color="auto"/>
            <w:bottom w:val="none" w:sz="0" w:space="0" w:color="auto"/>
            <w:right w:val="none" w:sz="0" w:space="0" w:color="auto"/>
          </w:divBdr>
        </w:div>
      </w:divsChild>
    </w:div>
    <w:div w:id="1763718345">
      <w:bodyDiv w:val="1"/>
      <w:marLeft w:val="0"/>
      <w:marRight w:val="0"/>
      <w:marTop w:val="0"/>
      <w:marBottom w:val="0"/>
      <w:divBdr>
        <w:top w:val="none" w:sz="0" w:space="0" w:color="auto"/>
        <w:left w:val="none" w:sz="0" w:space="0" w:color="auto"/>
        <w:bottom w:val="none" w:sz="0" w:space="0" w:color="auto"/>
        <w:right w:val="none" w:sz="0" w:space="0" w:color="auto"/>
      </w:divBdr>
    </w:div>
    <w:div w:id="1772237426">
      <w:bodyDiv w:val="1"/>
      <w:marLeft w:val="0"/>
      <w:marRight w:val="0"/>
      <w:marTop w:val="0"/>
      <w:marBottom w:val="0"/>
      <w:divBdr>
        <w:top w:val="none" w:sz="0" w:space="0" w:color="auto"/>
        <w:left w:val="none" w:sz="0" w:space="0" w:color="auto"/>
        <w:bottom w:val="none" w:sz="0" w:space="0" w:color="auto"/>
        <w:right w:val="none" w:sz="0" w:space="0" w:color="auto"/>
      </w:divBdr>
      <w:divsChild>
        <w:div w:id="64231120">
          <w:marLeft w:val="0"/>
          <w:marRight w:val="60"/>
          <w:marTop w:val="0"/>
          <w:marBottom w:val="0"/>
          <w:divBdr>
            <w:top w:val="none" w:sz="0" w:space="0" w:color="auto"/>
            <w:left w:val="none" w:sz="0" w:space="0" w:color="auto"/>
            <w:bottom w:val="none" w:sz="0" w:space="0" w:color="auto"/>
            <w:right w:val="none" w:sz="0" w:space="0" w:color="auto"/>
          </w:divBdr>
        </w:div>
        <w:div w:id="907616871">
          <w:marLeft w:val="0"/>
          <w:marRight w:val="60"/>
          <w:marTop w:val="0"/>
          <w:marBottom w:val="0"/>
          <w:divBdr>
            <w:top w:val="none" w:sz="0" w:space="0" w:color="auto"/>
            <w:left w:val="none" w:sz="0" w:space="0" w:color="auto"/>
            <w:bottom w:val="none" w:sz="0" w:space="0" w:color="auto"/>
            <w:right w:val="none" w:sz="0" w:space="0" w:color="auto"/>
          </w:divBdr>
        </w:div>
      </w:divsChild>
    </w:div>
    <w:div w:id="1773086145">
      <w:bodyDiv w:val="1"/>
      <w:marLeft w:val="0"/>
      <w:marRight w:val="0"/>
      <w:marTop w:val="0"/>
      <w:marBottom w:val="0"/>
      <w:divBdr>
        <w:top w:val="none" w:sz="0" w:space="0" w:color="auto"/>
        <w:left w:val="none" w:sz="0" w:space="0" w:color="auto"/>
        <w:bottom w:val="none" w:sz="0" w:space="0" w:color="auto"/>
        <w:right w:val="none" w:sz="0" w:space="0" w:color="auto"/>
      </w:divBdr>
    </w:div>
    <w:div w:id="1779568392">
      <w:bodyDiv w:val="1"/>
      <w:marLeft w:val="0"/>
      <w:marRight w:val="0"/>
      <w:marTop w:val="0"/>
      <w:marBottom w:val="0"/>
      <w:divBdr>
        <w:top w:val="none" w:sz="0" w:space="0" w:color="auto"/>
        <w:left w:val="none" w:sz="0" w:space="0" w:color="auto"/>
        <w:bottom w:val="none" w:sz="0" w:space="0" w:color="auto"/>
        <w:right w:val="none" w:sz="0" w:space="0" w:color="auto"/>
      </w:divBdr>
    </w:div>
    <w:div w:id="1787843655">
      <w:bodyDiv w:val="1"/>
      <w:marLeft w:val="0"/>
      <w:marRight w:val="0"/>
      <w:marTop w:val="0"/>
      <w:marBottom w:val="0"/>
      <w:divBdr>
        <w:top w:val="none" w:sz="0" w:space="0" w:color="auto"/>
        <w:left w:val="none" w:sz="0" w:space="0" w:color="auto"/>
        <w:bottom w:val="none" w:sz="0" w:space="0" w:color="auto"/>
        <w:right w:val="none" w:sz="0" w:space="0" w:color="auto"/>
      </w:divBdr>
    </w:div>
    <w:div w:id="1805348134">
      <w:bodyDiv w:val="1"/>
      <w:marLeft w:val="0"/>
      <w:marRight w:val="0"/>
      <w:marTop w:val="0"/>
      <w:marBottom w:val="0"/>
      <w:divBdr>
        <w:top w:val="none" w:sz="0" w:space="0" w:color="auto"/>
        <w:left w:val="none" w:sz="0" w:space="0" w:color="auto"/>
        <w:bottom w:val="none" w:sz="0" w:space="0" w:color="auto"/>
        <w:right w:val="none" w:sz="0" w:space="0" w:color="auto"/>
      </w:divBdr>
    </w:div>
    <w:div w:id="1811051882">
      <w:bodyDiv w:val="1"/>
      <w:marLeft w:val="0"/>
      <w:marRight w:val="0"/>
      <w:marTop w:val="0"/>
      <w:marBottom w:val="0"/>
      <w:divBdr>
        <w:top w:val="none" w:sz="0" w:space="0" w:color="auto"/>
        <w:left w:val="none" w:sz="0" w:space="0" w:color="auto"/>
        <w:bottom w:val="none" w:sz="0" w:space="0" w:color="auto"/>
        <w:right w:val="none" w:sz="0" w:space="0" w:color="auto"/>
      </w:divBdr>
    </w:div>
    <w:div w:id="1812405864">
      <w:bodyDiv w:val="1"/>
      <w:marLeft w:val="0"/>
      <w:marRight w:val="0"/>
      <w:marTop w:val="0"/>
      <w:marBottom w:val="0"/>
      <w:divBdr>
        <w:top w:val="none" w:sz="0" w:space="0" w:color="auto"/>
        <w:left w:val="none" w:sz="0" w:space="0" w:color="auto"/>
        <w:bottom w:val="none" w:sz="0" w:space="0" w:color="auto"/>
        <w:right w:val="none" w:sz="0" w:space="0" w:color="auto"/>
      </w:divBdr>
      <w:divsChild>
        <w:div w:id="1076781052">
          <w:marLeft w:val="0"/>
          <w:marRight w:val="0"/>
          <w:marTop w:val="0"/>
          <w:marBottom w:val="0"/>
          <w:divBdr>
            <w:top w:val="none" w:sz="0" w:space="0" w:color="auto"/>
            <w:left w:val="none" w:sz="0" w:space="0" w:color="auto"/>
            <w:bottom w:val="none" w:sz="0" w:space="0" w:color="auto"/>
            <w:right w:val="none" w:sz="0" w:space="0" w:color="auto"/>
          </w:divBdr>
          <w:divsChild>
            <w:div w:id="1753813862">
              <w:marLeft w:val="0"/>
              <w:marRight w:val="0"/>
              <w:marTop w:val="0"/>
              <w:marBottom w:val="0"/>
              <w:divBdr>
                <w:top w:val="none" w:sz="0" w:space="0" w:color="auto"/>
                <w:left w:val="none" w:sz="0" w:space="0" w:color="auto"/>
                <w:bottom w:val="none" w:sz="0" w:space="0" w:color="auto"/>
                <w:right w:val="none" w:sz="0" w:space="0" w:color="auto"/>
              </w:divBdr>
              <w:divsChild>
                <w:div w:id="8240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80155">
      <w:bodyDiv w:val="1"/>
      <w:marLeft w:val="0"/>
      <w:marRight w:val="0"/>
      <w:marTop w:val="0"/>
      <w:marBottom w:val="0"/>
      <w:divBdr>
        <w:top w:val="none" w:sz="0" w:space="0" w:color="auto"/>
        <w:left w:val="none" w:sz="0" w:space="0" w:color="auto"/>
        <w:bottom w:val="none" w:sz="0" w:space="0" w:color="auto"/>
        <w:right w:val="none" w:sz="0" w:space="0" w:color="auto"/>
      </w:divBdr>
    </w:div>
    <w:div w:id="1840271762">
      <w:bodyDiv w:val="1"/>
      <w:marLeft w:val="0"/>
      <w:marRight w:val="0"/>
      <w:marTop w:val="0"/>
      <w:marBottom w:val="0"/>
      <w:divBdr>
        <w:top w:val="none" w:sz="0" w:space="0" w:color="auto"/>
        <w:left w:val="none" w:sz="0" w:space="0" w:color="auto"/>
        <w:bottom w:val="none" w:sz="0" w:space="0" w:color="auto"/>
        <w:right w:val="none" w:sz="0" w:space="0" w:color="auto"/>
      </w:divBdr>
    </w:div>
    <w:div w:id="1873179043">
      <w:bodyDiv w:val="1"/>
      <w:marLeft w:val="0"/>
      <w:marRight w:val="0"/>
      <w:marTop w:val="0"/>
      <w:marBottom w:val="0"/>
      <w:divBdr>
        <w:top w:val="none" w:sz="0" w:space="0" w:color="auto"/>
        <w:left w:val="none" w:sz="0" w:space="0" w:color="auto"/>
        <w:bottom w:val="none" w:sz="0" w:space="0" w:color="auto"/>
        <w:right w:val="none" w:sz="0" w:space="0" w:color="auto"/>
      </w:divBdr>
    </w:div>
    <w:div w:id="1883206177">
      <w:bodyDiv w:val="1"/>
      <w:marLeft w:val="0"/>
      <w:marRight w:val="0"/>
      <w:marTop w:val="0"/>
      <w:marBottom w:val="0"/>
      <w:divBdr>
        <w:top w:val="none" w:sz="0" w:space="0" w:color="auto"/>
        <w:left w:val="none" w:sz="0" w:space="0" w:color="auto"/>
        <w:bottom w:val="none" w:sz="0" w:space="0" w:color="auto"/>
        <w:right w:val="none" w:sz="0" w:space="0" w:color="auto"/>
      </w:divBdr>
    </w:div>
    <w:div w:id="1916889046">
      <w:bodyDiv w:val="1"/>
      <w:marLeft w:val="0"/>
      <w:marRight w:val="0"/>
      <w:marTop w:val="0"/>
      <w:marBottom w:val="0"/>
      <w:divBdr>
        <w:top w:val="none" w:sz="0" w:space="0" w:color="auto"/>
        <w:left w:val="none" w:sz="0" w:space="0" w:color="auto"/>
        <w:bottom w:val="none" w:sz="0" w:space="0" w:color="auto"/>
        <w:right w:val="none" w:sz="0" w:space="0" w:color="auto"/>
      </w:divBdr>
    </w:div>
    <w:div w:id="1918634205">
      <w:bodyDiv w:val="1"/>
      <w:marLeft w:val="0"/>
      <w:marRight w:val="0"/>
      <w:marTop w:val="0"/>
      <w:marBottom w:val="0"/>
      <w:divBdr>
        <w:top w:val="none" w:sz="0" w:space="0" w:color="auto"/>
        <w:left w:val="none" w:sz="0" w:space="0" w:color="auto"/>
        <w:bottom w:val="none" w:sz="0" w:space="0" w:color="auto"/>
        <w:right w:val="none" w:sz="0" w:space="0" w:color="auto"/>
      </w:divBdr>
    </w:div>
    <w:div w:id="1943684476">
      <w:bodyDiv w:val="1"/>
      <w:marLeft w:val="0"/>
      <w:marRight w:val="0"/>
      <w:marTop w:val="0"/>
      <w:marBottom w:val="0"/>
      <w:divBdr>
        <w:top w:val="none" w:sz="0" w:space="0" w:color="auto"/>
        <w:left w:val="none" w:sz="0" w:space="0" w:color="auto"/>
        <w:bottom w:val="none" w:sz="0" w:space="0" w:color="auto"/>
        <w:right w:val="none" w:sz="0" w:space="0" w:color="auto"/>
      </w:divBdr>
    </w:div>
    <w:div w:id="1961301539">
      <w:bodyDiv w:val="1"/>
      <w:marLeft w:val="0"/>
      <w:marRight w:val="0"/>
      <w:marTop w:val="0"/>
      <w:marBottom w:val="0"/>
      <w:divBdr>
        <w:top w:val="none" w:sz="0" w:space="0" w:color="auto"/>
        <w:left w:val="none" w:sz="0" w:space="0" w:color="auto"/>
        <w:bottom w:val="none" w:sz="0" w:space="0" w:color="auto"/>
        <w:right w:val="none" w:sz="0" w:space="0" w:color="auto"/>
      </w:divBdr>
    </w:div>
    <w:div w:id="1977754806">
      <w:bodyDiv w:val="1"/>
      <w:marLeft w:val="0"/>
      <w:marRight w:val="0"/>
      <w:marTop w:val="0"/>
      <w:marBottom w:val="0"/>
      <w:divBdr>
        <w:top w:val="none" w:sz="0" w:space="0" w:color="auto"/>
        <w:left w:val="none" w:sz="0" w:space="0" w:color="auto"/>
        <w:bottom w:val="none" w:sz="0" w:space="0" w:color="auto"/>
        <w:right w:val="none" w:sz="0" w:space="0" w:color="auto"/>
      </w:divBdr>
    </w:div>
    <w:div w:id="2000841883">
      <w:bodyDiv w:val="1"/>
      <w:marLeft w:val="0"/>
      <w:marRight w:val="0"/>
      <w:marTop w:val="0"/>
      <w:marBottom w:val="0"/>
      <w:divBdr>
        <w:top w:val="none" w:sz="0" w:space="0" w:color="auto"/>
        <w:left w:val="none" w:sz="0" w:space="0" w:color="auto"/>
        <w:bottom w:val="none" w:sz="0" w:space="0" w:color="auto"/>
        <w:right w:val="none" w:sz="0" w:space="0" w:color="auto"/>
      </w:divBdr>
    </w:div>
    <w:div w:id="2048604066">
      <w:bodyDiv w:val="1"/>
      <w:marLeft w:val="0"/>
      <w:marRight w:val="0"/>
      <w:marTop w:val="0"/>
      <w:marBottom w:val="0"/>
      <w:divBdr>
        <w:top w:val="none" w:sz="0" w:space="0" w:color="auto"/>
        <w:left w:val="none" w:sz="0" w:space="0" w:color="auto"/>
        <w:bottom w:val="none" w:sz="0" w:space="0" w:color="auto"/>
        <w:right w:val="none" w:sz="0" w:space="0" w:color="auto"/>
      </w:divBdr>
    </w:div>
    <w:div w:id="2052920334">
      <w:bodyDiv w:val="1"/>
      <w:marLeft w:val="0"/>
      <w:marRight w:val="0"/>
      <w:marTop w:val="0"/>
      <w:marBottom w:val="0"/>
      <w:divBdr>
        <w:top w:val="none" w:sz="0" w:space="0" w:color="auto"/>
        <w:left w:val="none" w:sz="0" w:space="0" w:color="auto"/>
        <w:bottom w:val="none" w:sz="0" w:space="0" w:color="auto"/>
        <w:right w:val="none" w:sz="0" w:space="0" w:color="auto"/>
      </w:divBdr>
      <w:divsChild>
        <w:div w:id="1113554569">
          <w:marLeft w:val="0"/>
          <w:marRight w:val="0"/>
          <w:marTop w:val="0"/>
          <w:marBottom w:val="0"/>
          <w:divBdr>
            <w:top w:val="none" w:sz="0" w:space="0" w:color="auto"/>
            <w:left w:val="none" w:sz="0" w:space="0" w:color="auto"/>
            <w:bottom w:val="none" w:sz="0" w:space="0" w:color="auto"/>
            <w:right w:val="none" w:sz="0" w:space="0" w:color="auto"/>
          </w:divBdr>
          <w:divsChild>
            <w:div w:id="1331443150">
              <w:marLeft w:val="0"/>
              <w:marRight w:val="0"/>
              <w:marTop w:val="0"/>
              <w:marBottom w:val="0"/>
              <w:divBdr>
                <w:top w:val="none" w:sz="0" w:space="0" w:color="auto"/>
                <w:left w:val="none" w:sz="0" w:space="0" w:color="auto"/>
                <w:bottom w:val="none" w:sz="0" w:space="0" w:color="auto"/>
                <w:right w:val="none" w:sz="0" w:space="0" w:color="auto"/>
              </w:divBdr>
              <w:divsChild>
                <w:div w:id="12465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1218">
      <w:bodyDiv w:val="1"/>
      <w:marLeft w:val="0"/>
      <w:marRight w:val="0"/>
      <w:marTop w:val="0"/>
      <w:marBottom w:val="0"/>
      <w:divBdr>
        <w:top w:val="none" w:sz="0" w:space="0" w:color="auto"/>
        <w:left w:val="none" w:sz="0" w:space="0" w:color="auto"/>
        <w:bottom w:val="none" w:sz="0" w:space="0" w:color="auto"/>
        <w:right w:val="none" w:sz="0" w:space="0" w:color="auto"/>
      </w:divBdr>
      <w:divsChild>
        <w:div w:id="1441488472">
          <w:marLeft w:val="0"/>
          <w:marRight w:val="0"/>
          <w:marTop w:val="0"/>
          <w:marBottom w:val="0"/>
          <w:divBdr>
            <w:top w:val="none" w:sz="0" w:space="0" w:color="auto"/>
            <w:left w:val="none" w:sz="0" w:space="0" w:color="auto"/>
            <w:bottom w:val="none" w:sz="0" w:space="0" w:color="auto"/>
            <w:right w:val="none" w:sz="0" w:space="0" w:color="auto"/>
          </w:divBdr>
          <w:divsChild>
            <w:div w:id="979919237">
              <w:marLeft w:val="0"/>
              <w:marRight w:val="0"/>
              <w:marTop w:val="0"/>
              <w:marBottom w:val="0"/>
              <w:divBdr>
                <w:top w:val="none" w:sz="0" w:space="0" w:color="auto"/>
                <w:left w:val="none" w:sz="0" w:space="0" w:color="auto"/>
                <w:bottom w:val="none" w:sz="0" w:space="0" w:color="auto"/>
                <w:right w:val="none" w:sz="0" w:space="0" w:color="auto"/>
              </w:divBdr>
              <w:divsChild>
                <w:div w:id="2082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279">
      <w:bodyDiv w:val="1"/>
      <w:marLeft w:val="0"/>
      <w:marRight w:val="0"/>
      <w:marTop w:val="0"/>
      <w:marBottom w:val="0"/>
      <w:divBdr>
        <w:top w:val="none" w:sz="0" w:space="0" w:color="auto"/>
        <w:left w:val="none" w:sz="0" w:space="0" w:color="auto"/>
        <w:bottom w:val="none" w:sz="0" w:space="0" w:color="auto"/>
        <w:right w:val="none" w:sz="0" w:space="0" w:color="auto"/>
      </w:divBdr>
    </w:div>
    <w:div w:id="2076321364">
      <w:bodyDiv w:val="1"/>
      <w:marLeft w:val="0"/>
      <w:marRight w:val="0"/>
      <w:marTop w:val="0"/>
      <w:marBottom w:val="0"/>
      <w:divBdr>
        <w:top w:val="none" w:sz="0" w:space="0" w:color="auto"/>
        <w:left w:val="none" w:sz="0" w:space="0" w:color="auto"/>
        <w:bottom w:val="none" w:sz="0" w:space="0" w:color="auto"/>
        <w:right w:val="none" w:sz="0" w:space="0" w:color="auto"/>
      </w:divBdr>
    </w:div>
    <w:div w:id="2078629098">
      <w:bodyDiv w:val="1"/>
      <w:marLeft w:val="0"/>
      <w:marRight w:val="0"/>
      <w:marTop w:val="0"/>
      <w:marBottom w:val="0"/>
      <w:divBdr>
        <w:top w:val="none" w:sz="0" w:space="0" w:color="auto"/>
        <w:left w:val="none" w:sz="0" w:space="0" w:color="auto"/>
        <w:bottom w:val="none" w:sz="0" w:space="0" w:color="auto"/>
        <w:right w:val="none" w:sz="0" w:space="0" w:color="auto"/>
      </w:divBdr>
    </w:div>
    <w:div w:id="2088921269">
      <w:bodyDiv w:val="1"/>
      <w:marLeft w:val="0"/>
      <w:marRight w:val="0"/>
      <w:marTop w:val="0"/>
      <w:marBottom w:val="0"/>
      <w:divBdr>
        <w:top w:val="none" w:sz="0" w:space="0" w:color="auto"/>
        <w:left w:val="none" w:sz="0" w:space="0" w:color="auto"/>
        <w:bottom w:val="none" w:sz="0" w:space="0" w:color="auto"/>
        <w:right w:val="none" w:sz="0" w:space="0" w:color="auto"/>
      </w:divBdr>
    </w:div>
    <w:div w:id="2099401384">
      <w:bodyDiv w:val="1"/>
      <w:marLeft w:val="0"/>
      <w:marRight w:val="0"/>
      <w:marTop w:val="0"/>
      <w:marBottom w:val="0"/>
      <w:divBdr>
        <w:top w:val="none" w:sz="0" w:space="0" w:color="auto"/>
        <w:left w:val="none" w:sz="0" w:space="0" w:color="auto"/>
        <w:bottom w:val="none" w:sz="0" w:space="0" w:color="auto"/>
        <w:right w:val="none" w:sz="0" w:space="0" w:color="auto"/>
      </w:divBdr>
      <w:divsChild>
        <w:div w:id="278803443">
          <w:marLeft w:val="0"/>
          <w:marRight w:val="0"/>
          <w:marTop w:val="0"/>
          <w:marBottom w:val="330"/>
          <w:divBdr>
            <w:top w:val="none" w:sz="0" w:space="0" w:color="auto"/>
            <w:left w:val="none" w:sz="0" w:space="0" w:color="auto"/>
            <w:bottom w:val="none" w:sz="0" w:space="0" w:color="auto"/>
            <w:right w:val="none" w:sz="0" w:space="0" w:color="auto"/>
          </w:divBdr>
        </w:div>
        <w:div w:id="1112555084">
          <w:marLeft w:val="0"/>
          <w:marRight w:val="0"/>
          <w:marTop w:val="0"/>
          <w:marBottom w:val="330"/>
          <w:divBdr>
            <w:top w:val="none" w:sz="0" w:space="0" w:color="auto"/>
            <w:left w:val="none" w:sz="0" w:space="0" w:color="auto"/>
            <w:bottom w:val="none" w:sz="0" w:space="0" w:color="auto"/>
            <w:right w:val="none" w:sz="0" w:space="0" w:color="auto"/>
          </w:divBdr>
        </w:div>
      </w:divsChild>
    </w:div>
    <w:div w:id="2101950815">
      <w:bodyDiv w:val="1"/>
      <w:marLeft w:val="0"/>
      <w:marRight w:val="0"/>
      <w:marTop w:val="0"/>
      <w:marBottom w:val="0"/>
      <w:divBdr>
        <w:top w:val="none" w:sz="0" w:space="0" w:color="auto"/>
        <w:left w:val="none" w:sz="0" w:space="0" w:color="auto"/>
        <w:bottom w:val="none" w:sz="0" w:space="0" w:color="auto"/>
        <w:right w:val="none" w:sz="0" w:space="0" w:color="auto"/>
      </w:divBdr>
    </w:div>
    <w:div w:id="2106072928">
      <w:bodyDiv w:val="1"/>
      <w:marLeft w:val="0"/>
      <w:marRight w:val="0"/>
      <w:marTop w:val="0"/>
      <w:marBottom w:val="0"/>
      <w:divBdr>
        <w:top w:val="none" w:sz="0" w:space="0" w:color="auto"/>
        <w:left w:val="none" w:sz="0" w:space="0" w:color="auto"/>
        <w:bottom w:val="none" w:sz="0" w:space="0" w:color="auto"/>
        <w:right w:val="none" w:sz="0" w:space="0" w:color="auto"/>
      </w:divBdr>
      <w:divsChild>
        <w:div w:id="1195121796">
          <w:marLeft w:val="0"/>
          <w:marRight w:val="0"/>
          <w:marTop w:val="0"/>
          <w:marBottom w:val="0"/>
          <w:divBdr>
            <w:top w:val="none" w:sz="0" w:space="0" w:color="auto"/>
            <w:left w:val="none" w:sz="0" w:space="0" w:color="auto"/>
            <w:bottom w:val="none" w:sz="0" w:space="0" w:color="auto"/>
            <w:right w:val="none" w:sz="0" w:space="0" w:color="auto"/>
          </w:divBdr>
          <w:divsChild>
            <w:div w:id="438112639">
              <w:marLeft w:val="0"/>
              <w:marRight w:val="0"/>
              <w:marTop w:val="0"/>
              <w:marBottom w:val="0"/>
              <w:divBdr>
                <w:top w:val="none" w:sz="0" w:space="0" w:color="auto"/>
                <w:left w:val="none" w:sz="0" w:space="0" w:color="auto"/>
                <w:bottom w:val="none" w:sz="0" w:space="0" w:color="auto"/>
                <w:right w:val="none" w:sz="0" w:space="0" w:color="auto"/>
              </w:divBdr>
              <w:divsChild>
                <w:div w:id="6193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6094">
      <w:bodyDiv w:val="1"/>
      <w:marLeft w:val="0"/>
      <w:marRight w:val="0"/>
      <w:marTop w:val="0"/>
      <w:marBottom w:val="0"/>
      <w:divBdr>
        <w:top w:val="none" w:sz="0" w:space="0" w:color="auto"/>
        <w:left w:val="none" w:sz="0" w:space="0" w:color="auto"/>
        <w:bottom w:val="none" w:sz="0" w:space="0" w:color="auto"/>
        <w:right w:val="none" w:sz="0" w:space="0" w:color="auto"/>
      </w:divBdr>
      <w:divsChild>
        <w:div w:id="1291279306">
          <w:marLeft w:val="0"/>
          <w:marRight w:val="0"/>
          <w:marTop w:val="0"/>
          <w:marBottom w:val="0"/>
          <w:divBdr>
            <w:top w:val="none" w:sz="0" w:space="0" w:color="auto"/>
            <w:left w:val="none" w:sz="0" w:space="0" w:color="auto"/>
            <w:bottom w:val="none" w:sz="0" w:space="0" w:color="auto"/>
            <w:right w:val="none" w:sz="0" w:space="0" w:color="auto"/>
          </w:divBdr>
          <w:divsChild>
            <w:div w:id="590238291">
              <w:marLeft w:val="0"/>
              <w:marRight w:val="0"/>
              <w:marTop w:val="0"/>
              <w:marBottom w:val="0"/>
              <w:divBdr>
                <w:top w:val="none" w:sz="0" w:space="0" w:color="auto"/>
                <w:left w:val="none" w:sz="0" w:space="0" w:color="auto"/>
                <w:bottom w:val="none" w:sz="0" w:space="0" w:color="auto"/>
                <w:right w:val="none" w:sz="0" w:space="0" w:color="auto"/>
              </w:divBdr>
              <w:divsChild>
                <w:div w:id="997536409">
                  <w:marLeft w:val="0"/>
                  <w:marRight w:val="0"/>
                  <w:marTop w:val="0"/>
                  <w:marBottom w:val="0"/>
                  <w:divBdr>
                    <w:top w:val="none" w:sz="0" w:space="0" w:color="auto"/>
                    <w:left w:val="none" w:sz="0" w:space="0" w:color="auto"/>
                    <w:bottom w:val="none" w:sz="0" w:space="0" w:color="auto"/>
                    <w:right w:val="none" w:sz="0" w:space="0" w:color="auto"/>
                  </w:divBdr>
                  <w:divsChild>
                    <w:div w:id="7251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9310">
      <w:bodyDiv w:val="1"/>
      <w:marLeft w:val="0"/>
      <w:marRight w:val="0"/>
      <w:marTop w:val="0"/>
      <w:marBottom w:val="0"/>
      <w:divBdr>
        <w:top w:val="none" w:sz="0" w:space="0" w:color="auto"/>
        <w:left w:val="none" w:sz="0" w:space="0" w:color="auto"/>
        <w:bottom w:val="none" w:sz="0" w:space="0" w:color="auto"/>
        <w:right w:val="none" w:sz="0" w:space="0" w:color="auto"/>
      </w:divBdr>
    </w:div>
    <w:div w:id="2128422368">
      <w:bodyDiv w:val="1"/>
      <w:marLeft w:val="0"/>
      <w:marRight w:val="0"/>
      <w:marTop w:val="0"/>
      <w:marBottom w:val="0"/>
      <w:divBdr>
        <w:top w:val="none" w:sz="0" w:space="0" w:color="auto"/>
        <w:left w:val="none" w:sz="0" w:space="0" w:color="auto"/>
        <w:bottom w:val="none" w:sz="0" w:space="0" w:color="auto"/>
        <w:right w:val="none" w:sz="0" w:space="0" w:color="auto"/>
      </w:divBdr>
    </w:div>
    <w:div w:id="213864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sv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sv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guybecker/chatbot-project/" TargetMode="Externa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hyperlink" Target="http://www.aichatbotstudy.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barrons.com/articles/advertising-ai-chatbots-search-9622719b?utm_source=chatgpt.com" TargetMode="External"/><Relationship Id="rId18" Type="http://schemas.openxmlformats.org/officeDocument/2006/relationships/hyperlink" Target="https://www.forbes.com/sites/abdoriani/2025/04/27/advertising-in-ai-chatbots-disruption-digital-marketing" TargetMode="External"/><Relationship Id="rId26" Type="http://schemas.openxmlformats.org/officeDocument/2006/relationships/hyperlink" Target="https://classifieds.usatoday.com/blog/the-rise-of-nutrient-based-beverages-10-types-of-nutrition-focused-drinks/" TargetMode="External"/><Relationship Id="rId3" Type="http://schemas.openxmlformats.org/officeDocument/2006/relationships/hyperlink" Target="https://techxplore.com/news/2025-06-poll-ai-bots-news.html?utm_source=chatgpt.com" TargetMode="External"/><Relationship Id="rId21" Type="http://schemas.openxmlformats.org/officeDocument/2006/relationships/hyperlink" Target="https://www.theatlantic.com/technology/archive/2024/10/chatbot-transcript-data-advertising/680112/?utm_source=chatgpt.com" TargetMode="External"/><Relationship Id="rId34" Type="http://schemas.openxmlformats.org/officeDocument/2006/relationships/hyperlink" Target="https://doi.org/10.32614/CRAN.package.emmeans" TargetMode="External"/><Relationship Id="rId7" Type="http://schemas.openxmlformats.org/officeDocument/2006/relationships/hyperlink" Target="https://blog.iese.edu/faceit/2011/sponsored-stories-at-facebook/?utm_source=chatgpt.com" TargetMode="External"/><Relationship Id="rId12" Type="http://schemas.openxmlformats.org/officeDocument/2006/relationships/hyperlink" Target="https://www.jdsupra.com/legalnews/ftc-issues-guidance-on-claims-about-ai-9344256/?utm_source=chatgpt.com" TargetMode="External"/><Relationship Id="rId17" Type="http://schemas.openxmlformats.org/officeDocument/2006/relationships/hyperlink" Target="https://privacyinternational.org/long-read/5472/chatbots-adbots-sharing-your-thoughts-advertisers" TargetMode="External"/><Relationship Id="rId25" Type="http://schemas.openxmlformats.org/officeDocument/2006/relationships/hyperlink" Target="https://www.ftc.gov/news-events/events/2013/12/blurred-lines-advertising-or-content-ftc-workshop-native-advertising" TargetMode="External"/><Relationship Id="rId33" Type="http://schemas.openxmlformats.org/officeDocument/2006/relationships/hyperlink" Target="http://www.posit.co/" TargetMode="External"/><Relationship Id="rId2" Type="http://schemas.openxmlformats.org/officeDocument/2006/relationships/hyperlink" Target="https://www.ftc.gov/news-events/events/2013/12/blurred-lines-advertising-or-content-ftc-workshop-native-advertising" TargetMode="External"/><Relationship Id="rId16" Type="http://schemas.openxmlformats.org/officeDocument/2006/relationships/hyperlink" Target="https://doi.org/10.48550/arXiv.2409.15436" TargetMode="External"/><Relationship Id="rId20" Type="http://schemas.openxmlformats.org/officeDocument/2006/relationships/hyperlink" Target="https://www.todaysriskmanager.com/ftc-guidance-on-ai-chatbot-use-key-pitfalls-and-compliance-strategies/?utm_source=chatgpt.com" TargetMode="External"/><Relationship Id="rId29" Type="http://schemas.openxmlformats.org/officeDocument/2006/relationships/hyperlink" Target="https://www.homesandgardens.com/buying-guides/best-portable-travel-blenders" TargetMode="External"/><Relationship Id="rId1" Type="http://schemas.openxmlformats.org/officeDocument/2006/relationships/hyperlink" Target="https://ethics.journalism.wisc.edu/2023/11/06/invisibleadsunderminejournalism/?utm_source=chatgpt.com" TargetMode="External"/><Relationship Id="rId6" Type="http://schemas.openxmlformats.org/officeDocument/2006/relationships/hyperlink" Target="https://www.marketingdive.com/news/google-rolls-out-adsense-native-ads/446451/?utm_source=chatgpt.com" TargetMode="External"/><Relationship Id="rId11" Type="http://schemas.openxmlformats.org/officeDocument/2006/relationships/hyperlink" Target="https://www.fashionlawwatch.com/2023/10/18/frances-digital-influencer-regulation-whether-you-like-it-or-not-youll-need-to-subscribe-to-those-changes" TargetMode="External"/><Relationship Id="rId24" Type="http://schemas.openxmlformats.org/officeDocument/2006/relationships/hyperlink" Target="https://forbes.co.il/e/a-look-at-the-groundbreaking-research-behind-a%C7%B9alemmas-coherent-water/" TargetMode="External"/><Relationship Id="rId32" Type="http://schemas.openxmlformats.org/officeDocument/2006/relationships/hyperlink" Target="https://www.rtings.com/blender/reviews/best/portable" TargetMode="External"/><Relationship Id="rId5" Type="http://schemas.openxmlformats.org/officeDocument/2006/relationships/hyperlink" Target="https://perma.cc/EX3Y-7PPL" TargetMode="External"/><Relationship Id="rId15" Type="http://schemas.openxmlformats.org/officeDocument/2006/relationships/hyperlink" Target="https://privacy.microsoft.com/en-us/privacystatement" TargetMode="External"/><Relationship Id="rId23" Type="http://schemas.openxmlformats.org/officeDocument/2006/relationships/hyperlink" Target="https://journals.sagepub.com/doi/10.1518/hfes.46.1.50_30392?utm_source=chatgpt.com" TargetMode="External"/><Relationship Id="rId28" Type="http://schemas.openxmlformats.org/officeDocument/2006/relationships/hyperlink" Target="https://www.rtings.com/blender/tools/compare/magic-bullet-portable-blender-vs-nutribullet-portable/42434/86176" TargetMode="External"/><Relationship Id="rId10" Type="http://schemas.openxmlformats.org/officeDocument/2006/relationships/hyperlink" Target="https://www.ftc.gov/news-events/press-releases/2009/10/ftc-publishes-final-guides-governing-endorsements-testimonials" TargetMode="External"/><Relationship Id="rId19" Type="http://schemas.openxmlformats.org/officeDocument/2006/relationships/hyperlink" Target="https://www.fenwick.com/insights/publications/ftc-outlines-five-donts-for-ai-chatbots" TargetMode="External"/><Relationship Id="rId31" Type="http://schemas.openxmlformats.org/officeDocument/2006/relationships/hyperlink" Target="https://www.menshealth.com/technology-gear/g61795785/best-portable-blender/" TargetMode="External"/><Relationship Id="rId4" Type="http://schemas.openxmlformats.org/officeDocument/2006/relationships/hyperlink" Target="https://www.fenwick.com/insights/publications/ftc-outlines-five-donts-for-ai-chatbots?utm_source=chatgpt.com" TargetMode="External"/><Relationship Id="rId9" Type="http://schemas.openxmlformats.org/officeDocument/2006/relationships/hyperlink" Target="https://www.ebsco.com/research-starters/marketing/mathematics-and-advertising?utm_source=chatgpt.com" TargetMode="External"/><Relationship Id="rId14" Type="http://schemas.openxmlformats.org/officeDocument/2006/relationships/hyperlink" Target="https://timesofindia.indiatimes.com/technology/tech-news/elon-musk-says-x-to-add-ads-in-grok-ai-chatbot-as-company-aims-to-boost-revenue/articleshow/123169654.cms?utm_source=chatgpt.com" TargetMode="External"/><Relationship Id="rId22" Type="http://schemas.openxmlformats.org/officeDocument/2006/relationships/hyperlink" Target="https://business.instagram.com/blog/tagging-and-insights" TargetMode="External"/><Relationship Id="rId27" Type="http://schemas.openxmlformats.org/officeDocument/2006/relationships/hyperlink" Target="https://www.forbes.com/connect/content-solution/brandvoice/" TargetMode="External"/><Relationship Id="rId30" Type="http://schemas.openxmlformats.org/officeDocument/2006/relationships/hyperlink" Target="https://www.tastingtable.com/1792265/best-portable-blenders-reviews/" TargetMode="External"/><Relationship Id="rId8" Type="http://schemas.openxmlformats.org/officeDocument/2006/relationships/hyperlink" Target="https://www.publift.com/blog/advertising-in-u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0359C-853F-4B94-AA87-533D1A5E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11621</Words>
  <Characters>55784</Characters>
  <Application>Microsoft Office Word</Application>
  <DocSecurity>0</DocSecurity>
  <Lines>743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Doron</dc:creator>
  <cp:keywords/>
  <dc:description/>
  <cp:lastModifiedBy>Susan Doron</cp:lastModifiedBy>
  <cp:revision>2</cp:revision>
  <dcterms:created xsi:type="dcterms:W3CDTF">2025-11-26T19:59:00Z</dcterms:created>
  <dcterms:modified xsi:type="dcterms:W3CDTF">2025-11-26T19:59:00Z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c9e86dad-a30f-4931-baf9-7542fb1bbc8d</vt:lpwstr>
  </property>
</Properties>
</file>