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22D8" w:rsidRPr="001148C2" w:rsidRDefault="003D271B" w:rsidP="007B5019">
      <w:pPr>
        <w:spacing w:after="60" w:line="240" w:lineRule="auto"/>
        <w:rPr>
          <w:rFonts w:asciiTheme="majorHAnsi" w:hAnsiTheme="majorHAnsi" w:cstheme="majorHAnsi"/>
          <w:b/>
          <w:bCs/>
          <w:sz w:val="24"/>
          <w:szCs w:val="24"/>
        </w:rPr>
      </w:pPr>
      <w:r w:rsidRPr="001148C2">
        <w:rPr>
          <w:rFonts w:asciiTheme="majorHAnsi" w:hAnsiTheme="majorHAnsi" w:cstheme="majorHAnsi"/>
          <w:b/>
          <w:bCs/>
          <w:sz w:val="24"/>
          <w:szCs w:val="24"/>
        </w:rPr>
        <w:t>Confession and Authority: The Imperial Framework of Inner-Christian Conflict in Late Antiquity</w:t>
      </w:r>
    </w:p>
    <w:p w:rsidR="00A122D8" w:rsidRPr="001148C2" w:rsidRDefault="003D271B" w:rsidP="007B5019">
      <w:pPr>
        <w:spacing w:after="60" w:line="240" w:lineRule="auto"/>
        <w:rPr>
          <w:rFonts w:asciiTheme="majorHAnsi" w:hAnsiTheme="majorHAnsi" w:cstheme="majorHAnsi"/>
          <w:i/>
          <w:iCs/>
          <w:sz w:val="24"/>
          <w:szCs w:val="24"/>
        </w:rPr>
      </w:pPr>
      <w:r w:rsidRPr="001148C2">
        <w:rPr>
          <w:rFonts w:asciiTheme="majorHAnsi" w:hAnsiTheme="majorHAnsi" w:cstheme="majorHAnsi"/>
          <w:i/>
          <w:iCs/>
          <w:sz w:val="24"/>
          <w:szCs w:val="24"/>
        </w:rPr>
        <w:t xml:space="preserve">Johannes Wienand </w:t>
      </w:r>
    </w:p>
    <w:p w:rsidR="00A122D8" w:rsidRPr="001148C2" w:rsidRDefault="00A122D8" w:rsidP="007B5019">
      <w:pPr>
        <w:spacing w:after="60" w:line="240" w:lineRule="auto"/>
        <w:rPr>
          <w:rFonts w:asciiTheme="majorHAnsi" w:hAnsiTheme="majorHAnsi" w:cstheme="majorHAnsi"/>
          <w:sz w:val="24"/>
          <w:szCs w:val="24"/>
        </w:rPr>
      </w:pPr>
    </w:p>
    <w:p w:rsidR="008A7D26" w:rsidRPr="001148C2" w:rsidRDefault="003D271B" w:rsidP="007B5019">
      <w:pPr>
        <w:spacing w:after="60" w:line="240" w:lineRule="auto"/>
        <w:rPr>
          <w:rFonts w:asciiTheme="majorHAnsi" w:hAnsiTheme="majorHAnsi" w:cstheme="majorHAnsi"/>
          <w:sz w:val="24"/>
          <w:szCs w:val="24"/>
        </w:rPr>
      </w:pPr>
      <w:r w:rsidRPr="001148C2">
        <w:rPr>
          <w:rFonts w:asciiTheme="majorHAnsi" w:hAnsiTheme="majorHAnsi" w:cstheme="majorHAnsi"/>
          <w:sz w:val="24"/>
          <w:szCs w:val="24"/>
        </w:rPr>
        <w:t xml:space="preserve">Almost in passing, Eusebius of Caesarea addresses a </w:t>
      </w:r>
      <w:r w:rsidR="001F1E09" w:rsidRPr="001148C2">
        <w:rPr>
          <w:rFonts w:asciiTheme="majorHAnsi" w:hAnsiTheme="majorHAnsi" w:cstheme="majorHAnsi"/>
          <w:sz w:val="24"/>
          <w:szCs w:val="24"/>
        </w:rPr>
        <w:t xml:space="preserve">highly </w:t>
      </w:r>
      <w:r w:rsidRPr="001148C2">
        <w:rPr>
          <w:rFonts w:asciiTheme="majorHAnsi" w:hAnsiTheme="majorHAnsi" w:cstheme="majorHAnsi"/>
          <w:sz w:val="24"/>
          <w:szCs w:val="24"/>
        </w:rPr>
        <w:t xml:space="preserve">sensitive matter when discussing the Christological disputes of the 320s. In the third book of his </w:t>
      </w:r>
      <w:r w:rsidRPr="001148C2">
        <w:rPr>
          <w:rFonts w:asciiTheme="majorHAnsi" w:hAnsiTheme="majorHAnsi" w:cstheme="majorHAnsi"/>
          <w:i/>
          <w:iCs/>
          <w:sz w:val="24"/>
          <w:szCs w:val="24"/>
        </w:rPr>
        <w:t>Life of Constantine</w:t>
      </w:r>
      <w:r w:rsidRPr="001148C2">
        <w:rPr>
          <w:rFonts w:asciiTheme="majorHAnsi" w:hAnsiTheme="majorHAnsi" w:cstheme="majorHAnsi"/>
          <w:sz w:val="24"/>
          <w:szCs w:val="24"/>
        </w:rPr>
        <w:t>, whe</w:t>
      </w:r>
      <w:r w:rsidR="00D358C7" w:rsidRPr="001148C2">
        <w:rPr>
          <w:rFonts w:asciiTheme="majorHAnsi" w:hAnsiTheme="majorHAnsi" w:cstheme="majorHAnsi"/>
          <w:sz w:val="24"/>
          <w:szCs w:val="24"/>
        </w:rPr>
        <w:t xml:space="preserve">re he describes </w:t>
      </w:r>
      <w:r w:rsidRPr="001148C2">
        <w:rPr>
          <w:rFonts w:asciiTheme="majorHAnsi" w:hAnsiTheme="majorHAnsi" w:cstheme="majorHAnsi"/>
          <w:sz w:val="24"/>
          <w:szCs w:val="24"/>
        </w:rPr>
        <w:t xml:space="preserve">the </w:t>
      </w:r>
      <w:r w:rsidR="004130FE" w:rsidRPr="001148C2">
        <w:rPr>
          <w:rFonts w:asciiTheme="majorHAnsi" w:hAnsiTheme="majorHAnsi" w:cstheme="majorHAnsi"/>
          <w:sz w:val="24"/>
          <w:szCs w:val="24"/>
        </w:rPr>
        <w:t>‘</w:t>
      </w:r>
      <w:r w:rsidRPr="001148C2">
        <w:rPr>
          <w:rFonts w:asciiTheme="majorHAnsi" w:hAnsiTheme="majorHAnsi" w:cstheme="majorHAnsi"/>
          <w:sz w:val="24"/>
          <w:szCs w:val="24"/>
        </w:rPr>
        <w:t>Arian controversy</w:t>
      </w:r>
      <w:r w:rsidR="004130FE" w:rsidRPr="001148C2">
        <w:rPr>
          <w:rFonts w:asciiTheme="majorHAnsi" w:hAnsiTheme="majorHAnsi" w:cstheme="majorHAnsi"/>
          <w:sz w:val="24"/>
          <w:szCs w:val="24"/>
        </w:rPr>
        <w:t>’</w:t>
      </w:r>
      <w:r w:rsidRPr="001148C2">
        <w:rPr>
          <w:rFonts w:asciiTheme="majorHAnsi" w:hAnsiTheme="majorHAnsi" w:cstheme="majorHAnsi"/>
          <w:sz w:val="24"/>
          <w:szCs w:val="24"/>
        </w:rPr>
        <w:t xml:space="preserve"> and its open hostilities among rival Christian factions in the </w:t>
      </w:r>
      <w:r w:rsidR="00D358C7" w:rsidRPr="001148C2">
        <w:rPr>
          <w:rFonts w:asciiTheme="majorHAnsi" w:hAnsiTheme="majorHAnsi" w:cstheme="majorHAnsi"/>
          <w:sz w:val="24"/>
          <w:szCs w:val="24"/>
        </w:rPr>
        <w:t>eastern provinces of the Roman empire</w:t>
      </w:r>
      <w:r w:rsidRPr="001148C2">
        <w:rPr>
          <w:rFonts w:asciiTheme="majorHAnsi" w:hAnsiTheme="majorHAnsi" w:cstheme="majorHAnsi"/>
          <w:sz w:val="24"/>
          <w:szCs w:val="24"/>
        </w:rPr>
        <w:t>, he briefly, without providing details, refers to acts of violence committed by Christians against imperial images (</w:t>
      </w:r>
      <w:proofErr w:type="spellStart"/>
      <w:r w:rsidRPr="001148C2">
        <w:rPr>
          <w:rFonts w:asciiTheme="majorHAnsi" w:hAnsiTheme="majorHAnsi" w:cstheme="majorHAnsi"/>
          <w:i/>
          <w:iCs/>
          <w:sz w:val="24"/>
          <w:szCs w:val="24"/>
        </w:rPr>
        <w:t>basiléōs</w:t>
      </w:r>
      <w:proofErr w:type="spellEnd"/>
      <w:r w:rsidRPr="001148C2">
        <w:rPr>
          <w:rFonts w:asciiTheme="majorHAnsi" w:hAnsiTheme="majorHAnsi" w:cstheme="majorHAnsi"/>
          <w:i/>
          <w:iCs/>
          <w:sz w:val="24"/>
          <w:szCs w:val="24"/>
        </w:rPr>
        <w:t xml:space="preserve"> </w:t>
      </w:r>
      <w:proofErr w:type="spellStart"/>
      <w:r w:rsidRPr="001148C2">
        <w:rPr>
          <w:rFonts w:asciiTheme="majorHAnsi" w:hAnsiTheme="majorHAnsi" w:cstheme="majorHAnsi"/>
          <w:i/>
          <w:iCs/>
          <w:sz w:val="24"/>
          <w:szCs w:val="24"/>
        </w:rPr>
        <w:t>eikónes</w:t>
      </w:r>
      <w:proofErr w:type="spellEnd"/>
      <w:r w:rsidRPr="001148C2">
        <w:rPr>
          <w:rFonts w:asciiTheme="majorHAnsi" w:hAnsiTheme="majorHAnsi" w:cstheme="majorHAnsi"/>
          <w:sz w:val="24"/>
          <w:szCs w:val="24"/>
        </w:rPr>
        <w:t>).</w:t>
      </w:r>
      <w:r w:rsidR="008A7D26" w:rsidRPr="001148C2">
        <w:rPr>
          <w:rFonts w:asciiTheme="majorHAnsi" w:hAnsiTheme="majorHAnsi" w:cstheme="majorHAnsi"/>
          <w:sz w:val="24"/>
          <w:szCs w:val="24"/>
          <w:vertAlign w:val="superscript"/>
        </w:rPr>
        <w:endnoteReference w:id="1"/>
      </w:r>
      <w:r w:rsidR="008A7D26" w:rsidRPr="001148C2">
        <w:rPr>
          <w:rFonts w:asciiTheme="majorHAnsi" w:hAnsiTheme="majorHAnsi" w:cstheme="majorHAnsi"/>
          <w:sz w:val="24"/>
          <w:szCs w:val="24"/>
        </w:rPr>
        <w:t xml:space="preserve"> The way Eusebius handles this information resembles a balancing act. He could not simply ignore the violent offenses against the emblems of imperial authority; the sacrilege was an integral and evident aspect of the conflict. At the same time, he was obviously well aware of how sensitive it was to mention outbursts of violence against the public images of an emperor whose religious policy he was committed to praising.</w:t>
      </w:r>
      <w:r w:rsidR="008A7D26" w:rsidRPr="001148C2">
        <w:rPr>
          <w:rFonts w:asciiTheme="majorHAnsi" w:hAnsiTheme="majorHAnsi" w:cstheme="majorHAnsi"/>
          <w:sz w:val="24"/>
          <w:szCs w:val="24"/>
          <w:vertAlign w:val="superscript"/>
        </w:rPr>
        <w:endnoteReference w:id="2"/>
      </w:r>
      <w:r w:rsidR="008A7D26" w:rsidRPr="001148C2">
        <w:rPr>
          <w:rFonts w:asciiTheme="majorHAnsi" w:hAnsiTheme="majorHAnsi" w:cstheme="majorHAnsi"/>
          <w:sz w:val="24"/>
          <w:szCs w:val="24"/>
        </w:rPr>
        <w:t xml:space="preserve"> Those Christian factions that rioted against the effigies of Constantine </w:t>
      </w:r>
      <w:r w:rsidR="001F1E09" w:rsidRPr="001148C2">
        <w:rPr>
          <w:rFonts w:asciiTheme="majorHAnsi" w:hAnsiTheme="majorHAnsi" w:cstheme="majorHAnsi"/>
          <w:sz w:val="24"/>
          <w:szCs w:val="24"/>
        </w:rPr>
        <w:t xml:space="preserve">(r. 306–337) </w:t>
      </w:r>
      <w:r w:rsidR="008A7D26" w:rsidRPr="001148C2">
        <w:rPr>
          <w:rFonts w:asciiTheme="majorHAnsi" w:hAnsiTheme="majorHAnsi" w:cstheme="majorHAnsi"/>
          <w:sz w:val="24"/>
          <w:szCs w:val="24"/>
        </w:rPr>
        <w:t>staged a stark display of disloyalty toward an emperor who openly championed Christianity, sought to support a peaceful resolution of the conflict, and, at that time, still carefully avoided taking sides in the Arian controversy.</w:t>
      </w:r>
      <w:r w:rsidR="008A7D26" w:rsidRPr="001148C2">
        <w:rPr>
          <w:rFonts w:asciiTheme="majorHAnsi" w:hAnsiTheme="majorHAnsi" w:cstheme="majorHAnsi"/>
          <w:sz w:val="24"/>
          <w:szCs w:val="24"/>
          <w:vertAlign w:val="superscript"/>
        </w:rPr>
        <w:endnoteReference w:id="3"/>
      </w:r>
      <w:r w:rsidR="008A7D26" w:rsidRPr="001148C2">
        <w:rPr>
          <w:rFonts w:asciiTheme="majorHAnsi" w:hAnsiTheme="majorHAnsi" w:cstheme="majorHAnsi"/>
          <w:sz w:val="24"/>
          <w:szCs w:val="24"/>
        </w:rPr>
        <w:t xml:space="preserve"> Acts of mutilation or destruction of public images representing a ruling emperor were generally taken extremely seriously by Roman authorities and were </w:t>
      </w:r>
      <w:r w:rsidR="001F1E09" w:rsidRPr="001148C2">
        <w:rPr>
          <w:rFonts w:asciiTheme="majorHAnsi" w:hAnsiTheme="majorHAnsi" w:cstheme="majorHAnsi"/>
          <w:sz w:val="24"/>
          <w:szCs w:val="24"/>
        </w:rPr>
        <w:t>consistently met with severe punishment</w:t>
      </w:r>
      <w:r w:rsidR="008A7D26" w:rsidRPr="001148C2">
        <w:rPr>
          <w:rFonts w:asciiTheme="majorHAnsi" w:hAnsiTheme="majorHAnsi" w:cstheme="majorHAnsi"/>
          <w:sz w:val="24"/>
          <w:szCs w:val="24"/>
        </w:rPr>
        <w:t>.</w:t>
      </w:r>
      <w:r w:rsidR="008A7D26" w:rsidRPr="001148C2">
        <w:rPr>
          <w:rFonts w:asciiTheme="majorHAnsi" w:hAnsiTheme="majorHAnsi" w:cstheme="majorHAnsi"/>
          <w:sz w:val="24"/>
          <w:szCs w:val="24"/>
          <w:vertAlign w:val="superscript"/>
        </w:rPr>
        <w:endnoteReference w:id="4"/>
      </w:r>
      <w:r w:rsidR="008A7D26" w:rsidRPr="001148C2">
        <w:rPr>
          <w:rFonts w:asciiTheme="majorHAnsi" w:hAnsiTheme="majorHAnsi" w:cstheme="majorHAnsi"/>
          <w:sz w:val="24"/>
          <w:szCs w:val="24"/>
        </w:rPr>
        <w:t xml:space="preserve"> In this specific case, the entanglement of politics and religion added a further layer of complexity to the offense. Eusebius found a welcome off-ramp for his narrative by shifting the emphasis to the emperor’s restrained reaction. </w:t>
      </w:r>
    </w:p>
    <w:p w:rsidR="001F1E09" w:rsidRPr="001148C2" w:rsidRDefault="008A7D26" w:rsidP="008C556D">
      <w:pPr>
        <w:spacing w:after="60" w:line="240" w:lineRule="auto"/>
        <w:ind w:firstLine="566"/>
        <w:rPr>
          <w:rFonts w:asciiTheme="majorHAnsi" w:hAnsiTheme="majorHAnsi" w:cstheme="majorHAnsi"/>
          <w:sz w:val="24"/>
          <w:szCs w:val="24"/>
        </w:rPr>
      </w:pPr>
      <w:r w:rsidRPr="001148C2">
        <w:rPr>
          <w:rFonts w:asciiTheme="majorHAnsi" w:hAnsiTheme="majorHAnsi" w:cstheme="majorHAnsi"/>
          <w:sz w:val="24"/>
          <w:szCs w:val="24"/>
        </w:rPr>
        <w:t xml:space="preserve">What the events mentioned by Eusebius reveal, however, is that despite the emperor’s conciliatory stance toward the hostile parties from the outset, even imperial efforts to reconcile divergent </w:t>
      </w:r>
      <w:r w:rsidR="001F1E09" w:rsidRPr="001148C2">
        <w:rPr>
          <w:rFonts w:asciiTheme="majorHAnsi" w:hAnsiTheme="majorHAnsi" w:cstheme="majorHAnsi"/>
          <w:sz w:val="24"/>
          <w:szCs w:val="24"/>
        </w:rPr>
        <w:t xml:space="preserve">doctrinal </w:t>
      </w:r>
      <w:r w:rsidRPr="001148C2">
        <w:rPr>
          <w:rFonts w:asciiTheme="majorHAnsi" w:hAnsiTheme="majorHAnsi" w:cstheme="majorHAnsi"/>
          <w:sz w:val="24"/>
          <w:szCs w:val="24"/>
        </w:rPr>
        <w:t xml:space="preserve">positions were perceived by certain Christian groups as a direct threat to their religious identities. The escalation, spilling over from the local </w:t>
      </w:r>
      <w:r w:rsidR="001F1E09" w:rsidRPr="001148C2">
        <w:rPr>
          <w:rFonts w:asciiTheme="majorHAnsi" w:hAnsiTheme="majorHAnsi" w:cstheme="majorHAnsi"/>
          <w:sz w:val="24"/>
          <w:szCs w:val="24"/>
        </w:rPr>
        <w:t>intra-</w:t>
      </w:r>
      <w:r w:rsidRPr="001148C2">
        <w:rPr>
          <w:rFonts w:asciiTheme="majorHAnsi" w:hAnsiTheme="majorHAnsi" w:cstheme="majorHAnsi"/>
          <w:sz w:val="24"/>
          <w:szCs w:val="24"/>
        </w:rPr>
        <w:t>Christian</w:t>
      </w:r>
      <w:r w:rsidR="001F1E09" w:rsidRPr="001148C2">
        <w:rPr>
          <w:rFonts w:asciiTheme="majorHAnsi" w:hAnsiTheme="majorHAnsi" w:cstheme="majorHAnsi"/>
          <w:sz w:val="24"/>
          <w:szCs w:val="24"/>
        </w:rPr>
        <w:t xml:space="preserve"> conflict</w:t>
      </w:r>
      <w:r w:rsidRPr="001148C2">
        <w:rPr>
          <w:rFonts w:asciiTheme="majorHAnsi" w:hAnsiTheme="majorHAnsi" w:cstheme="majorHAnsi"/>
          <w:sz w:val="24"/>
          <w:szCs w:val="24"/>
        </w:rPr>
        <w:t xml:space="preserve"> to the imperial level, was catalyzed by Constantine’s efforts to foster unity (</w:t>
      </w:r>
      <w:proofErr w:type="spellStart"/>
      <w:r w:rsidRPr="001148C2">
        <w:rPr>
          <w:rFonts w:asciiTheme="majorHAnsi" w:hAnsiTheme="majorHAnsi" w:cstheme="majorHAnsi"/>
          <w:i/>
          <w:iCs/>
          <w:sz w:val="24"/>
          <w:szCs w:val="24"/>
        </w:rPr>
        <w:t>unitas</w:t>
      </w:r>
      <w:proofErr w:type="spellEnd"/>
      <w:r w:rsidRPr="001148C2">
        <w:rPr>
          <w:rFonts w:asciiTheme="majorHAnsi" w:hAnsiTheme="majorHAnsi" w:cstheme="majorHAnsi"/>
          <w:sz w:val="24"/>
          <w:szCs w:val="24"/>
        </w:rPr>
        <w:t xml:space="preserve">) among </w:t>
      </w:r>
      <w:r w:rsidR="001F1E09" w:rsidRPr="001148C2">
        <w:rPr>
          <w:rFonts w:asciiTheme="majorHAnsi" w:hAnsiTheme="majorHAnsi" w:cstheme="majorHAnsi"/>
          <w:sz w:val="24"/>
          <w:szCs w:val="24"/>
        </w:rPr>
        <w:t>the various</w:t>
      </w:r>
      <w:r w:rsidRPr="001148C2">
        <w:rPr>
          <w:rFonts w:asciiTheme="majorHAnsi" w:hAnsiTheme="majorHAnsi" w:cstheme="majorHAnsi"/>
          <w:sz w:val="24"/>
          <w:szCs w:val="24"/>
        </w:rPr>
        <w:t xml:space="preserve"> </w:t>
      </w:r>
      <w:r w:rsidR="001F1E09" w:rsidRPr="001148C2">
        <w:rPr>
          <w:rFonts w:asciiTheme="majorHAnsi" w:hAnsiTheme="majorHAnsi" w:cstheme="majorHAnsi"/>
          <w:sz w:val="24"/>
          <w:szCs w:val="24"/>
        </w:rPr>
        <w:t>Christian communities</w:t>
      </w:r>
      <w:r w:rsidRPr="001148C2">
        <w:rPr>
          <w:rFonts w:asciiTheme="majorHAnsi" w:hAnsiTheme="majorHAnsi" w:cstheme="majorHAnsi"/>
          <w:sz w:val="24"/>
          <w:szCs w:val="24"/>
        </w:rPr>
        <w:t xml:space="preserve">. Eusebius’s casual mention of the sacrilege against imperial images thus sketches the contours of a new logic of politico-religious conflict that emerged alongside imperial efforts to craft a viable institutional framework for fruitful interaction between the Roman administrative apparatus and Christian </w:t>
      </w:r>
      <w:r w:rsidR="001F1E09" w:rsidRPr="001148C2">
        <w:rPr>
          <w:rFonts w:asciiTheme="majorHAnsi" w:hAnsiTheme="majorHAnsi" w:cstheme="majorHAnsi"/>
          <w:sz w:val="24"/>
          <w:szCs w:val="24"/>
        </w:rPr>
        <w:t>groups and actors</w:t>
      </w:r>
      <w:r w:rsidRPr="001148C2">
        <w:rPr>
          <w:rFonts w:asciiTheme="majorHAnsi" w:hAnsiTheme="majorHAnsi" w:cstheme="majorHAnsi"/>
          <w:sz w:val="24"/>
          <w:szCs w:val="24"/>
        </w:rPr>
        <w:t xml:space="preserve">. Such a new framework was required to channel imperial funds to these communities under Constantine’s religious policy, to resolve legal questions such as the restitution of church property, and to delegate local-level responsibilities to Christian representatives. </w:t>
      </w:r>
    </w:p>
    <w:p w:rsidR="008A7D26" w:rsidRPr="001148C2" w:rsidRDefault="008A7D26" w:rsidP="001F1E09">
      <w:pPr>
        <w:spacing w:after="60" w:line="240" w:lineRule="auto"/>
        <w:ind w:firstLine="566"/>
        <w:rPr>
          <w:rFonts w:asciiTheme="majorHAnsi" w:hAnsiTheme="majorHAnsi" w:cstheme="majorHAnsi"/>
          <w:sz w:val="24"/>
          <w:szCs w:val="24"/>
        </w:rPr>
      </w:pPr>
      <w:r w:rsidRPr="001148C2">
        <w:rPr>
          <w:rFonts w:asciiTheme="majorHAnsi" w:hAnsiTheme="majorHAnsi" w:cstheme="majorHAnsi"/>
          <w:sz w:val="24"/>
          <w:szCs w:val="24"/>
        </w:rPr>
        <w:t xml:space="preserve">Constantine’s interventions in the Arian controversy began in 324, when his victory in the civil war over </w:t>
      </w:r>
      <w:proofErr w:type="spellStart"/>
      <w:r w:rsidRPr="001148C2">
        <w:rPr>
          <w:rFonts w:asciiTheme="majorHAnsi" w:hAnsiTheme="majorHAnsi" w:cstheme="majorHAnsi"/>
          <w:sz w:val="24"/>
          <w:szCs w:val="24"/>
        </w:rPr>
        <w:t>Licinius</w:t>
      </w:r>
      <w:proofErr w:type="spellEnd"/>
      <w:r w:rsidRPr="001148C2">
        <w:rPr>
          <w:rFonts w:asciiTheme="majorHAnsi" w:hAnsiTheme="majorHAnsi" w:cstheme="majorHAnsi"/>
          <w:sz w:val="24"/>
          <w:szCs w:val="24"/>
        </w:rPr>
        <w:t xml:space="preserve"> brought the eastern provinces of the Roman Empire under his control. Yet efforts to develop practicable modes of cooperation with Christian stakeholders had already commenced earlier, around 312, when his victory over Maxentius brought Italy and North Africa under Constantine’s rule.</w:t>
      </w:r>
      <w:r w:rsidRPr="001148C2">
        <w:rPr>
          <w:rStyle w:val="Endnotenzeichen"/>
          <w:rFonts w:asciiTheme="majorHAnsi" w:hAnsiTheme="majorHAnsi" w:cstheme="majorHAnsi"/>
          <w:sz w:val="24"/>
          <w:szCs w:val="24"/>
        </w:rPr>
        <w:endnoteReference w:id="5"/>
      </w:r>
      <w:r w:rsidRPr="001148C2">
        <w:rPr>
          <w:rFonts w:asciiTheme="majorHAnsi" w:hAnsiTheme="majorHAnsi" w:cstheme="majorHAnsi"/>
          <w:sz w:val="24"/>
          <w:szCs w:val="24"/>
        </w:rPr>
        <w:t xml:space="preserve"> It was in this context that Constantine’s administration first confronted the particular challenge that Christian communities lacked a unified hierarchy, a decisive precondition for sustained cooperation with the Roman state.</w:t>
      </w:r>
      <w:r w:rsidR="001F1E09" w:rsidRPr="001148C2">
        <w:rPr>
          <w:rFonts w:asciiTheme="majorHAnsi" w:hAnsiTheme="majorHAnsi" w:cstheme="majorHAnsi"/>
          <w:sz w:val="24"/>
          <w:szCs w:val="24"/>
        </w:rPr>
        <w:t xml:space="preserve"> </w:t>
      </w:r>
      <w:r w:rsidRPr="001148C2">
        <w:rPr>
          <w:rFonts w:asciiTheme="majorHAnsi" w:hAnsiTheme="majorHAnsi" w:cstheme="majorHAnsi"/>
          <w:sz w:val="24"/>
          <w:szCs w:val="24"/>
        </w:rPr>
        <w:t>At this time, Christian communities in North Africa were embroiled in contentions that would later be subsumed under the label of the ‘Donatist controversy.’</w:t>
      </w:r>
      <w:r w:rsidRPr="001148C2">
        <w:rPr>
          <w:rFonts w:asciiTheme="majorHAnsi" w:hAnsiTheme="majorHAnsi" w:cstheme="majorHAnsi"/>
          <w:sz w:val="24"/>
          <w:szCs w:val="24"/>
          <w:vertAlign w:val="superscript"/>
        </w:rPr>
        <w:endnoteReference w:id="6"/>
      </w:r>
      <w:r w:rsidRPr="001148C2">
        <w:rPr>
          <w:rFonts w:asciiTheme="majorHAnsi" w:hAnsiTheme="majorHAnsi" w:cstheme="majorHAnsi"/>
          <w:sz w:val="24"/>
          <w:szCs w:val="24"/>
        </w:rPr>
        <w:t xml:space="preserve"> The formation of Constantine’s religious policy was closely intertwined with imperial efforts to resolve this conflict, aiming to facilitate the development of an </w:t>
      </w:r>
      <w:r w:rsidR="008F07FD" w:rsidRPr="001148C2">
        <w:rPr>
          <w:rFonts w:asciiTheme="majorHAnsi" w:hAnsiTheme="majorHAnsi" w:cstheme="majorHAnsi"/>
          <w:sz w:val="24"/>
          <w:szCs w:val="24"/>
        </w:rPr>
        <w:t xml:space="preserve">integrated </w:t>
      </w:r>
      <w:r w:rsidRPr="001148C2">
        <w:rPr>
          <w:rFonts w:asciiTheme="majorHAnsi" w:hAnsiTheme="majorHAnsi" w:cstheme="majorHAnsi"/>
          <w:sz w:val="24"/>
          <w:szCs w:val="24"/>
        </w:rPr>
        <w:t xml:space="preserve">ecclesiastical </w:t>
      </w:r>
      <w:r w:rsidR="008F07FD" w:rsidRPr="001148C2">
        <w:rPr>
          <w:rFonts w:asciiTheme="majorHAnsi" w:hAnsiTheme="majorHAnsi" w:cstheme="majorHAnsi"/>
          <w:sz w:val="24"/>
          <w:szCs w:val="24"/>
        </w:rPr>
        <w:t xml:space="preserve">organization </w:t>
      </w:r>
      <w:r w:rsidRPr="001148C2">
        <w:rPr>
          <w:rFonts w:asciiTheme="majorHAnsi" w:hAnsiTheme="majorHAnsi" w:cstheme="majorHAnsi"/>
          <w:sz w:val="24"/>
          <w:szCs w:val="24"/>
        </w:rPr>
        <w:lastRenderedPageBreak/>
        <w:t>with a clearly defined framework of roles and responsibilities on the Christian side. Thereby, several years before the assaults on imperial images mentioned by Eusebius, public authorities were already drawn into disputes over religious principles and beliefs.</w:t>
      </w:r>
      <w:r w:rsidRPr="001148C2">
        <w:rPr>
          <w:rFonts w:asciiTheme="majorHAnsi" w:hAnsiTheme="majorHAnsi" w:cstheme="majorHAnsi"/>
          <w:sz w:val="24"/>
          <w:szCs w:val="24"/>
          <w:vertAlign w:val="superscript"/>
        </w:rPr>
        <w:endnoteReference w:id="7"/>
      </w:r>
      <w:r w:rsidRPr="001148C2">
        <w:rPr>
          <w:rFonts w:asciiTheme="majorHAnsi" w:hAnsiTheme="majorHAnsi" w:cstheme="majorHAnsi"/>
          <w:sz w:val="24"/>
          <w:szCs w:val="24"/>
        </w:rPr>
        <w:t xml:space="preserve"> These earliest contacts between the emerging Christian monarchy and local Christian communities are highly instructive for understanding how Roman imperial administration developed a closer, more structured relationship with Christian protagonists and how</w:t>
      </w:r>
      <w:r w:rsidR="001F1E09" w:rsidRPr="001148C2">
        <w:rPr>
          <w:rFonts w:asciiTheme="majorHAnsi" w:hAnsiTheme="majorHAnsi" w:cstheme="majorHAnsi"/>
          <w:sz w:val="24"/>
          <w:szCs w:val="24"/>
        </w:rPr>
        <w:t>, in this process,</w:t>
      </w:r>
      <w:r w:rsidRPr="001148C2">
        <w:rPr>
          <w:rFonts w:asciiTheme="majorHAnsi" w:hAnsiTheme="majorHAnsi" w:cstheme="majorHAnsi"/>
          <w:sz w:val="24"/>
          <w:szCs w:val="24"/>
        </w:rPr>
        <w:t xml:space="preserve"> new conflict dynamics emerged, both among rival Christian groups and between Christians and the Roman administration. This chapter seeks to elucidate the sociocultural conditions and implications of this transformation and to assess how it reshaped the modalities of internal conflict in the late Roman monarchy more broadly. </w:t>
      </w:r>
    </w:p>
    <w:p w:rsidR="008A7D26" w:rsidRPr="001148C2" w:rsidRDefault="008A7D26" w:rsidP="007B5019">
      <w:pPr>
        <w:spacing w:after="60" w:line="240" w:lineRule="auto"/>
        <w:rPr>
          <w:rFonts w:asciiTheme="majorHAnsi" w:hAnsiTheme="majorHAnsi" w:cstheme="majorHAnsi"/>
          <w:sz w:val="24"/>
          <w:szCs w:val="24"/>
        </w:rPr>
      </w:pPr>
    </w:p>
    <w:p w:rsidR="008A7D26" w:rsidRPr="001148C2" w:rsidRDefault="008A7D26" w:rsidP="007B5019">
      <w:pPr>
        <w:spacing w:after="60" w:line="240" w:lineRule="auto"/>
        <w:jc w:val="center"/>
        <w:rPr>
          <w:rFonts w:asciiTheme="majorHAnsi" w:hAnsiTheme="majorHAnsi" w:cstheme="majorHAnsi"/>
          <w:sz w:val="24"/>
          <w:szCs w:val="24"/>
        </w:rPr>
      </w:pPr>
      <w:r w:rsidRPr="001148C2">
        <w:rPr>
          <w:rFonts w:asciiTheme="majorHAnsi" w:hAnsiTheme="majorHAnsi" w:cstheme="majorHAnsi"/>
          <w:sz w:val="24"/>
          <w:szCs w:val="24"/>
        </w:rPr>
        <w:t>* * *</w:t>
      </w:r>
    </w:p>
    <w:p w:rsidR="008A7D26" w:rsidRPr="001148C2" w:rsidRDefault="008A7D26" w:rsidP="007B5019">
      <w:pPr>
        <w:spacing w:after="60" w:line="240" w:lineRule="auto"/>
        <w:jc w:val="center"/>
        <w:rPr>
          <w:rFonts w:asciiTheme="majorHAnsi" w:hAnsiTheme="majorHAnsi" w:cstheme="majorHAnsi"/>
          <w:sz w:val="24"/>
          <w:szCs w:val="24"/>
        </w:rPr>
      </w:pPr>
    </w:p>
    <w:p w:rsidR="008A7D26" w:rsidRPr="001148C2" w:rsidRDefault="008A7D26" w:rsidP="007B5019">
      <w:pPr>
        <w:spacing w:after="60" w:line="240" w:lineRule="auto"/>
        <w:rPr>
          <w:rFonts w:asciiTheme="majorHAnsi" w:hAnsiTheme="majorHAnsi" w:cstheme="majorHAnsi"/>
          <w:sz w:val="24"/>
          <w:szCs w:val="24"/>
        </w:rPr>
      </w:pPr>
      <w:r w:rsidRPr="001148C2">
        <w:rPr>
          <w:rFonts w:asciiTheme="majorHAnsi" w:hAnsiTheme="majorHAnsi" w:cstheme="majorHAnsi"/>
          <w:sz w:val="24"/>
          <w:szCs w:val="24"/>
        </w:rPr>
        <w:t>The point of departure for this investigation is a violent confrontation that unfolded on a spring day in 317 in North Africa.</w:t>
      </w:r>
      <w:r w:rsidRPr="001148C2">
        <w:rPr>
          <w:rFonts w:asciiTheme="majorHAnsi" w:hAnsiTheme="majorHAnsi" w:cstheme="majorHAnsi"/>
          <w:sz w:val="24"/>
          <w:szCs w:val="24"/>
          <w:shd w:val="clear" w:color="auto" w:fill="FF9900"/>
          <w:vertAlign w:val="superscript"/>
        </w:rPr>
        <w:endnoteReference w:id="8"/>
      </w:r>
      <w:r w:rsidRPr="001148C2">
        <w:rPr>
          <w:rFonts w:asciiTheme="majorHAnsi" w:hAnsiTheme="majorHAnsi" w:cstheme="majorHAnsi"/>
          <w:sz w:val="24"/>
          <w:szCs w:val="24"/>
        </w:rPr>
        <w:t xml:space="preserve"> On that day, a Roman tribune named Marcellinus ordered a military contingent to assemble from a fort near Carthage. The soldiers received orders to storm a Christian service in the metropolis and to inflict a slaughter among the worshippers. They initially attacked the defenseless members of the congregation with clubs and eventually drew their swords. Some did not survive this exercise of Roman power; among them were a visiting bishop and ordinary members of the congregation, including men and women, youths and adults alike.</w:t>
      </w:r>
      <w:r w:rsidRPr="001148C2">
        <w:rPr>
          <w:rFonts w:asciiTheme="majorHAnsi" w:hAnsiTheme="majorHAnsi" w:cstheme="majorHAnsi"/>
          <w:sz w:val="24"/>
          <w:szCs w:val="24"/>
          <w:shd w:val="clear" w:color="auto" w:fill="FF9900"/>
          <w:vertAlign w:val="superscript"/>
        </w:rPr>
        <w:endnoteReference w:id="9"/>
      </w:r>
      <w:r w:rsidRPr="001148C2">
        <w:rPr>
          <w:rFonts w:asciiTheme="majorHAnsi" w:hAnsiTheme="majorHAnsi" w:cstheme="majorHAnsi"/>
          <w:sz w:val="24"/>
          <w:szCs w:val="24"/>
        </w:rPr>
        <w:t xml:space="preserve"> The troops that had carried out the bloodshed eventually withdrew, leaving the site of the bloodshed to the survivors. </w:t>
      </w:r>
    </w:p>
    <w:p w:rsidR="008A7D26" w:rsidRPr="001148C2" w:rsidRDefault="008A7D26" w:rsidP="007B5019">
      <w:pPr>
        <w:spacing w:after="60" w:line="240" w:lineRule="auto"/>
        <w:ind w:firstLine="566"/>
        <w:rPr>
          <w:rFonts w:asciiTheme="majorHAnsi" w:hAnsiTheme="majorHAnsi" w:cstheme="majorHAnsi"/>
          <w:sz w:val="24"/>
          <w:szCs w:val="24"/>
        </w:rPr>
      </w:pPr>
      <w:proofErr w:type="spellStart"/>
      <w:r w:rsidRPr="001148C2">
        <w:rPr>
          <w:rFonts w:asciiTheme="majorHAnsi" w:hAnsiTheme="majorHAnsi" w:cstheme="majorHAnsi"/>
          <w:sz w:val="24"/>
          <w:szCs w:val="24"/>
        </w:rPr>
        <w:t>Some time</w:t>
      </w:r>
      <w:proofErr w:type="spellEnd"/>
      <w:r w:rsidRPr="001148C2">
        <w:rPr>
          <w:rFonts w:asciiTheme="majorHAnsi" w:hAnsiTheme="majorHAnsi" w:cstheme="majorHAnsi"/>
          <w:sz w:val="24"/>
          <w:szCs w:val="24"/>
        </w:rPr>
        <w:t xml:space="preserve"> after these dramatic events, on one of the first anniversaries, the affected community held a memorial service at the site.</w:t>
      </w:r>
      <w:r w:rsidRPr="001148C2">
        <w:rPr>
          <w:rFonts w:asciiTheme="majorHAnsi" w:hAnsiTheme="majorHAnsi" w:cstheme="majorHAnsi"/>
          <w:sz w:val="24"/>
          <w:szCs w:val="24"/>
          <w:shd w:val="clear" w:color="auto" w:fill="FF9900"/>
          <w:vertAlign w:val="superscript"/>
        </w:rPr>
        <w:endnoteReference w:id="10"/>
      </w:r>
      <w:r w:rsidRPr="001148C2">
        <w:rPr>
          <w:rFonts w:asciiTheme="majorHAnsi" w:hAnsiTheme="majorHAnsi" w:cstheme="majorHAnsi"/>
          <w:sz w:val="24"/>
          <w:szCs w:val="24"/>
        </w:rPr>
        <w:t xml:space="preserve"> In his commemorative address in honor of the victims, a cleric described the scenes that unfolded after the drastic display of military might.</w:t>
      </w:r>
      <w:r w:rsidRPr="001148C2">
        <w:rPr>
          <w:rFonts w:asciiTheme="majorHAnsi" w:hAnsiTheme="majorHAnsi" w:cstheme="majorHAnsi"/>
          <w:sz w:val="24"/>
          <w:szCs w:val="24"/>
          <w:shd w:val="clear" w:color="auto" w:fill="FF9900"/>
          <w:vertAlign w:val="superscript"/>
        </w:rPr>
        <w:endnoteReference w:id="11"/>
      </w:r>
      <w:r w:rsidRPr="001148C2">
        <w:rPr>
          <w:rFonts w:asciiTheme="majorHAnsi" w:hAnsiTheme="majorHAnsi" w:cstheme="majorHAnsi"/>
          <w:sz w:val="24"/>
          <w:szCs w:val="24"/>
        </w:rPr>
        <w:t xml:space="preserve"> In this sermon-like oration (preserved in several medieval manuscripts),</w:t>
      </w:r>
      <w:r w:rsidRPr="001148C2">
        <w:rPr>
          <w:rFonts w:asciiTheme="majorHAnsi" w:hAnsiTheme="majorHAnsi" w:cstheme="majorHAnsi"/>
          <w:sz w:val="24"/>
          <w:szCs w:val="24"/>
          <w:shd w:val="clear" w:color="auto" w:fill="FF9900"/>
          <w:vertAlign w:val="superscript"/>
        </w:rPr>
        <w:endnoteReference w:id="12"/>
      </w:r>
      <w:r w:rsidRPr="001148C2">
        <w:rPr>
          <w:rFonts w:asciiTheme="majorHAnsi" w:hAnsiTheme="majorHAnsi" w:cstheme="majorHAnsi"/>
          <w:sz w:val="24"/>
          <w:szCs w:val="24"/>
        </w:rPr>
        <w:t xml:space="preserve"> the cleric vividly evoked for his audience the atrocities he and part of the assembled community had personally witnessed. With moving words, he retraced the events of that day, recalling the intense emotions and lamentations that accompanied the return of the surviving brethren to the site of the bloodshed, after the soldiers had withdrawn, to tend to the wounded and recover the bodies of the slain:</w:t>
      </w:r>
      <w:r w:rsidRPr="001148C2">
        <w:rPr>
          <w:rFonts w:asciiTheme="majorHAnsi" w:hAnsiTheme="majorHAnsi" w:cstheme="majorHAnsi"/>
          <w:sz w:val="24"/>
          <w:szCs w:val="24"/>
          <w:shd w:val="clear" w:color="auto" w:fill="FF9900"/>
          <w:vertAlign w:val="superscript"/>
        </w:rPr>
        <w:endnoteReference w:id="13"/>
      </w:r>
    </w:p>
    <w:p w:rsidR="008A7D26" w:rsidRPr="001148C2" w:rsidRDefault="008A7D26" w:rsidP="007B5019">
      <w:pPr>
        <w:spacing w:after="60" w:line="240" w:lineRule="auto"/>
        <w:ind w:firstLine="566"/>
        <w:rPr>
          <w:rFonts w:asciiTheme="majorHAnsi" w:hAnsiTheme="majorHAnsi" w:cstheme="majorHAnsi"/>
          <w:sz w:val="24"/>
          <w:szCs w:val="24"/>
        </w:rPr>
      </w:pPr>
    </w:p>
    <w:p w:rsidR="008A7D26" w:rsidRPr="001148C2" w:rsidRDefault="008A7D26" w:rsidP="007B5019">
      <w:pPr>
        <w:spacing w:after="60" w:line="240" w:lineRule="auto"/>
        <w:ind w:left="1440"/>
        <w:rPr>
          <w:rFonts w:asciiTheme="majorHAnsi" w:hAnsiTheme="majorHAnsi" w:cstheme="majorHAnsi"/>
          <w:sz w:val="24"/>
          <w:szCs w:val="24"/>
        </w:rPr>
      </w:pPr>
      <w:r w:rsidRPr="001148C2">
        <w:rPr>
          <w:rFonts w:asciiTheme="majorHAnsi" w:hAnsiTheme="majorHAnsi" w:cstheme="majorHAnsi"/>
          <w:sz w:val="24"/>
          <w:szCs w:val="24"/>
        </w:rPr>
        <w:t>What turmoil of hearts! What torrents of tears! What groans of lamentation – as devoted love ran among the corpses of the slaughtered, hastening to recognize the face of each who lay there! When children found the bodies of their parents, and parents those of their children, you might have seen some clinging to their own in embrace; others, struck by the sudden and unexpected sight, sinking as if half-dead; still others lent their pious hands to gather up the bodies, covering the corpses of men and women lying exposed in an unseemly way, and restoring limbs shattered by the fiercest blows and almost torn away – if not to their functions, at least to their proper places.</w:t>
      </w:r>
    </w:p>
    <w:p w:rsidR="008A7D26" w:rsidRPr="001148C2" w:rsidRDefault="008A7D26" w:rsidP="007B5019">
      <w:pPr>
        <w:spacing w:after="60" w:line="240" w:lineRule="auto"/>
        <w:rPr>
          <w:rFonts w:asciiTheme="majorHAnsi" w:hAnsiTheme="majorHAnsi" w:cstheme="majorHAnsi"/>
          <w:sz w:val="24"/>
          <w:szCs w:val="24"/>
        </w:rPr>
      </w:pPr>
    </w:p>
    <w:p w:rsidR="008A7D26" w:rsidRPr="001148C2" w:rsidRDefault="008A7D26" w:rsidP="00245F67">
      <w:pPr>
        <w:spacing w:after="60" w:line="240" w:lineRule="auto"/>
        <w:rPr>
          <w:rFonts w:asciiTheme="majorHAnsi" w:hAnsiTheme="majorHAnsi" w:cstheme="majorHAnsi"/>
          <w:sz w:val="24"/>
          <w:szCs w:val="24"/>
        </w:rPr>
      </w:pPr>
      <w:r w:rsidRPr="001148C2">
        <w:rPr>
          <w:rFonts w:asciiTheme="majorHAnsi" w:hAnsiTheme="majorHAnsi" w:cstheme="majorHAnsi"/>
          <w:sz w:val="24"/>
          <w:szCs w:val="24"/>
        </w:rPr>
        <w:t xml:space="preserve">In view of the excess of violence, the cleric spoke of an </w:t>
      </w:r>
      <w:proofErr w:type="spellStart"/>
      <w:r w:rsidRPr="001148C2">
        <w:rPr>
          <w:rFonts w:asciiTheme="majorHAnsi" w:hAnsiTheme="majorHAnsi" w:cstheme="majorHAnsi"/>
          <w:i/>
          <w:iCs/>
          <w:sz w:val="24"/>
          <w:szCs w:val="24"/>
        </w:rPr>
        <w:t>impia</w:t>
      </w:r>
      <w:proofErr w:type="spellEnd"/>
      <w:r w:rsidRPr="001148C2">
        <w:rPr>
          <w:rFonts w:asciiTheme="majorHAnsi" w:hAnsiTheme="majorHAnsi" w:cstheme="majorHAnsi"/>
          <w:i/>
          <w:iCs/>
          <w:sz w:val="24"/>
          <w:szCs w:val="24"/>
        </w:rPr>
        <w:t xml:space="preserve"> </w:t>
      </w:r>
      <w:proofErr w:type="spellStart"/>
      <w:r w:rsidRPr="001148C2">
        <w:rPr>
          <w:rFonts w:asciiTheme="majorHAnsi" w:hAnsiTheme="majorHAnsi" w:cstheme="majorHAnsi"/>
          <w:i/>
          <w:iCs/>
          <w:sz w:val="24"/>
          <w:szCs w:val="24"/>
        </w:rPr>
        <w:t>caedes</w:t>
      </w:r>
      <w:proofErr w:type="spellEnd"/>
      <w:r w:rsidRPr="001148C2">
        <w:rPr>
          <w:rFonts w:asciiTheme="majorHAnsi" w:hAnsiTheme="majorHAnsi" w:cstheme="majorHAnsi"/>
          <w:sz w:val="24"/>
          <w:szCs w:val="24"/>
        </w:rPr>
        <w:t xml:space="preserve">, an impious massacre. He highlighted two victims in particular, the visiting bishop and a young catechumen, to underscore the faithfulness of the entire community, ranging from its highest </w:t>
      </w:r>
      <w:r w:rsidRPr="001148C2">
        <w:rPr>
          <w:rFonts w:asciiTheme="majorHAnsi" w:hAnsiTheme="majorHAnsi" w:cstheme="majorHAnsi"/>
          <w:sz w:val="24"/>
          <w:szCs w:val="24"/>
        </w:rPr>
        <w:lastRenderedPageBreak/>
        <w:t>representatives to those still at the threshold of the faith. The bishop had only just arrived, having traveled specifically to strengthen the congregation in its readiness for sacrifice, when he was struck down at the altar by the soldiers’ weapons. The young catechumen, too, was killed at the altar, only moments before he could receive baptism: “His soul, now, to be sure, already near to God, signaled with his last breath that he had wished this great favor to be granted him: that, after the pattern of the Lord’s Passion, water might be joined to blood.” In his address, the cleric invoked the altar where the sacrilege had occurred. It continued to serve as the community’s liturgical focal point even after the incident, as a monumental testament to their</w:t>
      </w:r>
      <w:r w:rsidR="001148C2">
        <w:rPr>
          <w:rFonts w:asciiTheme="majorHAnsi" w:hAnsiTheme="majorHAnsi" w:cstheme="majorHAnsi"/>
          <w:sz w:val="24"/>
          <w:szCs w:val="24"/>
        </w:rPr>
        <w:t xml:space="preserve"> steadfastness</w:t>
      </w:r>
      <w:r w:rsidRPr="001148C2">
        <w:rPr>
          <w:rFonts w:asciiTheme="majorHAnsi" w:hAnsiTheme="majorHAnsi" w:cstheme="majorHAnsi"/>
          <w:sz w:val="24"/>
          <w:szCs w:val="24"/>
        </w:rPr>
        <w:t xml:space="preserve">. Around this altar, he explained, the bodies of the martyrs had been assembled after the bloodshed to form, in both a literal and a figurative sense, “a crown for the altar of </w:t>
      </w:r>
      <w:proofErr w:type="gramStart"/>
      <w:r w:rsidRPr="001148C2">
        <w:rPr>
          <w:rFonts w:asciiTheme="majorHAnsi" w:hAnsiTheme="majorHAnsi" w:cstheme="majorHAnsi"/>
          <w:sz w:val="24"/>
          <w:szCs w:val="24"/>
        </w:rPr>
        <w:t>God“ (</w:t>
      </w:r>
      <w:proofErr w:type="gramEnd"/>
      <w:r w:rsidRPr="001148C2">
        <w:rPr>
          <w:rFonts w:asciiTheme="majorHAnsi" w:hAnsiTheme="majorHAnsi" w:cstheme="majorHAnsi"/>
          <w:sz w:val="24"/>
          <w:szCs w:val="24"/>
        </w:rPr>
        <w:t>§13):</w:t>
      </w:r>
      <w:r w:rsidRPr="001148C2">
        <w:rPr>
          <w:rFonts w:asciiTheme="majorHAnsi" w:hAnsiTheme="majorHAnsi" w:cstheme="majorHAnsi"/>
          <w:sz w:val="24"/>
          <w:szCs w:val="24"/>
          <w:vertAlign w:val="superscript"/>
        </w:rPr>
        <w:endnoteReference w:id="14"/>
      </w:r>
    </w:p>
    <w:p w:rsidR="008A7D26" w:rsidRPr="001148C2" w:rsidRDefault="008A7D26" w:rsidP="007B5019">
      <w:pPr>
        <w:spacing w:after="60" w:line="240" w:lineRule="auto"/>
        <w:rPr>
          <w:rFonts w:asciiTheme="majorHAnsi" w:hAnsiTheme="majorHAnsi" w:cstheme="majorHAnsi"/>
          <w:sz w:val="24"/>
          <w:szCs w:val="24"/>
        </w:rPr>
      </w:pPr>
    </w:p>
    <w:p w:rsidR="008A7D26" w:rsidRPr="001148C2" w:rsidRDefault="008A7D26" w:rsidP="007B5019">
      <w:pPr>
        <w:spacing w:after="60" w:line="240" w:lineRule="auto"/>
        <w:ind w:left="1440"/>
        <w:rPr>
          <w:rFonts w:asciiTheme="majorHAnsi" w:hAnsiTheme="majorHAnsi" w:cstheme="majorHAnsi"/>
          <w:sz w:val="24"/>
          <w:szCs w:val="24"/>
        </w:rPr>
      </w:pPr>
      <w:r w:rsidRPr="001148C2">
        <w:rPr>
          <w:rFonts w:asciiTheme="majorHAnsi" w:hAnsiTheme="majorHAnsi" w:cstheme="majorHAnsi"/>
          <w:sz w:val="24"/>
          <w:szCs w:val="24"/>
        </w:rPr>
        <w:t>Twilight was already striving to shut out the light of that day, and so from various places the many bodies were at once, and in haste, gathered and laid together in one temporary place. Yet the Spirit guided those who labored devoutly, so that where the shepherd lay struck down, there too the flock of sheep – purpled by their passion – was assembled. That this took place by divine design, the very fact itself attests: those who had offered themselves as a sacrifice to God encircled the altar of God as a crown, so that the bishop, whom the people had honored when he exercised the priestly office, might, now advanced by martyrdom, rejoice in the company and attendance of his fellow martyrs.</w:t>
      </w:r>
      <w:r w:rsidRPr="001148C2">
        <w:rPr>
          <w:rFonts w:asciiTheme="majorHAnsi" w:hAnsiTheme="majorHAnsi" w:cstheme="majorHAnsi"/>
          <w:sz w:val="24"/>
          <w:szCs w:val="24"/>
          <w:vertAlign w:val="superscript"/>
        </w:rPr>
        <w:endnoteReference w:id="15"/>
      </w:r>
    </w:p>
    <w:p w:rsidR="008A7D26" w:rsidRPr="001148C2" w:rsidRDefault="008A7D26" w:rsidP="00F95A25">
      <w:pPr>
        <w:spacing w:after="60" w:line="240" w:lineRule="auto"/>
        <w:rPr>
          <w:rFonts w:asciiTheme="majorHAnsi" w:hAnsiTheme="majorHAnsi" w:cstheme="majorHAnsi"/>
          <w:sz w:val="24"/>
          <w:szCs w:val="24"/>
        </w:rPr>
      </w:pPr>
    </w:p>
    <w:p w:rsidR="008A7D26" w:rsidRPr="001148C2" w:rsidRDefault="008A7D26" w:rsidP="00EE4EB6">
      <w:pPr>
        <w:spacing w:after="60" w:line="240" w:lineRule="auto"/>
        <w:rPr>
          <w:rFonts w:asciiTheme="majorHAnsi" w:hAnsiTheme="majorHAnsi" w:cstheme="majorHAnsi"/>
          <w:sz w:val="24"/>
          <w:szCs w:val="24"/>
        </w:rPr>
      </w:pPr>
      <w:r w:rsidRPr="001148C2">
        <w:rPr>
          <w:rFonts w:asciiTheme="majorHAnsi" w:hAnsiTheme="majorHAnsi" w:cstheme="majorHAnsi"/>
          <w:sz w:val="24"/>
          <w:szCs w:val="24"/>
        </w:rPr>
        <w:t xml:space="preserve">At this altar, the bishop articulated a searing indictment of those politically responsible for the violence and its principal perpetrators on the ground. </w:t>
      </w:r>
      <w:r w:rsidR="00EE4EB6" w:rsidRPr="001148C2">
        <w:rPr>
          <w:rFonts w:asciiTheme="majorHAnsi" w:hAnsiTheme="majorHAnsi" w:cstheme="majorHAnsi"/>
          <w:sz w:val="24"/>
          <w:szCs w:val="24"/>
        </w:rPr>
        <w:t xml:space="preserve">He denounced as </w:t>
      </w:r>
      <w:proofErr w:type="spellStart"/>
      <w:r w:rsidR="00EE4EB6" w:rsidRPr="001148C2">
        <w:rPr>
          <w:rFonts w:asciiTheme="majorHAnsi" w:hAnsiTheme="majorHAnsi" w:cstheme="majorHAnsi"/>
          <w:i/>
          <w:iCs/>
          <w:sz w:val="24"/>
          <w:szCs w:val="24"/>
        </w:rPr>
        <w:t>ministri</w:t>
      </w:r>
      <w:proofErr w:type="spellEnd"/>
      <w:r w:rsidR="00EE4EB6" w:rsidRPr="001148C2">
        <w:rPr>
          <w:rFonts w:asciiTheme="majorHAnsi" w:hAnsiTheme="majorHAnsi" w:cstheme="majorHAnsi"/>
          <w:i/>
          <w:iCs/>
          <w:sz w:val="24"/>
          <w:szCs w:val="24"/>
        </w:rPr>
        <w:t xml:space="preserve"> </w:t>
      </w:r>
      <w:proofErr w:type="spellStart"/>
      <w:r w:rsidR="00EE4EB6" w:rsidRPr="001148C2">
        <w:rPr>
          <w:rFonts w:asciiTheme="majorHAnsi" w:hAnsiTheme="majorHAnsi" w:cstheme="majorHAnsi"/>
          <w:i/>
          <w:iCs/>
          <w:sz w:val="24"/>
          <w:szCs w:val="24"/>
        </w:rPr>
        <w:t>Antichristi</w:t>
      </w:r>
      <w:proofErr w:type="spellEnd"/>
      <w:r w:rsidR="00EE4EB6" w:rsidRPr="001148C2">
        <w:rPr>
          <w:rFonts w:asciiTheme="majorHAnsi" w:hAnsiTheme="majorHAnsi" w:cstheme="majorHAnsi"/>
          <w:sz w:val="24"/>
          <w:szCs w:val="24"/>
        </w:rPr>
        <w:t xml:space="preserve"> (ministers of the Anti-Christ) the imperial officials responsible for activating and directing the machinery of coercion.</w:t>
      </w:r>
      <w:r w:rsidRPr="001148C2">
        <w:rPr>
          <w:rFonts w:asciiTheme="majorHAnsi" w:hAnsiTheme="majorHAnsi" w:cstheme="majorHAnsi"/>
          <w:sz w:val="24"/>
          <w:szCs w:val="24"/>
        </w:rPr>
        <w:t xml:space="preserve"> Those named explicitly include not only the </w:t>
      </w:r>
      <w:r w:rsidRPr="001148C2">
        <w:rPr>
          <w:rFonts w:asciiTheme="majorHAnsi" w:hAnsiTheme="majorHAnsi" w:cstheme="majorHAnsi"/>
          <w:i/>
          <w:iCs/>
          <w:sz w:val="24"/>
          <w:szCs w:val="24"/>
        </w:rPr>
        <w:t xml:space="preserve">tribune </w:t>
      </w:r>
      <w:r w:rsidRPr="001148C2">
        <w:rPr>
          <w:rFonts w:asciiTheme="majorHAnsi" w:hAnsiTheme="majorHAnsi" w:cstheme="majorHAnsi"/>
          <w:sz w:val="24"/>
          <w:szCs w:val="24"/>
        </w:rPr>
        <w:t xml:space="preserve">Marcellinus, who commanded the military operation, but also more senior </w:t>
      </w:r>
      <w:r w:rsidR="00D20F46" w:rsidRPr="001148C2">
        <w:rPr>
          <w:rFonts w:asciiTheme="majorHAnsi" w:hAnsiTheme="majorHAnsi" w:cstheme="majorHAnsi"/>
          <w:sz w:val="24"/>
          <w:szCs w:val="24"/>
        </w:rPr>
        <w:t>imperial administration officials</w:t>
      </w:r>
      <w:r w:rsidRPr="001148C2">
        <w:rPr>
          <w:rFonts w:asciiTheme="majorHAnsi" w:hAnsiTheme="majorHAnsi" w:cstheme="majorHAnsi"/>
          <w:sz w:val="24"/>
          <w:szCs w:val="24"/>
        </w:rPr>
        <w:t xml:space="preserve">, namely the </w:t>
      </w:r>
      <w:r w:rsidRPr="001148C2">
        <w:rPr>
          <w:rFonts w:asciiTheme="majorHAnsi" w:hAnsiTheme="majorHAnsi" w:cstheme="majorHAnsi"/>
          <w:i/>
          <w:iCs/>
          <w:sz w:val="24"/>
          <w:szCs w:val="24"/>
        </w:rPr>
        <w:t xml:space="preserve">comes </w:t>
      </w:r>
      <w:proofErr w:type="spellStart"/>
      <w:r w:rsidRPr="001148C2">
        <w:rPr>
          <w:rFonts w:asciiTheme="majorHAnsi" w:hAnsiTheme="majorHAnsi" w:cstheme="majorHAnsi"/>
          <w:sz w:val="24"/>
          <w:szCs w:val="24"/>
        </w:rPr>
        <w:t>Leontius</w:t>
      </w:r>
      <w:proofErr w:type="spellEnd"/>
      <w:r w:rsidRPr="001148C2">
        <w:rPr>
          <w:rFonts w:asciiTheme="majorHAnsi" w:hAnsiTheme="majorHAnsi" w:cstheme="majorHAnsi"/>
          <w:sz w:val="24"/>
          <w:szCs w:val="24"/>
        </w:rPr>
        <w:t xml:space="preserve"> and the </w:t>
      </w:r>
      <w:r w:rsidRPr="001148C2">
        <w:rPr>
          <w:rFonts w:asciiTheme="majorHAnsi" w:hAnsiTheme="majorHAnsi" w:cstheme="majorHAnsi"/>
          <w:i/>
          <w:iCs/>
          <w:sz w:val="24"/>
          <w:szCs w:val="24"/>
        </w:rPr>
        <w:t xml:space="preserve">dux </w:t>
      </w:r>
      <w:proofErr w:type="spellStart"/>
      <w:r w:rsidRPr="001148C2">
        <w:rPr>
          <w:rFonts w:asciiTheme="majorHAnsi" w:hAnsiTheme="majorHAnsi" w:cstheme="majorHAnsi"/>
          <w:sz w:val="24"/>
          <w:szCs w:val="24"/>
        </w:rPr>
        <w:t>Ursatius</w:t>
      </w:r>
      <w:proofErr w:type="spellEnd"/>
      <w:r w:rsidRPr="001148C2">
        <w:rPr>
          <w:rFonts w:asciiTheme="majorHAnsi" w:hAnsiTheme="majorHAnsi" w:cstheme="majorHAnsi"/>
          <w:sz w:val="24"/>
          <w:szCs w:val="24"/>
        </w:rPr>
        <w:t>.</w:t>
      </w:r>
      <w:r w:rsidRPr="001148C2">
        <w:rPr>
          <w:rFonts w:asciiTheme="majorHAnsi" w:hAnsiTheme="majorHAnsi" w:cstheme="majorHAnsi"/>
          <w:sz w:val="24"/>
          <w:szCs w:val="24"/>
          <w:shd w:val="clear" w:color="auto" w:fill="FF9900"/>
          <w:vertAlign w:val="superscript"/>
        </w:rPr>
        <w:endnoteReference w:id="16"/>
      </w:r>
      <w:r w:rsidRPr="001148C2">
        <w:rPr>
          <w:rFonts w:asciiTheme="majorHAnsi" w:hAnsiTheme="majorHAnsi" w:cstheme="majorHAnsi"/>
          <w:sz w:val="24"/>
          <w:szCs w:val="24"/>
        </w:rPr>
        <w:t xml:space="preserve"> The cleric ultimately holds Emperor Constantine responsible for the </w:t>
      </w:r>
      <w:r w:rsidR="00EE4EB6" w:rsidRPr="001148C2">
        <w:rPr>
          <w:rFonts w:asciiTheme="majorHAnsi" w:hAnsiTheme="majorHAnsi" w:cstheme="majorHAnsi"/>
          <w:sz w:val="24"/>
          <w:szCs w:val="24"/>
        </w:rPr>
        <w:t>brutal act of repression</w:t>
      </w:r>
      <w:r w:rsidRPr="001148C2">
        <w:rPr>
          <w:rFonts w:asciiTheme="majorHAnsi" w:hAnsiTheme="majorHAnsi" w:cstheme="majorHAnsi"/>
          <w:sz w:val="24"/>
          <w:szCs w:val="24"/>
        </w:rPr>
        <w:t xml:space="preserve">, even though he refrains from naming him explicitly. </w:t>
      </w:r>
      <w:r w:rsidR="00D20F46" w:rsidRPr="001148C2">
        <w:rPr>
          <w:rFonts w:asciiTheme="majorHAnsi" w:hAnsiTheme="majorHAnsi" w:cstheme="majorHAnsi"/>
          <w:sz w:val="24"/>
          <w:szCs w:val="24"/>
        </w:rPr>
        <w:t xml:space="preserve">The </w:t>
      </w:r>
      <w:r w:rsidRPr="001148C2">
        <w:rPr>
          <w:rFonts w:asciiTheme="majorHAnsi" w:hAnsiTheme="majorHAnsi" w:cstheme="majorHAnsi"/>
          <w:sz w:val="24"/>
          <w:szCs w:val="24"/>
        </w:rPr>
        <w:t>sermon</w:t>
      </w:r>
      <w:r w:rsidR="00D20F46" w:rsidRPr="001148C2">
        <w:rPr>
          <w:rFonts w:asciiTheme="majorHAnsi" w:hAnsiTheme="majorHAnsi" w:cstheme="majorHAnsi"/>
          <w:sz w:val="24"/>
          <w:szCs w:val="24"/>
        </w:rPr>
        <w:t xml:space="preserve"> aligns </w:t>
      </w:r>
      <w:r w:rsidRPr="001148C2">
        <w:rPr>
          <w:rFonts w:asciiTheme="majorHAnsi" w:hAnsiTheme="majorHAnsi" w:cstheme="majorHAnsi"/>
          <w:sz w:val="24"/>
          <w:szCs w:val="24"/>
        </w:rPr>
        <w:t xml:space="preserve">the emperor with the </w:t>
      </w:r>
      <w:proofErr w:type="spellStart"/>
      <w:r w:rsidRPr="001148C2">
        <w:rPr>
          <w:rFonts w:asciiTheme="majorHAnsi" w:hAnsiTheme="majorHAnsi" w:cstheme="majorHAnsi"/>
          <w:i/>
          <w:iCs/>
          <w:sz w:val="24"/>
          <w:szCs w:val="24"/>
        </w:rPr>
        <w:t>inveteratus</w:t>
      </w:r>
      <w:proofErr w:type="spellEnd"/>
      <w:r w:rsidRPr="001148C2">
        <w:rPr>
          <w:rFonts w:asciiTheme="majorHAnsi" w:hAnsiTheme="majorHAnsi" w:cstheme="majorHAnsi"/>
          <w:i/>
          <w:iCs/>
          <w:sz w:val="24"/>
          <w:szCs w:val="24"/>
        </w:rPr>
        <w:t xml:space="preserve"> </w:t>
      </w:r>
      <w:proofErr w:type="spellStart"/>
      <w:r w:rsidRPr="001148C2">
        <w:rPr>
          <w:rFonts w:asciiTheme="majorHAnsi" w:hAnsiTheme="majorHAnsi" w:cstheme="majorHAnsi"/>
          <w:i/>
          <w:iCs/>
          <w:sz w:val="24"/>
          <w:szCs w:val="24"/>
        </w:rPr>
        <w:t>draco</w:t>
      </w:r>
      <w:proofErr w:type="spellEnd"/>
      <w:r w:rsidRPr="001148C2">
        <w:rPr>
          <w:rFonts w:asciiTheme="majorHAnsi" w:hAnsiTheme="majorHAnsi" w:cstheme="majorHAnsi"/>
          <w:sz w:val="24"/>
          <w:szCs w:val="24"/>
        </w:rPr>
        <w:t xml:space="preserve">, with Satan himself. According to the homiletic logic of the address, evil spreads outward from the imperial center, taking hold of state actors and Christians alike who falsely claim to represent the faith. Among the latter, particular emphasis is placed on Caecilian, who was designated a </w:t>
      </w:r>
      <w:proofErr w:type="spellStart"/>
      <w:r w:rsidRPr="001148C2">
        <w:rPr>
          <w:rFonts w:asciiTheme="majorHAnsi" w:hAnsiTheme="majorHAnsi" w:cstheme="majorHAnsi"/>
          <w:sz w:val="24"/>
          <w:szCs w:val="24"/>
        </w:rPr>
        <w:t>pseudoepiscopus</w:t>
      </w:r>
      <w:proofErr w:type="spellEnd"/>
      <w:r w:rsidRPr="001148C2">
        <w:rPr>
          <w:rFonts w:asciiTheme="majorHAnsi" w:hAnsiTheme="majorHAnsi" w:cstheme="majorHAnsi"/>
          <w:sz w:val="24"/>
          <w:szCs w:val="24"/>
        </w:rPr>
        <w:t xml:space="preserve"> (a pseudo-bishop) and portrayed as a cruel adversary of true religion. The sermon thus sketches what it terms a </w:t>
      </w:r>
      <w:proofErr w:type="spellStart"/>
      <w:r w:rsidRPr="001148C2">
        <w:rPr>
          <w:rFonts w:asciiTheme="majorHAnsi" w:hAnsiTheme="majorHAnsi" w:cstheme="majorHAnsi"/>
          <w:i/>
          <w:iCs/>
          <w:sz w:val="24"/>
          <w:szCs w:val="24"/>
        </w:rPr>
        <w:t>Satanae</w:t>
      </w:r>
      <w:proofErr w:type="spellEnd"/>
      <w:r w:rsidRPr="001148C2">
        <w:rPr>
          <w:rFonts w:asciiTheme="majorHAnsi" w:hAnsiTheme="majorHAnsi" w:cstheme="majorHAnsi"/>
          <w:i/>
          <w:iCs/>
          <w:sz w:val="24"/>
          <w:szCs w:val="24"/>
        </w:rPr>
        <w:t xml:space="preserve"> </w:t>
      </w:r>
      <w:proofErr w:type="spellStart"/>
      <w:r w:rsidRPr="001148C2">
        <w:rPr>
          <w:rFonts w:asciiTheme="majorHAnsi" w:hAnsiTheme="majorHAnsi" w:cstheme="majorHAnsi"/>
          <w:i/>
          <w:iCs/>
          <w:sz w:val="24"/>
          <w:szCs w:val="24"/>
        </w:rPr>
        <w:t>transfiguratio</w:t>
      </w:r>
      <w:proofErr w:type="spellEnd"/>
      <w:r w:rsidRPr="001148C2">
        <w:rPr>
          <w:rFonts w:asciiTheme="majorHAnsi" w:hAnsiTheme="majorHAnsi" w:cstheme="majorHAnsi"/>
          <w:sz w:val="24"/>
          <w:szCs w:val="24"/>
        </w:rPr>
        <w:t xml:space="preserve"> (i.e., the deceptive transformation of Satan), through which those who present themselves as defenders of Christianity, yet are animated by a destructive hatred toward the self-sacrificing community, are unmasked as the real enemies of the faith.</w:t>
      </w:r>
      <w:r w:rsidRPr="001148C2">
        <w:rPr>
          <w:rFonts w:asciiTheme="majorHAnsi" w:hAnsiTheme="majorHAnsi" w:cstheme="majorHAnsi"/>
          <w:sz w:val="24"/>
          <w:szCs w:val="24"/>
          <w:shd w:val="clear" w:color="auto" w:fill="FF9900"/>
          <w:vertAlign w:val="superscript"/>
        </w:rPr>
        <w:endnoteReference w:id="17"/>
      </w:r>
      <w:r w:rsidRPr="001148C2">
        <w:rPr>
          <w:rFonts w:asciiTheme="majorHAnsi" w:hAnsiTheme="majorHAnsi" w:cstheme="majorHAnsi"/>
          <w:sz w:val="24"/>
          <w:szCs w:val="24"/>
        </w:rPr>
        <w:t xml:space="preserve"> </w:t>
      </w:r>
    </w:p>
    <w:p w:rsidR="008A7D26" w:rsidRPr="001148C2" w:rsidRDefault="008A7D26" w:rsidP="00C11028">
      <w:pPr>
        <w:spacing w:after="60" w:line="240" w:lineRule="auto"/>
        <w:ind w:firstLine="567"/>
        <w:rPr>
          <w:rFonts w:asciiTheme="majorHAnsi" w:hAnsiTheme="majorHAnsi" w:cstheme="majorHAnsi"/>
          <w:sz w:val="24"/>
          <w:szCs w:val="24"/>
        </w:rPr>
      </w:pPr>
      <w:r w:rsidRPr="001148C2">
        <w:rPr>
          <w:rFonts w:asciiTheme="majorHAnsi" w:hAnsiTheme="majorHAnsi" w:cstheme="majorHAnsi"/>
          <w:sz w:val="24"/>
          <w:szCs w:val="24"/>
        </w:rPr>
        <w:t>The commemorative address delivered in honor of the victims, which was evidently circulated also in written form,</w:t>
      </w:r>
      <w:r w:rsidRPr="001148C2">
        <w:rPr>
          <w:rFonts w:asciiTheme="majorHAnsi" w:hAnsiTheme="majorHAnsi" w:cstheme="majorHAnsi"/>
          <w:sz w:val="24"/>
          <w:szCs w:val="24"/>
          <w:shd w:val="clear" w:color="auto" w:fill="FF9900"/>
          <w:vertAlign w:val="superscript"/>
        </w:rPr>
        <w:endnoteReference w:id="18"/>
      </w:r>
      <w:r w:rsidRPr="001148C2">
        <w:rPr>
          <w:rFonts w:asciiTheme="majorHAnsi" w:hAnsiTheme="majorHAnsi" w:cstheme="majorHAnsi"/>
          <w:sz w:val="24"/>
          <w:szCs w:val="24"/>
        </w:rPr>
        <w:t xml:space="preserve"> offers valuable insights into the memorial culture and identity formation within a Christian community that was subject to particularly harsh repression. After the dramatic events, the survivors buried the slain in and around the congregation’s assembly place, where the violence had occurred. Their grave tituli preserved their names and honored the self-sacrificing zeal for truth through which they had proven themselves before God as glorious martyrs.</w:t>
      </w:r>
      <w:r w:rsidRPr="001148C2">
        <w:rPr>
          <w:rFonts w:asciiTheme="majorHAnsi" w:hAnsiTheme="majorHAnsi" w:cstheme="majorHAnsi"/>
          <w:sz w:val="24"/>
          <w:szCs w:val="24"/>
          <w:shd w:val="clear" w:color="auto" w:fill="FF9900"/>
          <w:vertAlign w:val="superscript"/>
        </w:rPr>
        <w:endnoteReference w:id="19"/>
      </w:r>
      <w:r w:rsidRPr="001148C2">
        <w:rPr>
          <w:rFonts w:asciiTheme="majorHAnsi" w:hAnsiTheme="majorHAnsi" w:cstheme="majorHAnsi"/>
          <w:sz w:val="24"/>
          <w:szCs w:val="24"/>
        </w:rPr>
        <w:t xml:space="preserve"> In this way, the site became a </w:t>
      </w:r>
      <w:r w:rsidRPr="001148C2">
        <w:rPr>
          <w:rFonts w:asciiTheme="majorHAnsi" w:hAnsiTheme="majorHAnsi" w:cstheme="majorHAnsi"/>
          <w:sz w:val="24"/>
          <w:szCs w:val="24"/>
        </w:rPr>
        <w:lastRenderedPageBreak/>
        <w:t xml:space="preserve">memorial to Christian triumph over repression and served to bind the community ever more tightly. The content and context of the sermon make clear that, already in the first years after the massacre, the community gathering space had evolved into a place of living martyr veneration and of resistance alike, directed both against imperial authority and competing Christian communities. The communal gathering place itself thus functioned as a memorial, symbolically charged by the martyrs’ graves and their inscriptions. The community had created a powerful monument of Christian triumph over its adversaries and had, as it were, signed it with the blood of its own members. With the introduction of a commemorative day, marked by liturgical performances, religious orations, and the dissemination of writings reinforcing communal identity, this memory was perpetuated, continually </w:t>
      </w:r>
      <w:proofErr w:type="spellStart"/>
      <w:r w:rsidRPr="001148C2">
        <w:rPr>
          <w:rFonts w:asciiTheme="majorHAnsi" w:hAnsiTheme="majorHAnsi" w:cstheme="majorHAnsi"/>
          <w:sz w:val="24"/>
          <w:szCs w:val="24"/>
        </w:rPr>
        <w:t>reactualized</w:t>
      </w:r>
      <w:proofErr w:type="spellEnd"/>
      <w:r w:rsidRPr="001148C2">
        <w:rPr>
          <w:rFonts w:asciiTheme="majorHAnsi" w:hAnsiTheme="majorHAnsi" w:cstheme="majorHAnsi"/>
          <w:sz w:val="24"/>
          <w:szCs w:val="24"/>
        </w:rPr>
        <w:t>, and strategically politicized. The martyr cult thus became a highly flexible instrument in the community’s struggle with the outside world over credibility and interpretive authority.</w:t>
      </w:r>
      <w:r w:rsidRPr="001148C2">
        <w:rPr>
          <w:rFonts w:asciiTheme="majorHAnsi" w:hAnsiTheme="majorHAnsi" w:cstheme="majorHAnsi"/>
          <w:sz w:val="24"/>
          <w:szCs w:val="24"/>
          <w:shd w:val="clear" w:color="auto" w:fill="FF9900"/>
          <w:vertAlign w:val="superscript"/>
        </w:rPr>
        <w:endnoteReference w:id="20"/>
      </w:r>
    </w:p>
    <w:p w:rsidR="008A7D26" w:rsidRPr="001148C2" w:rsidRDefault="008A7D26" w:rsidP="00482093">
      <w:pPr>
        <w:spacing w:after="60" w:line="240" w:lineRule="auto"/>
        <w:ind w:firstLine="567"/>
        <w:rPr>
          <w:rFonts w:asciiTheme="majorHAnsi" w:hAnsiTheme="majorHAnsi" w:cstheme="majorHAnsi"/>
          <w:sz w:val="24"/>
          <w:szCs w:val="24"/>
        </w:rPr>
      </w:pPr>
      <w:r w:rsidRPr="001148C2">
        <w:rPr>
          <w:rFonts w:asciiTheme="majorHAnsi" w:hAnsiTheme="majorHAnsi" w:cstheme="majorHAnsi"/>
          <w:sz w:val="24"/>
          <w:szCs w:val="24"/>
        </w:rPr>
        <w:t xml:space="preserve">The events of 317 and their consequences are of particular interest here as the community was forced to endure an act of repression not initiated by a pagan ruler, but by an emperor who would enter history as the first Christian ruler of the Roman Empire. The drastic action against the community in Carthage, therefore, does not reflect a fundamentally hostile stance toward Christianity of the kind that had characterized earlier waves of </w:t>
      </w:r>
      <w:r w:rsidR="009349AE" w:rsidRPr="001148C2">
        <w:rPr>
          <w:rFonts w:asciiTheme="majorHAnsi" w:hAnsiTheme="majorHAnsi" w:cstheme="majorHAnsi"/>
          <w:sz w:val="24"/>
          <w:szCs w:val="24"/>
        </w:rPr>
        <w:t>oppression</w:t>
      </w:r>
      <w:r w:rsidRPr="001148C2">
        <w:rPr>
          <w:rFonts w:asciiTheme="majorHAnsi" w:hAnsiTheme="majorHAnsi" w:cstheme="majorHAnsi"/>
          <w:sz w:val="24"/>
          <w:szCs w:val="24"/>
        </w:rPr>
        <w:t>. Instead, it marks the culmination of an imperial effort to impose unity (</w:t>
      </w:r>
      <w:proofErr w:type="spellStart"/>
      <w:r w:rsidRPr="001148C2">
        <w:rPr>
          <w:rFonts w:asciiTheme="majorHAnsi" w:hAnsiTheme="majorHAnsi" w:cstheme="majorHAnsi"/>
          <w:i/>
          <w:iCs/>
          <w:sz w:val="24"/>
          <w:szCs w:val="24"/>
        </w:rPr>
        <w:t>unitas</w:t>
      </w:r>
      <w:proofErr w:type="spellEnd"/>
      <w:r w:rsidRPr="001148C2">
        <w:rPr>
          <w:rFonts w:asciiTheme="majorHAnsi" w:hAnsiTheme="majorHAnsi" w:cstheme="majorHAnsi"/>
          <w:sz w:val="24"/>
          <w:szCs w:val="24"/>
        </w:rPr>
        <w:t>) upon Christianity. Paradoxically, it seems, Constantine</w:t>
      </w:r>
      <w:r w:rsidR="00EE4EB6" w:rsidRPr="001148C2">
        <w:rPr>
          <w:rFonts w:asciiTheme="majorHAnsi" w:hAnsiTheme="majorHAnsi" w:cstheme="majorHAnsi"/>
          <w:sz w:val="24"/>
          <w:szCs w:val="24"/>
        </w:rPr>
        <w:t>, to achieve this aim,</w:t>
      </w:r>
      <w:r w:rsidRPr="001148C2">
        <w:rPr>
          <w:rFonts w:asciiTheme="majorHAnsi" w:hAnsiTheme="majorHAnsi" w:cstheme="majorHAnsi"/>
          <w:sz w:val="24"/>
          <w:szCs w:val="24"/>
        </w:rPr>
        <w:t xml:space="preserve"> reactivated and adapted an established instrument of anti-Christian imperial religious policy: persecution. In earlier periods, this instrument had been deployed indiscriminately against Christians in attempts to slow, suppress, or even reverse the spread of their communities.</w:t>
      </w:r>
      <w:r w:rsidRPr="001148C2">
        <w:rPr>
          <w:rFonts w:asciiTheme="majorHAnsi" w:hAnsiTheme="majorHAnsi" w:cstheme="majorHAnsi"/>
          <w:sz w:val="24"/>
          <w:szCs w:val="24"/>
          <w:shd w:val="clear" w:color="auto" w:fill="FF9900"/>
          <w:vertAlign w:val="superscript"/>
        </w:rPr>
        <w:endnoteReference w:id="21"/>
      </w:r>
      <w:r w:rsidRPr="001148C2">
        <w:rPr>
          <w:rFonts w:asciiTheme="majorHAnsi" w:hAnsiTheme="majorHAnsi" w:cstheme="majorHAnsi"/>
          <w:sz w:val="24"/>
          <w:szCs w:val="24"/>
        </w:rPr>
        <w:t xml:space="preserve"> Constantine now redeployed persecution in a modified form as an instrument of his own religious policy, directing it selectively against Christian communities that resisted incorporation into a unified ecclesiastical hierarchy.</w:t>
      </w:r>
    </w:p>
    <w:p w:rsidR="00A161CD" w:rsidRPr="001148C2" w:rsidRDefault="008A7D26" w:rsidP="00EB496B">
      <w:pPr>
        <w:spacing w:after="60" w:line="240" w:lineRule="auto"/>
        <w:ind w:firstLine="567"/>
        <w:rPr>
          <w:rFonts w:asciiTheme="majorHAnsi" w:hAnsiTheme="majorHAnsi" w:cstheme="majorHAnsi"/>
          <w:sz w:val="24"/>
          <w:szCs w:val="24"/>
        </w:rPr>
      </w:pPr>
      <w:r w:rsidRPr="001148C2">
        <w:rPr>
          <w:rFonts w:asciiTheme="majorHAnsi" w:hAnsiTheme="majorHAnsi" w:cstheme="majorHAnsi"/>
          <w:sz w:val="24"/>
          <w:szCs w:val="24"/>
        </w:rPr>
        <w:t>The escalation of 317 had been preceded by sustained and carefully coordinated efforts by the imperial authorities to resolve an internal Christian conflict that clearly had the potential to strain public order in North Africa. Over several years, the central government, in close consultation with local officials and Christian actors on the ground, sought to identify nonviolent means of conflict resolution.</w:t>
      </w:r>
      <w:r w:rsidR="00A161CD" w:rsidRPr="001148C2">
        <w:rPr>
          <w:rStyle w:val="Endnotenzeichen"/>
          <w:rFonts w:asciiTheme="majorHAnsi" w:hAnsiTheme="majorHAnsi" w:cstheme="majorHAnsi"/>
          <w:sz w:val="24"/>
          <w:szCs w:val="24"/>
        </w:rPr>
        <w:endnoteReference w:id="22"/>
      </w:r>
      <w:r w:rsidR="00A161CD" w:rsidRPr="001148C2">
        <w:rPr>
          <w:rFonts w:asciiTheme="majorHAnsi" w:hAnsiTheme="majorHAnsi" w:cstheme="majorHAnsi"/>
          <w:sz w:val="24"/>
          <w:szCs w:val="24"/>
        </w:rPr>
        <w:t xml:space="preserve"> It was only when these efforts failed that Constantine, toward the end of 316 or the beginning of 317, formally decreed </w:t>
      </w:r>
      <w:proofErr w:type="spellStart"/>
      <w:r w:rsidR="00A161CD" w:rsidRPr="001148C2">
        <w:rPr>
          <w:rFonts w:asciiTheme="majorHAnsi" w:hAnsiTheme="majorHAnsi" w:cstheme="majorHAnsi"/>
          <w:i/>
          <w:iCs/>
          <w:sz w:val="24"/>
          <w:szCs w:val="24"/>
        </w:rPr>
        <w:t>unitas</w:t>
      </w:r>
      <w:proofErr w:type="spellEnd"/>
      <w:r w:rsidR="00A161CD" w:rsidRPr="001148C2">
        <w:rPr>
          <w:rFonts w:asciiTheme="majorHAnsi" w:hAnsiTheme="majorHAnsi" w:cstheme="majorHAnsi"/>
          <w:sz w:val="24"/>
          <w:szCs w:val="24"/>
        </w:rPr>
        <w:t>, ecclesiastical unity. Constantine’s decree of unity constituted the immediate precondition for enforcing ecclesiastical unity and provided the decisive legitimation for employing coercive means. It furnished the normative foundation for framing military action against the Donatist community as a logically consistent course of action. Those who continued to resist the imperial directive could now, under the decree, be subjected by force to the religious authority claimed by the emperor and to the “catholic” bishops whom he recognized as the only legitimate representatives of the Christian faith. The commando operation against the dissenting community in Carthage in 317 was thus intended to demonstrate the ultimate resolve of imperial power to enforce ecclesiastical unity by any means available.</w:t>
      </w:r>
      <w:r w:rsidR="00A161CD" w:rsidRPr="001148C2">
        <w:rPr>
          <w:rFonts w:asciiTheme="majorHAnsi" w:hAnsiTheme="majorHAnsi" w:cstheme="majorHAnsi"/>
          <w:sz w:val="24"/>
          <w:szCs w:val="24"/>
          <w:shd w:val="clear" w:color="auto" w:fill="FF9900"/>
          <w:vertAlign w:val="superscript"/>
        </w:rPr>
        <w:endnoteReference w:id="23"/>
      </w:r>
      <w:r w:rsidR="00A161CD" w:rsidRPr="001148C2">
        <w:rPr>
          <w:rFonts w:asciiTheme="majorHAnsi" w:hAnsiTheme="majorHAnsi" w:cstheme="majorHAnsi"/>
          <w:sz w:val="24"/>
          <w:szCs w:val="24"/>
          <w:shd w:val="clear" w:color="auto" w:fill="FF9900"/>
          <w:vertAlign w:val="superscript"/>
        </w:rPr>
        <w:t xml:space="preserve"> </w:t>
      </w:r>
      <w:r w:rsidR="00A161CD" w:rsidRPr="001148C2">
        <w:rPr>
          <w:rFonts w:asciiTheme="majorHAnsi" w:hAnsiTheme="majorHAnsi" w:cstheme="majorHAnsi"/>
          <w:sz w:val="24"/>
          <w:szCs w:val="24"/>
        </w:rPr>
        <w:t xml:space="preserve"> </w:t>
      </w:r>
    </w:p>
    <w:p w:rsidR="00A161CD" w:rsidRPr="001148C2" w:rsidRDefault="00A161CD" w:rsidP="00147132">
      <w:pPr>
        <w:spacing w:after="60" w:line="240" w:lineRule="auto"/>
        <w:ind w:firstLine="567"/>
        <w:rPr>
          <w:rFonts w:asciiTheme="majorHAnsi" w:hAnsiTheme="majorHAnsi" w:cstheme="majorHAnsi"/>
          <w:sz w:val="24"/>
          <w:szCs w:val="24"/>
        </w:rPr>
      </w:pPr>
      <w:r w:rsidRPr="001148C2">
        <w:rPr>
          <w:rFonts w:asciiTheme="majorHAnsi" w:hAnsiTheme="majorHAnsi" w:cstheme="majorHAnsi"/>
          <w:sz w:val="24"/>
          <w:szCs w:val="24"/>
        </w:rPr>
        <w:t xml:space="preserve">The text of that formal decree of unity has not survived independently, but the sermon-like oration discussed above addresses it explicitly; the phrase </w:t>
      </w:r>
      <w:r w:rsidRPr="001148C2">
        <w:rPr>
          <w:rFonts w:asciiTheme="majorHAnsi" w:hAnsiTheme="majorHAnsi" w:cstheme="majorHAnsi"/>
          <w:i/>
          <w:iCs/>
          <w:sz w:val="24"/>
          <w:szCs w:val="24"/>
        </w:rPr>
        <w:t xml:space="preserve">Christus </w:t>
      </w:r>
      <w:proofErr w:type="spellStart"/>
      <w:r w:rsidRPr="001148C2">
        <w:rPr>
          <w:rFonts w:asciiTheme="majorHAnsi" w:hAnsiTheme="majorHAnsi" w:cstheme="majorHAnsi"/>
          <w:i/>
          <w:iCs/>
          <w:sz w:val="24"/>
          <w:szCs w:val="24"/>
        </w:rPr>
        <w:t>amator</w:t>
      </w:r>
      <w:proofErr w:type="spellEnd"/>
      <w:r w:rsidRPr="001148C2">
        <w:rPr>
          <w:rFonts w:asciiTheme="majorHAnsi" w:hAnsiTheme="majorHAnsi" w:cstheme="majorHAnsi"/>
          <w:i/>
          <w:iCs/>
          <w:sz w:val="24"/>
          <w:szCs w:val="24"/>
        </w:rPr>
        <w:t xml:space="preserve"> </w:t>
      </w:r>
      <w:proofErr w:type="spellStart"/>
      <w:r w:rsidRPr="001148C2">
        <w:rPr>
          <w:rFonts w:asciiTheme="majorHAnsi" w:hAnsiTheme="majorHAnsi" w:cstheme="majorHAnsi"/>
          <w:i/>
          <w:iCs/>
          <w:sz w:val="24"/>
          <w:szCs w:val="24"/>
        </w:rPr>
        <w:t>unitatis</w:t>
      </w:r>
      <w:proofErr w:type="spellEnd"/>
      <w:r w:rsidRPr="001148C2">
        <w:rPr>
          <w:rFonts w:asciiTheme="majorHAnsi" w:hAnsiTheme="majorHAnsi" w:cstheme="majorHAnsi"/>
          <w:i/>
          <w:iCs/>
          <w:sz w:val="24"/>
          <w:szCs w:val="24"/>
        </w:rPr>
        <w:t xml:space="preserve"> </w:t>
      </w:r>
      <w:proofErr w:type="spellStart"/>
      <w:r w:rsidRPr="001148C2">
        <w:rPr>
          <w:rFonts w:asciiTheme="majorHAnsi" w:hAnsiTheme="majorHAnsi" w:cstheme="majorHAnsi"/>
          <w:i/>
          <w:iCs/>
          <w:sz w:val="24"/>
          <w:szCs w:val="24"/>
        </w:rPr>
        <w:t>est</w:t>
      </w:r>
      <w:proofErr w:type="spellEnd"/>
      <w:r w:rsidRPr="001148C2">
        <w:rPr>
          <w:rFonts w:asciiTheme="majorHAnsi" w:hAnsiTheme="majorHAnsi" w:cstheme="majorHAnsi"/>
          <w:i/>
          <w:iCs/>
          <w:sz w:val="24"/>
          <w:szCs w:val="24"/>
        </w:rPr>
        <w:t xml:space="preserve">, </w:t>
      </w:r>
      <w:proofErr w:type="spellStart"/>
      <w:r w:rsidRPr="001148C2">
        <w:rPr>
          <w:rFonts w:asciiTheme="majorHAnsi" w:hAnsiTheme="majorHAnsi" w:cstheme="majorHAnsi"/>
          <w:i/>
          <w:iCs/>
          <w:sz w:val="24"/>
          <w:szCs w:val="24"/>
        </w:rPr>
        <w:t>unitas</w:t>
      </w:r>
      <w:proofErr w:type="spellEnd"/>
      <w:r w:rsidRPr="001148C2">
        <w:rPr>
          <w:rFonts w:asciiTheme="majorHAnsi" w:hAnsiTheme="majorHAnsi" w:cstheme="majorHAnsi"/>
          <w:i/>
          <w:iCs/>
          <w:sz w:val="24"/>
          <w:szCs w:val="24"/>
        </w:rPr>
        <w:t xml:space="preserve"> </w:t>
      </w:r>
      <w:proofErr w:type="spellStart"/>
      <w:r w:rsidRPr="001148C2">
        <w:rPr>
          <w:rFonts w:asciiTheme="majorHAnsi" w:hAnsiTheme="majorHAnsi" w:cstheme="majorHAnsi"/>
          <w:i/>
          <w:iCs/>
          <w:sz w:val="24"/>
          <w:szCs w:val="24"/>
        </w:rPr>
        <w:t>igitur</w:t>
      </w:r>
      <w:proofErr w:type="spellEnd"/>
      <w:r w:rsidRPr="001148C2">
        <w:rPr>
          <w:rFonts w:asciiTheme="majorHAnsi" w:hAnsiTheme="majorHAnsi" w:cstheme="majorHAnsi"/>
          <w:i/>
          <w:iCs/>
          <w:sz w:val="24"/>
          <w:szCs w:val="24"/>
        </w:rPr>
        <w:t xml:space="preserve"> fiat</w:t>
      </w:r>
      <w:r w:rsidRPr="001148C2">
        <w:rPr>
          <w:rFonts w:asciiTheme="majorHAnsi" w:hAnsiTheme="majorHAnsi" w:cstheme="majorHAnsi"/>
          <w:sz w:val="24"/>
          <w:szCs w:val="24"/>
        </w:rPr>
        <w:t xml:space="preserve"> (“Christ is the lover of unity. Therefore, let there be unity.”) seems to be quoted directly from the decree.</w:t>
      </w:r>
      <w:r w:rsidRPr="001148C2">
        <w:rPr>
          <w:rFonts w:asciiTheme="majorHAnsi" w:hAnsiTheme="majorHAnsi" w:cstheme="majorHAnsi"/>
          <w:sz w:val="24"/>
          <w:szCs w:val="24"/>
          <w:vertAlign w:val="superscript"/>
        </w:rPr>
        <w:endnoteReference w:id="24"/>
      </w:r>
      <w:r w:rsidRPr="001148C2">
        <w:rPr>
          <w:rFonts w:asciiTheme="majorHAnsi" w:hAnsiTheme="majorHAnsi" w:cstheme="majorHAnsi"/>
          <w:sz w:val="24"/>
          <w:szCs w:val="24"/>
        </w:rPr>
        <w:t xml:space="preserve"> Constantine here invokes the notion of </w:t>
      </w:r>
      <w:proofErr w:type="spellStart"/>
      <w:r w:rsidRPr="001148C2">
        <w:rPr>
          <w:rFonts w:asciiTheme="majorHAnsi" w:hAnsiTheme="majorHAnsi" w:cstheme="majorHAnsi"/>
          <w:i/>
          <w:iCs/>
          <w:sz w:val="24"/>
          <w:szCs w:val="24"/>
        </w:rPr>
        <w:t>unitas</w:t>
      </w:r>
      <w:proofErr w:type="spellEnd"/>
      <w:r w:rsidRPr="001148C2">
        <w:rPr>
          <w:rFonts w:asciiTheme="majorHAnsi" w:hAnsiTheme="majorHAnsi" w:cstheme="majorHAnsi"/>
          <w:sz w:val="24"/>
          <w:szCs w:val="24"/>
        </w:rPr>
        <w:t xml:space="preserve"> with its deep conceptual history. In non-Christian Latin literature, the term appears from Varro through Seneca and Pliny the Elder to Quintilian, </w:t>
      </w:r>
      <w:proofErr w:type="spellStart"/>
      <w:r w:rsidRPr="001148C2">
        <w:rPr>
          <w:rFonts w:asciiTheme="majorHAnsi" w:hAnsiTheme="majorHAnsi" w:cstheme="majorHAnsi"/>
          <w:sz w:val="24"/>
          <w:szCs w:val="24"/>
        </w:rPr>
        <w:t>Gellius</w:t>
      </w:r>
      <w:proofErr w:type="spellEnd"/>
      <w:r w:rsidRPr="001148C2">
        <w:rPr>
          <w:rFonts w:asciiTheme="majorHAnsi" w:hAnsiTheme="majorHAnsi" w:cstheme="majorHAnsi"/>
          <w:sz w:val="24"/>
          <w:szCs w:val="24"/>
        </w:rPr>
        <w:t xml:space="preserve">, and M. </w:t>
      </w:r>
      <w:proofErr w:type="spellStart"/>
      <w:r w:rsidRPr="001148C2">
        <w:rPr>
          <w:rFonts w:asciiTheme="majorHAnsi" w:hAnsiTheme="majorHAnsi" w:cstheme="majorHAnsi"/>
          <w:sz w:val="24"/>
          <w:szCs w:val="24"/>
        </w:rPr>
        <w:t>Iunianus</w:t>
      </w:r>
      <w:proofErr w:type="spellEnd"/>
      <w:r w:rsidRPr="001148C2">
        <w:rPr>
          <w:rFonts w:asciiTheme="majorHAnsi" w:hAnsiTheme="majorHAnsi" w:cstheme="majorHAnsi"/>
          <w:sz w:val="24"/>
          <w:szCs w:val="24"/>
        </w:rPr>
        <w:t xml:space="preserve"> </w:t>
      </w:r>
      <w:proofErr w:type="spellStart"/>
      <w:r w:rsidRPr="001148C2">
        <w:rPr>
          <w:rFonts w:asciiTheme="majorHAnsi" w:hAnsiTheme="majorHAnsi" w:cstheme="majorHAnsi"/>
          <w:sz w:val="24"/>
          <w:szCs w:val="24"/>
        </w:rPr>
        <w:lastRenderedPageBreak/>
        <w:t>Iustinus</w:t>
      </w:r>
      <w:proofErr w:type="spellEnd"/>
      <w:r w:rsidRPr="001148C2">
        <w:rPr>
          <w:rFonts w:asciiTheme="majorHAnsi" w:hAnsiTheme="majorHAnsi" w:cstheme="majorHAnsi"/>
          <w:sz w:val="24"/>
          <w:szCs w:val="24"/>
        </w:rPr>
        <w:t xml:space="preserve">. In Christian writings, it is attested in authors such as </w:t>
      </w:r>
      <w:proofErr w:type="spellStart"/>
      <w:r w:rsidRPr="001148C2">
        <w:rPr>
          <w:rFonts w:asciiTheme="majorHAnsi" w:hAnsiTheme="majorHAnsi" w:cstheme="majorHAnsi"/>
          <w:sz w:val="24"/>
          <w:szCs w:val="24"/>
        </w:rPr>
        <w:t>Minucius</w:t>
      </w:r>
      <w:proofErr w:type="spellEnd"/>
      <w:r w:rsidRPr="001148C2">
        <w:rPr>
          <w:rFonts w:asciiTheme="majorHAnsi" w:hAnsiTheme="majorHAnsi" w:cstheme="majorHAnsi"/>
          <w:sz w:val="24"/>
          <w:szCs w:val="24"/>
        </w:rPr>
        <w:t xml:space="preserve"> Felix, Tertullian, </w:t>
      </w:r>
      <w:proofErr w:type="spellStart"/>
      <w:r w:rsidRPr="001148C2">
        <w:rPr>
          <w:rFonts w:asciiTheme="majorHAnsi" w:hAnsiTheme="majorHAnsi" w:cstheme="majorHAnsi"/>
          <w:sz w:val="24"/>
          <w:szCs w:val="24"/>
        </w:rPr>
        <w:t>Arnobius</w:t>
      </w:r>
      <w:proofErr w:type="spellEnd"/>
      <w:r w:rsidRPr="001148C2">
        <w:rPr>
          <w:rFonts w:asciiTheme="majorHAnsi" w:hAnsiTheme="majorHAnsi" w:cstheme="majorHAnsi"/>
          <w:sz w:val="24"/>
          <w:szCs w:val="24"/>
        </w:rPr>
        <w:t xml:space="preserve">, and </w:t>
      </w:r>
      <w:proofErr w:type="spellStart"/>
      <w:r w:rsidRPr="001148C2">
        <w:rPr>
          <w:rFonts w:asciiTheme="majorHAnsi" w:hAnsiTheme="majorHAnsi" w:cstheme="majorHAnsi"/>
          <w:sz w:val="24"/>
          <w:szCs w:val="24"/>
        </w:rPr>
        <w:t>Lactantius</w:t>
      </w:r>
      <w:proofErr w:type="spellEnd"/>
      <w:r w:rsidRPr="001148C2">
        <w:rPr>
          <w:rFonts w:asciiTheme="majorHAnsi" w:hAnsiTheme="majorHAnsi" w:cstheme="majorHAnsi"/>
          <w:sz w:val="24"/>
          <w:szCs w:val="24"/>
        </w:rPr>
        <w:t xml:space="preserve">, and particularly in the intellectual milieu of Cyprian and in the </w:t>
      </w:r>
      <w:r w:rsidRPr="001148C2">
        <w:rPr>
          <w:rFonts w:asciiTheme="majorHAnsi" w:hAnsiTheme="majorHAnsi" w:cstheme="majorHAnsi"/>
          <w:i/>
          <w:iCs/>
          <w:sz w:val="24"/>
          <w:szCs w:val="24"/>
        </w:rPr>
        <w:t xml:space="preserve">Corpus </w:t>
      </w:r>
      <w:proofErr w:type="spellStart"/>
      <w:r w:rsidRPr="001148C2">
        <w:rPr>
          <w:rFonts w:asciiTheme="majorHAnsi" w:hAnsiTheme="majorHAnsi" w:cstheme="majorHAnsi"/>
          <w:i/>
          <w:iCs/>
          <w:sz w:val="24"/>
          <w:szCs w:val="24"/>
        </w:rPr>
        <w:t>Cyprianum</w:t>
      </w:r>
      <w:proofErr w:type="spellEnd"/>
      <w:r w:rsidRPr="001148C2">
        <w:rPr>
          <w:rFonts w:asciiTheme="majorHAnsi" w:hAnsiTheme="majorHAnsi" w:cstheme="majorHAnsi"/>
          <w:sz w:val="24"/>
          <w:szCs w:val="24"/>
        </w:rPr>
        <w:t xml:space="preserve"> itself.</w:t>
      </w:r>
      <w:r w:rsidRPr="001148C2">
        <w:rPr>
          <w:rFonts w:asciiTheme="majorHAnsi" w:hAnsiTheme="majorHAnsi" w:cstheme="majorHAnsi"/>
          <w:sz w:val="24"/>
          <w:szCs w:val="24"/>
          <w:shd w:val="clear" w:color="auto" w:fill="FF9900"/>
          <w:vertAlign w:val="superscript"/>
        </w:rPr>
        <w:endnoteReference w:id="25"/>
      </w:r>
      <w:r w:rsidRPr="001148C2">
        <w:rPr>
          <w:rFonts w:asciiTheme="majorHAnsi" w:hAnsiTheme="majorHAnsi" w:cstheme="majorHAnsi"/>
          <w:sz w:val="24"/>
          <w:szCs w:val="24"/>
        </w:rPr>
        <w:t xml:space="preserve"> The concept of </w:t>
      </w:r>
      <w:proofErr w:type="spellStart"/>
      <w:r w:rsidRPr="001148C2">
        <w:rPr>
          <w:rFonts w:asciiTheme="majorHAnsi" w:hAnsiTheme="majorHAnsi" w:cstheme="majorHAnsi"/>
          <w:i/>
          <w:iCs/>
          <w:sz w:val="24"/>
          <w:szCs w:val="24"/>
        </w:rPr>
        <w:t>unitas</w:t>
      </w:r>
      <w:proofErr w:type="spellEnd"/>
      <w:r w:rsidRPr="001148C2">
        <w:rPr>
          <w:rFonts w:asciiTheme="majorHAnsi" w:hAnsiTheme="majorHAnsi" w:cstheme="majorHAnsi"/>
          <w:i/>
          <w:iCs/>
          <w:sz w:val="24"/>
          <w:szCs w:val="24"/>
        </w:rPr>
        <w:t xml:space="preserve"> </w:t>
      </w:r>
      <w:r w:rsidRPr="001148C2">
        <w:rPr>
          <w:rFonts w:asciiTheme="majorHAnsi" w:hAnsiTheme="majorHAnsi" w:cstheme="majorHAnsi"/>
          <w:sz w:val="24"/>
          <w:szCs w:val="24"/>
        </w:rPr>
        <w:t xml:space="preserve">denotes not merely numerical unity but an essential, internally coherent wholeness. It is understood as emerging from and remaining bound to a single origin; as a fundamental principle of nature and order; and as a condition whose loss entails suffering and decline. Within Christian discourse, </w:t>
      </w:r>
      <w:proofErr w:type="spellStart"/>
      <w:r w:rsidRPr="001148C2">
        <w:rPr>
          <w:rFonts w:asciiTheme="majorHAnsi" w:hAnsiTheme="majorHAnsi" w:cstheme="majorHAnsi"/>
          <w:i/>
          <w:iCs/>
          <w:sz w:val="24"/>
          <w:szCs w:val="24"/>
        </w:rPr>
        <w:t>unitas</w:t>
      </w:r>
      <w:proofErr w:type="spellEnd"/>
      <w:r w:rsidRPr="001148C2">
        <w:rPr>
          <w:rFonts w:asciiTheme="majorHAnsi" w:hAnsiTheme="majorHAnsi" w:cstheme="majorHAnsi"/>
          <w:sz w:val="24"/>
          <w:szCs w:val="24"/>
        </w:rPr>
        <w:t xml:space="preserve"> gained particular importance in the third century, in response to the pressures of persecution, the accelerating differentiation of Christian convictions, and the resulting intensification of disputes over orthodoxy.</w:t>
      </w:r>
      <w:r w:rsidRPr="001148C2">
        <w:rPr>
          <w:rFonts w:asciiTheme="majorHAnsi" w:hAnsiTheme="majorHAnsi" w:cstheme="majorHAnsi"/>
          <w:sz w:val="24"/>
          <w:szCs w:val="24"/>
          <w:shd w:val="clear" w:color="auto" w:fill="FF9900"/>
          <w:vertAlign w:val="superscript"/>
        </w:rPr>
        <w:endnoteReference w:id="26"/>
      </w:r>
      <w:r w:rsidRPr="001148C2">
        <w:rPr>
          <w:rFonts w:asciiTheme="majorHAnsi" w:hAnsiTheme="majorHAnsi" w:cstheme="majorHAnsi"/>
          <w:sz w:val="24"/>
          <w:szCs w:val="24"/>
        </w:rPr>
        <w:t xml:space="preserve"> The concept attained particular prominence in the controversies surrounding the (absent) unity of Christianity at the Council of Carthage in 251. Constantine’s decree of unity thus tapped into a conceptual repertoire shaped in particular by the bishop Cyprian of Carthage, most specifically in his treatise </w:t>
      </w:r>
      <w:r w:rsidRPr="001148C2">
        <w:rPr>
          <w:rFonts w:asciiTheme="majorHAnsi" w:hAnsiTheme="majorHAnsi" w:cstheme="majorHAnsi"/>
          <w:i/>
          <w:iCs/>
          <w:sz w:val="24"/>
          <w:szCs w:val="24"/>
        </w:rPr>
        <w:t xml:space="preserve">De Ecclesiae </w:t>
      </w:r>
      <w:proofErr w:type="spellStart"/>
      <w:r w:rsidRPr="001148C2">
        <w:rPr>
          <w:rFonts w:asciiTheme="majorHAnsi" w:hAnsiTheme="majorHAnsi" w:cstheme="majorHAnsi"/>
          <w:i/>
          <w:iCs/>
          <w:sz w:val="24"/>
          <w:szCs w:val="24"/>
        </w:rPr>
        <w:t>Catholicae</w:t>
      </w:r>
      <w:proofErr w:type="spellEnd"/>
      <w:r w:rsidRPr="001148C2">
        <w:rPr>
          <w:rFonts w:asciiTheme="majorHAnsi" w:hAnsiTheme="majorHAnsi" w:cstheme="majorHAnsi"/>
          <w:i/>
          <w:iCs/>
          <w:sz w:val="24"/>
          <w:szCs w:val="24"/>
        </w:rPr>
        <w:t xml:space="preserve"> </w:t>
      </w:r>
      <w:proofErr w:type="spellStart"/>
      <w:r w:rsidRPr="001148C2">
        <w:rPr>
          <w:rFonts w:asciiTheme="majorHAnsi" w:hAnsiTheme="majorHAnsi" w:cstheme="majorHAnsi"/>
          <w:i/>
          <w:iCs/>
          <w:sz w:val="24"/>
          <w:szCs w:val="24"/>
        </w:rPr>
        <w:t>Unitate</w:t>
      </w:r>
      <w:proofErr w:type="spellEnd"/>
      <w:r w:rsidRPr="001148C2">
        <w:rPr>
          <w:rFonts w:asciiTheme="majorHAnsi" w:hAnsiTheme="majorHAnsi" w:cstheme="majorHAnsi"/>
          <w:sz w:val="24"/>
          <w:szCs w:val="24"/>
        </w:rPr>
        <w:t xml:space="preserve"> (On the Unity of the Catholic Church), where he formulated a model of Christian episcopal organization conceived as a single, unified body.</w:t>
      </w:r>
      <w:r w:rsidRPr="001148C2">
        <w:rPr>
          <w:rFonts w:asciiTheme="majorHAnsi" w:hAnsiTheme="majorHAnsi" w:cstheme="majorHAnsi"/>
          <w:sz w:val="24"/>
          <w:szCs w:val="24"/>
          <w:shd w:val="clear" w:color="auto" w:fill="FF9900"/>
          <w:vertAlign w:val="superscript"/>
        </w:rPr>
        <w:endnoteReference w:id="27"/>
      </w:r>
      <w:r w:rsidRPr="001148C2">
        <w:rPr>
          <w:rFonts w:asciiTheme="majorHAnsi" w:hAnsiTheme="majorHAnsi" w:cstheme="majorHAnsi"/>
          <w:sz w:val="24"/>
          <w:szCs w:val="24"/>
          <w:shd w:val="clear" w:color="auto" w:fill="FF9900"/>
        </w:rPr>
        <w:t xml:space="preserve"> </w:t>
      </w:r>
    </w:p>
    <w:p w:rsidR="00A161CD" w:rsidRPr="001148C2" w:rsidRDefault="00A161CD" w:rsidP="00EE4EB6">
      <w:pPr>
        <w:spacing w:after="60" w:line="240" w:lineRule="auto"/>
        <w:ind w:firstLine="566"/>
        <w:rPr>
          <w:rFonts w:asciiTheme="majorHAnsi" w:hAnsiTheme="majorHAnsi" w:cstheme="majorHAnsi"/>
          <w:sz w:val="24"/>
          <w:szCs w:val="24"/>
        </w:rPr>
      </w:pPr>
      <w:r w:rsidRPr="001148C2">
        <w:rPr>
          <w:rFonts w:asciiTheme="majorHAnsi" w:hAnsiTheme="majorHAnsi" w:cstheme="majorHAnsi"/>
          <w:sz w:val="24"/>
          <w:szCs w:val="24"/>
        </w:rPr>
        <w:t>Crucially, Constantine’s determination to enforce ecclesiastical unity went hand in hand with his own commitment to a specifically “catholic” position. For the first time in Roman history, a ruler thus took sides within the intra-Christian struggle over orthodoxy, that is, in disputes over Christian truth. It was precisely this alignment with a particular doctrinal stance that rendered divergent views susceptible to sanction as acts of disobedience toward imperial authority. At this precise moment, confession and authority became inextricably intertwined. This fateful coupling would later acquire even greater significance in the controversies over Trinitarian doctrine during the Arian controversy, which unfolded over a far longer period, extended across much wider geographical spaces, and drew in a broader range of ecclesiastical and imperial actors. Ultimately, the linkage between confession and authority, which originated in Constantine’s intervention in the Donatist controversy, came to shape the entire politico-religious order of late antiquity.</w:t>
      </w:r>
    </w:p>
    <w:p w:rsidR="00A161CD" w:rsidRPr="001148C2" w:rsidRDefault="00A161CD" w:rsidP="00042A1F">
      <w:pPr>
        <w:spacing w:after="60" w:line="240" w:lineRule="auto"/>
        <w:rPr>
          <w:rFonts w:asciiTheme="majorHAnsi" w:hAnsiTheme="majorHAnsi" w:cstheme="majorHAnsi"/>
          <w:sz w:val="24"/>
          <w:szCs w:val="24"/>
        </w:rPr>
      </w:pPr>
    </w:p>
    <w:p w:rsidR="00A161CD" w:rsidRPr="001148C2" w:rsidRDefault="00A161CD" w:rsidP="00042A1F">
      <w:pPr>
        <w:spacing w:after="60" w:line="240" w:lineRule="auto"/>
        <w:rPr>
          <w:rFonts w:asciiTheme="majorHAnsi" w:hAnsiTheme="majorHAnsi" w:cstheme="majorHAnsi"/>
          <w:sz w:val="24"/>
          <w:szCs w:val="24"/>
        </w:rPr>
      </w:pPr>
    </w:p>
    <w:p w:rsidR="00A161CD" w:rsidRPr="001148C2" w:rsidRDefault="00A161CD" w:rsidP="00042A1F">
      <w:pPr>
        <w:spacing w:after="60" w:line="240" w:lineRule="auto"/>
        <w:jc w:val="center"/>
        <w:rPr>
          <w:rFonts w:asciiTheme="majorHAnsi" w:hAnsiTheme="majorHAnsi" w:cstheme="majorHAnsi"/>
          <w:sz w:val="24"/>
          <w:szCs w:val="24"/>
        </w:rPr>
      </w:pPr>
      <w:r w:rsidRPr="001148C2">
        <w:rPr>
          <w:rFonts w:asciiTheme="majorHAnsi" w:hAnsiTheme="majorHAnsi" w:cstheme="majorHAnsi"/>
          <w:sz w:val="24"/>
          <w:szCs w:val="24"/>
        </w:rPr>
        <w:t>* * *</w:t>
      </w:r>
    </w:p>
    <w:p w:rsidR="00A161CD" w:rsidRPr="001148C2" w:rsidRDefault="00A161CD" w:rsidP="00292291">
      <w:pPr>
        <w:spacing w:after="60" w:line="240" w:lineRule="auto"/>
        <w:rPr>
          <w:rFonts w:asciiTheme="majorHAnsi" w:hAnsiTheme="majorHAnsi" w:cstheme="majorHAnsi"/>
          <w:sz w:val="24"/>
          <w:szCs w:val="24"/>
        </w:rPr>
      </w:pPr>
      <w:r w:rsidRPr="001148C2">
        <w:rPr>
          <w:rFonts w:asciiTheme="majorHAnsi" w:hAnsiTheme="majorHAnsi" w:cstheme="majorHAnsi"/>
          <w:sz w:val="24"/>
          <w:szCs w:val="24"/>
        </w:rPr>
        <w:t>The military intervention of 317 arguably represents the sharpest escalation in imperial interaction with Christian communities under Constantine. In the overall picture of Constantine’s reign, the incident appears essentially unique; our sources do not attest to any comparable instance of such drastic measures taken against a Christian community that resisted Constantine’s religious policy objectives. Elsewhere, the maximum severity displayed toward recalcitrant Christian groups or individuals took the form of property confiscation, suspension of privileges, removal from office, or exile, measures that, however harsh, stopped short of orchestrated violence against Christian congregations.</w:t>
      </w:r>
      <w:r w:rsidRPr="001148C2">
        <w:rPr>
          <w:rStyle w:val="Endnotenzeichen"/>
          <w:rFonts w:asciiTheme="majorHAnsi" w:hAnsiTheme="majorHAnsi" w:cstheme="majorHAnsi"/>
          <w:sz w:val="24"/>
          <w:szCs w:val="24"/>
        </w:rPr>
        <w:endnoteReference w:id="28"/>
      </w:r>
      <w:r w:rsidRPr="001148C2">
        <w:rPr>
          <w:rFonts w:asciiTheme="majorHAnsi" w:hAnsiTheme="majorHAnsi" w:cstheme="majorHAnsi"/>
          <w:sz w:val="24"/>
          <w:szCs w:val="24"/>
        </w:rPr>
        <w:t xml:space="preserve"> Nevertheless, the incident of Carthage is symptomatic and highly instructive. The events themselves, their antecedents, and their implications expose, with particular clarity, a new logic of conflict that emerged from the religious policy reorientation under Constantine and would become firmly embedded in the configuration of the late antique Christian monarchy. </w:t>
      </w:r>
    </w:p>
    <w:p w:rsidR="00A161CD" w:rsidRPr="001148C2" w:rsidRDefault="00A161CD" w:rsidP="00F475DC">
      <w:pPr>
        <w:spacing w:after="60" w:line="240" w:lineRule="auto"/>
        <w:ind w:firstLine="566"/>
        <w:rPr>
          <w:rFonts w:asciiTheme="majorHAnsi" w:hAnsiTheme="majorHAnsi" w:cstheme="majorHAnsi"/>
          <w:sz w:val="24"/>
          <w:szCs w:val="24"/>
        </w:rPr>
      </w:pPr>
      <w:r w:rsidRPr="001148C2">
        <w:rPr>
          <w:rFonts w:asciiTheme="majorHAnsi" w:hAnsiTheme="majorHAnsi" w:cstheme="majorHAnsi"/>
          <w:sz w:val="24"/>
          <w:szCs w:val="24"/>
        </w:rPr>
        <w:t>What is at issue here is not religious violence as such.</w:t>
      </w:r>
      <w:r w:rsidRPr="001148C2">
        <w:rPr>
          <w:rFonts w:asciiTheme="majorHAnsi" w:hAnsiTheme="majorHAnsi" w:cstheme="majorHAnsi"/>
          <w:sz w:val="24"/>
          <w:szCs w:val="24"/>
          <w:shd w:val="clear" w:color="auto" w:fill="FF9900"/>
          <w:vertAlign w:val="superscript"/>
        </w:rPr>
        <w:endnoteReference w:id="29"/>
      </w:r>
      <w:r w:rsidRPr="001148C2">
        <w:rPr>
          <w:rFonts w:asciiTheme="majorHAnsi" w:hAnsiTheme="majorHAnsi" w:cstheme="majorHAnsi"/>
          <w:sz w:val="24"/>
          <w:szCs w:val="24"/>
        </w:rPr>
        <w:t xml:space="preserve"> The case shows how the changing framework of interaction between the imperial administration and Christians reshaped both the understanding and the exercise of imperial authority, with far-reaching repercussions on the inner workings of the late antique monarchy as a whole. A closer examination of the incident itself and the events leading up to the escalation reveals that </w:t>
      </w:r>
      <w:r w:rsidRPr="001148C2">
        <w:rPr>
          <w:rFonts w:asciiTheme="majorHAnsi" w:hAnsiTheme="majorHAnsi" w:cstheme="majorHAnsi"/>
          <w:sz w:val="24"/>
          <w:szCs w:val="24"/>
        </w:rPr>
        <w:lastRenderedPageBreak/>
        <w:t xml:space="preserve">the violent repression was a carefully coordinated and deliberately executed operation, fully aligned with imperial religious policy. Also, for more than four years before the escalation of 317, Constantine had sought to resolve the conflict not only through nonviolent means but also by deliberately refraining from </w:t>
      </w:r>
      <w:r w:rsidR="007F347E" w:rsidRPr="001148C2">
        <w:rPr>
          <w:rFonts w:asciiTheme="majorHAnsi" w:hAnsiTheme="majorHAnsi" w:cstheme="majorHAnsi"/>
          <w:sz w:val="24"/>
          <w:szCs w:val="24"/>
        </w:rPr>
        <w:t>publicly endorsing</w:t>
      </w:r>
      <w:r w:rsidRPr="001148C2">
        <w:rPr>
          <w:rFonts w:asciiTheme="majorHAnsi" w:hAnsiTheme="majorHAnsi" w:cstheme="majorHAnsi"/>
          <w:sz w:val="24"/>
          <w:szCs w:val="24"/>
        </w:rPr>
        <w:t xml:space="preserve"> any particular doctrinal position. Only after these efforts failed did the emperor explicitly align himself with a determinate articulation of Christian orthodoxy, thereby siding with one of the contending parties and resorting to military force to suppress opposition. He thereby established a template for responses to doctrinal conflict that would inform subsequent imperial practice for centuries to come.</w:t>
      </w:r>
    </w:p>
    <w:p w:rsidR="00A161CD" w:rsidRPr="001148C2" w:rsidRDefault="00A161CD" w:rsidP="009C0605">
      <w:pPr>
        <w:spacing w:after="60" w:line="240" w:lineRule="auto"/>
        <w:ind w:firstLine="566"/>
        <w:rPr>
          <w:rFonts w:asciiTheme="majorHAnsi" w:hAnsiTheme="majorHAnsi" w:cstheme="majorHAnsi"/>
          <w:sz w:val="24"/>
          <w:szCs w:val="24"/>
        </w:rPr>
      </w:pPr>
      <w:r w:rsidRPr="001148C2">
        <w:rPr>
          <w:rFonts w:asciiTheme="majorHAnsi" w:hAnsiTheme="majorHAnsi" w:cstheme="majorHAnsi"/>
          <w:sz w:val="24"/>
          <w:szCs w:val="24"/>
        </w:rPr>
        <w:t>The nature of our sources has made it difficult to assess the situation. The only historical traces of the operation against the congregation in Carthage consist of several medieval manuscripts that derive from the written version of the commemorative address discussed above, which was initially delivered orally to the affected community on one of the first anniversaries of the incident.</w:t>
      </w:r>
      <w:r w:rsidRPr="001148C2">
        <w:rPr>
          <w:rFonts w:asciiTheme="majorHAnsi" w:hAnsiTheme="majorHAnsi" w:cstheme="majorHAnsi"/>
          <w:sz w:val="24"/>
          <w:szCs w:val="24"/>
          <w:shd w:val="clear" w:color="auto" w:fill="FF9900"/>
          <w:vertAlign w:val="superscript"/>
        </w:rPr>
        <w:endnoteReference w:id="30"/>
      </w:r>
      <w:r w:rsidRPr="001148C2">
        <w:rPr>
          <w:rFonts w:asciiTheme="majorHAnsi" w:hAnsiTheme="majorHAnsi" w:cstheme="majorHAnsi"/>
          <w:sz w:val="24"/>
          <w:szCs w:val="24"/>
        </w:rPr>
        <w:t xml:space="preserve"> This document, designated here as </w:t>
      </w:r>
      <w:proofErr w:type="spellStart"/>
      <w:r w:rsidRPr="001148C2">
        <w:rPr>
          <w:rFonts w:asciiTheme="majorHAnsi" w:hAnsiTheme="majorHAnsi" w:cstheme="majorHAnsi"/>
          <w:i/>
          <w:iCs/>
          <w:sz w:val="24"/>
          <w:szCs w:val="24"/>
        </w:rPr>
        <w:t>Sermo</w:t>
      </w:r>
      <w:proofErr w:type="spellEnd"/>
      <w:r w:rsidRPr="001148C2">
        <w:rPr>
          <w:rFonts w:asciiTheme="majorHAnsi" w:hAnsiTheme="majorHAnsi" w:cstheme="majorHAnsi"/>
          <w:i/>
          <w:iCs/>
          <w:sz w:val="24"/>
          <w:szCs w:val="24"/>
        </w:rPr>
        <w:t xml:space="preserve"> </w:t>
      </w:r>
      <w:proofErr w:type="spellStart"/>
      <w:r w:rsidRPr="001148C2">
        <w:rPr>
          <w:rFonts w:asciiTheme="majorHAnsi" w:hAnsiTheme="majorHAnsi" w:cstheme="majorHAnsi"/>
          <w:i/>
          <w:iCs/>
          <w:sz w:val="24"/>
          <w:szCs w:val="24"/>
        </w:rPr>
        <w:t>Donati</w:t>
      </w:r>
      <w:proofErr w:type="spellEnd"/>
      <w:r w:rsidRPr="001148C2">
        <w:rPr>
          <w:rFonts w:asciiTheme="majorHAnsi" w:hAnsiTheme="majorHAnsi" w:cstheme="majorHAnsi"/>
          <w:i/>
          <w:iCs/>
          <w:sz w:val="24"/>
          <w:szCs w:val="24"/>
        </w:rPr>
        <w:t>,</w:t>
      </w:r>
      <w:r w:rsidRPr="001148C2">
        <w:rPr>
          <w:rFonts w:asciiTheme="majorHAnsi" w:hAnsiTheme="majorHAnsi" w:cstheme="majorHAnsi"/>
          <w:sz w:val="24"/>
          <w:szCs w:val="24"/>
          <w:shd w:val="clear" w:color="auto" w:fill="FF9900"/>
          <w:vertAlign w:val="superscript"/>
        </w:rPr>
        <w:endnoteReference w:id="31"/>
      </w:r>
      <w:r w:rsidRPr="001148C2">
        <w:rPr>
          <w:rFonts w:asciiTheme="majorHAnsi" w:hAnsiTheme="majorHAnsi" w:cstheme="majorHAnsi"/>
          <w:i/>
          <w:iCs/>
          <w:sz w:val="24"/>
          <w:szCs w:val="24"/>
        </w:rPr>
        <w:t xml:space="preserve"> </w:t>
      </w:r>
      <w:r w:rsidRPr="001148C2">
        <w:rPr>
          <w:rFonts w:asciiTheme="majorHAnsi" w:hAnsiTheme="majorHAnsi" w:cstheme="majorHAnsi"/>
          <w:sz w:val="24"/>
          <w:szCs w:val="24"/>
        </w:rPr>
        <w:t>has received little attention so far.</w:t>
      </w:r>
      <w:r w:rsidRPr="001148C2">
        <w:rPr>
          <w:rFonts w:asciiTheme="majorHAnsi" w:hAnsiTheme="majorHAnsi" w:cstheme="majorHAnsi"/>
          <w:sz w:val="24"/>
          <w:szCs w:val="24"/>
          <w:shd w:val="clear" w:color="auto" w:fill="FF9900"/>
          <w:vertAlign w:val="superscript"/>
        </w:rPr>
        <w:endnoteReference w:id="32"/>
      </w:r>
      <w:r w:rsidRPr="001148C2">
        <w:rPr>
          <w:rFonts w:asciiTheme="majorHAnsi" w:hAnsiTheme="majorHAnsi" w:cstheme="majorHAnsi"/>
          <w:sz w:val="24"/>
          <w:szCs w:val="24"/>
        </w:rPr>
        <w:t xml:space="preserve"> One reason is that fundamental questions concerning its transmission, textual form, and authenticity appeared difficult to resolve with certainty.</w:t>
      </w:r>
      <w:r w:rsidRPr="001148C2">
        <w:rPr>
          <w:rFonts w:asciiTheme="majorHAnsi" w:hAnsiTheme="majorHAnsi" w:cstheme="majorHAnsi"/>
          <w:sz w:val="24"/>
          <w:szCs w:val="24"/>
          <w:shd w:val="clear" w:color="auto" w:fill="FF9900"/>
          <w:vertAlign w:val="superscript"/>
        </w:rPr>
        <w:endnoteReference w:id="33"/>
      </w:r>
      <w:r w:rsidRPr="001148C2">
        <w:rPr>
          <w:rFonts w:asciiTheme="majorHAnsi" w:hAnsiTheme="majorHAnsi" w:cstheme="majorHAnsi"/>
          <w:sz w:val="24"/>
          <w:szCs w:val="24"/>
        </w:rPr>
        <w:t xml:space="preserve"> The text was at times dated to much later periods, dismissed as inauthentic, and rejected outright as a historically dependable source.</w:t>
      </w:r>
      <w:r w:rsidRPr="001148C2">
        <w:rPr>
          <w:rFonts w:asciiTheme="majorHAnsi" w:hAnsiTheme="majorHAnsi" w:cstheme="majorHAnsi"/>
          <w:sz w:val="24"/>
          <w:szCs w:val="24"/>
          <w:shd w:val="clear" w:color="auto" w:fill="FF9900"/>
          <w:vertAlign w:val="superscript"/>
        </w:rPr>
        <w:endnoteReference w:id="34"/>
      </w:r>
      <w:r w:rsidRPr="001148C2">
        <w:rPr>
          <w:rFonts w:asciiTheme="majorHAnsi" w:hAnsiTheme="majorHAnsi" w:cstheme="majorHAnsi"/>
          <w:sz w:val="24"/>
          <w:szCs w:val="24"/>
        </w:rPr>
        <w:t xml:space="preserve"> More recently, however, philological analysis and investigations into the manuscript tradition have shown that there are no longer sufficient grounds to seriously doubt either its authenticity or the historicity of the episode it describes. </w:t>
      </w:r>
      <w:proofErr w:type="spellStart"/>
      <w:r w:rsidRPr="001148C2">
        <w:rPr>
          <w:rFonts w:asciiTheme="majorHAnsi" w:hAnsiTheme="majorHAnsi" w:cstheme="majorHAnsi"/>
          <w:i/>
          <w:iCs/>
          <w:sz w:val="24"/>
          <w:szCs w:val="24"/>
        </w:rPr>
        <w:t>Sermo</w:t>
      </w:r>
      <w:proofErr w:type="spellEnd"/>
      <w:r w:rsidRPr="001148C2">
        <w:rPr>
          <w:rFonts w:asciiTheme="majorHAnsi" w:hAnsiTheme="majorHAnsi" w:cstheme="majorHAnsi"/>
          <w:i/>
          <w:iCs/>
          <w:sz w:val="24"/>
          <w:szCs w:val="24"/>
        </w:rPr>
        <w:t xml:space="preserve"> </w:t>
      </w:r>
      <w:proofErr w:type="spellStart"/>
      <w:r w:rsidRPr="001148C2">
        <w:rPr>
          <w:rFonts w:asciiTheme="majorHAnsi" w:hAnsiTheme="majorHAnsi" w:cstheme="majorHAnsi"/>
          <w:i/>
          <w:iCs/>
          <w:sz w:val="24"/>
          <w:szCs w:val="24"/>
        </w:rPr>
        <w:t>Donati</w:t>
      </w:r>
      <w:proofErr w:type="spellEnd"/>
      <w:r w:rsidRPr="001148C2">
        <w:rPr>
          <w:rFonts w:asciiTheme="majorHAnsi" w:hAnsiTheme="majorHAnsi" w:cstheme="majorHAnsi"/>
          <w:i/>
          <w:iCs/>
          <w:sz w:val="24"/>
          <w:szCs w:val="24"/>
        </w:rPr>
        <w:t xml:space="preserve"> </w:t>
      </w:r>
      <w:r w:rsidRPr="001148C2">
        <w:rPr>
          <w:rFonts w:asciiTheme="majorHAnsi" w:hAnsiTheme="majorHAnsi" w:cstheme="majorHAnsi"/>
          <w:sz w:val="24"/>
          <w:szCs w:val="24"/>
        </w:rPr>
        <w:t>can be dated with reasonable confidence to the years after the events,</w:t>
      </w:r>
      <w:r w:rsidRPr="001148C2">
        <w:rPr>
          <w:rFonts w:asciiTheme="majorHAnsi" w:hAnsiTheme="majorHAnsi" w:cstheme="majorHAnsi"/>
          <w:sz w:val="24"/>
          <w:szCs w:val="24"/>
          <w:shd w:val="clear" w:color="auto" w:fill="FF9900"/>
          <w:vertAlign w:val="superscript"/>
        </w:rPr>
        <w:endnoteReference w:id="35"/>
      </w:r>
      <w:r w:rsidRPr="001148C2">
        <w:rPr>
          <w:rFonts w:asciiTheme="majorHAnsi" w:hAnsiTheme="majorHAnsi" w:cstheme="majorHAnsi"/>
          <w:sz w:val="24"/>
          <w:szCs w:val="24"/>
        </w:rPr>
        <w:t xml:space="preserve"> and its author was in all likelihood an eyewitness, perhaps even personally involved.</w:t>
      </w:r>
      <w:r w:rsidRPr="001148C2">
        <w:rPr>
          <w:rFonts w:asciiTheme="majorHAnsi" w:hAnsiTheme="majorHAnsi" w:cstheme="majorHAnsi"/>
          <w:sz w:val="24"/>
          <w:szCs w:val="24"/>
          <w:shd w:val="clear" w:color="auto" w:fill="FF9900"/>
          <w:vertAlign w:val="superscript"/>
        </w:rPr>
        <w:endnoteReference w:id="36"/>
      </w:r>
      <w:r w:rsidRPr="001148C2">
        <w:rPr>
          <w:rFonts w:asciiTheme="majorHAnsi" w:hAnsiTheme="majorHAnsi" w:cstheme="majorHAnsi"/>
          <w:sz w:val="24"/>
          <w:szCs w:val="24"/>
        </w:rPr>
        <w:t xml:space="preserve"> The speech is clearly tendentious. The author, evidently a leading cleric in Carthage, unambiguously takes the side of the community and indicts public authorities for the brutal repression. Nonetheless, the descriptions of the sequence of events appear to be essentially reliable.</w:t>
      </w:r>
      <w:r w:rsidRPr="001148C2">
        <w:rPr>
          <w:rStyle w:val="Endnotenzeichen"/>
          <w:rFonts w:asciiTheme="majorHAnsi" w:hAnsiTheme="majorHAnsi" w:cstheme="majorHAnsi"/>
          <w:sz w:val="24"/>
          <w:szCs w:val="24"/>
        </w:rPr>
        <w:endnoteReference w:id="37"/>
      </w:r>
      <w:r w:rsidRPr="001148C2">
        <w:rPr>
          <w:rFonts w:asciiTheme="majorHAnsi" w:hAnsiTheme="majorHAnsi" w:cstheme="majorHAnsi"/>
          <w:sz w:val="24"/>
          <w:szCs w:val="24"/>
        </w:rPr>
        <w:t xml:space="preserve"> This makes the oration a key document and the military operation of 317 a key event in the politico-religious transformation of the Constantinian age. </w:t>
      </w:r>
      <w:proofErr w:type="spellStart"/>
      <w:r w:rsidRPr="001148C2">
        <w:rPr>
          <w:rFonts w:asciiTheme="majorHAnsi" w:hAnsiTheme="majorHAnsi" w:cstheme="majorHAnsi"/>
          <w:i/>
          <w:iCs/>
          <w:sz w:val="24"/>
          <w:szCs w:val="24"/>
        </w:rPr>
        <w:t>Sermo</w:t>
      </w:r>
      <w:proofErr w:type="spellEnd"/>
      <w:r w:rsidRPr="001148C2">
        <w:rPr>
          <w:rFonts w:asciiTheme="majorHAnsi" w:hAnsiTheme="majorHAnsi" w:cstheme="majorHAnsi"/>
          <w:i/>
          <w:iCs/>
          <w:sz w:val="24"/>
          <w:szCs w:val="24"/>
        </w:rPr>
        <w:t xml:space="preserve"> </w:t>
      </w:r>
      <w:proofErr w:type="spellStart"/>
      <w:r w:rsidRPr="001148C2">
        <w:rPr>
          <w:rFonts w:asciiTheme="majorHAnsi" w:hAnsiTheme="majorHAnsi" w:cstheme="majorHAnsi"/>
          <w:i/>
          <w:iCs/>
          <w:sz w:val="24"/>
          <w:szCs w:val="24"/>
        </w:rPr>
        <w:t>Donati</w:t>
      </w:r>
      <w:proofErr w:type="spellEnd"/>
      <w:r w:rsidRPr="001148C2">
        <w:rPr>
          <w:rFonts w:asciiTheme="majorHAnsi" w:hAnsiTheme="majorHAnsi" w:cstheme="majorHAnsi"/>
          <w:sz w:val="24"/>
          <w:szCs w:val="24"/>
        </w:rPr>
        <w:t xml:space="preserve"> stands as one of the most important witnesses to the new dynamics of politico-religious conflict in the early fourth century and to their broader social and political ramifications. </w:t>
      </w:r>
    </w:p>
    <w:p w:rsidR="00A161CD" w:rsidRPr="001148C2" w:rsidRDefault="00A161CD" w:rsidP="00C933F8">
      <w:pPr>
        <w:spacing w:after="60" w:line="240" w:lineRule="auto"/>
        <w:ind w:firstLine="566"/>
        <w:rPr>
          <w:rFonts w:asciiTheme="majorHAnsi" w:hAnsiTheme="majorHAnsi" w:cstheme="majorHAnsi"/>
          <w:sz w:val="24"/>
          <w:szCs w:val="24"/>
        </w:rPr>
      </w:pPr>
      <w:r w:rsidRPr="001148C2">
        <w:rPr>
          <w:rFonts w:asciiTheme="majorHAnsi" w:hAnsiTheme="majorHAnsi" w:cstheme="majorHAnsi"/>
          <w:sz w:val="24"/>
          <w:szCs w:val="24"/>
        </w:rPr>
        <w:t>The source plausibly indicates that the operation had been closely coordinated among the various branches of the Roman civil and military administration.</w:t>
      </w:r>
      <w:r w:rsidRPr="001148C2">
        <w:rPr>
          <w:rFonts w:asciiTheme="majorHAnsi" w:hAnsiTheme="majorHAnsi" w:cstheme="majorHAnsi"/>
          <w:sz w:val="24"/>
          <w:szCs w:val="24"/>
          <w:shd w:val="clear" w:color="auto" w:fill="FF9900"/>
          <w:vertAlign w:val="superscript"/>
        </w:rPr>
        <w:endnoteReference w:id="38"/>
      </w:r>
      <w:r w:rsidRPr="001148C2">
        <w:rPr>
          <w:rFonts w:asciiTheme="majorHAnsi" w:hAnsiTheme="majorHAnsi" w:cstheme="majorHAnsi"/>
          <w:sz w:val="24"/>
          <w:szCs w:val="24"/>
        </w:rPr>
        <w:t xml:space="preserve"> An announcement was made in advance, warning of lethal consequences for persistent refusal to comply with the imperial decree of unity.</w:t>
      </w:r>
      <w:r w:rsidRPr="001148C2">
        <w:rPr>
          <w:rFonts w:asciiTheme="majorHAnsi" w:hAnsiTheme="majorHAnsi" w:cstheme="majorHAnsi"/>
          <w:sz w:val="24"/>
          <w:szCs w:val="24"/>
          <w:shd w:val="clear" w:color="auto" w:fill="FF9900"/>
          <w:vertAlign w:val="superscript"/>
        </w:rPr>
        <w:endnoteReference w:id="39"/>
      </w:r>
      <w:r w:rsidRPr="001148C2">
        <w:rPr>
          <w:rFonts w:asciiTheme="majorHAnsi" w:hAnsiTheme="majorHAnsi" w:cstheme="majorHAnsi"/>
          <w:sz w:val="24"/>
          <w:szCs w:val="24"/>
        </w:rPr>
        <w:t xml:space="preserve"> The Roman authorities most likely intended to issue an ultimatum to the community, thereby placing it under severe pressure to enforce compliance.</w:t>
      </w:r>
      <w:r w:rsidRPr="001148C2">
        <w:rPr>
          <w:rFonts w:asciiTheme="majorHAnsi" w:hAnsiTheme="majorHAnsi" w:cstheme="majorHAnsi"/>
          <w:sz w:val="24"/>
          <w:szCs w:val="24"/>
          <w:shd w:val="clear" w:color="auto" w:fill="FF9900"/>
          <w:vertAlign w:val="superscript"/>
        </w:rPr>
        <w:endnoteReference w:id="40"/>
      </w:r>
      <w:r w:rsidRPr="001148C2">
        <w:rPr>
          <w:rFonts w:asciiTheme="majorHAnsi" w:hAnsiTheme="majorHAnsi" w:cstheme="majorHAnsi"/>
          <w:sz w:val="24"/>
          <w:szCs w:val="24"/>
        </w:rPr>
        <w:t xml:space="preserve"> Faced with the prospect of impending repression, however, the community, with members from neighboring congregations joining, chose to gather at their place of worship at the time of the ultimatum for a peaceful liturgical protest, seeking to demonstrate their cohesion and the strength of their faith precisely in the face of immediate danger. </w:t>
      </w:r>
      <w:proofErr w:type="spellStart"/>
      <w:r w:rsidRPr="001148C2">
        <w:rPr>
          <w:rFonts w:asciiTheme="majorHAnsi" w:hAnsiTheme="majorHAnsi" w:cstheme="majorHAnsi"/>
          <w:i/>
          <w:iCs/>
          <w:sz w:val="24"/>
          <w:szCs w:val="24"/>
        </w:rPr>
        <w:t>Sermo</w:t>
      </w:r>
      <w:proofErr w:type="spellEnd"/>
      <w:r w:rsidRPr="001148C2">
        <w:rPr>
          <w:rFonts w:asciiTheme="majorHAnsi" w:hAnsiTheme="majorHAnsi" w:cstheme="majorHAnsi"/>
          <w:i/>
          <w:iCs/>
          <w:sz w:val="24"/>
          <w:szCs w:val="24"/>
        </w:rPr>
        <w:t xml:space="preserve"> </w:t>
      </w:r>
      <w:proofErr w:type="spellStart"/>
      <w:r w:rsidRPr="001148C2">
        <w:rPr>
          <w:rFonts w:asciiTheme="majorHAnsi" w:hAnsiTheme="majorHAnsi" w:cstheme="majorHAnsi"/>
          <w:i/>
          <w:iCs/>
          <w:sz w:val="24"/>
          <w:szCs w:val="24"/>
        </w:rPr>
        <w:t>Donati</w:t>
      </w:r>
      <w:proofErr w:type="spellEnd"/>
      <w:r w:rsidRPr="001148C2">
        <w:rPr>
          <w:rFonts w:asciiTheme="majorHAnsi" w:hAnsiTheme="majorHAnsi" w:cstheme="majorHAnsi"/>
          <w:sz w:val="24"/>
          <w:szCs w:val="24"/>
        </w:rPr>
        <w:t xml:space="preserve"> reports a crowd of onlookers awaiting the spectacle, suggesting that news of the upcoming confrontation between imperial power and Christians resisting the emperor’s directive has spread. The source thus describes a course of events that did not result from a spontaneous escalation. Instead, the community was given sufficient time to respond to the imperial ultimatum before force was employed. </w:t>
      </w:r>
    </w:p>
    <w:p w:rsidR="00A161CD" w:rsidRPr="001148C2" w:rsidRDefault="00A161CD" w:rsidP="000A1656">
      <w:pPr>
        <w:spacing w:after="60" w:line="240" w:lineRule="auto"/>
        <w:ind w:firstLine="566"/>
        <w:rPr>
          <w:rFonts w:asciiTheme="majorHAnsi" w:hAnsiTheme="majorHAnsi" w:cstheme="majorHAnsi"/>
          <w:sz w:val="24"/>
          <w:szCs w:val="24"/>
        </w:rPr>
      </w:pPr>
      <w:r w:rsidRPr="001148C2">
        <w:rPr>
          <w:rFonts w:asciiTheme="majorHAnsi" w:hAnsiTheme="majorHAnsi" w:cstheme="majorHAnsi"/>
          <w:sz w:val="24"/>
          <w:szCs w:val="24"/>
        </w:rPr>
        <w:t>The open resistance to the imperial directive was met with a single, targeted act of state-sanctioned military violence intended to break the community’s defiance. Despite the protest’s peaceful nature and the presenc</w:t>
      </w:r>
      <w:bookmarkStart w:id="0" w:name="_GoBack"/>
      <w:bookmarkEnd w:id="0"/>
      <w:r w:rsidRPr="001148C2">
        <w:rPr>
          <w:rFonts w:asciiTheme="majorHAnsi" w:hAnsiTheme="majorHAnsi" w:cstheme="majorHAnsi"/>
          <w:sz w:val="24"/>
          <w:szCs w:val="24"/>
        </w:rPr>
        <w:t xml:space="preserve">e of public observers, the military raid was carried </w:t>
      </w:r>
      <w:r w:rsidRPr="001148C2">
        <w:rPr>
          <w:rFonts w:asciiTheme="majorHAnsi" w:hAnsiTheme="majorHAnsi" w:cstheme="majorHAnsi"/>
          <w:sz w:val="24"/>
          <w:szCs w:val="24"/>
        </w:rPr>
        <w:lastRenderedPageBreak/>
        <w:t>out as announced. Acting in accordance with their orders under the command of a tribune, the troops stormed the place of worship, where they appear to have killed several community members and wounded others.</w:t>
      </w:r>
      <w:r w:rsidRPr="001148C2">
        <w:rPr>
          <w:rFonts w:asciiTheme="majorHAnsi" w:hAnsiTheme="majorHAnsi" w:cstheme="majorHAnsi"/>
          <w:sz w:val="24"/>
          <w:szCs w:val="24"/>
          <w:shd w:val="clear" w:color="auto" w:fill="FF9900"/>
          <w:vertAlign w:val="superscript"/>
        </w:rPr>
        <w:endnoteReference w:id="41"/>
      </w:r>
      <w:r w:rsidRPr="001148C2">
        <w:rPr>
          <w:rFonts w:asciiTheme="majorHAnsi" w:hAnsiTheme="majorHAnsi" w:cstheme="majorHAnsi"/>
          <w:sz w:val="24"/>
          <w:szCs w:val="24"/>
        </w:rPr>
        <w:t xml:space="preserve"> The soldiers’ initial use of clubs may have been modeled on the </w:t>
      </w:r>
      <w:proofErr w:type="spellStart"/>
      <w:r w:rsidRPr="001148C2">
        <w:rPr>
          <w:rFonts w:asciiTheme="majorHAnsi" w:hAnsiTheme="majorHAnsi" w:cstheme="majorHAnsi"/>
          <w:i/>
          <w:iCs/>
          <w:sz w:val="24"/>
          <w:szCs w:val="24"/>
        </w:rPr>
        <w:t>fustuarium</w:t>
      </w:r>
      <w:proofErr w:type="spellEnd"/>
      <w:r w:rsidRPr="001148C2">
        <w:rPr>
          <w:rFonts w:asciiTheme="majorHAnsi" w:hAnsiTheme="majorHAnsi" w:cstheme="majorHAnsi"/>
          <w:sz w:val="24"/>
          <w:szCs w:val="24"/>
        </w:rPr>
        <w:t>, a Roman military penalty under which disloyalty and disobedience were punished in an especially harsh and deterrent manner.</w:t>
      </w:r>
      <w:r w:rsidRPr="001148C2">
        <w:rPr>
          <w:rFonts w:asciiTheme="majorHAnsi" w:hAnsiTheme="majorHAnsi" w:cstheme="majorHAnsi"/>
          <w:sz w:val="24"/>
          <w:szCs w:val="24"/>
          <w:shd w:val="clear" w:color="auto" w:fill="FF9900"/>
          <w:vertAlign w:val="superscript"/>
        </w:rPr>
        <w:endnoteReference w:id="42"/>
      </w:r>
      <w:r w:rsidRPr="001148C2">
        <w:rPr>
          <w:rFonts w:asciiTheme="majorHAnsi" w:hAnsiTheme="majorHAnsi" w:cstheme="majorHAnsi"/>
          <w:sz w:val="24"/>
          <w:szCs w:val="24"/>
        </w:rPr>
        <w:t xml:space="preserve"> The procedure appears to have aimed at setting an example through a ruthless yet indiscriminate application of force, designed to secure obedience to imperial authority.</w:t>
      </w:r>
    </w:p>
    <w:p w:rsidR="00A161CD" w:rsidRPr="001148C2" w:rsidRDefault="00A161CD" w:rsidP="00D167E0">
      <w:pPr>
        <w:spacing w:after="60" w:line="240" w:lineRule="auto"/>
        <w:ind w:firstLine="566"/>
        <w:rPr>
          <w:rFonts w:asciiTheme="majorHAnsi" w:hAnsiTheme="majorHAnsi" w:cstheme="majorHAnsi"/>
          <w:sz w:val="24"/>
          <w:szCs w:val="24"/>
        </w:rPr>
      </w:pPr>
      <w:r w:rsidRPr="001148C2">
        <w:rPr>
          <w:rFonts w:asciiTheme="majorHAnsi" w:hAnsiTheme="majorHAnsi" w:cstheme="majorHAnsi"/>
          <w:sz w:val="24"/>
          <w:szCs w:val="24"/>
        </w:rPr>
        <w:t>The exact number of victims, likely a smaller share of the community, remains unclear. It seems that what mattered to the Roman authorities was less the scale of the bloodshed than the exemplary assertion of imperial power.</w:t>
      </w:r>
      <w:r w:rsidRPr="001148C2">
        <w:rPr>
          <w:rFonts w:asciiTheme="majorHAnsi" w:hAnsiTheme="majorHAnsi" w:cstheme="majorHAnsi"/>
          <w:sz w:val="24"/>
          <w:szCs w:val="24"/>
          <w:shd w:val="clear" w:color="auto" w:fill="FF9900"/>
          <w:vertAlign w:val="superscript"/>
        </w:rPr>
        <w:endnoteReference w:id="43"/>
      </w:r>
      <w:r w:rsidRPr="001148C2">
        <w:rPr>
          <w:rFonts w:asciiTheme="majorHAnsi" w:hAnsiTheme="majorHAnsi" w:cstheme="majorHAnsi"/>
          <w:sz w:val="24"/>
          <w:szCs w:val="24"/>
        </w:rPr>
        <w:t xml:space="preserve"> In the commemorative sermon, only two victims, the visiting bishop and the catechumen, are described in greater detail and presented as exemplary figures. The account suggests that the majority survived the attack.</w:t>
      </w:r>
      <w:r w:rsidRPr="001148C2">
        <w:rPr>
          <w:rFonts w:asciiTheme="majorHAnsi" w:hAnsiTheme="majorHAnsi" w:cstheme="majorHAnsi"/>
          <w:sz w:val="24"/>
          <w:szCs w:val="24"/>
          <w:shd w:val="clear" w:color="auto" w:fill="FF9900"/>
          <w:vertAlign w:val="superscript"/>
        </w:rPr>
        <w:endnoteReference w:id="44"/>
      </w:r>
      <w:r w:rsidRPr="001148C2">
        <w:rPr>
          <w:rFonts w:asciiTheme="majorHAnsi" w:hAnsiTheme="majorHAnsi" w:cstheme="majorHAnsi"/>
          <w:sz w:val="24"/>
          <w:szCs w:val="24"/>
        </w:rPr>
        <w:t xml:space="preserve"> The soldiers’ subsequent withdrawal, without further measures against the community, such as confiscating church property or seizing the assembly space, likewise indicates that intimidation and the demonstration of imperial authority, rather than the community’s sustained dismantling, were the operation’s primary objectives.</w:t>
      </w:r>
      <w:r w:rsidRPr="001148C2">
        <w:rPr>
          <w:rFonts w:asciiTheme="majorHAnsi" w:hAnsiTheme="majorHAnsi" w:cstheme="majorHAnsi"/>
          <w:sz w:val="24"/>
          <w:szCs w:val="24"/>
          <w:shd w:val="clear" w:color="auto" w:fill="FF9900"/>
          <w:vertAlign w:val="superscript"/>
        </w:rPr>
        <w:endnoteReference w:id="45"/>
      </w:r>
      <w:r w:rsidRPr="001148C2">
        <w:rPr>
          <w:rFonts w:asciiTheme="majorHAnsi" w:hAnsiTheme="majorHAnsi" w:cstheme="majorHAnsi"/>
          <w:sz w:val="24"/>
          <w:szCs w:val="24"/>
          <w:shd w:val="clear" w:color="auto" w:fill="FF9900"/>
        </w:rPr>
        <w:t xml:space="preserve"> </w:t>
      </w:r>
      <w:r w:rsidRPr="001148C2">
        <w:rPr>
          <w:rFonts w:asciiTheme="majorHAnsi" w:hAnsiTheme="majorHAnsi" w:cstheme="majorHAnsi"/>
          <w:sz w:val="24"/>
          <w:szCs w:val="24"/>
        </w:rPr>
        <w:t>After the troops withdrew, the survivors were able to conduct the lamentation for the dead. The bodies were initially gathered around the altar and later buried at or near the site.</w:t>
      </w:r>
      <w:r w:rsidRPr="001148C2">
        <w:rPr>
          <w:rFonts w:asciiTheme="majorHAnsi" w:hAnsiTheme="majorHAnsi" w:cstheme="majorHAnsi"/>
          <w:sz w:val="24"/>
          <w:szCs w:val="24"/>
          <w:shd w:val="clear" w:color="auto" w:fill="FF9900"/>
          <w:vertAlign w:val="superscript"/>
        </w:rPr>
        <w:endnoteReference w:id="46"/>
      </w:r>
      <w:r w:rsidRPr="001148C2">
        <w:rPr>
          <w:rFonts w:asciiTheme="majorHAnsi" w:hAnsiTheme="majorHAnsi" w:cstheme="majorHAnsi"/>
          <w:sz w:val="24"/>
          <w:szCs w:val="24"/>
        </w:rPr>
        <w:t xml:space="preserve"> The commemorative service at which the sermon was delivered on one of the first anniversaries of the massacre appears to have taken place on the same property, which thus evidently remained in the possession of the community.</w:t>
      </w:r>
      <w:r w:rsidRPr="001148C2">
        <w:rPr>
          <w:rFonts w:asciiTheme="majorHAnsi" w:hAnsiTheme="majorHAnsi" w:cstheme="majorHAnsi"/>
          <w:sz w:val="24"/>
          <w:szCs w:val="24"/>
          <w:shd w:val="clear" w:color="auto" w:fill="FF9900"/>
          <w:vertAlign w:val="superscript"/>
        </w:rPr>
        <w:endnoteReference w:id="47"/>
      </w:r>
    </w:p>
    <w:p w:rsidR="00A161CD" w:rsidRPr="001148C2" w:rsidRDefault="00A161CD" w:rsidP="00405721">
      <w:pPr>
        <w:spacing w:after="60" w:line="240" w:lineRule="auto"/>
        <w:ind w:firstLine="566"/>
        <w:rPr>
          <w:rFonts w:asciiTheme="majorHAnsi" w:hAnsiTheme="majorHAnsi" w:cstheme="majorHAnsi"/>
          <w:sz w:val="24"/>
          <w:szCs w:val="24"/>
        </w:rPr>
      </w:pPr>
      <w:r w:rsidRPr="001148C2">
        <w:rPr>
          <w:rFonts w:asciiTheme="majorHAnsi" w:hAnsiTheme="majorHAnsi" w:cstheme="majorHAnsi"/>
          <w:sz w:val="24"/>
          <w:szCs w:val="24"/>
        </w:rPr>
        <w:t>The intended effect of the prior public threat and the eventual application of military force, namely to compel submission to the religious leadership claimed by the emperor, failed to materialize. Even the deployment of state coercion as the ultima ratio of imperial action proved incapable of producing the desired outcome. The immense external pressure instead welded the community ever more tightly together. Internal bonds of loyalty outweighed any obligation of allegiance to the state. The martyr cult established for the victims, the observance of a commemorative day in remembrance of the events, and the cleric’s commemorative address, which indicted the emperor as an enemy of salvation, all openly undermined the ruler’s claim to religious leadership. Rather than enforcing imperial authority, the repressive measures undermined acceptance of Constantine’s efforts to resolve the conflict between the state and the church and to achieve a rapprochement between the Roman monarchy and Christianity.</w:t>
      </w:r>
    </w:p>
    <w:p w:rsidR="00A161CD" w:rsidRPr="001148C2" w:rsidRDefault="00A161CD" w:rsidP="003E6797">
      <w:pPr>
        <w:spacing w:after="60" w:line="240" w:lineRule="auto"/>
        <w:ind w:firstLine="566"/>
        <w:rPr>
          <w:rFonts w:asciiTheme="majorHAnsi" w:hAnsiTheme="majorHAnsi" w:cstheme="majorHAnsi"/>
          <w:sz w:val="24"/>
          <w:szCs w:val="24"/>
        </w:rPr>
      </w:pPr>
      <w:r w:rsidRPr="001148C2">
        <w:rPr>
          <w:rFonts w:asciiTheme="majorHAnsi" w:hAnsiTheme="majorHAnsi" w:cstheme="majorHAnsi"/>
          <w:sz w:val="24"/>
          <w:szCs w:val="24"/>
        </w:rPr>
        <w:t>The most salient consequence of the imperial efforts to enforce religious unity in the young Christian monarchy was, in effect, a partial loss of leverage over the resisting Christian communities in North Africa. The Donatist martyr cult thereby evolved into a genuine pillar of subversion against the state.</w:t>
      </w:r>
      <w:r w:rsidRPr="001148C2">
        <w:rPr>
          <w:rFonts w:asciiTheme="majorHAnsi" w:hAnsiTheme="majorHAnsi" w:cstheme="majorHAnsi"/>
          <w:sz w:val="24"/>
          <w:szCs w:val="24"/>
          <w:shd w:val="clear" w:color="auto" w:fill="FF9900"/>
          <w:vertAlign w:val="superscript"/>
        </w:rPr>
        <w:endnoteReference w:id="48"/>
      </w:r>
      <w:r w:rsidRPr="001148C2">
        <w:rPr>
          <w:rFonts w:asciiTheme="majorHAnsi" w:hAnsiTheme="majorHAnsi" w:cstheme="majorHAnsi"/>
          <w:sz w:val="24"/>
          <w:szCs w:val="24"/>
        </w:rPr>
        <w:t xml:space="preserve"> While Donatist communities in the major North African cities along the Mediterranean coast were at times under pressure from Constantine’s policy, the movement continued to develop largely unhindered in the hinterland. It became even more dynamic and radical, further intensifying tensions between the ‘catholic’ and ‘Donatist’ communities. In Carthage as well, the dissenting community appears to have ultimately emerged stronger. It is telling that the site of a forceful demonstration of the emperor’s resolve and determination remained in the hands of his opponents: When the commemorative service for the victims of the military action was held there, Constantine’s decree of unity was still in force.</w:t>
      </w:r>
      <w:r w:rsidRPr="001148C2">
        <w:rPr>
          <w:rFonts w:asciiTheme="majorHAnsi" w:hAnsiTheme="majorHAnsi" w:cstheme="majorHAnsi"/>
          <w:sz w:val="24"/>
          <w:szCs w:val="24"/>
          <w:shd w:val="clear" w:color="auto" w:fill="FF9900"/>
          <w:vertAlign w:val="superscript"/>
        </w:rPr>
        <w:endnoteReference w:id="49"/>
      </w:r>
      <w:r w:rsidRPr="001148C2">
        <w:rPr>
          <w:rFonts w:asciiTheme="majorHAnsi" w:hAnsiTheme="majorHAnsi" w:cstheme="majorHAnsi"/>
          <w:sz w:val="24"/>
          <w:szCs w:val="24"/>
          <w:shd w:val="clear" w:color="auto" w:fill="FF9900"/>
        </w:rPr>
        <w:t xml:space="preserve"> </w:t>
      </w:r>
    </w:p>
    <w:p w:rsidR="00A161CD" w:rsidRPr="001148C2" w:rsidRDefault="00A161CD" w:rsidP="00FD36AB">
      <w:pPr>
        <w:spacing w:after="60" w:line="240" w:lineRule="auto"/>
        <w:ind w:firstLine="566"/>
        <w:rPr>
          <w:rFonts w:asciiTheme="majorHAnsi" w:hAnsiTheme="majorHAnsi" w:cstheme="majorHAnsi"/>
          <w:sz w:val="24"/>
          <w:szCs w:val="24"/>
        </w:rPr>
      </w:pPr>
      <w:r w:rsidRPr="001148C2">
        <w:rPr>
          <w:rFonts w:asciiTheme="majorHAnsi" w:hAnsiTheme="majorHAnsi" w:cstheme="majorHAnsi"/>
          <w:sz w:val="24"/>
          <w:szCs w:val="24"/>
        </w:rPr>
        <w:lastRenderedPageBreak/>
        <w:t xml:space="preserve">The failure of the imperial policy had palpable consequences for the ruler’s authority. Over time, the Roman administration was compelled to acknowledge the ineffectiveness of its coercive measures. When the impending civil war against </w:t>
      </w:r>
      <w:proofErr w:type="spellStart"/>
      <w:r w:rsidRPr="001148C2">
        <w:rPr>
          <w:rFonts w:asciiTheme="majorHAnsi" w:hAnsiTheme="majorHAnsi" w:cstheme="majorHAnsi"/>
          <w:sz w:val="24"/>
          <w:szCs w:val="24"/>
        </w:rPr>
        <w:t>Licinius</w:t>
      </w:r>
      <w:proofErr w:type="spellEnd"/>
      <w:r w:rsidRPr="001148C2">
        <w:rPr>
          <w:rFonts w:asciiTheme="majorHAnsi" w:hAnsiTheme="majorHAnsi" w:cstheme="majorHAnsi"/>
          <w:sz w:val="24"/>
          <w:szCs w:val="24"/>
        </w:rPr>
        <w:t xml:space="preserve"> posed a more pressing challenge to Constantine, the policy of enforced unity was discontinued in the spring of 321,</w:t>
      </w:r>
      <w:r w:rsidRPr="001148C2">
        <w:rPr>
          <w:rFonts w:asciiTheme="majorHAnsi" w:hAnsiTheme="majorHAnsi" w:cstheme="majorHAnsi"/>
          <w:sz w:val="24"/>
          <w:szCs w:val="24"/>
          <w:shd w:val="clear" w:color="auto" w:fill="FF9900"/>
          <w:vertAlign w:val="superscript"/>
        </w:rPr>
        <w:endnoteReference w:id="50"/>
      </w:r>
      <w:r w:rsidRPr="001148C2">
        <w:rPr>
          <w:rFonts w:asciiTheme="majorHAnsi" w:hAnsiTheme="majorHAnsi" w:cstheme="majorHAnsi"/>
          <w:sz w:val="24"/>
          <w:szCs w:val="24"/>
        </w:rPr>
        <w:t xml:space="preserve"> and the emperor now adopted a policy of grudging toleration toward the Donatists.</w:t>
      </w:r>
      <w:r w:rsidRPr="001148C2">
        <w:rPr>
          <w:rFonts w:asciiTheme="majorHAnsi" w:hAnsiTheme="majorHAnsi" w:cstheme="majorHAnsi"/>
          <w:sz w:val="24"/>
          <w:szCs w:val="24"/>
          <w:shd w:val="clear" w:color="auto" w:fill="FF9900"/>
          <w:vertAlign w:val="superscript"/>
        </w:rPr>
        <w:endnoteReference w:id="51"/>
      </w:r>
      <w:r w:rsidRPr="001148C2">
        <w:rPr>
          <w:rFonts w:asciiTheme="majorHAnsi" w:hAnsiTheme="majorHAnsi" w:cstheme="majorHAnsi"/>
          <w:sz w:val="24"/>
          <w:szCs w:val="24"/>
        </w:rPr>
        <w:t xml:space="preserve"> This new </w:t>
      </w:r>
      <w:proofErr w:type="spellStart"/>
      <w:r w:rsidRPr="001148C2">
        <w:rPr>
          <w:rFonts w:asciiTheme="majorHAnsi" w:hAnsiTheme="majorHAnsi" w:cstheme="majorHAnsi"/>
          <w:sz w:val="24"/>
          <w:szCs w:val="24"/>
        </w:rPr>
        <w:t>religio</w:t>
      </w:r>
      <w:proofErr w:type="spellEnd"/>
      <w:r w:rsidRPr="001148C2">
        <w:rPr>
          <w:rFonts w:asciiTheme="majorHAnsi" w:hAnsiTheme="majorHAnsi" w:cstheme="majorHAnsi"/>
          <w:sz w:val="24"/>
          <w:szCs w:val="24"/>
        </w:rPr>
        <w:t xml:space="preserve">-political orientation was formally articulated in a rescript issued in response to a Donatist petition. The policy reversal is first expressed and defended in a letter addressed ‘to the bishops and people of the Catholic Church in Africa.’ In this document, Constantine reaffirms his overarching objective of </w:t>
      </w:r>
      <w:proofErr w:type="spellStart"/>
      <w:r w:rsidRPr="001148C2">
        <w:rPr>
          <w:rFonts w:asciiTheme="majorHAnsi" w:hAnsiTheme="majorHAnsi" w:cstheme="majorHAnsi"/>
          <w:i/>
          <w:iCs/>
          <w:sz w:val="24"/>
          <w:szCs w:val="24"/>
        </w:rPr>
        <w:t>concordia</w:t>
      </w:r>
      <w:proofErr w:type="spellEnd"/>
      <w:r w:rsidRPr="001148C2">
        <w:rPr>
          <w:rFonts w:asciiTheme="majorHAnsi" w:hAnsiTheme="majorHAnsi" w:cstheme="majorHAnsi"/>
          <w:i/>
          <w:iCs/>
          <w:sz w:val="24"/>
          <w:szCs w:val="24"/>
        </w:rPr>
        <w:t xml:space="preserve"> omnium</w:t>
      </w:r>
      <w:r w:rsidRPr="001148C2">
        <w:rPr>
          <w:rFonts w:asciiTheme="majorHAnsi" w:hAnsiTheme="majorHAnsi" w:cstheme="majorHAnsi"/>
          <w:sz w:val="24"/>
          <w:szCs w:val="24"/>
        </w:rPr>
        <w:t xml:space="preserve"> (concord among all), yet the tone is marked by resignation. “Because the intention that lay in our purpose,” the emperor writes, “could not overcome that force of wickedness which has penetrated the minds of a few and now stubbornly persists there …, we must see to it that the people be softened through the compassion (</w:t>
      </w:r>
      <w:r w:rsidRPr="001148C2">
        <w:rPr>
          <w:rFonts w:asciiTheme="majorHAnsi" w:hAnsiTheme="majorHAnsi" w:cstheme="majorHAnsi"/>
          <w:i/>
          <w:iCs/>
          <w:sz w:val="24"/>
          <w:szCs w:val="24"/>
        </w:rPr>
        <w:t>misericordia</w:t>
      </w:r>
      <w:r w:rsidRPr="001148C2">
        <w:rPr>
          <w:rFonts w:asciiTheme="majorHAnsi" w:hAnsiTheme="majorHAnsi" w:cstheme="majorHAnsi"/>
          <w:sz w:val="24"/>
          <w:szCs w:val="24"/>
        </w:rPr>
        <w:t>) of almighty God. The wickedness resides in only a few. From God, therefore, must we hope for healing, since he rewards all good words and deeds.”</w:t>
      </w:r>
      <w:r w:rsidRPr="001148C2">
        <w:rPr>
          <w:rFonts w:asciiTheme="majorHAnsi" w:hAnsiTheme="majorHAnsi" w:cstheme="majorHAnsi"/>
          <w:sz w:val="24"/>
          <w:szCs w:val="24"/>
          <w:shd w:val="clear" w:color="auto" w:fill="FF9900"/>
          <w:vertAlign w:val="superscript"/>
        </w:rPr>
        <w:endnoteReference w:id="52"/>
      </w:r>
      <w:r w:rsidRPr="001148C2">
        <w:rPr>
          <w:rFonts w:asciiTheme="majorHAnsi" w:hAnsiTheme="majorHAnsi" w:cstheme="majorHAnsi"/>
          <w:sz w:val="24"/>
          <w:szCs w:val="24"/>
          <w:shd w:val="clear" w:color="auto" w:fill="FF9900"/>
        </w:rPr>
        <w:t xml:space="preserve"> </w:t>
      </w:r>
      <w:r w:rsidRPr="001148C2">
        <w:rPr>
          <w:rFonts w:asciiTheme="majorHAnsi" w:hAnsiTheme="majorHAnsi" w:cstheme="majorHAnsi"/>
          <w:sz w:val="24"/>
          <w:szCs w:val="24"/>
        </w:rPr>
        <w:t xml:space="preserve">Constantine’s toleration of the Donatists, essentially a pragmatic accommodation to the collapse of his policy of unity, further strengthened the dissenting group and </w:t>
      </w:r>
      <w:proofErr w:type="spellStart"/>
      <w:r w:rsidRPr="001148C2">
        <w:rPr>
          <w:rFonts w:asciiTheme="majorHAnsi" w:hAnsiTheme="majorHAnsi" w:cstheme="majorHAnsi"/>
          <w:sz w:val="24"/>
          <w:szCs w:val="24"/>
        </w:rPr>
        <w:t>disincentivised</w:t>
      </w:r>
      <w:proofErr w:type="spellEnd"/>
      <w:r w:rsidRPr="001148C2">
        <w:rPr>
          <w:rFonts w:asciiTheme="majorHAnsi" w:hAnsiTheme="majorHAnsi" w:cstheme="majorHAnsi"/>
          <w:sz w:val="24"/>
          <w:szCs w:val="24"/>
        </w:rPr>
        <w:t xml:space="preserve"> efforts at rapprochement with the imperial administration. </w:t>
      </w:r>
    </w:p>
    <w:p w:rsidR="00A161CD" w:rsidRPr="001148C2" w:rsidRDefault="00A161CD" w:rsidP="00F51695">
      <w:pPr>
        <w:spacing w:after="60" w:line="240" w:lineRule="auto"/>
        <w:ind w:firstLine="566"/>
        <w:rPr>
          <w:rFonts w:asciiTheme="majorHAnsi" w:hAnsiTheme="majorHAnsi" w:cstheme="majorHAnsi"/>
          <w:sz w:val="24"/>
          <w:szCs w:val="24"/>
        </w:rPr>
      </w:pPr>
      <w:r w:rsidRPr="001148C2">
        <w:rPr>
          <w:rFonts w:asciiTheme="majorHAnsi" w:hAnsiTheme="majorHAnsi" w:cstheme="majorHAnsi"/>
          <w:sz w:val="24"/>
          <w:szCs w:val="24"/>
        </w:rPr>
        <w:t>Constantine is not otherwise known for having Christians beaten to death or for allowing hostile Christian communities to fight out their conflicts without fear of state interference. Later images of Constantine have tended to focus on his visionary religious leadership and successful religious policies. He ended the indiscriminate persecutions of his predecessors and, with the so-called ‘Edict of Milan’ of 313, initiated the formal recognition of Christianity.</w:t>
      </w:r>
      <w:r w:rsidRPr="001148C2">
        <w:rPr>
          <w:rFonts w:asciiTheme="majorHAnsi" w:hAnsiTheme="majorHAnsi" w:cstheme="majorHAnsi"/>
          <w:sz w:val="24"/>
          <w:szCs w:val="24"/>
          <w:shd w:val="clear" w:color="auto" w:fill="FF9900"/>
          <w:vertAlign w:val="superscript"/>
        </w:rPr>
        <w:endnoteReference w:id="53"/>
      </w:r>
      <w:r w:rsidRPr="001148C2">
        <w:rPr>
          <w:rFonts w:asciiTheme="majorHAnsi" w:hAnsiTheme="majorHAnsi" w:cstheme="majorHAnsi"/>
          <w:sz w:val="24"/>
          <w:szCs w:val="24"/>
        </w:rPr>
        <w:t xml:space="preserve"> He began promoting grand-scale church construction, most prominently in Rome, later in Constantinople, and at the central sites of biblical history in and around Jerusalem, thereby fostering the idea of a Christian ‘Holy Land.’</w:t>
      </w:r>
      <w:r w:rsidRPr="001148C2">
        <w:rPr>
          <w:rFonts w:asciiTheme="majorHAnsi" w:hAnsiTheme="majorHAnsi" w:cstheme="majorHAnsi"/>
          <w:sz w:val="24"/>
          <w:szCs w:val="24"/>
          <w:shd w:val="clear" w:color="auto" w:fill="FF9900"/>
          <w:vertAlign w:val="superscript"/>
        </w:rPr>
        <w:endnoteReference w:id="54"/>
      </w:r>
      <w:r w:rsidRPr="001148C2">
        <w:rPr>
          <w:rFonts w:asciiTheme="majorHAnsi" w:hAnsiTheme="majorHAnsi" w:cstheme="majorHAnsi"/>
          <w:sz w:val="24"/>
          <w:szCs w:val="24"/>
        </w:rPr>
        <w:t xml:space="preserve"> Constantine also expanded the repertoire of monarchical representation to include elements of Christian symbolism and discourse, while scaling back ostentatiously pagan rituals (such as blood sacrifice) at official ceremonies. He sought the counsel of Christian bishops on religious policy, entrusted the education of his son </w:t>
      </w:r>
      <w:proofErr w:type="spellStart"/>
      <w:r w:rsidRPr="001148C2">
        <w:rPr>
          <w:rFonts w:asciiTheme="majorHAnsi" w:hAnsiTheme="majorHAnsi" w:cstheme="majorHAnsi"/>
          <w:sz w:val="24"/>
          <w:szCs w:val="24"/>
        </w:rPr>
        <w:t>Crispus</w:t>
      </w:r>
      <w:proofErr w:type="spellEnd"/>
      <w:r w:rsidRPr="001148C2">
        <w:rPr>
          <w:rFonts w:asciiTheme="majorHAnsi" w:hAnsiTheme="majorHAnsi" w:cstheme="majorHAnsi"/>
          <w:sz w:val="24"/>
          <w:szCs w:val="24"/>
        </w:rPr>
        <w:t xml:space="preserve"> to the Christian rhetor </w:t>
      </w:r>
      <w:proofErr w:type="spellStart"/>
      <w:r w:rsidRPr="001148C2">
        <w:rPr>
          <w:rFonts w:asciiTheme="majorHAnsi" w:hAnsiTheme="majorHAnsi" w:cstheme="majorHAnsi"/>
          <w:sz w:val="24"/>
          <w:szCs w:val="24"/>
        </w:rPr>
        <w:t>Lactantius</w:t>
      </w:r>
      <w:proofErr w:type="spellEnd"/>
      <w:r w:rsidRPr="001148C2">
        <w:rPr>
          <w:rFonts w:asciiTheme="majorHAnsi" w:hAnsiTheme="majorHAnsi" w:cstheme="majorHAnsi"/>
          <w:sz w:val="24"/>
          <w:szCs w:val="24"/>
        </w:rPr>
        <w:t xml:space="preserve">, and was baptized himself on his deathbed. The overall image that emerges from these measures is commonly described as the Christianization of the Roman monarchy. This process is unmistakable during Constantine’s reign. The measures collectively aimed to enable the orderly incorporation of Christianity into the social and political fabric of the Roman empire. </w:t>
      </w:r>
    </w:p>
    <w:p w:rsidR="00A161CD" w:rsidRPr="001148C2" w:rsidRDefault="00A161CD" w:rsidP="00F51695">
      <w:pPr>
        <w:spacing w:after="60" w:line="240" w:lineRule="auto"/>
        <w:ind w:firstLine="566"/>
        <w:rPr>
          <w:rFonts w:asciiTheme="majorHAnsi" w:hAnsiTheme="majorHAnsi" w:cstheme="majorHAnsi"/>
          <w:sz w:val="24"/>
          <w:szCs w:val="24"/>
        </w:rPr>
      </w:pPr>
      <w:r w:rsidRPr="001148C2">
        <w:rPr>
          <w:rFonts w:asciiTheme="majorHAnsi" w:hAnsiTheme="majorHAnsi" w:cstheme="majorHAnsi"/>
          <w:sz w:val="24"/>
          <w:szCs w:val="24"/>
        </w:rPr>
        <w:t xml:space="preserve">Nevertheless, what makes the 317 </w:t>
      </w:r>
      <w:proofErr w:type="gramStart"/>
      <w:r w:rsidRPr="001148C2">
        <w:rPr>
          <w:rFonts w:asciiTheme="majorHAnsi" w:hAnsiTheme="majorHAnsi" w:cstheme="majorHAnsi"/>
          <w:sz w:val="24"/>
          <w:szCs w:val="24"/>
        </w:rPr>
        <w:t>episode</w:t>
      </w:r>
      <w:proofErr w:type="gramEnd"/>
      <w:r w:rsidRPr="001148C2">
        <w:rPr>
          <w:rFonts w:asciiTheme="majorHAnsi" w:hAnsiTheme="majorHAnsi" w:cstheme="majorHAnsi"/>
          <w:sz w:val="24"/>
          <w:szCs w:val="24"/>
        </w:rPr>
        <w:t xml:space="preserve"> so revealing is that the decree of unity, the subsequent act of violence against the dissenting community in Carthage, and the eventual cessation of state intervention in the conflict each served specific functions within Constantine’s religious policy, even though they appear fundamentally at odds with the broader picture of Christianization under Constantine. To arrive at an overall account that meaningfully integrates these seemingly contradictory aspects of the development, we need to examine more closely what led to the excess of violence in Carthage. Only then can we understand why non-violent options for conflict resolution were exhausted within a few years, why Constantine ultimately saw no alternative but to commit himself to a specific doctrinal articulation of Christian orthodoxy, and why state authorities then resorted to violence to enforce that position.</w:t>
      </w:r>
    </w:p>
    <w:p w:rsidR="00A161CD" w:rsidRPr="001148C2" w:rsidRDefault="00A161CD" w:rsidP="00371852">
      <w:pPr>
        <w:spacing w:after="60" w:line="240" w:lineRule="auto"/>
        <w:ind w:firstLine="566"/>
        <w:rPr>
          <w:rFonts w:asciiTheme="majorHAnsi" w:hAnsiTheme="majorHAnsi" w:cstheme="majorHAnsi"/>
          <w:sz w:val="24"/>
          <w:szCs w:val="24"/>
        </w:rPr>
      </w:pPr>
    </w:p>
    <w:p w:rsidR="00A161CD" w:rsidRPr="001148C2" w:rsidRDefault="00A161CD" w:rsidP="00371852">
      <w:pPr>
        <w:spacing w:after="60" w:line="240" w:lineRule="auto"/>
        <w:ind w:firstLine="566"/>
        <w:rPr>
          <w:rFonts w:asciiTheme="majorHAnsi" w:hAnsiTheme="majorHAnsi" w:cstheme="majorHAnsi"/>
          <w:sz w:val="24"/>
          <w:szCs w:val="24"/>
        </w:rPr>
      </w:pPr>
    </w:p>
    <w:p w:rsidR="00A161CD" w:rsidRPr="001148C2" w:rsidRDefault="00A161CD" w:rsidP="004512AA">
      <w:pPr>
        <w:spacing w:after="60" w:line="240" w:lineRule="auto"/>
        <w:jc w:val="center"/>
        <w:rPr>
          <w:rFonts w:asciiTheme="majorHAnsi" w:hAnsiTheme="majorHAnsi" w:cstheme="majorHAnsi"/>
          <w:sz w:val="24"/>
          <w:szCs w:val="24"/>
        </w:rPr>
      </w:pPr>
      <w:r w:rsidRPr="001148C2">
        <w:rPr>
          <w:rFonts w:asciiTheme="majorHAnsi" w:hAnsiTheme="majorHAnsi" w:cstheme="majorHAnsi"/>
          <w:sz w:val="24"/>
          <w:szCs w:val="24"/>
        </w:rPr>
        <w:lastRenderedPageBreak/>
        <w:t>* * *</w:t>
      </w:r>
    </w:p>
    <w:p w:rsidR="00A161CD" w:rsidRPr="001148C2" w:rsidRDefault="00A161CD" w:rsidP="00996523">
      <w:pPr>
        <w:spacing w:after="60" w:line="240" w:lineRule="auto"/>
        <w:rPr>
          <w:rFonts w:asciiTheme="majorHAnsi" w:hAnsiTheme="majorHAnsi" w:cstheme="majorHAnsi"/>
          <w:sz w:val="24"/>
          <w:szCs w:val="24"/>
        </w:rPr>
      </w:pPr>
      <w:r w:rsidRPr="001148C2">
        <w:rPr>
          <w:rFonts w:asciiTheme="majorHAnsi" w:hAnsiTheme="majorHAnsi" w:cstheme="majorHAnsi"/>
          <w:sz w:val="24"/>
          <w:szCs w:val="24"/>
        </w:rPr>
        <w:t xml:space="preserve">When Constantine first entered the arena of the ‘Donatist controversy’ after his victory over Maxentius in 312, he confronted internal Christian rivalries, which were rooted in doctrinal disagreements and closely intertwined with social factors. The conflict was a legacy of earlier persecutions dating back to the mid-third century, further intensified by the persecutions of the </w:t>
      </w:r>
      <w:proofErr w:type="spellStart"/>
      <w:r w:rsidRPr="001148C2">
        <w:rPr>
          <w:rFonts w:asciiTheme="majorHAnsi" w:hAnsiTheme="majorHAnsi" w:cstheme="majorHAnsi"/>
          <w:sz w:val="24"/>
          <w:szCs w:val="24"/>
        </w:rPr>
        <w:t>Tetrarchic</w:t>
      </w:r>
      <w:proofErr w:type="spellEnd"/>
      <w:r w:rsidRPr="001148C2">
        <w:rPr>
          <w:rFonts w:asciiTheme="majorHAnsi" w:hAnsiTheme="majorHAnsi" w:cstheme="majorHAnsi"/>
          <w:sz w:val="24"/>
          <w:szCs w:val="24"/>
        </w:rPr>
        <w:t xml:space="preserve"> period. During the phases of systematic repression under Decius (r. 249–251) and Valerian (r. 253–260), individual Christians and entire communities sought to mitigate pressure through various forms of accommodation to the state. Acts of loyalty demanded by the authorities, such as the surrender of sacred scriptures or the veneration of imperial images, were denounced by others as signs of apostasy. These disputes quickly crystallized around the question of baptismal validity. Representatives of a rigorist understanding of Christian confession insisted that those who had yielded under persecution required rebaptism, whether they had sacrificed to the emperor or handed over sacred texts (</w:t>
      </w:r>
      <w:proofErr w:type="spellStart"/>
      <w:r w:rsidRPr="001148C2">
        <w:rPr>
          <w:rFonts w:asciiTheme="majorHAnsi" w:hAnsiTheme="majorHAnsi" w:cstheme="majorHAnsi"/>
          <w:i/>
          <w:iCs/>
          <w:sz w:val="24"/>
          <w:szCs w:val="24"/>
        </w:rPr>
        <w:t>lapsi</w:t>
      </w:r>
      <w:proofErr w:type="spellEnd"/>
      <w:r w:rsidRPr="001148C2">
        <w:rPr>
          <w:rFonts w:asciiTheme="majorHAnsi" w:hAnsiTheme="majorHAnsi" w:cstheme="majorHAnsi"/>
          <w:sz w:val="24"/>
          <w:szCs w:val="24"/>
        </w:rPr>
        <w:t xml:space="preserve">, </w:t>
      </w:r>
      <w:proofErr w:type="spellStart"/>
      <w:r w:rsidRPr="001148C2">
        <w:rPr>
          <w:rFonts w:asciiTheme="majorHAnsi" w:hAnsiTheme="majorHAnsi" w:cstheme="majorHAnsi"/>
          <w:i/>
          <w:iCs/>
          <w:sz w:val="24"/>
          <w:szCs w:val="24"/>
        </w:rPr>
        <w:t>traditores</w:t>
      </w:r>
      <w:proofErr w:type="spellEnd"/>
      <w:r w:rsidRPr="001148C2">
        <w:rPr>
          <w:rFonts w:asciiTheme="majorHAnsi" w:hAnsiTheme="majorHAnsi" w:cstheme="majorHAnsi"/>
          <w:sz w:val="24"/>
          <w:szCs w:val="24"/>
        </w:rPr>
        <w:t>). From this perspective, apostasy entailed the loss of sacramental integrity. By contrast, the communities later designated as ‘catholic’ under the Constantinian administration upheld the principle that baptism, once validly conferred, remained inalienable.</w:t>
      </w:r>
    </w:p>
    <w:p w:rsidR="00A161CD" w:rsidRPr="001148C2" w:rsidRDefault="00A161CD" w:rsidP="009F4557">
      <w:pPr>
        <w:spacing w:after="60" w:line="240" w:lineRule="auto"/>
        <w:ind w:firstLine="566"/>
        <w:rPr>
          <w:rFonts w:asciiTheme="majorHAnsi" w:hAnsiTheme="majorHAnsi" w:cstheme="majorHAnsi"/>
          <w:sz w:val="24"/>
          <w:szCs w:val="24"/>
        </w:rPr>
      </w:pPr>
      <w:r w:rsidRPr="001148C2">
        <w:rPr>
          <w:rFonts w:asciiTheme="majorHAnsi" w:hAnsiTheme="majorHAnsi" w:cstheme="majorHAnsi"/>
          <w:sz w:val="24"/>
          <w:szCs w:val="24"/>
        </w:rPr>
        <w:t xml:space="preserve">Tensions that would ultimately culminate in an outright schism intensified again during the renewed persecution of 303 onwards. The open rupture between rival Christian communities in North Africa occurred only months before Constantine incorporated the region into his domain when defeating Maxentius. At that time, the deacon Caecilian, viewed with suspicion by proponents of a rigorist conception of Christian fidelity, was elected bishop of Carthage by his supporters in 311. Opposition to his election formed quickly. Shortly after his ordination, Caecilian was deposed at a counter-synod of approximately seventy bishops, who argued that one of the consecrating bishops, Felix of </w:t>
      </w:r>
      <w:proofErr w:type="spellStart"/>
      <w:r w:rsidRPr="001148C2">
        <w:rPr>
          <w:rFonts w:asciiTheme="majorHAnsi" w:hAnsiTheme="majorHAnsi" w:cstheme="majorHAnsi"/>
          <w:sz w:val="24"/>
          <w:szCs w:val="24"/>
        </w:rPr>
        <w:t>Aptunga</w:t>
      </w:r>
      <w:proofErr w:type="spellEnd"/>
      <w:r w:rsidRPr="001148C2">
        <w:rPr>
          <w:rFonts w:asciiTheme="majorHAnsi" w:hAnsiTheme="majorHAnsi" w:cstheme="majorHAnsi"/>
          <w:sz w:val="24"/>
          <w:szCs w:val="24"/>
        </w:rPr>
        <w:t>, was compromised through his conduct during the persecution.</w:t>
      </w:r>
      <w:r w:rsidRPr="001148C2">
        <w:rPr>
          <w:rStyle w:val="Endnotenzeichen"/>
          <w:rFonts w:asciiTheme="majorHAnsi" w:hAnsiTheme="majorHAnsi" w:cstheme="majorHAnsi"/>
          <w:sz w:val="24"/>
          <w:szCs w:val="24"/>
        </w:rPr>
        <w:endnoteReference w:id="55"/>
      </w:r>
      <w:r w:rsidRPr="001148C2">
        <w:rPr>
          <w:rFonts w:asciiTheme="majorHAnsi" w:hAnsiTheme="majorHAnsi" w:cstheme="majorHAnsi"/>
          <w:sz w:val="24"/>
          <w:szCs w:val="24"/>
        </w:rPr>
        <w:t xml:space="preserve"> This decision precipitated the North African church’s open rupture, as Caecilian and his adherents refused to recognize the deposition. The counter-synod instead elevated </w:t>
      </w:r>
      <w:proofErr w:type="spellStart"/>
      <w:r w:rsidRPr="001148C2">
        <w:rPr>
          <w:rFonts w:asciiTheme="majorHAnsi" w:hAnsiTheme="majorHAnsi" w:cstheme="majorHAnsi"/>
          <w:sz w:val="24"/>
          <w:szCs w:val="24"/>
        </w:rPr>
        <w:t>Majorinus</w:t>
      </w:r>
      <w:proofErr w:type="spellEnd"/>
      <w:r w:rsidRPr="001148C2">
        <w:rPr>
          <w:rFonts w:asciiTheme="majorHAnsi" w:hAnsiTheme="majorHAnsi" w:cstheme="majorHAnsi"/>
          <w:sz w:val="24"/>
          <w:szCs w:val="24"/>
        </w:rPr>
        <w:t xml:space="preserve"> to the episcopal see of Carthage.</w:t>
      </w:r>
      <w:r w:rsidRPr="001148C2">
        <w:rPr>
          <w:rStyle w:val="Endnotenzeichen"/>
          <w:rFonts w:asciiTheme="majorHAnsi" w:hAnsiTheme="majorHAnsi" w:cstheme="majorHAnsi"/>
          <w:sz w:val="24"/>
          <w:szCs w:val="24"/>
        </w:rPr>
        <w:endnoteReference w:id="56"/>
      </w:r>
      <w:r w:rsidRPr="001148C2">
        <w:rPr>
          <w:rFonts w:asciiTheme="majorHAnsi" w:hAnsiTheme="majorHAnsi" w:cstheme="majorHAnsi"/>
          <w:sz w:val="24"/>
          <w:szCs w:val="24"/>
        </w:rPr>
        <w:t xml:space="preserve"> Upon his death in 313, he was succeeded by Donatus, whose leadership so profoundly shaped the movement that it came to be known as the Donatist church. </w:t>
      </w:r>
    </w:p>
    <w:p w:rsidR="00A161CD" w:rsidRPr="001148C2" w:rsidRDefault="00A161CD" w:rsidP="0001535E">
      <w:pPr>
        <w:spacing w:after="60" w:line="240" w:lineRule="auto"/>
        <w:ind w:firstLine="566"/>
        <w:rPr>
          <w:rFonts w:asciiTheme="majorHAnsi" w:hAnsiTheme="majorHAnsi" w:cstheme="majorHAnsi"/>
          <w:sz w:val="24"/>
          <w:szCs w:val="24"/>
        </w:rPr>
      </w:pPr>
      <w:r w:rsidRPr="001148C2">
        <w:rPr>
          <w:rFonts w:asciiTheme="majorHAnsi" w:hAnsiTheme="majorHAnsi" w:cstheme="majorHAnsi"/>
          <w:sz w:val="24"/>
          <w:szCs w:val="24"/>
        </w:rPr>
        <w:t>In light of these developments, Caecilian would likely not have retained his position for long had Constantine’s intervention not altered the trajectory of the emerging Donatist movement. With Constantine, an emperor entered the dispute who, unlike his predecessors, no longer viewed Christianity merely as a challenge to traditional religion and Roman authority but instead regarded Christian communities as a resource for social cohesion and imperial governance. In shaping his policy, he gauged the willingness of local groups to collaborate and, in North Africa, discerned greater prospects for sustained cooperation among Caecilian and his adherents.</w:t>
      </w:r>
      <w:r w:rsidRPr="001148C2">
        <w:rPr>
          <w:rFonts w:asciiTheme="majorHAnsi" w:hAnsiTheme="majorHAnsi" w:cstheme="majorHAnsi"/>
          <w:sz w:val="24"/>
          <w:szCs w:val="24"/>
          <w:shd w:val="clear" w:color="auto" w:fill="FF9900"/>
          <w:vertAlign w:val="superscript"/>
        </w:rPr>
        <w:endnoteReference w:id="57"/>
      </w:r>
      <w:r w:rsidRPr="001148C2">
        <w:rPr>
          <w:rFonts w:asciiTheme="majorHAnsi" w:hAnsiTheme="majorHAnsi" w:cstheme="majorHAnsi"/>
          <w:sz w:val="24"/>
          <w:szCs w:val="24"/>
          <w:shd w:val="clear" w:color="auto" w:fill="FF9900"/>
          <w:vertAlign w:val="superscript"/>
        </w:rPr>
        <w:t xml:space="preserve"> </w:t>
      </w:r>
      <w:r w:rsidRPr="001148C2">
        <w:rPr>
          <w:rFonts w:asciiTheme="majorHAnsi" w:hAnsiTheme="majorHAnsi" w:cstheme="majorHAnsi"/>
          <w:sz w:val="24"/>
          <w:szCs w:val="24"/>
        </w:rPr>
        <w:t>By this stage, the inner-Christian contentions in North Africa had for several years generated serious disturbances of public safety and order on the ground. The conflict repeatedly escalated into localized outbreaks of violence, accompanied by looting and the unlawful seizure of property, at times approaching conditions of civil strife.</w:t>
      </w:r>
      <w:r w:rsidRPr="001148C2">
        <w:rPr>
          <w:rFonts w:asciiTheme="majorHAnsi" w:hAnsiTheme="majorHAnsi" w:cstheme="majorHAnsi"/>
          <w:sz w:val="24"/>
          <w:szCs w:val="24"/>
          <w:vertAlign w:val="superscript"/>
        </w:rPr>
        <w:endnoteReference w:id="58"/>
      </w:r>
      <w:r w:rsidRPr="001148C2">
        <w:rPr>
          <w:rFonts w:asciiTheme="majorHAnsi" w:hAnsiTheme="majorHAnsi" w:cstheme="majorHAnsi"/>
          <w:sz w:val="24"/>
          <w:szCs w:val="24"/>
          <w:lang w:val="de-DE"/>
        </w:rPr>
        <w:t xml:space="preserve"> </w:t>
      </w:r>
      <w:r w:rsidRPr="001148C2">
        <w:rPr>
          <w:rFonts w:asciiTheme="majorHAnsi" w:hAnsiTheme="majorHAnsi" w:cstheme="majorHAnsi"/>
          <w:sz w:val="24"/>
          <w:szCs w:val="24"/>
        </w:rPr>
        <w:t xml:space="preserve">The schism of 311 exacerbated public order problems. Yet I want to argue that the decisive impetus behind imperial intervention lay not primarily in restoring order, but rather in the Roman administration’s intrinsic interest in securing ecclesiastical unity. </w:t>
      </w:r>
    </w:p>
    <w:p w:rsidR="00A161CD" w:rsidRPr="001148C2" w:rsidRDefault="00A161CD" w:rsidP="0034404D">
      <w:pPr>
        <w:spacing w:after="60" w:line="240" w:lineRule="auto"/>
        <w:ind w:firstLine="566"/>
        <w:rPr>
          <w:rFonts w:asciiTheme="majorHAnsi" w:hAnsiTheme="majorHAnsi" w:cstheme="majorHAnsi"/>
          <w:sz w:val="24"/>
          <w:szCs w:val="24"/>
        </w:rPr>
      </w:pPr>
      <w:r w:rsidRPr="001148C2">
        <w:rPr>
          <w:rFonts w:asciiTheme="majorHAnsi" w:hAnsiTheme="majorHAnsi" w:cstheme="majorHAnsi"/>
          <w:sz w:val="24"/>
          <w:szCs w:val="24"/>
        </w:rPr>
        <w:lastRenderedPageBreak/>
        <w:t>The imperial strategic objectives become evident in the way the Constantinian government operated for more than four years, pursuing sustained and carefully coordinated efforts at nonviolent conflict resolution in close consultation with the contending parties before ultimately attempting to impose unity by force. The surviving documents from the imperial chancery allow us to trace, with considerable precision, how public authorities experimented with different strategies of mediation and conflict management. They reveal that the character of imperial engagement changed fundamentally only after the administration had exhausted conventional options for managing the dispute and was compelled to treat it as what it was: a struggle over Christian orthodoxy that could not be resolved through established instruments of imperial governance. Initially, despite considerable effort and the wide range of approaches tested over several years, the administration sought, for as long as possible, to avoid any positioning of the emperor within the field of doctrinal contention, that is, a commitment to one of the competing substantive interpretations of religious truth. Such an alignment of the ruler with a particular dogmatic stance occurred only after conventional mechanisms for conflict management had consistently failed.</w:t>
      </w:r>
    </w:p>
    <w:p w:rsidR="00A161CD" w:rsidRPr="001148C2" w:rsidRDefault="00A161CD" w:rsidP="00FF0DF9">
      <w:pPr>
        <w:spacing w:after="60" w:line="240" w:lineRule="auto"/>
        <w:ind w:firstLine="566"/>
        <w:rPr>
          <w:rFonts w:asciiTheme="majorHAnsi" w:hAnsiTheme="majorHAnsi" w:cstheme="majorHAnsi"/>
          <w:sz w:val="24"/>
          <w:szCs w:val="24"/>
        </w:rPr>
      </w:pPr>
      <w:r w:rsidRPr="001148C2">
        <w:rPr>
          <w:rFonts w:asciiTheme="majorHAnsi" w:eastAsia="Arial" w:hAnsiTheme="majorHAnsi" w:cstheme="majorHAnsi"/>
          <w:color w:val="000000"/>
          <w:sz w:val="24"/>
          <w:szCs w:val="24"/>
        </w:rPr>
        <w:t xml:space="preserve">From the earliest intervention in the conflict onwards, the imperial administration recognized Caecilian as the legitimate representative of the Christian communities of North Africa. As three letters of Constantine show (dated between his victory over Maxentius in October 312 and his meeting with </w:t>
      </w:r>
      <w:proofErr w:type="spellStart"/>
      <w:r w:rsidRPr="001148C2">
        <w:rPr>
          <w:rFonts w:asciiTheme="majorHAnsi" w:eastAsia="Arial" w:hAnsiTheme="majorHAnsi" w:cstheme="majorHAnsi"/>
          <w:color w:val="000000"/>
          <w:sz w:val="24"/>
          <w:szCs w:val="24"/>
        </w:rPr>
        <w:t>Licinius</w:t>
      </w:r>
      <w:proofErr w:type="spellEnd"/>
      <w:r w:rsidRPr="001148C2">
        <w:rPr>
          <w:rFonts w:asciiTheme="majorHAnsi" w:eastAsia="Arial" w:hAnsiTheme="majorHAnsi" w:cstheme="majorHAnsi"/>
          <w:color w:val="000000"/>
          <w:sz w:val="24"/>
          <w:szCs w:val="24"/>
        </w:rPr>
        <w:t xml:space="preserve"> in Milan in the spring of 313), this recognition entailed assigning Caecilian a central coordinating role in the restitution of church property and the allocation of state funds in support of the Christian communities in North Africa. To contest the authorities’ recognition of Caecilian as bishop of Carthage, his opponents lodged objections with </w:t>
      </w:r>
      <w:proofErr w:type="spellStart"/>
      <w:r w:rsidRPr="001148C2">
        <w:rPr>
          <w:rFonts w:asciiTheme="majorHAnsi" w:eastAsia="Arial" w:hAnsiTheme="majorHAnsi" w:cstheme="majorHAnsi"/>
          <w:color w:val="000000"/>
          <w:sz w:val="24"/>
          <w:szCs w:val="24"/>
        </w:rPr>
        <w:t>Anullinus</w:t>
      </w:r>
      <w:proofErr w:type="spellEnd"/>
      <w:r w:rsidRPr="001148C2">
        <w:rPr>
          <w:rFonts w:asciiTheme="majorHAnsi" w:eastAsia="Arial" w:hAnsiTheme="majorHAnsi" w:cstheme="majorHAnsi"/>
          <w:color w:val="000000"/>
          <w:sz w:val="24"/>
          <w:szCs w:val="24"/>
        </w:rPr>
        <w:t>, the proconsul of Africa, who in turn referred the matter to the emperor.</w:t>
      </w:r>
      <w:r w:rsidRPr="001148C2">
        <w:rPr>
          <w:rFonts w:asciiTheme="majorHAnsi" w:hAnsiTheme="majorHAnsi" w:cstheme="majorHAnsi"/>
          <w:sz w:val="24"/>
          <w:szCs w:val="24"/>
          <w:vertAlign w:val="superscript"/>
        </w:rPr>
        <w:endnoteReference w:id="59"/>
      </w:r>
      <w:r w:rsidRPr="001148C2">
        <w:rPr>
          <w:rFonts w:asciiTheme="majorHAnsi" w:eastAsia="Arial" w:hAnsiTheme="majorHAnsi" w:cstheme="majorHAnsi"/>
          <w:color w:val="000000"/>
          <w:sz w:val="24"/>
          <w:szCs w:val="24"/>
        </w:rPr>
        <w:t xml:space="preserve"> Constantine responded by summoning Caecilian, together with ten leading representatives from each of the two opposing parties, to an arbitration tribunal convened in Rome under the presidency of the Roman bishop Miltiades.</w:t>
      </w:r>
      <w:r w:rsidRPr="001148C2">
        <w:rPr>
          <w:rStyle w:val="Endnotenzeichen"/>
          <w:rFonts w:asciiTheme="majorHAnsi" w:eastAsia="Arial" w:hAnsiTheme="majorHAnsi" w:cstheme="majorHAnsi"/>
          <w:color w:val="000000"/>
          <w:sz w:val="24"/>
          <w:szCs w:val="24"/>
        </w:rPr>
        <w:endnoteReference w:id="60"/>
      </w:r>
      <w:r w:rsidRPr="001148C2">
        <w:rPr>
          <w:rFonts w:asciiTheme="majorHAnsi" w:eastAsia="Arial" w:hAnsiTheme="majorHAnsi" w:cstheme="majorHAnsi"/>
          <w:color w:val="000000"/>
          <w:sz w:val="24"/>
          <w:szCs w:val="24"/>
        </w:rPr>
        <w:t xml:space="preserve"> He also appointed three Gallic bishops to assist Miltiades as a </w:t>
      </w:r>
      <w:proofErr w:type="spellStart"/>
      <w:r w:rsidRPr="001148C2">
        <w:rPr>
          <w:rFonts w:asciiTheme="majorHAnsi" w:eastAsia="Arial" w:hAnsiTheme="majorHAnsi" w:cstheme="majorHAnsi"/>
          <w:i/>
          <w:iCs/>
          <w:color w:val="000000"/>
          <w:sz w:val="24"/>
          <w:szCs w:val="24"/>
        </w:rPr>
        <w:t>consilium</w:t>
      </w:r>
      <w:proofErr w:type="spellEnd"/>
      <w:r w:rsidRPr="001148C2">
        <w:rPr>
          <w:rFonts w:asciiTheme="majorHAnsi" w:eastAsia="Arial" w:hAnsiTheme="majorHAnsi" w:cstheme="majorHAnsi"/>
          <w:color w:val="000000"/>
          <w:sz w:val="24"/>
          <w:szCs w:val="24"/>
        </w:rPr>
        <w:t xml:space="preserve"> (council).</w:t>
      </w:r>
      <w:r w:rsidRPr="001148C2">
        <w:rPr>
          <w:rFonts w:asciiTheme="majorHAnsi" w:hAnsiTheme="majorHAnsi" w:cstheme="majorHAnsi"/>
          <w:sz w:val="24"/>
          <w:szCs w:val="24"/>
          <w:vertAlign w:val="superscript"/>
        </w:rPr>
        <w:endnoteReference w:id="61"/>
      </w:r>
    </w:p>
    <w:p w:rsidR="00A161CD" w:rsidRPr="001148C2" w:rsidRDefault="00A161CD" w:rsidP="00FF0DF9">
      <w:pPr>
        <w:spacing w:after="60" w:line="240" w:lineRule="auto"/>
        <w:ind w:firstLine="567"/>
        <w:rPr>
          <w:rFonts w:asciiTheme="majorHAnsi" w:hAnsiTheme="majorHAnsi" w:cstheme="majorHAnsi"/>
          <w:sz w:val="24"/>
          <w:szCs w:val="24"/>
        </w:rPr>
      </w:pPr>
      <w:r w:rsidRPr="001148C2">
        <w:rPr>
          <w:rFonts w:asciiTheme="majorHAnsi" w:hAnsiTheme="majorHAnsi" w:cstheme="majorHAnsi"/>
          <w:sz w:val="24"/>
          <w:szCs w:val="24"/>
        </w:rPr>
        <w:t xml:space="preserve">In a letter to Miltiades, preserved in a Greek translation by Eusebius in the </w:t>
      </w:r>
      <w:r w:rsidRPr="001148C2">
        <w:rPr>
          <w:rFonts w:asciiTheme="majorHAnsi" w:hAnsiTheme="majorHAnsi" w:cstheme="majorHAnsi"/>
          <w:i/>
          <w:iCs/>
          <w:sz w:val="24"/>
          <w:szCs w:val="24"/>
        </w:rPr>
        <w:t>Church History</w:t>
      </w:r>
      <w:r w:rsidRPr="001148C2">
        <w:rPr>
          <w:rFonts w:asciiTheme="majorHAnsi" w:hAnsiTheme="majorHAnsi" w:cstheme="majorHAnsi"/>
          <w:sz w:val="24"/>
          <w:szCs w:val="24"/>
        </w:rPr>
        <w:t xml:space="preserve">, Constantine outlined the </w:t>
      </w:r>
      <w:r w:rsidR="00A6201C" w:rsidRPr="001148C2">
        <w:rPr>
          <w:rFonts w:asciiTheme="majorHAnsi" w:hAnsiTheme="majorHAnsi" w:cstheme="majorHAnsi"/>
          <w:sz w:val="24"/>
          <w:szCs w:val="24"/>
        </w:rPr>
        <w:t>formal</w:t>
      </w:r>
      <w:r w:rsidRPr="001148C2">
        <w:rPr>
          <w:rFonts w:asciiTheme="majorHAnsi" w:hAnsiTheme="majorHAnsi" w:cstheme="majorHAnsi"/>
          <w:sz w:val="24"/>
          <w:szCs w:val="24"/>
        </w:rPr>
        <w:t xml:space="preserve"> framework for the proceedings. The text offers insight into the central government’s assessment of the conflict and reveals the forms of conflict resolution Constantine envisioned at this stage. Its terminology frames the dispute as an internal ecclesiastical legal case, to be settled by an episcopal arbitral decision formally backed by imperial authority. In the Greek translation cited by Eusebius, the conflict is designated as </w:t>
      </w:r>
      <w:proofErr w:type="spellStart"/>
      <w:r w:rsidRPr="001148C2">
        <w:rPr>
          <w:rFonts w:asciiTheme="majorHAnsi" w:hAnsiTheme="majorHAnsi" w:cstheme="majorHAnsi"/>
          <w:i/>
          <w:iCs/>
          <w:sz w:val="24"/>
          <w:szCs w:val="24"/>
        </w:rPr>
        <w:t>dikhostasía</w:t>
      </w:r>
      <w:proofErr w:type="spellEnd"/>
      <w:r w:rsidRPr="001148C2">
        <w:rPr>
          <w:rFonts w:asciiTheme="majorHAnsi" w:hAnsiTheme="majorHAnsi" w:cstheme="majorHAnsi"/>
          <w:sz w:val="24"/>
          <w:szCs w:val="24"/>
        </w:rPr>
        <w:t xml:space="preserve">, </w:t>
      </w:r>
      <w:proofErr w:type="spellStart"/>
      <w:r w:rsidRPr="001148C2">
        <w:rPr>
          <w:rFonts w:asciiTheme="majorHAnsi" w:hAnsiTheme="majorHAnsi" w:cstheme="majorHAnsi"/>
          <w:i/>
          <w:iCs/>
          <w:sz w:val="24"/>
          <w:szCs w:val="24"/>
        </w:rPr>
        <w:t>skhísma</w:t>
      </w:r>
      <w:proofErr w:type="spellEnd"/>
      <w:r w:rsidRPr="001148C2">
        <w:rPr>
          <w:rFonts w:asciiTheme="majorHAnsi" w:hAnsiTheme="majorHAnsi" w:cstheme="majorHAnsi"/>
          <w:sz w:val="24"/>
          <w:szCs w:val="24"/>
        </w:rPr>
        <w:t xml:space="preserve">, and </w:t>
      </w:r>
      <w:proofErr w:type="spellStart"/>
      <w:r w:rsidRPr="001148C2">
        <w:rPr>
          <w:rFonts w:asciiTheme="majorHAnsi" w:hAnsiTheme="majorHAnsi" w:cstheme="majorHAnsi"/>
          <w:i/>
          <w:iCs/>
          <w:sz w:val="24"/>
          <w:szCs w:val="24"/>
        </w:rPr>
        <w:t>diaphorá</w:t>
      </w:r>
      <w:proofErr w:type="spellEnd"/>
      <w:r w:rsidRPr="001148C2">
        <w:rPr>
          <w:rFonts w:asciiTheme="majorHAnsi" w:hAnsiTheme="majorHAnsi" w:cstheme="majorHAnsi"/>
          <w:sz w:val="24"/>
          <w:szCs w:val="24"/>
        </w:rPr>
        <w:t xml:space="preserve"> (“</w:t>
      </w:r>
      <w:proofErr w:type="gramStart"/>
      <w:r w:rsidRPr="001148C2">
        <w:rPr>
          <w:rFonts w:asciiTheme="majorHAnsi" w:hAnsiTheme="majorHAnsi" w:cstheme="majorHAnsi"/>
          <w:sz w:val="24"/>
          <w:szCs w:val="24"/>
        </w:rPr>
        <w:t>strife,“</w:t>
      </w:r>
      <w:proofErr w:type="gramEnd"/>
      <w:r w:rsidRPr="001148C2">
        <w:rPr>
          <w:rFonts w:asciiTheme="majorHAnsi" w:hAnsiTheme="majorHAnsi" w:cstheme="majorHAnsi"/>
          <w:sz w:val="24"/>
          <w:szCs w:val="24"/>
        </w:rPr>
        <w:t xml:space="preserve"> “division,“ “discord”), and the legal dispute itself as </w:t>
      </w:r>
      <w:proofErr w:type="spellStart"/>
      <w:r w:rsidRPr="001148C2">
        <w:rPr>
          <w:rFonts w:asciiTheme="majorHAnsi" w:hAnsiTheme="majorHAnsi" w:cstheme="majorHAnsi"/>
          <w:i/>
          <w:iCs/>
          <w:sz w:val="24"/>
          <w:szCs w:val="24"/>
        </w:rPr>
        <w:t>díkē</w:t>
      </w:r>
      <w:proofErr w:type="spellEnd"/>
      <w:r w:rsidRPr="001148C2">
        <w:rPr>
          <w:rFonts w:asciiTheme="majorHAnsi" w:hAnsiTheme="majorHAnsi" w:cstheme="majorHAnsi"/>
          <w:sz w:val="24"/>
          <w:szCs w:val="24"/>
        </w:rPr>
        <w:t xml:space="preserve">, that is, a judicial proceeding. Constantine, however, does not specify concrete legal principles to govern the process. Instead, he instructs Miltiades to decide the case </w:t>
      </w:r>
      <w:proofErr w:type="spellStart"/>
      <w:r w:rsidRPr="001148C2">
        <w:rPr>
          <w:rFonts w:asciiTheme="majorHAnsi" w:hAnsiTheme="majorHAnsi" w:cstheme="majorHAnsi"/>
          <w:i/>
          <w:iCs/>
          <w:sz w:val="24"/>
          <w:szCs w:val="24"/>
        </w:rPr>
        <w:t>katà</w:t>
      </w:r>
      <w:proofErr w:type="spellEnd"/>
      <w:r w:rsidRPr="001148C2">
        <w:rPr>
          <w:rFonts w:asciiTheme="majorHAnsi" w:hAnsiTheme="majorHAnsi" w:cstheme="majorHAnsi"/>
          <w:sz w:val="24"/>
          <w:szCs w:val="24"/>
        </w:rPr>
        <w:t xml:space="preserve"> </w:t>
      </w:r>
      <w:proofErr w:type="spellStart"/>
      <w:r w:rsidRPr="001148C2">
        <w:rPr>
          <w:rFonts w:asciiTheme="majorHAnsi" w:hAnsiTheme="majorHAnsi" w:cstheme="majorHAnsi"/>
          <w:i/>
          <w:iCs/>
          <w:sz w:val="24"/>
          <w:szCs w:val="24"/>
        </w:rPr>
        <w:t>tò</w:t>
      </w:r>
      <w:proofErr w:type="spellEnd"/>
      <w:r w:rsidRPr="001148C2">
        <w:rPr>
          <w:rFonts w:asciiTheme="majorHAnsi" w:hAnsiTheme="majorHAnsi" w:cstheme="majorHAnsi"/>
          <w:sz w:val="24"/>
          <w:szCs w:val="24"/>
        </w:rPr>
        <w:t xml:space="preserve"> </w:t>
      </w:r>
      <w:proofErr w:type="spellStart"/>
      <w:r w:rsidRPr="001148C2">
        <w:rPr>
          <w:rFonts w:asciiTheme="majorHAnsi" w:hAnsiTheme="majorHAnsi" w:cstheme="majorHAnsi"/>
          <w:i/>
          <w:iCs/>
          <w:sz w:val="24"/>
          <w:szCs w:val="24"/>
        </w:rPr>
        <w:t>díkaion</w:t>
      </w:r>
      <w:proofErr w:type="spellEnd"/>
      <w:r w:rsidRPr="001148C2">
        <w:rPr>
          <w:rFonts w:asciiTheme="majorHAnsi" w:hAnsiTheme="majorHAnsi" w:cstheme="majorHAnsi"/>
          <w:sz w:val="24"/>
          <w:szCs w:val="24"/>
        </w:rPr>
        <w:t xml:space="preserve"> (“according to what is just”)</w:t>
      </w:r>
      <w:r w:rsidR="00A6201C" w:rsidRPr="001148C2">
        <w:rPr>
          <w:rFonts w:asciiTheme="majorHAnsi" w:hAnsiTheme="majorHAnsi" w:cstheme="majorHAnsi"/>
          <w:sz w:val="24"/>
          <w:szCs w:val="24"/>
        </w:rPr>
        <w:t>, and</w:t>
      </w:r>
      <w:r w:rsidRPr="001148C2">
        <w:rPr>
          <w:rFonts w:asciiTheme="majorHAnsi" w:hAnsiTheme="majorHAnsi" w:cstheme="majorHAnsi"/>
          <w:sz w:val="24"/>
          <w:szCs w:val="24"/>
        </w:rPr>
        <w:t xml:space="preserve"> </w:t>
      </w:r>
      <w:r w:rsidR="00A6201C" w:rsidRPr="001148C2">
        <w:rPr>
          <w:rFonts w:asciiTheme="majorHAnsi" w:hAnsiTheme="majorHAnsi" w:cstheme="majorHAnsi"/>
          <w:sz w:val="24"/>
          <w:szCs w:val="24"/>
        </w:rPr>
        <w:t>h</w:t>
      </w:r>
      <w:r w:rsidRPr="001148C2">
        <w:rPr>
          <w:rFonts w:asciiTheme="majorHAnsi" w:hAnsiTheme="majorHAnsi" w:cstheme="majorHAnsi"/>
          <w:sz w:val="24"/>
          <w:szCs w:val="24"/>
        </w:rPr>
        <w:t xml:space="preserve">e asks the bishop to take into account his reverence for the </w:t>
      </w:r>
      <w:proofErr w:type="spellStart"/>
      <w:r w:rsidRPr="001148C2">
        <w:rPr>
          <w:rFonts w:asciiTheme="majorHAnsi" w:hAnsiTheme="majorHAnsi" w:cstheme="majorHAnsi"/>
          <w:i/>
          <w:iCs/>
          <w:sz w:val="24"/>
          <w:szCs w:val="24"/>
        </w:rPr>
        <w:t>katholikḕ</w:t>
      </w:r>
      <w:proofErr w:type="spellEnd"/>
      <w:r w:rsidRPr="001148C2">
        <w:rPr>
          <w:rFonts w:asciiTheme="majorHAnsi" w:hAnsiTheme="majorHAnsi" w:cstheme="majorHAnsi"/>
          <w:i/>
          <w:iCs/>
          <w:sz w:val="24"/>
          <w:szCs w:val="24"/>
        </w:rPr>
        <w:t xml:space="preserve"> </w:t>
      </w:r>
      <w:proofErr w:type="spellStart"/>
      <w:r w:rsidRPr="001148C2">
        <w:rPr>
          <w:rFonts w:asciiTheme="majorHAnsi" w:hAnsiTheme="majorHAnsi" w:cstheme="majorHAnsi"/>
          <w:i/>
          <w:iCs/>
          <w:sz w:val="24"/>
          <w:szCs w:val="24"/>
        </w:rPr>
        <w:t>ekklēsía</w:t>
      </w:r>
      <w:proofErr w:type="spellEnd"/>
      <w:r w:rsidRPr="001148C2">
        <w:rPr>
          <w:rFonts w:asciiTheme="majorHAnsi" w:hAnsiTheme="majorHAnsi" w:cstheme="majorHAnsi"/>
          <w:sz w:val="24"/>
          <w:szCs w:val="24"/>
        </w:rPr>
        <w:t xml:space="preserve"> (“Catholic Church”).</w:t>
      </w:r>
      <w:r w:rsidRPr="001148C2">
        <w:rPr>
          <w:rFonts w:asciiTheme="majorHAnsi" w:hAnsiTheme="majorHAnsi" w:cstheme="majorHAnsi"/>
          <w:sz w:val="24"/>
          <w:szCs w:val="24"/>
          <w:shd w:val="clear" w:color="auto" w:fill="FF9900"/>
          <w:vertAlign w:val="superscript"/>
        </w:rPr>
        <w:endnoteReference w:id="62"/>
      </w:r>
    </w:p>
    <w:p w:rsidR="00A161CD" w:rsidRPr="001148C2" w:rsidRDefault="00A161CD" w:rsidP="0015257B">
      <w:pPr>
        <w:spacing w:after="60" w:line="240" w:lineRule="auto"/>
        <w:ind w:firstLine="567"/>
        <w:rPr>
          <w:rFonts w:asciiTheme="majorHAnsi" w:hAnsiTheme="majorHAnsi" w:cstheme="majorHAnsi"/>
          <w:sz w:val="24"/>
          <w:szCs w:val="24"/>
        </w:rPr>
      </w:pPr>
      <w:r w:rsidRPr="001148C2">
        <w:rPr>
          <w:rFonts w:asciiTheme="majorHAnsi" w:hAnsiTheme="majorHAnsi" w:cstheme="majorHAnsi"/>
          <w:sz w:val="24"/>
          <w:szCs w:val="24"/>
        </w:rPr>
        <w:t xml:space="preserve">In his letter, Constantine did not substantiate this thinly veiled instruction to decide the case in Caecilian’s favor. The very question of orthodoxy, which, for the opposing parties, lay at the heart of the dispute, thus remained entirely unaddressed at the level of imperial intervention. The dogmatic differences between the two sides were neither examined nor adjudicated. The emperor thus failed to reckon with the fact that the conflict was fundamentally a struggle over Christian truth, one that could not be resolved by a directive issued by public authorities that, at this stage, possessed only a rudimentary understanding of the structures and dynamics of Christian doctrinal discourse. So, contrary </w:t>
      </w:r>
      <w:r w:rsidRPr="001148C2">
        <w:rPr>
          <w:rFonts w:asciiTheme="majorHAnsi" w:hAnsiTheme="majorHAnsi" w:cstheme="majorHAnsi"/>
          <w:sz w:val="24"/>
          <w:szCs w:val="24"/>
        </w:rPr>
        <w:lastRenderedPageBreak/>
        <w:t xml:space="preserve">to imperial expectations, Miltiades’ verdict, aligned with Constantine’s preference, did not bring the conflict to an end. Maintaining that the proceedings had not permitted a full presentation of their case, the Donatists appealed the decision. The arbitration had failed to achieve its political objective. The dispute continued, and the situation in North Africa remained unsettled. </w:t>
      </w:r>
    </w:p>
    <w:p w:rsidR="00E836D3" w:rsidRPr="001148C2" w:rsidRDefault="00A161CD" w:rsidP="00E836D3">
      <w:pPr>
        <w:spacing w:after="60" w:line="240" w:lineRule="auto"/>
        <w:ind w:firstLine="567"/>
        <w:rPr>
          <w:rFonts w:asciiTheme="majorHAnsi" w:hAnsiTheme="majorHAnsi" w:cstheme="majorHAnsi"/>
          <w:sz w:val="24"/>
          <w:szCs w:val="24"/>
        </w:rPr>
      </w:pPr>
      <w:r w:rsidRPr="001148C2">
        <w:rPr>
          <w:rFonts w:asciiTheme="majorHAnsi" w:hAnsiTheme="majorHAnsi" w:cstheme="majorHAnsi"/>
          <w:sz w:val="24"/>
          <w:szCs w:val="24"/>
        </w:rPr>
        <w:t>Constantine reacted by convening a synod at Arles, summoning the leading representatives of both parties to secure a definitive resolution through the authority of a substantially larger episcopal assembly.</w:t>
      </w:r>
      <w:r w:rsidRPr="001148C2">
        <w:rPr>
          <w:rFonts w:asciiTheme="majorHAnsi" w:hAnsiTheme="majorHAnsi" w:cstheme="majorHAnsi"/>
          <w:sz w:val="24"/>
          <w:szCs w:val="24"/>
          <w:shd w:val="clear" w:color="auto" w:fill="FF9900"/>
          <w:vertAlign w:val="superscript"/>
        </w:rPr>
        <w:endnoteReference w:id="63"/>
      </w:r>
      <w:r w:rsidRPr="001148C2">
        <w:rPr>
          <w:rFonts w:asciiTheme="majorHAnsi" w:hAnsiTheme="majorHAnsi" w:cstheme="majorHAnsi"/>
          <w:sz w:val="24"/>
          <w:szCs w:val="24"/>
          <w:lang w:val="de-DE"/>
        </w:rPr>
        <w:t xml:space="preserve"> </w:t>
      </w:r>
      <w:r w:rsidRPr="001148C2">
        <w:rPr>
          <w:rFonts w:asciiTheme="majorHAnsi" w:hAnsiTheme="majorHAnsi" w:cstheme="majorHAnsi"/>
          <w:sz w:val="24"/>
          <w:szCs w:val="24"/>
        </w:rPr>
        <w:t xml:space="preserve">By transferring the proceedings first to Rome, then to Arles, Constantine, it seems, deliberately chose not to contain the conflict at the regional level but to extend it across an ever-broader geographical scope. This likely aimed to underscore the Donatists’ marginal position on a transregional scale and thereby isolate them. Yet disputes over Christian truth are not inevitably settled by numerical majorities. The imperial strategy of expanding the arena of arbitration thus reveals a fundamental misreading of the conflict’s underlying dynamics. The way the official documents presented the case supports this impression. Eusebius of Caesarea, in his </w:t>
      </w:r>
      <w:r w:rsidRPr="001148C2">
        <w:rPr>
          <w:rFonts w:asciiTheme="majorHAnsi" w:hAnsiTheme="majorHAnsi" w:cstheme="majorHAnsi"/>
          <w:i/>
          <w:iCs/>
          <w:sz w:val="24"/>
          <w:szCs w:val="24"/>
        </w:rPr>
        <w:t>Church History</w:t>
      </w:r>
      <w:r w:rsidRPr="001148C2">
        <w:rPr>
          <w:rFonts w:asciiTheme="majorHAnsi" w:hAnsiTheme="majorHAnsi" w:cstheme="majorHAnsi"/>
          <w:sz w:val="24"/>
          <w:szCs w:val="24"/>
        </w:rPr>
        <w:t xml:space="preserve">, transmits a letter of invitation addressed to </w:t>
      </w:r>
      <w:proofErr w:type="spellStart"/>
      <w:r w:rsidRPr="001148C2">
        <w:rPr>
          <w:rFonts w:asciiTheme="majorHAnsi" w:hAnsiTheme="majorHAnsi" w:cstheme="majorHAnsi"/>
          <w:sz w:val="24"/>
          <w:szCs w:val="24"/>
        </w:rPr>
        <w:t>Chrestus</w:t>
      </w:r>
      <w:proofErr w:type="spellEnd"/>
      <w:r w:rsidRPr="001148C2">
        <w:rPr>
          <w:rFonts w:asciiTheme="majorHAnsi" w:hAnsiTheme="majorHAnsi" w:cstheme="majorHAnsi"/>
          <w:sz w:val="24"/>
          <w:szCs w:val="24"/>
        </w:rPr>
        <w:t xml:space="preserve">, bishop of Syracuse, preserved in Greek translation. The document offers insight into the imperial reassessment of the conflict following the collapse of the initial arbitration attempt. In this letter, Constantine continues to describe the Christian religion as </w:t>
      </w:r>
      <w:proofErr w:type="spellStart"/>
      <w:r w:rsidRPr="001148C2">
        <w:rPr>
          <w:rFonts w:asciiTheme="majorHAnsi" w:hAnsiTheme="majorHAnsi" w:cstheme="majorHAnsi"/>
          <w:i/>
          <w:iCs/>
          <w:sz w:val="24"/>
          <w:szCs w:val="24"/>
        </w:rPr>
        <w:t>thrēskeía</w:t>
      </w:r>
      <w:proofErr w:type="spellEnd"/>
      <w:r w:rsidRPr="001148C2">
        <w:rPr>
          <w:rFonts w:asciiTheme="majorHAnsi" w:hAnsiTheme="majorHAnsi" w:cstheme="majorHAnsi"/>
          <w:sz w:val="24"/>
          <w:szCs w:val="24"/>
        </w:rPr>
        <w:t xml:space="preserve"> (cult practice), emphasizing the proper execution of cultic routines, while still overlooking the fact that the parties were clashing over competing claims to religious orthodoxy. The administration thus persisted in addressing the conflict within the conceptual terrain of conventional polytheistic Roman religion, thereby misapprehending decisive features of the Christian faith.</w:t>
      </w:r>
      <w:r w:rsidRPr="001148C2">
        <w:rPr>
          <w:rFonts w:asciiTheme="majorHAnsi" w:hAnsiTheme="majorHAnsi" w:cstheme="majorHAnsi"/>
          <w:sz w:val="24"/>
          <w:szCs w:val="24"/>
          <w:shd w:val="clear" w:color="auto" w:fill="FF9900"/>
          <w:vertAlign w:val="superscript"/>
        </w:rPr>
        <w:t xml:space="preserve"> </w:t>
      </w:r>
      <w:r w:rsidRPr="001148C2">
        <w:rPr>
          <w:rFonts w:asciiTheme="majorHAnsi" w:hAnsiTheme="majorHAnsi" w:cstheme="majorHAnsi"/>
          <w:sz w:val="24"/>
          <w:szCs w:val="24"/>
          <w:shd w:val="clear" w:color="auto" w:fill="FF9900"/>
          <w:vertAlign w:val="superscript"/>
        </w:rPr>
        <w:endnoteReference w:id="64"/>
      </w:r>
      <w:r w:rsidRPr="001148C2">
        <w:rPr>
          <w:rFonts w:asciiTheme="majorHAnsi" w:hAnsiTheme="majorHAnsi" w:cstheme="majorHAnsi"/>
          <w:sz w:val="24"/>
          <w:szCs w:val="24"/>
        </w:rPr>
        <w:t xml:space="preserve"> </w:t>
      </w:r>
    </w:p>
    <w:p w:rsidR="00A161CD" w:rsidRPr="001148C2" w:rsidRDefault="00A161CD" w:rsidP="00E836D3">
      <w:pPr>
        <w:spacing w:after="60" w:line="240" w:lineRule="auto"/>
        <w:ind w:firstLine="567"/>
        <w:rPr>
          <w:rFonts w:asciiTheme="majorHAnsi" w:hAnsiTheme="majorHAnsi" w:cstheme="majorHAnsi"/>
          <w:sz w:val="24"/>
          <w:szCs w:val="24"/>
        </w:rPr>
      </w:pPr>
      <w:r w:rsidRPr="001148C2">
        <w:rPr>
          <w:rFonts w:asciiTheme="majorHAnsi" w:hAnsiTheme="majorHAnsi" w:cstheme="majorHAnsi"/>
          <w:sz w:val="24"/>
          <w:szCs w:val="24"/>
        </w:rPr>
        <w:t xml:space="preserve">At the same time, the letter marks a shift in the emperor’s perception of the dispute’s disintegrative potential. Constantine now diagnosed a </w:t>
      </w:r>
      <w:proofErr w:type="spellStart"/>
      <w:r w:rsidRPr="001148C2">
        <w:rPr>
          <w:rFonts w:asciiTheme="majorHAnsi" w:hAnsiTheme="majorHAnsi" w:cstheme="majorHAnsi"/>
          <w:i/>
          <w:iCs/>
          <w:sz w:val="24"/>
          <w:szCs w:val="24"/>
        </w:rPr>
        <w:t>philoneikía</w:t>
      </w:r>
      <w:proofErr w:type="spellEnd"/>
      <w:r w:rsidRPr="001148C2">
        <w:rPr>
          <w:rFonts w:asciiTheme="majorHAnsi" w:hAnsiTheme="majorHAnsi" w:cstheme="majorHAnsi"/>
          <w:sz w:val="24"/>
          <w:szCs w:val="24"/>
        </w:rPr>
        <w:t xml:space="preserve"> (“contentiousness”) among the opposing parties and attributed the conflict to their </w:t>
      </w:r>
      <w:proofErr w:type="spellStart"/>
      <w:r w:rsidRPr="001148C2">
        <w:rPr>
          <w:rFonts w:asciiTheme="majorHAnsi" w:hAnsiTheme="majorHAnsi" w:cstheme="majorHAnsi"/>
          <w:i/>
          <w:iCs/>
          <w:sz w:val="24"/>
          <w:szCs w:val="24"/>
        </w:rPr>
        <w:t>ékhthra</w:t>
      </w:r>
      <w:proofErr w:type="spellEnd"/>
      <w:r w:rsidRPr="001148C2">
        <w:rPr>
          <w:rFonts w:asciiTheme="majorHAnsi" w:hAnsiTheme="majorHAnsi" w:cstheme="majorHAnsi"/>
          <w:sz w:val="24"/>
          <w:szCs w:val="24"/>
        </w:rPr>
        <w:t>, their “hatred.”</w:t>
      </w:r>
      <w:r w:rsidRPr="001148C2">
        <w:rPr>
          <w:rFonts w:asciiTheme="majorHAnsi" w:hAnsiTheme="majorHAnsi" w:cstheme="majorHAnsi"/>
          <w:sz w:val="24"/>
          <w:szCs w:val="24"/>
          <w:shd w:val="clear" w:color="auto" w:fill="FF9900"/>
          <w:vertAlign w:val="superscript"/>
        </w:rPr>
        <w:endnoteReference w:id="65"/>
      </w:r>
      <w:r w:rsidRPr="001148C2">
        <w:rPr>
          <w:rFonts w:asciiTheme="majorHAnsi" w:hAnsiTheme="majorHAnsi" w:cstheme="majorHAnsi"/>
          <w:sz w:val="24"/>
          <w:szCs w:val="24"/>
        </w:rPr>
        <w:t xml:space="preserve"> The dispute itself was characterized as </w:t>
      </w:r>
      <w:proofErr w:type="spellStart"/>
      <w:r w:rsidRPr="001148C2">
        <w:rPr>
          <w:rFonts w:asciiTheme="majorHAnsi" w:hAnsiTheme="majorHAnsi" w:cstheme="majorHAnsi"/>
          <w:i/>
          <w:iCs/>
          <w:sz w:val="24"/>
          <w:szCs w:val="24"/>
        </w:rPr>
        <w:t>aiskhrà</w:t>
      </w:r>
      <w:proofErr w:type="spellEnd"/>
      <w:r w:rsidRPr="001148C2">
        <w:rPr>
          <w:rFonts w:asciiTheme="majorHAnsi" w:hAnsiTheme="majorHAnsi" w:cstheme="majorHAnsi"/>
          <w:i/>
          <w:iCs/>
          <w:sz w:val="24"/>
          <w:szCs w:val="24"/>
        </w:rPr>
        <w:t xml:space="preserve"> </w:t>
      </w:r>
      <w:proofErr w:type="spellStart"/>
      <w:r w:rsidRPr="001148C2">
        <w:rPr>
          <w:rFonts w:asciiTheme="majorHAnsi" w:hAnsiTheme="majorHAnsi" w:cstheme="majorHAnsi"/>
          <w:i/>
          <w:iCs/>
          <w:sz w:val="24"/>
          <w:szCs w:val="24"/>
        </w:rPr>
        <w:t>zugomakhía</w:t>
      </w:r>
      <w:proofErr w:type="spellEnd"/>
      <w:r w:rsidRPr="001148C2">
        <w:rPr>
          <w:rFonts w:asciiTheme="majorHAnsi" w:hAnsiTheme="majorHAnsi" w:cstheme="majorHAnsi"/>
          <w:sz w:val="24"/>
          <w:szCs w:val="24"/>
        </w:rPr>
        <w:t>, “shameful fratricidal struggles,” in which “even those who ought to preserve brotherly and like-minded concord have shamefully, indeed, loathsomely, become estranged from one another.”</w:t>
      </w:r>
      <w:r w:rsidRPr="001148C2">
        <w:rPr>
          <w:rFonts w:asciiTheme="majorHAnsi" w:hAnsiTheme="majorHAnsi" w:cstheme="majorHAnsi"/>
          <w:sz w:val="24"/>
          <w:szCs w:val="24"/>
          <w:shd w:val="clear" w:color="auto" w:fill="FF9900"/>
          <w:vertAlign w:val="superscript"/>
        </w:rPr>
        <w:endnoteReference w:id="66"/>
      </w:r>
      <w:r w:rsidRPr="001148C2">
        <w:rPr>
          <w:rFonts w:asciiTheme="majorHAnsi" w:hAnsiTheme="majorHAnsi" w:cstheme="majorHAnsi"/>
          <w:sz w:val="24"/>
          <w:szCs w:val="24"/>
        </w:rPr>
        <w:t xml:space="preserve"> Constantine thus framed the conflict in far more drastic terms, shifting from conventional procedural strategies of arbitration to an increasingly moralizing and psychologizing interpretation. The failure of the initial proceedings had evidently sharpened his sense of the conflict’s gravity. Yet the strategy adopted in response did not differ qualitatively from the earlier attempt. Once again, he sought to entrust the leading representatives of the Christian communities with the task of producing an arbitral verdict backed by imperial judicial authority. The difference was only one of scale: Constantine now aimed to present the verdict as a </w:t>
      </w:r>
      <w:r w:rsidRPr="001148C2">
        <w:rPr>
          <w:rFonts w:asciiTheme="majorHAnsi" w:hAnsiTheme="majorHAnsi" w:cstheme="majorHAnsi"/>
          <w:i/>
          <w:iCs/>
          <w:sz w:val="24"/>
          <w:szCs w:val="24"/>
        </w:rPr>
        <w:t xml:space="preserve">consensus </w:t>
      </w:r>
      <w:proofErr w:type="spellStart"/>
      <w:r w:rsidRPr="001148C2">
        <w:rPr>
          <w:rFonts w:asciiTheme="majorHAnsi" w:hAnsiTheme="majorHAnsi" w:cstheme="majorHAnsi"/>
          <w:i/>
          <w:iCs/>
          <w:sz w:val="24"/>
          <w:szCs w:val="24"/>
        </w:rPr>
        <w:t>universorum</w:t>
      </w:r>
      <w:proofErr w:type="spellEnd"/>
      <w:r w:rsidRPr="001148C2">
        <w:rPr>
          <w:rFonts w:asciiTheme="majorHAnsi" w:hAnsiTheme="majorHAnsi" w:cstheme="majorHAnsi"/>
          <w:sz w:val="24"/>
          <w:szCs w:val="24"/>
        </w:rPr>
        <w:t xml:space="preserve"> of the episcopate and therefore worked to secure the broadest possible participation of bishops from across his dominions at the synod.</w:t>
      </w:r>
    </w:p>
    <w:p w:rsidR="00A161CD" w:rsidRPr="001148C2" w:rsidRDefault="00A161CD" w:rsidP="005072B7">
      <w:pPr>
        <w:spacing w:after="60" w:line="240" w:lineRule="auto"/>
        <w:ind w:firstLine="567"/>
        <w:rPr>
          <w:rFonts w:asciiTheme="majorHAnsi" w:hAnsiTheme="majorHAnsi" w:cstheme="majorHAnsi"/>
          <w:sz w:val="24"/>
          <w:szCs w:val="24"/>
        </w:rPr>
      </w:pPr>
      <w:r w:rsidRPr="001148C2">
        <w:rPr>
          <w:rFonts w:asciiTheme="majorHAnsi" w:hAnsiTheme="majorHAnsi" w:cstheme="majorHAnsi"/>
          <w:sz w:val="24"/>
          <w:szCs w:val="24"/>
        </w:rPr>
        <w:t>By the synod in Arles in 314 at the latest, the imperial administration had developed a more precise understanding not only of the conflict’s severity but also of its substantive core. It had come to recognize that the dispute centered on competing claims to Christian truth. This shift in understanding is particularly evident in a letter Constantine addressed to the bishops assembled at Arles.</w:t>
      </w:r>
      <w:r w:rsidRPr="001148C2">
        <w:rPr>
          <w:rFonts w:asciiTheme="majorHAnsi" w:hAnsiTheme="majorHAnsi" w:cstheme="majorHAnsi"/>
          <w:sz w:val="24"/>
          <w:szCs w:val="24"/>
          <w:shd w:val="clear" w:color="auto" w:fill="FF9900"/>
          <w:vertAlign w:val="superscript"/>
        </w:rPr>
        <w:t xml:space="preserve"> </w:t>
      </w:r>
      <w:r w:rsidRPr="001148C2">
        <w:rPr>
          <w:rFonts w:asciiTheme="majorHAnsi" w:hAnsiTheme="majorHAnsi" w:cstheme="majorHAnsi"/>
          <w:sz w:val="24"/>
          <w:szCs w:val="24"/>
          <w:shd w:val="clear" w:color="auto" w:fill="FF9900"/>
          <w:vertAlign w:val="superscript"/>
        </w:rPr>
        <w:endnoteReference w:id="67"/>
      </w:r>
      <w:r w:rsidRPr="001148C2">
        <w:rPr>
          <w:rFonts w:asciiTheme="majorHAnsi" w:hAnsiTheme="majorHAnsi" w:cstheme="majorHAnsi"/>
          <w:sz w:val="24"/>
          <w:szCs w:val="24"/>
        </w:rPr>
        <w:t xml:space="preserve"> In this document, </w:t>
      </w:r>
      <w:r w:rsidR="00FB1F8E" w:rsidRPr="001148C2">
        <w:rPr>
          <w:rFonts w:asciiTheme="majorHAnsi" w:hAnsiTheme="majorHAnsi" w:cstheme="majorHAnsi"/>
          <w:sz w:val="24"/>
          <w:szCs w:val="24"/>
        </w:rPr>
        <w:t>he first characterizes the differences between the opposing factions in terms of their adherence to or deviation from orthodoxy</w:t>
      </w:r>
      <w:r w:rsidRPr="001148C2">
        <w:rPr>
          <w:rFonts w:asciiTheme="majorHAnsi" w:hAnsiTheme="majorHAnsi" w:cstheme="majorHAnsi"/>
          <w:sz w:val="24"/>
          <w:szCs w:val="24"/>
        </w:rPr>
        <w:t>. The Donatists are described as having “deviated from the truth” (</w:t>
      </w:r>
      <w:proofErr w:type="spellStart"/>
      <w:r w:rsidRPr="001148C2">
        <w:rPr>
          <w:rFonts w:asciiTheme="majorHAnsi" w:hAnsiTheme="majorHAnsi" w:cstheme="majorHAnsi"/>
          <w:i/>
          <w:iCs/>
          <w:sz w:val="24"/>
          <w:szCs w:val="24"/>
        </w:rPr>
        <w:t>desciscentes</w:t>
      </w:r>
      <w:proofErr w:type="spellEnd"/>
      <w:r w:rsidRPr="001148C2">
        <w:rPr>
          <w:rFonts w:asciiTheme="majorHAnsi" w:hAnsiTheme="majorHAnsi" w:cstheme="majorHAnsi"/>
          <w:i/>
          <w:iCs/>
          <w:sz w:val="24"/>
          <w:szCs w:val="24"/>
        </w:rPr>
        <w:t xml:space="preserve"> a </w:t>
      </w:r>
      <w:proofErr w:type="spellStart"/>
      <w:r w:rsidRPr="001148C2">
        <w:rPr>
          <w:rFonts w:asciiTheme="majorHAnsi" w:hAnsiTheme="majorHAnsi" w:cstheme="majorHAnsi"/>
          <w:i/>
          <w:iCs/>
          <w:sz w:val="24"/>
          <w:szCs w:val="24"/>
        </w:rPr>
        <w:t>veritate</w:t>
      </w:r>
      <w:proofErr w:type="spellEnd"/>
      <w:r w:rsidRPr="001148C2">
        <w:rPr>
          <w:rFonts w:asciiTheme="majorHAnsi" w:hAnsiTheme="majorHAnsi" w:cstheme="majorHAnsi"/>
          <w:sz w:val="24"/>
          <w:szCs w:val="24"/>
        </w:rPr>
        <w:t>).</w:t>
      </w:r>
      <w:r w:rsidRPr="001148C2">
        <w:rPr>
          <w:rFonts w:asciiTheme="majorHAnsi" w:hAnsiTheme="majorHAnsi" w:cstheme="majorHAnsi"/>
          <w:sz w:val="24"/>
          <w:szCs w:val="24"/>
          <w:shd w:val="clear" w:color="auto" w:fill="FF9900"/>
          <w:vertAlign w:val="superscript"/>
        </w:rPr>
        <w:t xml:space="preserve"> </w:t>
      </w:r>
      <w:r w:rsidRPr="001148C2">
        <w:rPr>
          <w:rFonts w:asciiTheme="majorHAnsi" w:hAnsiTheme="majorHAnsi" w:cstheme="majorHAnsi"/>
          <w:sz w:val="24"/>
          <w:szCs w:val="24"/>
          <w:shd w:val="clear" w:color="auto" w:fill="FF9900"/>
          <w:vertAlign w:val="superscript"/>
        </w:rPr>
        <w:endnoteReference w:id="68"/>
      </w:r>
      <w:r w:rsidRPr="001148C2">
        <w:rPr>
          <w:rFonts w:asciiTheme="majorHAnsi" w:hAnsiTheme="majorHAnsi" w:cstheme="majorHAnsi"/>
          <w:sz w:val="24"/>
          <w:szCs w:val="24"/>
        </w:rPr>
        <w:t xml:space="preserve"> Because such a departure from the truth was understood to entail a culpable disregard for the </w:t>
      </w:r>
      <w:proofErr w:type="spellStart"/>
      <w:r w:rsidRPr="001148C2">
        <w:rPr>
          <w:rFonts w:asciiTheme="majorHAnsi" w:hAnsiTheme="majorHAnsi" w:cstheme="majorHAnsi"/>
          <w:i/>
          <w:iCs/>
          <w:sz w:val="24"/>
          <w:szCs w:val="24"/>
        </w:rPr>
        <w:t>sanctissima</w:t>
      </w:r>
      <w:proofErr w:type="spellEnd"/>
      <w:r w:rsidRPr="001148C2">
        <w:rPr>
          <w:rFonts w:asciiTheme="majorHAnsi" w:hAnsiTheme="majorHAnsi" w:cstheme="majorHAnsi"/>
          <w:i/>
          <w:iCs/>
          <w:sz w:val="24"/>
          <w:szCs w:val="24"/>
        </w:rPr>
        <w:t xml:space="preserve"> </w:t>
      </w:r>
      <w:proofErr w:type="spellStart"/>
      <w:r w:rsidRPr="001148C2">
        <w:rPr>
          <w:rFonts w:asciiTheme="majorHAnsi" w:hAnsiTheme="majorHAnsi" w:cstheme="majorHAnsi"/>
          <w:i/>
          <w:iCs/>
          <w:sz w:val="24"/>
          <w:szCs w:val="24"/>
        </w:rPr>
        <w:t>lex</w:t>
      </w:r>
      <w:proofErr w:type="spellEnd"/>
      <w:r w:rsidRPr="001148C2">
        <w:rPr>
          <w:rFonts w:asciiTheme="majorHAnsi" w:hAnsiTheme="majorHAnsi" w:cstheme="majorHAnsi"/>
          <w:sz w:val="24"/>
          <w:szCs w:val="24"/>
        </w:rPr>
        <w:t xml:space="preserve"> grounded in the </w:t>
      </w:r>
      <w:proofErr w:type="spellStart"/>
      <w:r w:rsidRPr="001148C2">
        <w:rPr>
          <w:rFonts w:asciiTheme="majorHAnsi" w:hAnsiTheme="majorHAnsi" w:cstheme="majorHAnsi"/>
          <w:i/>
          <w:iCs/>
          <w:sz w:val="24"/>
          <w:szCs w:val="24"/>
        </w:rPr>
        <w:t>providentia</w:t>
      </w:r>
      <w:proofErr w:type="spellEnd"/>
      <w:r w:rsidRPr="001148C2">
        <w:rPr>
          <w:rFonts w:asciiTheme="majorHAnsi" w:hAnsiTheme="majorHAnsi" w:cstheme="majorHAnsi"/>
          <w:i/>
          <w:iCs/>
          <w:sz w:val="24"/>
          <w:szCs w:val="24"/>
        </w:rPr>
        <w:t xml:space="preserve"> Christi</w:t>
      </w:r>
      <w:r w:rsidRPr="001148C2">
        <w:rPr>
          <w:rFonts w:asciiTheme="majorHAnsi" w:hAnsiTheme="majorHAnsi" w:cstheme="majorHAnsi"/>
          <w:sz w:val="24"/>
          <w:szCs w:val="24"/>
        </w:rPr>
        <w:t xml:space="preserve">, Donatist obstinacy was no longer </w:t>
      </w:r>
      <w:r w:rsidRPr="001148C2">
        <w:rPr>
          <w:rFonts w:asciiTheme="majorHAnsi" w:hAnsiTheme="majorHAnsi" w:cstheme="majorHAnsi"/>
          <w:sz w:val="24"/>
          <w:szCs w:val="24"/>
        </w:rPr>
        <w:lastRenderedPageBreak/>
        <w:t xml:space="preserve">framed merely as </w:t>
      </w:r>
      <w:proofErr w:type="spellStart"/>
      <w:r w:rsidRPr="001148C2">
        <w:rPr>
          <w:rFonts w:asciiTheme="majorHAnsi" w:hAnsiTheme="majorHAnsi" w:cstheme="majorHAnsi"/>
          <w:i/>
          <w:iCs/>
          <w:sz w:val="24"/>
          <w:szCs w:val="24"/>
        </w:rPr>
        <w:t>contentio</w:t>
      </w:r>
      <w:proofErr w:type="spellEnd"/>
      <w:r w:rsidRPr="001148C2">
        <w:rPr>
          <w:rFonts w:asciiTheme="majorHAnsi" w:hAnsiTheme="majorHAnsi" w:cstheme="majorHAnsi"/>
          <w:sz w:val="24"/>
          <w:szCs w:val="24"/>
        </w:rPr>
        <w:t xml:space="preserve"> (</w:t>
      </w:r>
      <w:proofErr w:type="spellStart"/>
      <w:r w:rsidRPr="001148C2">
        <w:rPr>
          <w:rFonts w:asciiTheme="majorHAnsi" w:hAnsiTheme="majorHAnsi" w:cstheme="majorHAnsi"/>
          <w:i/>
          <w:iCs/>
          <w:sz w:val="24"/>
          <w:szCs w:val="24"/>
        </w:rPr>
        <w:t>philoneikía</w:t>
      </w:r>
      <w:proofErr w:type="spellEnd"/>
      <w:r w:rsidRPr="001148C2">
        <w:rPr>
          <w:rFonts w:asciiTheme="majorHAnsi" w:hAnsiTheme="majorHAnsi" w:cstheme="majorHAnsi"/>
          <w:sz w:val="24"/>
          <w:szCs w:val="24"/>
        </w:rPr>
        <w:t xml:space="preserve">) or </w:t>
      </w:r>
      <w:proofErr w:type="spellStart"/>
      <w:r w:rsidRPr="001148C2">
        <w:rPr>
          <w:rFonts w:asciiTheme="majorHAnsi" w:hAnsiTheme="majorHAnsi" w:cstheme="majorHAnsi"/>
          <w:i/>
          <w:iCs/>
          <w:sz w:val="24"/>
          <w:szCs w:val="24"/>
        </w:rPr>
        <w:t>inimicitia</w:t>
      </w:r>
      <w:proofErr w:type="spellEnd"/>
      <w:r w:rsidRPr="001148C2">
        <w:rPr>
          <w:rFonts w:asciiTheme="majorHAnsi" w:hAnsiTheme="majorHAnsi" w:cstheme="majorHAnsi"/>
          <w:sz w:val="24"/>
          <w:szCs w:val="24"/>
        </w:rPr>
        <w:t xml:space="preserve"> (</w:t>
      </w:r>
      <w:proofErr w:type="spellStart"/>
      <w:r w:rsidRPr="001148C2">
        <w:rPr>
          <w:rFonts w:asciiTheme="majorHAnsi" w:hAnsiTheme="majorHAnsi" w:cstheme="majorHAnsi"/>
          <w:i/>
          <w:iCs/>
          <w:sz w:val="24"/>
          <w:szCs w:val="24"/>
        </w:rPr>
        <w:t>ékhthra</w:t>
      </w:r>
      <w:proofErr w:type="spellEnd"/>
      <w:r w:rsidRPr="001148C2">
        <w:rPr>
          <w:rFonts w:asciiTheme="majorHAnsi" w:hAnsiTheme="majorHAnsi" w:cstheme="majorHAnsi"/>
          <w:sz w:val="24"/>
          <w:szCs w:val="24"/>
        </w:rPr>
        <w:t>). Instead, persistent refusal to observe the heavenly ordinances was construed as the work of the devil (</w:t>
      </w:r>
      <w:proofErr w:type="spellStart"/>
      <w:r w:rsidRPr="001148C2">
        <w:rPr>
          <w:rFonts w:asciiTheme="majorHAnsi" w:hAnsiTheme="majorHAnsi" w:cstheme="majorHAnsi"/>
          <w:i/>
          <w:iCs/>
          <w:sz w:val="24"/>
          <w:szCs w:val="24"/>
        </w:rPr>
        <w:t>officia</w:t>
      </w:r>
      <w:proofErr w:type="spellEnd"/>
      <w:r w:rsidRPr="001148C2">
        <w:rPr>
          <w:rFonts w:asciiTheme="majorHAnsi" w:hAnsiTheme="majorHAnsi" w:cstheme="majorHAnsi"/>
          <w:i/>
          <w:iCs/>
          <w:sz w:val="24"/>
          <w:szCs w:val="24"/>
        </w:rPr>
        <w:t xml:space="preserve"> </w:t>
      </w:r>
      <w:proofErr w:type="spellStart"/>
      <w:r w:rsidRPr="001148C2">
        <w:rPr>
          <w:rFonts w:asciiTheme="majorHAnsi" w:hAnsiTheme="majorHAnsi" w:cstheme="majorHAnsi"/>
          <w:i/>
          <w:iCs/>
          <w:sz w:val="24"/>
          <w:szCs w:val="24"/>
        </w:rPr>
        <w:t>diaboli</w:t>
      </w:r>
      <w:proofErr w:type="spellEnd"/>
      <w:r w:rsidRPr="001148C2">
        <w:rPr>
          <w:rFonts w:asciiTheme="majorHAnsi" w:hAnsiTheme="majorHAnsi" w:cstheme="majorHAnsi"/>
          <w:sz w:val="24"/>
          <w:szCs w:val="24"/>
        </w:rPr>
        <w:t>), and the Donatists as a group were characterized as “wicked men” (</w:t>
      </w:r>
      <w:proofErr w:type="spellStart"/>
      <w:r w:rsidRPr="001148C2">
        <w:rPr>
          <w:rFonts w:asciiTheme="majorHAnsi" w:hAnsiTheme="majorHAnsi" w:cstheme="majorHAnsi"/>
          <w:i/>
          <w:iCs/>
          <w:sz w:val="24"/>
          <w:szCs w:val="24"/>
        </w:rPr>
        <w:t>maligni</w:t>
      </w:r>
      <w:proofErr w:type="spellEnd"/>
      <w:r w:rsidRPr="001148C2">
        <w:rPr>
          <w:rFonts w:asciiTheme="majorHAnsi" w:hAnsiTheme="majorHAnsi" w:cstheme="majorHAnsi"/>
          <w:i/>
          <w:iCs/>
          <w:sz w:val="24"/>
          <w:szCs w:val="24"/>
        </w:rPr>
        <w:t xml:space="preserve"> </w:t>
      </w:r>
      <w:proofErr w:type="spellStart"/>
      <w:r w:rsidRPr="001148C2">
        <w:rPr>
          <w:rFonts w:asciiTheme="majorHAnsi" w:hAnsiTheme="majorHAnsi" w:cstheme="majorHAnsi"/>
          <w:i/>
          <w:iCs/>
          <w:sz w:val="24"/>
          <w:szCs w:val="24"/>
        </w:rPr>
        <w:t>homines</w:t>
      </w:r>
      <w:proofErr w:type="spellEnd"/>
      <w:r w:rsidRPr="001148C2">
        <w:rPr>
          <w:rFonts w:asciiTheme="majorHAnsi" w:hAnsiTheme="majorHAnsi" w:cstheme="majorHAnsi"/>
          <w:sz w:val="24"/>
          <w:szCs w:val="24"/>
        </w:rPr>
        <w:t xml:space="preserve">). The imperial verdict against them was now cast in a conceptual realm more recognizably shaped by Christian discourse. Most significantly, the legitimation of the arbitral judgment issued under imperial auspices was tied directly to the concept of </w:t>
      </w:r>
      <w:r w:rsidRPr="001148C2">
        <w:rPr>
          <w:rFonts w:asciiTheme="majorHAnsi" w:hAnsiTheme="majorHAnsi" w:cstheme="majorHAnsi"/>
          <w:i/>
          <w:iCs/>
          <w:sz w:val="24"/>
          <w:szCs w:val="24"/>
        </w:rPr>
        <w:t>veritas</w:t>
      </w:r>
      <w:r w:rsidRPr="001148C2">
        <w:rPr>
          <w:rFonts w:asciiTheme="majorHAnsi" w:hAnsiTheme="majorHAnsi" w:cstheme="majorHAnsi"/>
          <w:sz w:val="24"/>
          <w:szCs w:val="24"/>
        </w:rPr>
        <w:t xml:space="preserve"> (truth), thereby embedding it within the metaphysical framework of Christian doctrine.</w:t>
      </w:r>
      <w:r w:rsidRPr="001148C2">
        <w:rPr>
          <w:rFonts w:asciiTheme="majorHAnsi" w:hAnsiTheme="majorHAnsi" w:cstheme="majorHAnsi"/>
          <w:sz w:val="24"/>
          <w:szCs w:val="24"/>
          <w:shd w:val="clear" w:color="auto" w:fill="FF9900"/>
          <w:vertAlign w:val="superscript"/>
        </w:rPr>
        <w:endnoteReference w:id="69"/>
      </w:r>
      <w:r w:rsidRPr="001148C2">
        <w:rPr>
          <w:rFonts w:asciiTheme="majorHAnsi" w:hAnsiTheme="majorHAnsi" w:cstheme="majorHAnsi"/>
          <w:sz w:val="24"/>
          <w:szCs w:val="24"/>
          <w:shd w:val="clear" w:color="auto" w:fill="FF9900"/>
          <w:vertAlign w:val="superscript"/>
        </w:rPr>
        <w:t xml:space="preserve"> </w:t>
      </w:r>
      <w:r w:rsidRPr="001148C2">
        <w:rPr>
          <w:rFonts w:asciiTheme="majorHAnsi" w:hAnsiTheme="majorHAnsi" w:cstheme="majorHAnsi"/>
          <w:sz w:val="24"/>
          <w:szCs w:val="24"/>
        </w:rPr>
        <w:t>However, the emperor himself was carefully distanced from responsibility for the decision: It is not he who determines which bishop the communities must obey; rather, the synod’s consensus is presented as the manifestation of divine judgment, as Constantine declares in his letter to the bishops assembled at Arles:</w:t>
      </w:r>
      <w:r w:rsidRPr="001148C2">
        <w:rPr>
          <w:rFonts w:asciiTheme="majorHAnsi" w:hAnsiTheme="majorHAnsi" w:cstheme="majorHAnsi"/>
          <w:sz w:val="24"/>
          <w:szCs w:val="24"/>
          <w:shd w:val="clear" w:color="auto" w:fill="FF9900"/>
          <w:vertAlign w:val="superscript"/>
        </w:rPr>
        <w:t xml:space="preserve"> </w:t>
      </w:r>
      <w:r w:rsidRPr="001148C2">
        <w:rPr>
          <w:rFonts w:asciiTheme="majorHAnsi" w:hAnsiTheme="majorHAnsi" w:cstheme="majorHAnsi"/>
          <w:sz w:val="24"/>
          <w:szCs w:val="24"/>
          <w:shd w:val="clear" w:color="auto" w:fill="FF9900"/>
          <w:vertAlign w:val="superscript"/>
        </w:rPr>
        <w:endnoteReference w:id="70"/>
      </w:r>
    </w:p>
    <w:p w:rsidR="00A161CD" w:rsidRPr="001148C2" w:rsidRDefault="00A161CD" w:rsidP="003A4F82">
      <w:pPr>
        <w:spacing w:after="60" w:line="240" w:lineRule="auto"/>
        <w:rPr>
          <w:rFonts w:asciiTheme="majorHAnsi" w:hAnsiTheme="majorHAnsi" w:cstheme="majorHAnsi"/>
          <w:sz w:val="24"/>
          <w:szCs w:val="24"/>
        </w:rPr>
      </w:pPr>
    </w:p>
    <w:p w:rsidR="00A161CD" w:rsidRPr="001148C2" w:rsidRDefault="00A161CD" w:rsidP="00F309BB">
      <w:pPr>
        <w:spacing w:after="60" w:line="240" w:lineRule="auto"/>
        <w:ind w:left="567"/>
        <w:rPr>
          <w:rFonts w:asciiTheme="majorHAnsi" w:hAnsiTheme="majorHAnsi" w:cstheme="majorHAnsi"/>
          <w:sz w:val="24"/>
          <w:szCs w:val="24"/>
        </w:rPr>
      </w:pPr>
      <w:r w:rsidRPr="001148C2">
        <w:rPr>
          <w:rFonts w:asciiTheme="majorHAnsi" w:hAnsiTheme="majorHAnsi" w:cstheme="majorHAnsi"/>
          <w:sz w:val="24"/>
          <w:szCs w:val="24"/>
        </w:rPr>
        <w:t>“They call for my judgment, while I myself am waiting for the judgment of Christ! For I state, as the truth stands, that the judgment of bishops should be regarded as though the Lord himself were seated in judgment. … And what about those detractors of the law who, by rejecting the heavenly judgment, thought they ought to seek mine instead?”</w:t>
      </w:r>
    </w:p>
    <w:p w:rsidR="00A161CD" w:rsidRPr="001148C2" w:rsidRDefault="00A161CD" w:rsidP="00371852">
      <w:pPr>
        <w:spacing w:after="60" w:line="240" w:lineRule="auto"/>
        <w:ind w:firstLine="566"/>
        <w:rPr>
          <w:rFonts w:asciiTheme="majorHAnsi" w:hAnsiTheme="majorHAnsi" w:cstheme="majorHAnsi"/>
          <w:sz w:val="24"/>
          <w:szCs w:val="24"/>
        </w:rPr>
      </w:pPr>
    </w:p>
    <w:p w:rsidR="00A161CD" w:rsidRPr="001148C2" w:rsidRDefault="00A161CD" w:rsidP="00202992">
      <w:pPr>
        <w:spacing w:after="60" w:line="240" w:lineRule="auto"/>
        <w:rPr>
          <w:rFonts w:asciiTheme="majorHAnsi" w:hAnsiTheme="majorHAnsi" w:cstheme="majorHAnsi"/>
          <w:sz w:val="24"/>
          <w:szCs w:val="24"/>
        </w:rPr>
      </w:pPr>
      <w:r w:rsidRPr="001148C2">
        <w:rPr>
          <w:rFonts w:asciiTheme="majorHAnsi" w:hAnsiTheme="majorHAnsi" w:cstheme="majorHAnsi"/>
          <w:sz w:val="24"/>
          <w:szCs w:val="24"/>
        </w:rPr>
        <w:t xml:space="preserve">The verdict of the episcopal arbitration tribunal was thus presented as the judgment of God. Its authority rested neither on the emperor’s personal jurisdiction nor on the ecclesiastical rank of the participating dignitaries. Rather, the tribunal, convened at imperial initiative, derived its legitimacy from its claim to articulate the divine will. The verdict, mediated through the </w:t>
      </w:r>
      <w:r w:rsidRPr="001148C2">
        <w:rPr>
          <w:rFonts w:asciiTheme="majorHAnsi" w:hAnsiTheme="majorHAnsi" w:cstheme="majorHAnsi"/>
          <w:i/>
          <w:iCs/>
          <w:sz w:val="24"/>
          <w:szCs w:val="24"/>
        </w:rPr>
        <w:t xml:space="preserve">consensus </w:t>
      </w:r>
      <w:proofErr w:type="spellStart"/>
      <w:r w:rsidRPr="001148C2">
        <w:rPr>
          <w:rFonts w:asciiTheme="majorHAnsi" w:hAnsiTheme="majorHAnsi" w:cstheme="majorHAnsi"/>
          <w:i/>
          <w:iCs/>
          <w:sz w:val="24"/>
          <w:szCs w:val="24"/>
        </w:rPr>
        <w:t>universorum</w:t>
      </w:r>
      <w:proofErr w:type="spellEnd"/>
      <w:r w:rsidRPr="001148C2">
        <w:rPr>
          <w:rFonts w:asciiTheme="majorHAnsi" w:hAnsiTheme="majorHAnsi" w:cstheme="majorHAnsi"/>
          <w:sz w:val="24"/>
          <w:szCs w:val="24"/>
        </w:rPr>
        <w:t xml:space="preserve"> of the bishops, was thereby aligned with the </w:t>
      </w:r>
      <w:proofErr w:type="spellStart"/>
      <w:r w:rsidRPr="001148C2">
        <w:rPr>
          <w:rFonts w:asciiTheme="majorHAnsi" w:hAnsiTheme="majorHAnsi" w:cstheme="majorHAnsi"/>
          <w:i/>
          <w:iCs/>
          <w:sz w:val="24"/>
          <w:szCs w:val="24"/>
        </w:rPr>
        <w:t>provisio</w:t>
      </w:r>
      <w:proofErr w:type="spellEnd"/>
      <w:r w:rsidRPr="001148C2">
        <w:rPr>
          <w:rFonts w:asciiTheme="majorHAnsi" w:hAnsiTheme="majorHAnsi" w:cstheme="majorHAnsi"/>
          <w:sz w:val="24"/>
          <w:szCs w:val="24"/>
        </w:rPr>
        <w:t xml:space="preserve"> or </w:t>
      </w:r>
      <w:proofErr w:type="spellStart"/>
      <w:r w:rsidRPr="001148C2">
        <w:rPr>
          <w:rFonts w:asciiTheme="majorHAnsi" w:hAnsiTheme="majorHAnsi" w:cstheme="majorHAnsi"/>
          <w:i/>
          <w:iCs/>
          <w:sz w:val="24"/>
          <w:szCs w:val="24"/>
        </w:rPr>
        <w:t>providentia</w:t>
      </w:r>
      <w:proofErr w:type="spellEnd"/>
      <w:r w:rsidRPr="001148C2">
        <w:rPr>
          <w:rFonts w:asciiTheme="majorHAnsi" w:hAnsiTheme="majorHAnsi" w:cstheme="majorHAnsi"/>
          <w:sz w:val="24"/>
          <w:szCs w:val="24"/>
        </w:rPr>
        <w:t xml:space="preserve"> of God repeatedly invoked by Constantine in his letter.</w:t>
      </w:r>
      <w:r w:rsidRPr="001148C2">
        <w:rPr>
          <w:rFonts w:asciiTheme="majorHAnsi" w:hAnsiTheme="majorHAnsi" w:cstheme="majorHAnsi"/>
          <w:sz w:val="24"/>
          <w:szCs w:val="24"/>
          <w:shd w:val="clear" w:color="auto" w:fill="FF9900"/>
          <w:vertAlign w:val="superscript"/>
        </w:rPr>
        <w:endnoteReference w:id="71"/>
      </w:r>
      <w:r w:rsidRPr="001148C2">
        <w:rPr>
          <w:rFonts w:asciiTheme="majorHAnsi" w:hAnsiTheme="majorHAnsi" w:cstheme="majorHAnsi"/>
          <w:sz w:val="24"/>
          <w:szCs w:val="24"/>
        </w:rPr>
        <w:t xml:space="preserve"> Although the text makes clear that the conflict concerned the question of truth (</w:t>
      </w:r>
      <w:r w:rsidRPr="001148C2">
        <w:rPr>
          <w:rFonts w:asciiTheme="majorHAnsi" w:hAnsiTheme="majorHAnsi" w:cstheme="majorHAnsi"/>
          <w:i/>
          <w:iCs/>
          <w:sz w:val="24"/>
          <w:szCs w:val="24"/>
        </w:rPr>
        <w:t>veritas</w:t>
      </w:r>
      <w:r w:rsidRPr="001148C2">
        <w:rPr>
          <w:rFonts w:asciiTheme="majorHAnsi" w:hAnsiTheme="majorHAnsi" w:cstheme="majorHAnsi"/>
          <w:sz w:val="24"/>
          <w:szCs w:val="24"/>
        </w:rPr>
        <w:t xml:space="preserve">), the emperor sought to avoid committing himself to a substantive doctrinal position. </w:t>
      </w:r>
    </w:p>
    <w:p w:rsidR="00A161CD" w:rsidRPr="001148C2" w:rsidRDefault="00A161CD" w:rsidP="008324B8">
      <w:pPr>
        <w:spacing w:after="60" w:line="240" w:lineRule="auto"/>
        <w:ind w:firstLine="567"/>
        <w:rPr>
          <w:rFonts w:asciiTheme="majorHAnsi" w:hAnsiTheme="majorHAnsi" w:cstheme="majorHAnsi"/>
          <w:sz w:val="24"/>
          <w:szCs w:val="24"/>
        </w:rPr>
      </w:pPr>
      <w:r w:rsidRPr="001148C2">
        <w:rPr>
          <w:rFonts w:asciiTheme="majorHAnsi" w:hAnsiTheme="majorHAnsi" w:cstheme="majorHAnsi"/>
          <w:sz w:val="24"/>
          <w:szCs w:val="24"/>
        </w:rPr>
        <w:t xml:space="preserve">One full year later, in 315, Constantine still attempted to resolve the schism through conventional judicial procedure. In a letter to the proconsul </w:t>
      </w:r>
      <w:proofErr w:type="spellStart"/>
      <w:r w:rsidRPr="001148C2">
        <w:rPr>
          <w:rFonts w:asciiTheme="majorHAnsi" w:hAnsiTheme="majorHAnsi" w:cstheme="majorHAnsi"/>
          <w:sz w:val="24"/>
          <w:szCs w:val="24"/>
        </w:rPr>
        <w:t>Probianus</w:t>
      </w:r>
      <w:proofErr w:type="spellEnd"/>
      <w:r w:rsidRPr="001148C2">
        <w:rPr>
          <w:rFonts w:asciiTheme="majorHAnsi" w:hAnsiTheme="majorHAnsi" w:cstheme="majorHAnsi"/>
          <w:sz w:val="24"/>
          <w:szCs w:val="24"/>
        </w:rPr>
        <w:t xml:space="preserve"> that year, he initiated renewed legal proceedings to end the conflict.</w:t>
      </w:r>
      <w:r w:rsidRPr="001148C2">
        <w:rPr>
          <w:rFonts w:asciiTheme="majorHAnsi" w:hAnsiTheme="majorHAnsi" w:cstheme="majorHAnsi"/>
          <w:sz w:val="24"/>
          <w:szCs w:val="24"/>
          <w:shd w:val="clear" w:color="auto" w:fill="FF9900"/>
          <w:vertAlign w:val="superscript"/>
        </w:rPr>
        <w:t xml:space="preserve"> </w:t>
      </w:r>
      <w:r w:rsidRPr="001148C2">
        <w:rPr>
          <w:rFonts w:asciiTheme="majorHAnsi" w:hAnsiTheme="majorHAnsi" w:cstheme="majorHAnsi"/>
          <w:sz w:val="24"/>
          <w:szCs w:val="24"/>
          <w:shd w:val="clear" w:color="auto" w:fill="FF9900"/>
          <w:vertAlign w:val="superscript"/>
        </w:rPr>
        <w:endnoteReference w:id="72"/>
      </w:r>
      <w:r w:rsidRPr="001148C2">
        <w:rPr>
          <w:rFonts w:asciiTheme="majorHAnsi" w:hAnsiTheme="majorHAnsi" w:cstheme="majorHAnsi"/>
          <w:sz w:val="24"/>
          <w:szCs w:val="24"/>
        </w:rPr>
        <w:t xml:space="preserve"> Constantine designated the dispute between the factions a </w:t>
      </w:r>
      <w:proofErr w:type="spellStart"/>
      <w:r w:rsidRPr="001148C2">
        <w:rPr>
          <w:rFonts w:asciiTheme="majorHAnsi" w:hAnsiTheme="majorHAnsi" w:cstheme="majorHAnsi"/>
          <w:i/>
          <w:iCs/>
          <w:sz w:val="24"/>
          <w:szCs w:val="24"/>
        </w:rPr>
        <w:t>dissensio</w:t>
      </w:r>
      <w:proofErr w:type="spellEnd"/>
      <w:r w:rsidRPr="001148C2">
        <w:rPr>
          <w:rFonts w:asciiTheme="majorHAnsi" w:hAnsiTheme="majorHAnsi" w:cstheme="majorHAnsi"/>
          <w:sz w:val="24"/>
          <w:szCs w:val="24"/>
        </w:rPr>
        <w:t xml:space="preserve"> to be resolved by demonstrating that the ecclesiastical divide stemmed from misinformation, or, more precisely, a manipulated documentary record. The imperial administration now sought to refute the accusations against Felix, arguing that they were based on forged documents and that Caecilian’s installation was therefore legally valid.</w:t>
      </w:r>
      <w:r w:rsidRPr="001148C2">
        <w:rPr>
          <w:rFonts w:asciiTheme="majorHAnsi" w:hAnsiTheme="majorHAnsi" w:cstheme="majorHAnsi"/>
          <w:sz w:val="24"/>
          <w:szCs w:val="24"/>
          <w:shd w:val="clear" w:color="auto" w:fill="FF9900"/>
          <w:vertAlign w:val="superscript"/>
        </w:rPr>
        <w:endnoteReference w:id="73"/>
      </w:r>
      <w:r w:rsidRPr="001148C2">
        <w:rPr>
          <w:rFonts w:asciiTheme="majorHAnsi" w:hAnsiTheme="majorHAnsi" w:cstheme="majorHAnsi"/>
          <w:sz w:val="24"/>
          <w:szCs w:val="24"/>
        </w:rPr>
        <w:t xml:space="preserve"> In this letter, Constantine again referred to Christian cult practice with the conventional term </w:t>
      </w:r>
      <w:proofErr w:type="spellStart"/>
      <w:r w:rsidRPr="001148C2">
        <w:rPr>
          <w:rFonts w:asciiTheme="majorHAnsi" w:hAnsiTheme="majorHAnsi" w:cstheme="majorHAnsi"/>
          <w:i/>
          <w:iCs/>
          <w:sz w:val="24"/>
          <w:szCs w:val="24"/>
        </w:rPr>
        <w:t>veneratio</w:t>
      </w:r>
      <w:proofErr w:type="spellEnd"/>
      <w:r w:rsidRPr="001148C2">
        <w:rPr>
          <w:rFonts w:asciiTheme="majorHAnsi" w:hAnsiTheme="majorHAnsi" w:cstheme="majorHAnsi"/>
          <w:sz w:val="24"/>
          <w:szCs w:val="24"/>
        </w:rPr>
        <w:t xml:space="preserve">, thereby deliberately bracketing the question of orthodoxy. Rather than adjudicating doctrinal differences, he ultimately sought (without success) to recast the schism as a procedural irregularity and to steer the conflict toward a formal settlement acceptable to both parties. </w:t>
      </w:r>
    </w:p>
    <w:p w:rsidR="00A161CD" w:rsidRPr="001148C2" w:rsidRDefault="00A161CD" w:rsidP="008F07FD">
      <w:pPr>
        <w:spacing w:after="60" w:line="240" w:lineRule="auto"/>
        <w:ind w:firstLine="567"/>
        <w:rPr>
          <w:rFonts w:asciiTheme="majorHAnsi" w:hAnsiTheme="majorHAnsi" w:cstheme="majorHAnsi"/>
          <w:sz w:val="24"/>
          <w:szCs w:val="24"/>
        </w:rPr>
      </w:pPr>
      <w:r w:rsidRPr="001148C2">
        <w:rPr>
          <w:rFonts w:asciiTheme="majorHAnsi" w:hAnsiTheme="majorHAnsi" w:cstheme="majorHAnsi"/>
          <w:sz w:val="24"/>
          <w:szCs w:val="24"/>
        </w:rPr>
        <w:t xml:space="preserve">Constantine was clearly unwilling to assume the role of an enforcer of a particular substantive position of divine truth. Even more significantly, any explicit alignment of the emperor himself with one of the competing claims to Christian orthodoxy was deliberately and consistently avoided. </w:t>
      </w:r>
      <w:r w:rsidR="00E836D3" w:rsidRPr="001148C2">
        <w:rPr>
          <w:rFonts w:asciiTheme="majorHAnsi" w:hAnsiTheme="majorHAnsi" w:cstheme="majorHAnsi"/>
          <w:sz w:val="24"/>
          <w:szCs w:val="24"/>
        </w:rPr>
        <w:t xml:space="preserve">Yet, just as the earlier approaches </w:t>
      </w:r>
      <w:r w:rsidR="008F07FD" w:rsidRPr="001148C2">
        <w:rPr>
          <w:rFonts w:asciiTheme="majorHAnsi" w:hAnsiTheme="majorHAnsi" w:cstheme="majorHAnsi"/>
          <w:sz w:val="24"/>
          <w:szCs w:val="24"/>
        </w:rPr>
        <w:t xml:space="preserve">under these premises </w:t>
      </w:r>
      <w:r w:rsidR="00E836D3" w:rsidRPr="001148C2">
        <w:rPr>
          <w:rFonts w:asciiTheme="majorHAnsi" w:hAnsiTheme="majorHAnsi" w:cstheme="majorHAnsi"/>
          <w:sz w:val="24"/>
          <w:szCs w:val="24"/>
        </w:rPr>
        <w:t xml:space="preserve">had </w:t>
      </w:r>
      <w:r w:rsidR="008F07FD" w:rsidRPr="001148C2">
        <w:rPr>
          <w:rFonts w:asciiTheme="majorHAnsi" w:hAnsiTheme="majorHAnsi" w:cstheme="majorHAnsi"/>
          <w:sz w:val="24"/>
          <w:szCs w:val="24"/>
        </w:rPr>
        <w:t xml:space="preserve">evidently </w:t>
      </w:r>
      <w:r w:rsidR="00E836D3" w:rsidRPr="001148C2">
        <w:rPr>
          <w:rFonts w:asciiTheme="majorHAnsi" w:hAnsiTheme="majorHAnsi" w:cstheme="majorHAnsi"/>
          <w:sz w:val="24"/>
          <w:szCs w:val="24"/>
        </w:rPr>
        <w:t>failed</w:t>
      </w:r>
      <w:r w:rsidR="008F07FD" w:rsidRPr="001148C2">
        <w:rPr>
          <w:rFonts w:asciiTheme="majorHAnsi" w:hAnsiTheme="majorHAnsi" w:cstheme="majorHAnsi"/>
          <w:sz w:val="24"/>
          <w:szCs w:val="24"/>
        </w:rPr>
        <w:t xml:space="preserve"> to resolve the conflict</w:t>
      </w:r>
      <w:r w:rsidR="00E836D3" w:rsidRPr="001148C2">
        <w:rPr>
          <w:rFonts w:asciiTheme="majorHAnsi" w:hAnsiTheme="majorHAnsi" w:cstheme="majorHAnsi"/>
          <w:sz w:val="24"/>
          <w:szCs w:val="24"/>
        </w:rPr>
        <w:t>, despite years of sustained effort</w:t>
      </w:r>
      <w:r w:rsidRPr="001148C2">
        <w:rPr>
          <w:rFonts w:asciiTheme="majorHAnsi" w:hAnsiTheme="majorHAnsi" w:cstheme="majorHAnsi"/>
          <w:sz w:val="24"/>
          <w:szCs w:val="24"/>
        </w:rPr>
        <w:t xml:space="preserve">, </w:t>
      </w:r>
      <w:r w:rsidR="00E836D3" w:rsidRPr="001148C2">
        <w:rPr>
          <w:rFonts w:asciiTheme="majorHAnsi" w:hAnsiTheme="majorHAnsi" w:cstheme="majorHAnsi"/>
          <w:sz w:val="24"/>
          <w:szCs w:val="24"/>
        </w:rPr>
        <w:t xml:space="preserve">so </w:t>
      </w:r>
      <w:r w:rsidR="008F07FD" w:rsidRPr="001148C2">
        <w:rPr>
          <w:rFonts w:asciiTheme="majorHAnsi" w:hAnsiTheme="majorHAnsi" w:cstheme="majorHAnsi"/>
          <w:sz w:val="24"/>
          <w:szCs w:val="24"/>
        </w:rPr>
        <w:t xml:space="preserve">too did this new attempt. </w:t>
      </w:r>
      <w:r w:rsidRPr="001148C2">
        <w:rPr>
          <w:rFonts w:asciiTheme="majorHAnsi" w:hAnsiTheme="majorHAnsi" w:cstheme="majorHAnsi"/>
          <w:sz w:val="24"/>
          <w:szCs w:val="24"/>
        </w:rPr>
        <w:t xml:space="preserve">Step by step, all avenues of conventional procedure were exhausted, making it increasingly inevitable for the imperial authorities to effectively implement what was now interpreted as divine truth and embodied in the “Catholic” party, to which the ruler had, in </w:t>
      </w:r>
      <w:r w:rsidRPr="001148C2">
        <w:rPr>
          <w:rFonts w:asciiTheme="majorHAnsi" w:hAnsiTheme="majorHAnsi" w:cstheme="majorHAnsi"/>
          <w:sz w:val="24"/>
          <w:szCs w:val="24"/>
        </w:rPr>
        <w:lastRenderedPageBreak/>
        <w:t xml:space="preserve">practice, already pledged his support. </w:t>
      </w:r>
      <w:r w:rsidR="008F07FD" w:rsidRPr="001148C2">
        <w:rPr>
          <w:rFonts w:asciiTheme="majorHAnsi" w:hAnsiTheme="majorHAnsi" w:cstheme="majorHAnsi"/>
          <w:sz w:val="24"/>
          <w:szCs w:val="24"/>
        </w:rPr>
        <w:t xml:space="preserve">This moment </w:t>
      </w:r>
      <w:r w:rsidRPr="001148C2">
        <w:rPr>
          <w:rFonts w:asciiTheme="majorHAnsi" w:hAnsiTheme="majorHAnsi" w:cstheme="majorHAnsi"/>
          <w:sz w:val="24"/>
          <w:szCs w:val="24"/>
        </w:rPr>
        <w:t xml:space="preserve">marked the transition to a fundamentally new mode of imperial intervention in religious matters. The option of ascribing a particular doctrinal position directly to the emperor first becomes evident in a letter of 316 addressed to </w:t>
      </w:r>
      <w:proofErr w:type="spellStart"/>
      <w:r w:rsidRPr="001148C2">
        <w:rPr>
          <w:rFonts w:asciiTheme="majorHAnsi" w:hAnsiTheme="majorHAnsi" w:cstheme="majorHAnsi"/>
          <w:sz w:val="24"/>
          <w:szCs w:val="24"/>
        </w:rPr>
        <w:t>Celsus</w:t>
      </w:r>
      <w:proofErr w:type="spellEnd"/>
      <w:r w:rsidRPr="001148C2">
        <w:rPr>
          <w:rFonts w:asciiTheme="majorHAnsi" w:hAnsiTheme="majorHAnsi" w:cstheme="majorHAnsi"/>
          <w:sz w:val="24"/>
          <w:szCs w:val="24"/>
        </w:rPr>
        <w:t>, the vicar of Africa,</w:t>
      </w:r>
      <w:r w:rsidRPr="001148C2">
        <w:rPr>
          <w:rFonts w:asciiTheme="majorHAnsi" w:hAnsiTheme="majorHAnsi" w:cstheme="majorHAnsi"/>
          <w:sz w:val="24"/>
          <w:szCs w:val="24"/>
          <w:shd w:val="clear" w:color="auto" w:fill="FF9900"/>
          <w:vertAlign w:val="superscript"/>
        </w:rPr>
        <w:endnoteReference w:id="74"/>
      </w:r>
      <w:r w:rsidRPr="001148C2">
        <w:rPr>
          <w:rFonts w:asciiTheme="majorHAnsi" w:hAnsiTheme="majorHAnsi" w:cstheme="majorHAnsi"/>
          <w:sz w:val="24"/>
          <w:szCs w:val="24"/>
        </w:rPr>
        <w:t xml:space="preserve"> in which Constantine announced that proceedings in North Africa would be conducted under his personal direction to definitively condemn the Donatist position and </w:t>
      </w:r>
      <w:r w:rsidR="008F07FD" w:rsidRPr="001148C2">
        <w:rPr>
          <w:rFonts w:asciiTheme="majorHAnsi" w:hAnsiTheme="majorHAnsi" w:cstheme="majorHAnsi"/>
          <w:sz w:val="24"/>
          <w:szCs w:val="24"/>
        </w:rPr>
        <w:t xml:space="preserve">to end once and for all </w:t>
      </w:r>
      <w:r w:rsidRPr="001148C2">
        <w:rPr>
          <w:rFonts w:asciiTheme="majorHAnsi" w:hAnsiTheme="majorHAnsi" w:cstheme="majorHAnsi"/>
          <w:sz w:val="24"/>
          <w:szCs w:val="24"/>
        </w:rPr>
        <w:t>resistance to imperial religious policy:</w:t>
      </w:r>
      <w:r w:rsidRPr="001148C2">
        <w:rPr>
          <w:rFonts w:asciiTheme="majorHAnsi" w:hAnsiTheme="majorHAnsi" w:cstheme="majorHAnsi"/>
          <w:sz w:val="24"/>
          <w:szCs w:val="24"/>
          <w:shd w:val="clear" w:color="auto" w:fill="FF9900"/>
          <w:vertAlign w:val="superscript"/>
        </w:rPr>
        <w:endnoteReference w:id="75"/>
      </w:r>
    </w:p>
    <w:p w:rsidR="00A161CD" w:rsidRPr="001148C2" w:rsidRDefault="00A161CD" w:rsidP="00647062">
      <w:pPr>
        <w:spacing w:after="60" w:line="240" w:lineRule="auto"/>
        <w:rPr>
          <w:rFonts w:asciiTheme="majorHAnsi" w:hAnsiTheme="majorHAnsi" w:cstheme="majorHAnsi"/>
          <w:sz w:val="24"/>
          <w:szCs w:val="24"/>
        </w:rPr>
      </w:pPr>
    </w:p>
    <w:p w:rsidR="00A161CD" w:rsidRPr="001148C2" w:rsidRDefault="00A161CD" w:rsidP="00202992">
      <w:pPr>
        <w:spacing w:after="60" w:line="240" w:lineRule="auto"/>
        <w:ind w:left="708" w:firstLine="708"/>
        <w:rPr>
          <w:rFonts w:asciiTheme="majorHAnsi" w:eastAsia="Times New Roman" w:hAnsiTheme="majorHAnsi" w:cstheme="majorHAnsi"/>
          <w:sz w:val="24"/>
          <w:szCs w:val="24"/>
        </w:rPr>
      </w:pPr>
      <w:r w:rsidRPr="001148C2">
        <w:rPr>
          <w:rFonts w:asciiTheme="majorHAnsi" w:hAnsiTheme="majorHAnsi" w:cstheme="majorHAnsi"/>
          <w:color w:val="000000"/>
          <w:sz w:val="24"/>
          <w:szCs w:val="24"/>
        </w:rPr>
        <w:t>Those whom I ascertain to have acted against what is right and against religion itself, and whom I find to be violating the reverence that is due, I will, without any hesitation, make pay the doom they have earned by their madness and rash obstinacy. Let them, therefore, know for sure – with Salvation invoked as a witness – what they must possess for the fullest credibility: namely, that I will conduct a most diligent inquiry not only concerning the laity but also concerning those clerics who are of the first rank, and I will pass judgement in accordance with what is manifestly the truest and most consonant with religion; and I will also show to these same persons what worship, and of what kind, is to be offered to the Divinity.</w:t>
      </w:r>
    </w:p>
    <w:p w:rsidR="00A161CD" w:rsidRPr="001148C2" w:rsidRDefault="00A161CD" w:rsidP="00371852">
      <w:pPr>
        <w:spacing w:after="60" w:line="240" w:lineRule="auto"/>
        <w:ind w:firstLine="566"/>
        <w:rPr>
          <w:rFonts w:asciiTheme="majorHAnsi" w:hAnsiTheme="majorHAnsi" w:cstheme="majorHAnsi"/>
          <w:sz w:val="24"/>
          <w:szCs w:val="24"/>
        </w:rPr>
      </w:pPr>
    </w:p>
    <w:p w:rsidR="00A161CD" w:rsidRPr="001148C2" w:rsidRDefault="00A161CD" w:rsidP="000F77C5">
      <w:pPr>
        <w:spacing w:after="60" w:line="240" w:lineRule="auto"/>
        <w:rPr>
          <w:rFonts w:asciiTheme="majorHAnsi" w:hAnsiTheme="majorHAnsi" w:cstheme="majorHAnsi"/>
          <w:sz w:val="24"/>
          <w:szCs w:val="24"/>
        </w:rPr>
      </w:pPr>
      <w:r w:rsidRPr="001148C2">
        <w:rPr>
          <w:rFonts w:asciiTheme="majorHAnsi" w:hAnsiTheme="majorHAnsi" w:cstheme="majorHAnsi"/>
          <w:sz w:val="24"/>
          <w:szCs w:val="24"/>
        </w:rPr>
        <w:t xml:space="preserve">With marked emphasis, Constantine now speaks of the </w:t>
      </w:r>
      <w:r w:rsidRPr="001148C2">
        <w:rPr>
          <w:rFonts w:asciiTheme="majorHAnsi" w:hAnsiTheme="majorHAnsi" w:cstheme="majorHAnsi"/>
          <w:i/>
          <w:iCs/>
          <w:sz w:val="24"/>
          <w:szCs w:val="24"/>
        </w:rPr>
        <w:t>veritas</w:t>
      </w:r>
      <w:r w:rsidRPr="001148C2">
        <w:rPr>
          <w:rFonts w:asciiTheme="majorHAnsi" w:hAnsiTheme="majorHAnsi" w:cstheme="majorHAnsi"/>
          <w:sz w:val="24"/>
          <w:szCs w:val="24"/>
        </w:rPr>
        <w:t xml:space="preserve"> </w:t>
      </w:r>
      <w:proofErr w:type="spellStart"/>
      <w:r w:rsidRPr="001148C2">
        <w:rPr>
          <w:rFonts w:asciiTheme="majorHAnsi" w:hAnsiTheme="majorHAnsi" w:cstheme="majorHAnsi"/>
          <w:i/>
          <w:iCs/>
          <w:sz w:val="24"/>
          <w:szCs w:val="24"/>
        </w:rPr>
        <w:t>religionis</w:t>
      </w:r>
      <w:proofErr w:type="spellEnd"/>
      <w:r w:rsidRPr="001148C2">
        <w:rPr>
          <w:rFonts w:asciiTheme="majorHAnsi" w:hAnsiTheme="majorHAnsi" w:cstheme="majorHAnsi"/>
          <w:sz w:val="24"/>
          <w:szCs w:val="24"/>
        </w:rPr>
        <w:t xml:space="preserve"> and the </w:t>
      </w:r>
      <w:proofErr w:type="spellStart"/>
      <w:r w:rsidRPr="001148C2">
        <w:rPr>
          <w:rFonts w:asciiTheme="majorHAnsi" w:hAnsiTheme="majorHAnsi" w:cstheme="majorHAnsi"/>
          <w:i/>
          <w:iCs/>
          <w:sz w:val="24"/>
          <w:szCs w:val="24"/>
        </w:rPr>
        <w:t>vera</w:t>
      </w:r>
      <w:proofErr w:type="spellEnd"/>
      <w:r w:rsidRPr="001148C2">
        <w:rPr>
          <w:rFonts w:asciiTheme="majorHAnsi" w:hAnsiTheme="majorHAnsi" w:cstheme="majorHAnsi"/>
          <w:sz w:val="24"/>
          <w:szCs w:val="24"/>
        </w:rPr>
        <w:t xml:space="preserve"> </w:t>
      </w:r>
      <w:proofErr w:type="spellStart"/>
      <w:r w:rsidRPr="001148C2">
        <w:rPr>
          <w:rFonts w:asciiTheme="majorHAnsi" w:hAnsiTheme="majorHAnsi" w:cstheme="majorHAnsi"/>
          <w:i/>
          <w:iCs/>
          <w:sz w:val="24"/>
          <w:szCs w:val="24"/>
        </w:rPr>
        <w:t>religio</w:t>
      </w:r>
      <w:proofErr w:type="spellEnd"/>
      <w:r w:rsidRPr="001148C2">
        <w:rPr>
          <w:rFonts w:asciiTheme="majorHAnsi" w:hAnsiTheme="majorHAnsi" w:cstheme="majorHAnsi"/>
          <w:sz w:val="24"/>
          <w:szCs w:val="24"/>
        </w:rPr>
        <w:t>.</w:t>
      </w:r>
      <w:r w:rsidRPr="001148C2">
        <w:rPr>
          <w:rFonts w:asciiTheme="majorHAnsi" w:hAnsiTheme="majorHAnsi" w:cstheme="majorHAnsi"/>
          <w:sz w:val="24"/>
          <w:szCs w:val="24"/>
          <w:vertAlign w:val="superscript"/>
        </w:rPr>
        <w:endnoteReference w:id="76"/>
      </w:r>
      <w:r w:rsidRPr="001148C2">
        <w:rPr>
          <w:rFonts w:asciiTheme="majorHAnsi" w:hAnsiTheme="majorHAnsi" w:cstheme="majorHAnsi"/>
          <w:sz w:val="24"/>
          <w:szCs w:val="24"/>
        </w:rPr>
        <w:t xml:space="preserve"> He characterizes deviation from this truth as </w:t>
      </w:r>
      <w:r w:rsidRPr="001148C2">
        <w:rPr>
          <w:rFonts w:asciiTheme="majorHAnsi" w:hAnsiTheme="majorHAnsi" w:cstheme="majorHAnsi"/>
          <w:i/>
          <w:iCs/>
          <w:sz w:val="24"/>
          <w:szCs w:val="24"/>
        </w:rPr>
        <w:t>error</w:t>
      </w:r>
      <w:r w:rsidRPr="001148C2">
        <w:rPr>
          <w:rFonts w:asciiTheme="majorHAnsi" w:hAnsiTheme="majorHAnsi" w:cstheme="majorHAnsi"/>
          <w:sz w:val="24"/>
          <w:szCs w:val="24"/>
        </w:rPr>
        <w:t xml:space="preserve"> that incurs divine judgment and, by means of imperial enforcement, annihilation. Whereas in the letter to the bishops assembled at Arles, divine authority had still been ascribed to the priests’ judgment, here Constantine speaks exclusively of his own </w:t>
      </w:r>
      <w:proofErr w:type="spellStart"/>
      <w:r w:rsidRPr="001148C2">
        <w:rPr>
          <w:rFonts w:asciiTheme="majorHAnsi" w:hAnsiTheme="majorHAnsi" w:cstheme="majorHAnsi"/>
          <w:i/>
          <w:iCs/>
          <w:sz w:val="24"/>
          <w:szCs w:val="24"/>
        </w:rPr>
        <w:t>iudicium</w:t>
      </w:r>
      <w:proofErr w:type="spellEnd"/>
      <w:r w:rsidRPr="001148C2">
        <w:rPr>
          <w:rFonts w:asciiTheme="majorHAnsi" w:hAnsiTheme="majorHAnsi" w:cstheme="majorHAnsi"/>
          <w:sz w:val="24"/>
          <w:szCs w:val="24"/>
        </w:rPr>
        <w:t xml:space="preserve">. Through his own judgment, he intended to demonstrate to the conflicting parties which </w:t>
      </w:r>
      <w:proofErr w:type="spellStart"/>
      <w:r w:rsidRPr="001148C2">
        <w:rPr>
          <w:rFonts w:asciiTheme="majorHAnsi" w:hAnsiTheme="majorHAnsi" w:cstheme="majorHAnsi"/>
          <w:i/>
          <w:iCs/>
          <w:sz w:val="24"/>
          <w:szCs w:val="24"/>
        </w:rPr>
        <w:t>veneratio</w:t>
      </w:r>
      <w:proofErr w:type="spellEnd"/>
      <w:r w:rsidRPr="001148C2">
        <w:rPr>
          <w:rFonts w:asciiTheme="majorHAnsi" w:hAnsiTheme="majorHAnsi" w:cstheme="majorHAnsi"/>
          <w:sz w:val="24"/>
          <w:szCs w:val="24"/>
        </w:rPr>
        <w:t xml:space="preserve"> and which </w:t>
      </w:r>
      <w:proofErr w:type="spellStart"/>
      <w:r w:rsidRPr="001148C2">
        <w:rPr>
          <w:rFonts w:asciiTheme="majorHAnsi" w:hAnsiTheme="majorHAnsi" w:cstheme="majorHAnsi"/>
          <w:i/>
          <w:iCs/>
          <w:sz w:val="24"/>
          <w:szCs w:val="24"/>
        </w:rPr>
        <w:t>cultus</w:t>
      </w:r>
      <w:proofErr w:type="spellEnd"/>
      <w:r w:rsidRPr="001148C2">
        <w:rPr>
          <w:rFonts w:asciiTheme="majorHAnsi" w:hAnsiTheme="majorHAnsi" w:cstheme="majorHAnsi"/>
          <w:sz w:val="24"/>
          <w:szCs w:val="24"/>
        </w:rPr>
        <w:t xml:space="preserve"> were pleasing to the supreme deity (</w:t>
      </w:r>
      <w:r w:rsidRPr="001148C2">
        <w:rPr>
          <w:rFonts w:asciiTheme="majorHAnsi" w:hAnsiTheme="majorHAnsi" w:cstheme="majorHAnsi"/>
          <w:i/>
          <w:iCs/>
          <w:sz w:val="24"/>
          <w:szCs w:val="24"/>
        </w:rPr>
        <w:t>summa</w:t>
      </w:r>
      <w:r w:rsidRPr="001148C2">
        <w:rPr>
          <w:rFonts w:asciiTheme="majorHAnsi" w:hAnsiTheme="majorHAnsi" w:cstheme="majorHAnsi"/>
          <w:sz w:val="24"/>
          <w:szCs w:val="24"/>
        </w:rPr>
        <w:t xml:space="preserve"> </w:t>
      </w:r>
      <w:proofErr w:type="spellStart"/>
      <w:r w:rsidRPr="001148C2">
        <w:rPr>
          <w:rFonts w:asciiTheme="majorHAnsi" w:hAnsiTheme="majorHAnsi" w:cstheme="majorHAnsi"/>
          <w:i/>
          <w:iCs/>
          <w:sz w:val="24"/>
          <w:szCs w:val="24"/>
        </w:rPr>
        <w:t>divinitas</w:t>
      </w:r>
      <w:proofErr w:type="spellEnd"/>
      <w:r w:rsidRPr="001148C2">
        <w:rPr>
          <w:rFonts w:asciiTheme="majorHAnsi" w:hAnsiTheme="majorHAnsi" w:cstheme="majorHAnsi"/>
          <w:sz w:val="24"/>
          <w:szCs w:val="24"/>
        </w:rPr>
        <w:t>). Constantine thus presents himself as the one who would inquire (</w:t>
      </w:r>
      <w:proofErr w:type="spellStart"/>
      <w:r w:rsidRPr="001148C2">
        <w:rPr>
          <w:rFonts w:asciiTheme="majorHAnsi" w:hAnsiTheme="majorHAnsi" w:cstheme="majorHAnsi"/>
          <w:i/>
          <w:iCs/>
          <w:sz w:val="24"/>
          <w:szCs w:val="24"/>
        </w:rPr>
        <w:t>quaesiturus</w:t>
      </w:r>
      <w:proofErr w:type="spellEnd"/>
      <w:r w:rsidRPr="001148C2">
        <w:rPr>
          <w:rFonts w:asciiTheme="majorHAnsi" w:hAnsiTheme="majorHAnsi" w:cstheme="majorHAnsi"/>
          <w:sz w:val="24"/>
          <w:szCs w:val="24"/>
        </w:rPr>
        <w:t>) and judge (</w:t>
      </w:r>
      <w:proofErr w:type="spellStart"/>
      <w:r w:rsidRPr="001148C2">
        <w:rPr>
          <w:rFonts w:asciiTheme="majorHAnsi" w:hAnsiTheme="majorHAnsi" w:cstheme="majorHAnsi"/>
          <w:i/>
          <w:iCs/>
          <w:sz w:val="24"/>
          <w:szCs w:val="24"/>
        </w:rPr>
        <w:t>iudicaturus</w:t>
      </w:r>
      <w:proofErr w:type="spellEnd"/>
      <w:r w:rsidRPr="001148C2">
        <w:rPr>
          <w:rFonts w:asciiTheme="majorHAnsi" w:hAnsiTheme="majorHAnsi" w:cstheme="majorHAnsi"/>
          <w:sz w:val="24"/>
          <w:szCs w:val="24"/>
        </w:rPr>
        <w:t>) both the people and the higher-ranking clergy “as clearly accords with truth and religion” (</w:t>
      </w:r>
      <w:r w:rsidRPr="001148C2">
        <w:rPr>
          <w:rFonts w:asciiTheme="majorHAnsi" w:hAnsiTheme="majorHAnsi" w:cstheme="majorHAnsi"/>
          <w:i/>
          <w:iCs/>
          <w:sz w:val="24"/>
          <w:szCs w:val="24"/>
        </w:rPr>
        <w:t xml:space="preserve">quod </w:t>
      </w:r>
      <w:proofErr w:type="spellStart"/>
      <w:r w:rsidRPr="001148C2">
        <w:rPr>
          <w:rFonts w:asciiTheme="majorHAnsi" w:hAnsiTheme="majorHAnsi" w:cstheme="majorHAnsi"/>
          <w:i/>
          <w:iCs/>
          <w:sz w:val="24"/>
          <w:szCs w:val="24"/>
        </w:rPr>
        <w:t>verissimum</w:t>
      </w:r>
      <w:proofErr w:type="spellEnd"/>
      <w:r w:rsidRPr="001148C2">
        <w:rPr>
          <w:rFonts w:asciiTheme="majorHAnsi" w:hAnsiTheme="majorHAnsi" w:cstheme="majorHAnsi"/>
          <w:i/>
          <w:iCs/>
          <w:sz w:val="24"/>
          <w:szCs w:val="24"/>
        </w:rPr>
        <w:t xml:space="preserve"> et </w:t>
      </w:r>
      <w:proofErr w:type="spellStart"/>
      <w:r w:rsidRPr="001148C2">
        <w:rPr>
          <w:rFonts w:asciiTheme="majorHAnsi" w:hAnsiTheme="majorHAnsi" w:cstheme="majorHAnsi"/>
          <w:i/>
          <w:iCs/>
          <w:sz w:val="24"/>
          <w:szCs w:val="24"/>
        </w:rPr>
        <w:t>religiosissimum</w:t>
      </w:r>
      <w:proofErr w:type="spellEnd"/>
      <w:r w:rsidRPr="001148C2">
        <w:rPr>
          <w:rFonts w:asciiTheme="majorHAnsi" w:hAnsiTheme="majorHAnsi" w:cstheme="majorHAnsi"/>
          <w:i/>
          <w:iCs/>
          <w:sz w:val="24"/>
          <w:szCs w:val="24"/>
        </w:rPr>
        <w:t xml:space="preserve"> </w:t>
      </w:r>
      <w:proofErr w:type="spellStart"/>
      <w:r w:rsidRPr="001148C2">
        <w:rPr>
          <w:rFonts w:asciiTheme="majorHAnsi" w:hAnsiTheme="majorHAnsi" w:cstheme="majorHAnsi"/>
          <w:i/>
          <w:iCs/>
          <w:sz w:val="24"/>
          <w:szCs w:val="24"/>
        </w:rPr>
        <w:t>esse</w:t>
      </w:r>
      <w:proofErr w:type="spellEnd"/>
      <w:r w:rsidRPr="001148C2">
        <w:rPr>
          <w:rFonts w:asciiTheme="majorHAnsi" w:hAnsiTheme="majorHAnsi" w:cstheme="majorHAnsi"/>
          <w:i/>
          <w:iCs/>
          <w:sz w:val="24"/>
          <w:szCs w:val="24"/>
        </w:rPr>
        <w:t xml:space="preserve"> </w:t>
      </w:r>
      <w:proofErr w:type="spellStart"/>
      <w:r w:rsidRPr="001148C2">
        <w:rPr>
          <w:rFonts w:asciiTheme="majorHAnsi" w:hAnsiTheme="majorHAnsi" w:cstheme="majorHAnsi"/>
          <w:i/>
          <w:iCs/>
          <w:sz w:val="24"/>
          <w:szCs w:val="24"/>
        </w:rPr>
        <w:t>manifestum</w:t>
      </w:r>
      <w:proofErr w:type="spellEnd"/>
      <w:r w:rsidRPr="001148C2">
        <w:rPr>
          <w:rFonts w:asciiTheme="majorHAnsi" w:hAnsiTheme="majorHAnsi" w:cstheme="majorHAnsi"/>
          <w:i/>
          <w:iCs/>
          <w:sz w:val="24"/>
          <w:szCs w:val="24"/>
        </w:rPr>
        <w:t xml:space="preserve"> sit</w:t>
      </w:r>
      <w:r w:rsidRPr="001148C2">
        <w:rPr>
          <w:rFonts w:asciiTheme="majorHAnsi" w:hAnsiTheme="majorHAnsi" w:cstheme="majorHAnsi"/>
          <w:sz w:val="24"/>
          <w:szCs w:val="24"/>
        </w:rPr>
        <w:t>).</w:t>
      </w:r>
      <w:r w:rsidRPr="001148C2">
        <w:rPr>
          <w:rFonts w:asciiTheme="majorHAnsi" w:hAnsiTheme="majorHAnsi" w:cstheme="majorHAnsi"/>
          <w:sz w:val="24"/>
          <w:szCs w:val="24"/>
          <w:vertAlign w:val="superscript"/>
        </w:rPr>
        <w:endnoteReference w:id="77"/>
      </w:r>
      <w:r w:rsidRPr="001148C2">
        <w:rPr>
          <w:rFonts w:asciiTheme="majorHAnsi" w:hAnsiTheme="majorHAnsi" w:cstheme="majorHAnsi"/>
          <w:sz w:val="24"/>
          <w:szCs w:val="24"/>
        </w:rPr>
        <w:t xml:space="preserve"> All Christians who failed to render appropriate veneration to the </w:t>
      </w:r>
      <w:proofErr w:type="spellStart"/>
      <w:r w:rsidRPr="001148C2">
        <w:rPr>
          <w:rFonts w:asciiTheme="majorHAnsi" w:hAnsiTheme="majorHAnsi" w:cstheme="majorHAnsi"/>
          <w:i/>
          <w:iCs/>
          <w:sz w:val="24"/>
          <w:szCs w:val="24"/>
        </w:rPr>
        <w:t>summus</w:t>
      </w:r>
      <w:proofErr w:type="spellEnd"/>
      <w:r w:rsidRPr="001148C2">
        <w:rPr>
          <w:rFonts w:asciiTheme="majorHAnsi" w:hAnsiTheme="majorHAnsi" w:cstheme="majorHAnsi"/>
          <w:i/>
          <w:iCs/>
          <w:sz w:val="24"/>
          <w:szCs w:val="24"/>
        </w:rPr>
        <w:t xml:space="preserve"> </w:t>
      </w:r>
      <w:proofErr w:type="spellStart"/>
      <w:r w:rsidRPr="001148C2">
        <w:rPr>
          <w:rFonts w:asciiTheme="majorHAnsi" w:hAnsiTheme="majorHAnsi" w:cstheme="majorHAnsi"/>
          <w:i/>
          <w:iCs/>
          <w:sz w:val="24"/>
          <w:szCs w:val="24"/>
        </w:rPr>
        <w:t>deus</w:t>
      </w:r>
      <w:proofErr w:type="spellEnd"/>
      <w:r w:rsidRPr="001148C2">
        <w:rPr>
          <w:rFonts w:asciiTheme="majorHAnsi" w:hAnsiTheme="majorHAnsi" w:cstheme="majorHAnsi"/>
          <w:sz w:val="24"/>
          <w:szCs w:val="24"/>
        </w:rPr>
        <w:t xml:space="preserve"> would be singled out by Constantine to be eradicated. </w:t>
      </w:r>
    </w:p>
    <w:p w:rsidR="00A161CD" w:rsidRPr="001148C2" w:rsidRDefault="00A161CD" w:rsidP="00054D1F">
      <w:pPr>
        <w:spacing w:after="60" w:line="240" w:lineRule="auto"/>
        <w:ind w:firstLine="567"/>
        <w:rPr>
          <w:rFonts w:asciiTheme="majorHAnsi" w:hAnsiTheme="majorHAnsi" w:cstheme="majorHAnsi"/>
          <w:sz w:val="24"/>
          <w:szCs w:val="24"/>
        </w:rPr>
      </w:pPr>
      <w:r w:rsidRPr="001148C2">
        <w:rPr>
          <w:rFonts w:asciiTheme="majorHAnsi" w:hAnsiTheme="majorHAnsi" w:cstheme="majorHAnsi"/>
          <w:sz w:val="24"/>
          <w:szCs w:val="24"/>
        </w:rPr>
        <w:t xml:space="preserve">Unlike the letter to the bishops assembled at Arles, the emperor here places his own </w:t>
      </w:r>
      <w:r w:rsidR="008F07FD" w:rsidRPr="001148C2">
        <w:rPr>
          <w:rFonts w:asciiTheme="majorHAnsi" w:hAnsiTheme="majorHAnsi" w:cstheme="majorHAnsi"/>
          <w:sz w:val="24"/>
          <w:szCs w:val="24"/>
        </w:rPr>
        <w:t>religious</w:t>
      </w:r>
      <w:r w:rsidRPr="001148C2">
        <w:rPr>
          <w:rFonts w:asciiTheme="majorHAnsi" w:hAnsiTheme="majorHAnsi" w:cstheme="majorHAnsi"/>
          <w:sz w:val="24"/>
          <w:szCs w:val="24"/>
        </w:rPr>
        <w:t xml:space="preserve"> authority at the center of the proceedings. At the same time, the text makes clear, especially when contrasted with the Milan agreement and the earlier letters to Miltiades and </w:t>
      </w:r>
      <w:proofErr w:type="spellStart"/>
      <w:r w:rsidRPr="001148C2">
        <w:rPr>
          <w:rFonts w:asciiTheme="majorHAnsi" w:hAnsiTheme="majorHAnsi" w:cstheme="majorHAnsi"/>
          <w:sz w:val="24"/>
          <w:szCs w:val="24"/>
        </w:rPr>
        <w:t>Chrestus</w:t>
      </w:r>
      <w:proofErr w:type="spellEnd"/>
      <w:r w:rsidRPr="001148C2">
        <w:rPr>
          <w:rFonts w:asciiTheme="majorHAnsi" w:hAnsiTheme="majorHAnsi" w:cstheme="majorHAnsi"/>
          <w:sz w:val="24"/>
          <w:szCs w:val="24"/>
        </w:rPr>
        <w:t>, that Constantine was now fully aware of the specific argumentative stakes in the intra-Christian doctrinal dispute. He no longer merely announced a legal decision</w:t>
      </w:r>
      <w:r w:rsidR="008F07FD" w:rsidRPr="001148C2">
        <w:rPr>
          <w:rFonts w:asciiTheme="majorHAnsi" w:hAnsiTheme="majorHAnsi" w:cstheme="majorHAnsi"/>
          <w:sz w:val="24"/>
          <w:szCs w:val="24"/>
        </w:rPr>
        <w:t xml:space="preserve"> on matters of religion</w:t>
      </w:r>
      <w:r w:rsidRPr="001148C2">
        <w:rPr>
          <w:rFonts w:asciiTheme="majorHAnsi" w:hAnsiTheme="majorHAnsi" w:cstheme="majorHAnsi"/>
          <w:sz w:val="24"/>
          <w:szCs w:val="24"/>
        </w:rPr>
        <w:t xml:space="preserve">; he claimed the authority to adjudicate the “truth of religion” itself. The decisive difference between Constantine’s letter to the bishops at Arles and his communication to </w:t>
      </w:r>
      <w:proofErr w:type="spellStart"/>
      <w:r w:rsidRPr="001148C2">
        <w:rPr>
          <w:rFonts w:asciiTheme="majorHAnsi" w:hAnsiTheme="majorHAnsi" w:cstheme="majorHAnsi"/>
          <w:sz w:val="24"/>
          <w:szCs w:val="24"/>
        </w:rPr>
        <w:t>Celsus</w:t>
      </w:r>
      <w:proofErr w:type="spellEnd"/>
      <w:r w:rsidRPr="001148C2">
        <w:rPr>
          <w:rFonts w:asciiTheme="majorHAnsi" w:hAnsiTheme="majorHAnsi" w:cstheme="majorHAnsi"/>
          <w:sz w:val="24"/>
          <w:szCs w:val="24"/>
        </w:rPr>
        <w:t xml:space="preserve"> is that, in the latter, he explicitly claimed for himself the authority to pronounce a binding judgment on Christian doctrine. At Arles, by contrast, he had still left the determination of divine truth to the </w:t>
      </w:r>
      <w:proofErr w:type="spellStart"/>
      <w:r w:rsidRPr="001148C2">
        <w:rPr>
          <w:rFonts w:asciiTheme="majorHAnsi" w:hAnsiTheme="majorHAnsi" w:cstheme="majorHAnsi"/>
          <w:i/>
          <w:iCs/>
          <w:sz w:val="24"/>
          <w:szCs w:val="24"/>
        </w:rPr>
        <w:t>consilium</w:t>
      </w:r>
      <w:proofErr w:type="spellEnd"/>
      <w:r w:rsidRPr="001148C2">
        <w:rPr>
          <w:rFonts w:asciiTheme="majorHAnsi" w:hAnsiTheme="majorHAnsi" w:cstheme="majorHAnsi"/>
          <w:sz w:val="24"/>
          <w:szCs w:val="24"/>
        </w:rPr>
        <w:t xml:space="preserve"> of the bishops. </w:t>
      </w:r>
    </w:p>
    <w:p w:rsidR="00A161CD" w:rsidRPr="001148C2" w:rsidRDefault="00A161CD" w:rsidP="00054D1F">
      <w:pPr>
        <w:spacing w:after="60" w:line="240" w:lineRule="auto"/>
        <w:ind w:firstLine="567"/>
        <w:rPr>
          <w:rFonts w:asciiTheme="majorHAnsi" w:hAnsiTheme="majorHAnsi" w:cstheme="majorHAnsi"/>
          <w:sz w:val="24"/>
          <w:szCs w:val="24"/>
        </w:rPr>
      </w:pPr>
      <w:r w:rsidRPr="001148C2">
        <w:rPr>
          <w:rFonts w:asciiTheme="majorHAnsi" w:hAnsiTheme="majorHAnsi" w:cstheme="majorHAnsi"/>
          <w:sz w:val="24"/>
          <w:szCs w:val="24"/>
        </w:rPr>
        <w:t xml:space="preserve">Owing to growing tensions with </w:t>
      </w:r>
      <w:proofErr w:type="spellStart"/>
      <w:r w:rsidRPr="001148C2">
        <w:rPr>
          <w:rFonts w:asciiTheme="majorHAnsi" w:hAnsiTheme="majorHAnsi" w:cstheme="majorHAnsi"/>
          <w:sz w:val="24"/>
          <w:szCs w:val="24"/>
        </w:rPr>
        <w:t>Licinius</w:t>
      </w:r>
      <w:proofErr w:type="spellEnd"/>
      <w:r w:rsidRPr="001148C2">
        <w:rPr>
          <w:rFonts w:asciiTheme="majorHAnsi" w:hAnsiTheme="majorHAnsi" w:cstheme="majorHAnsi"/>
          <w:sz w:val="24"/>
          <w:szCs w:val="24"/>
        </w:rPr>
        <w:t>, which required Constantine to maintain a sustained presence in the Balkans between 317 and 324, he was unable to pursue the envisioned proceedings in North Africa personally. Instead, he initially sought to weaken the Donatists through a series of ad hoc punitive measures, including the persecution and exile of Donatist bishops.</w:t>
      </w:r>
      <w:r w:rsidRPr="001148C2">
        <w:rPr>
          <w:rFonts w:asciiTheme="majorHAnsi" w:hAnsiTheme="majorHAnsi" w:cstheme="majorHAnsi"/>
          <w:sz w:val="24"/>
          <w:szCs w:val="24"/>
          <w:vertAlign w:val="superscript"/>
        </w:rPr>
        <w:endnoteReference w:id="78"/>
      </w:r>
      <w:r w:rsidRPr="001148C2">
        <w:rPr>
          <w:rFonts w:asciiTheme="majorHAnsi" w:hAnsiTheme="majorHAnsi" w:cstheme="majorHAnsi"/>
          <w:sz w:val="24"/>
          <w:szCs w:val="24"/>
        </w:rPr>
        <w:t xml:space="preserve"> Above all, however, he issued his disruptive decree of unity shortly after the letter to </w:t>
      </w:r>
      <w:proofErr w:type="spellStart"/>
      <w:r w:rsidRPr="001148C2">
        <w:rPr>
          <w:rFonts w:asciiTheme="majorHAnsi" w:hAnsiTheme="majorHAnsi" w:cstheme="majorHAnsi"/>
          <w:sz w:val="24"/>
          <w:szCs w:val="24"/>
        </w:rPr>
        <w:t>Celsus</w:t>
      </w:r>
      <w:proofErr w:type="spellEnd"/>
      <w:r w:rsidRPr="001148C2">
        <w:rPr>
          <w:rFonts w:asciiTheme="majorHAnsi" w:hAnsiTheme="majorHAnsi" w:cstheme="majorHAnsi"/>
          <w:sz w:val="24"/>
          <w:szCs w:val="24"/>
        </w:rPr>
        <w:t xml:space="preserve">. With this decree, Constantine ordered the Donatists’ </w:t>
      </w:r>
      <w:r w:rsidRPr="001148C2">
        <w:rPr>
          <w:rFonts w:asciiTheme="majorHAnsi" w:hAnsiTheme="majorHAnsi" w:cstheme="majorHAnsi"/>
          <w:sz w:val="24"/>
          <w:szCs w:val="24"/>
        </w:rPr>
        <w:lastRenderedPageBreak/>
        <w:t xml:space="preserve">subordination to the </w:t>
      </w:r>
      <w:proofErr w:type="spellStart"/>
      <w:r w:rsidRPr="001148C2">
        <w:rPr>
          <w:rFonts w:asciiTheme="majorHAnsi" w:hAnsiTheme="majorHAnsi" w:cstheme="majorHAnsi"/>
          <w:sz w:val="24"/>
          <w:szCs w:val="24"/>
        </w:rPr>
        <w:t>religio</w:t>
      </w:r>
      <w:proofErr w:type="spellEnd"/>
      <w:r w:rsidRPr="001148C2">
        <w:rPr>
          <w:rFonts w:asciiTheme="majorHAnsi" w:hAnsiTheme="majorHAnsi" w:cstheme="majorHAnsi"/>
          <w:sz w:val="24"/>
          <w:szCs w:val="24"/>
        </w:rPr>
        <w:t>-political framework articulated by imperial authority, a course soon followed by the violent military assault against the resisting Carthaginian community in the spring of 317.</w:t>
      </w:r>
    </w:p>
    <w:p w:rsidR="00A161CD" w:rsidRPr="001148C2" w:rsidRDefault="00A161CD" w:rsidP="00054D1F">
      <w:pPr>
        <w:spacing w:after="60" w:line="240" w:lineRule="auto"/>
        <w:ind w:firstLine="567"/>
        <w:rPr>
          <w:rFonts w:asciiTheme="majorHAnsi" w:hAnsiTheme="majorHAnsi" w:cstheme="majorHAnsi"/>
          <w:sz w:val="24"/>
          <w:szCs w:val="24"/>
        </w:rPr>
      </w:pPr>
      <w:r w:rsidRPr="001148C2">
        <w:rPr>
          <w:rFonts w:asciiTheme="majorHAnsi" w:hAnsiTheme="majorHAnsi" w:cstheme="majorHAnsi"/>
          <w:sz w:val="24"/>
          <w:szCs w:val="24"/>
        </w:rPr>
        <w:t xml:space="preserve">The transformation in imperial strategy that becomes evident from the letter to </w:t>
      </w:r>
      <w:proofErr w:type="spellStart"/>
      <w:r w:rsidRPr="001148C2">
        <w:rPr>
          <w:rFonts w:asciiTheme="majorHAnsi" w:hAnsiTheme="majorHAnsi" w:cstheme="majorHAnsi"/>
          <w:sz w:val="24"/>
          <w:szCs w:val="24"/>
        </w:rPr>
        <w:t>Celsus</w:t>
      </w:r>
      <w:proofErr w:type="spellEnd"/>
      <w:r w:rsidRPr="001148C2">
        <w:rPr>
          <w:rFonts w:asciiTheme="majorHAnsi" w:hAnsiTheme="majorHAnsi" w:cstheme="majorHAnsi"/>
          <w:sz w:val="24"/>
          <w:szCs w:val="24"/>
        </w:rPr>
        <w:t xml:space="preserve"> onward is particularly significant. For the first time, a Roman emperor positioned himself within a conflict over contested questions of Christian orthodoxy. By taking a partisan stance in the Christian struggle over truth, he introduced a new and consequential dynamic into the relationship between the Roman monarchy and Christianity. In claiming authority over orthodoxy, the emperor made Christian doctrinal disputes a matter of imperial governance. The consequences for the relationship between ruler and subjects were profound: only through this doctrinal commitment were questions of orthodoxy transformed into criteria of political allegiance. The decree of unity issued immediately thereafter, and the violent repression that followed the Donatists’ refusal to comply, are the logical consequences of this alignment. But, on what grounds, precisely, could the emperor claim competence to discern Christian truth? Or, as Donatus of Carthage put it pointedly: “What has the emperor to do with the Church?” (</w:t>
      </w:r>
      <w:r w:rsidRPr="001148C2">
        <w:rPr>
          <w:rFonts w:asciiTheme="majorHAnsi" w:hAnsiTheme="majorHAnsi" w:cstheme="majorHAnsi"/>
          <w:i/>
          <w:iCs/>
          <w:sz w:val="24"/>
          <w:szCs w:val="24"/>
        </w:rPr>
        <w:t xml:space="preserve">Quid </w:t>
      </w:r>
      <w:proofErr w:type="spellStart"/>
      <w:r w:rsidRPr="001148C2">
        <w:rPr>
          <w:rFonts w:asciiTheme="majorHAnsi" w:hAnsiTheme="majorHAnsi" w:cstheme="majorHAnsi"/>
          <w:i/>
          <w:iCs/>
          <w:sz w:val="24"/>
          <w:szCs w:val="24"/>
        </w:rPr>
        <w:t>est</w:t>
      </w:r>
      <w:proofErr w:type="spellEnd"/>
      <w:r w:rsidRPr="001148C2">
        <w:rPr>
          <w:rFonts w:asciiTheme="majorHAnsi" w:hAnsiTheme="majorHAnsi" w:cstheme="majorHAnsi"/>
          <w:i/>
          <w:iCs/>
          <w:sz w:val="24"/>
          <w:szCs w:val="24"/>
        </w:rPr>
        <w:t xml:space="preserve"> </w:t>
      </w:r>
      <w:proofErr w:type="spellStart"/>
      <w:r w:rsidRPr="001148C2">
        <w:rPr>
          <w:rFonts w:asciiTheme="majorHAnsi" w:hAnsiTheme="majorHAnsi" w:cstheme="majorHAnsi"/>
          <w:i/>
          <w:iCs/>
          <w:sz w:val="24"/>
          <w:szCs w:val="24"/>
        </w:rPr>
        <w:t>imperatori</w:t>
      </w:r>
      <w:proofErr w:type="spellEnd"/>
      <w:r w:rsidRPr="001148C2">
        <w:rPr>
          <w:rFonts w:asciiTheme="majorHAnsi" w:hAnsiTheme="majorHAnsi" w:cstheme="majorHAnsi"/>
          <w:i/>
          <w:iCs/>
          <w:sz w:val="24"/>
          <w:szCs w:val="24"/>
        </w:rPr>
        <w:t xml:space="preserve"> cum ecclesia?</w:t>
      </w:r>
      <w:r w:rsidRPr="001148C2">
        <w:rPr>
          <w:rFonts w:asciiTheme="majorHAnsi" w:hAnsiTheme="majorHAnsi" w:cstheme="majorHAnsi"/>
          <w:sz w:val="24"/>
          <w:szCs w:val="24"/>
        </w:rPr>
        <w:t>).</w:t>
      </w:r>
      <w:r w:rsidRPr="001148C2">
        <w:rPr>
          <w:rFonts w:asciiTheme="majorHAnsi" w:hAnsiTheme="majorHAnsi" w:cstheme="majorHAnsi"/>
          <w:sz w:val="24"/>
          <w:szCs w:val="24"/>
          <w:vertAlign w:val="superscript"/>
        </w:rPr>
        <w:endnoteReference w:id="79"/>
      </w:r>
      <w:r w:rsidRPr="001148C2">
        <w:rPr>
          <w:rFonts w:asciiTheme="majorHAnsi" w:hAnsiTheme="majorHAnsi" w:cstheme="majorHAnsi"/>
          <w:sz w:val="24"/>
          <w:szCs w:val="24"/>
        </w:rPr>
        <w:t xml:space="preserve"> </w:t>
      </w:r>
    </w:p>
    <w:p w:rsidR="00A161CD" w:rsidRPr="001148C2" w:rsidRDefault="00A161CD" w:rsidP="00AB21A6">
      <w:pPr>
        <w:spacing w:after="60" w:line="240" w:lineRule="auto"/>
        <w:ind w:firstLine="567"/>
        <w:rPr>
          <w:rFonts w:asciiTheme="majorHAnsi" w:hAnsiTheme="majorHAnsi" w:cstheme="majorHAnsi"/>
          <w:sz w:val="24"/>
          <w:szCs w:val="24"/>
        </w:rPr>
      </w:pPr>
      <w:r w:rsidRPr="001148C2">
        <w:rPr>
          <w:rFonts w:asciiTheme="majorHAnsi" w:hAnsiTheme="majorHAnsi" w:cstheme="majorHAnsi"/>
          <w:sz w:val="24"/>
          <w:szCs w:val="24"/>
        </w:rPr>
        <w:t xml:space="preserve">More broadly, the emperor’s intervention raised a series of fundamental questions concerning his relationship with Christian communities. What did it mean for Christian understandings of imperial rule when the emperor committed himself to specific doctrinal claims? How were Christians to position themselves in light of the immediate social, legal, and political consequences such a commitment entailed? What followed when the emperor proved willing to intervene in doctrinal matters through the instruments of coercive power? And what, concretely, could or should Christians do to support or resist such interventions? </w:t>
      </w:r>
    </w:p>
    <w:p w:rsidR="00A161CD" w:rsidRPr="001148C2" w:rsidRDefault="00A161CD" w:rsidP="0015257B">
      <w:pPr>
        <w:spacing w:after="60" w:line="240" w:lineRule="auto"/>
        <w:ind w:firstLine="567"/>
        <w:rPr>
          <w:rFonts w:asciiTheme="majorHAnsi" w:hAnsiTheme="majorHAnsi" w:cstheme="majorHAnsi"/>
          <w:sz w:val="24"/>
          <w:szCs w:val="24"/>
        </w:rPr>
      </w:pPr>
      <w:r w:rsidRPr="001148C2">
        <w:rPr>
          <w:rFonts w:asciiTheme="majorHAnsi" w:hAnsiTheme="majorHAnsi" w:cstheme="majorHAnsi"/>
          <w:sz w:val="24"/>
          <w:szCs w:val="24"/>
        </w:rPr>
        <w:t xml:space="preserve">The emperor’s endorsement of specific doctrinal positions had consequences for relations between Roman governance and Christian communities that extended far beyond the mere recognition of Christianity by the Roman state. </w:t>
      </w:r>
      <w:r w:rsidR="007F347E" w:rsidRPr="001148C2">
        <w:rPr>
          <w:rFonts w:asciiTheme="majorHAnsi" w:hAnsiTheme="majorHAnsi" w:cstheme="majorHAnsi"/>
          <w:sz w:val="24"/>
          <w:szCs w:val="24"/>
        </w:rPr>
        <w:t>Mere</w:t>
      </w:r>
      <w:r w:rsidRPr="001148C2">
        <w:rPr>
          <w:rFonts w:asciiTheme="majorHAnsi" w:hAnsiTheme="majorHAnsi" w:cstheme="majorHAnsi"/>
          <w:sz w:val="24"/>
          <w:szCs w:val="24"/>
        </w:rPr>
        <w:t xml:space="preserve"> recognition can be observed, for instance, in the Sasanian </w:t>
      </w:r>
      <w:r w:rsidR="007F347E" w:rsidRPr="001148C2">
        <w:rPr>
          <w:rFonts w:asciiTheme="majorHAnsi" w:hAnsiTheme="majorHAnsi" w:cstheme="majorHAnsi"/>
          <w:sz w:val="24"/>
          <w:szCs w:val="24"/>
        </w:rPr>
        <w:t>e</w:t>
      </w:r>
      <w:r w:rsidRPr="001148C2">
        <w:rPr>
          <w:rFonts w:asciiTheme="majorHAnsi" w:hAnsiTheme="majorHAnsi" w:cstheme="majorHAnsi"/>
          <w:sz w:val="24"/>
          <w:szCs w:val="24"/>
        </w:rPr>
        <w:t>mpire</w:t>
      </w:r>
      <w:r w:rsidR="00890526" w:rsidRPr="001148C2">
        <w:rPr>
          <w:rFonts w:asciiTheme="majorHAnsi" w:hAnsiTheme="majorHAnsi" w:cstheme="majorHAnsi"/>
          <w:sz w:val="24"/>
          <w:szCs w:val="24"/>
        </w:rPr>
        <w:t>; yet, there</w:t>
      </w:r>
      <w:r w:rsidRPr="001148C2">
        <w:rPr>
          <w:rFonts w:asciiTheme="majorHAnsi" w:hAnsiTheme="majorHAnsi" w:cstheme="majorHAnsi"/>
          <w:sz w:val="24"/>
          <w:szCs w:val="24"/>
        </w:rPr>
        <w:t xml:space="preserve"> it was not accompanied by any </w:t>
      </w:r>
      <w:r w:rsidR="007F347E" w:rsidRPr="001148C2">
        <w:rPr>
          <w:rFonts w:asciiTheme="majorHAnsi" w:hAnsiTheme="majorHAnsi" w:cstheme="majorHAnsi"/>
          <w:sz w:val="24"/>
          <w:szCs w:val="24"/>
        </w:rPr>
        <w:t xml:space="preserve">substantive involvement </w:t>
      </w:r>
      <w:r w:rsidRPr="001148C2">
        <w:rPr>
          <w:rFonts w:asciiTheme="majorHAnsi" w:hAnsiTheme="majorHAnsi" w:cstheme="majorHAnsi"/>
          <w:sz w:val="24"/>
          <w:szCs w:val="24"/>
        </w:rPr>
        <w:t xml:space="preserve">on the part of </w:t>
      </w:r>
      <w:r w:rsidR="007F347E" w:rsidRPr="001148C2">
        <w:rPr>
          <w:rFonts w:asciiTheme="majorHAnsi" w:hAnsiTheme="majorHAnsi" w:cstheme="majorHAnsi"/>
          <w:sz w:val="24"/>
          <w:szCs w:val="24"/>
        </w:rPr>
        <w:t xml:space="preserve">the Sasanian rulers in </w:t>
      </w:r>
      <w:r w:rsidRPr="001148C2">
        <w:rPr>
          <w:rFonts w:asciiTheme="majorHAnsi" w:hAnsiTheme="majorHAnsi" w:cstheme="majorHAnsi"/>
          <w:sz w:val="24"/>
          <w:szCs w:val="24"/>
        </w:rPr>
        <w:t>questions of Christian truth.</w:t>
      </w:r>
      <w:r w:rsidR="00890526" w:rsidRPr="001148C2">
        <w:rPr>
          <w:rStyle w:val="Endnotenzeichen"/>
          <w:rFonts w:asciiTheme="majorHAnsi" w:hAnsiTheme="majorHAnsi" w:cstheme="majorHAnsi"/>
          <w:sz w:val="24"/>
          <w:szCs w:val="24"/>
        </w:rPr>
        <w:endnoteReference w:id="80"/>
      </w:r>
      <w:r w:rsidR="00890526" w:rsidRPr="001148C2">
        <w:rPr>
          <w:rFonts w:asciiTheme="majorHAnsi" w:hAnsiTheme="majorHAnsi" w:cstheme="majorHAnsi"/>
          <w:sz w:val="24"/>
          <w:szCs w:val="24"/>
        </w:rPr>
        <w:t xml:space="preserve"> Comparable patterns can be found later under Islamic rule, where Christian communities were acknowledged without caliphs </w:t>
      </w:r>
      <w:r w:rsidR="008F07FD" w:rsidRPr="001148C2">
        <w:rPr>
          <w:rFonts w:asciiTheme="majorHAnsi" w:hAnsiTheme="majorHAnsi" w:cstheme="majorHAnsi"/>
          <w:sz w:val="24"/>
          <w:szCs w:val="24"/>
        </w:rPr>
        <w:t>taking sides</w:t>
      </w:r>
      <w:r w:rsidR="00890526" w:rsidRPr="001148C2">
        <w:rPr>
          <w:rFonts w:asciiTheme="majorHAnsi" w:hAnsiTheme="majorHAnsi" w:cstheme="majorHAnsi"/>
          <w:sz w:val="24"/>
          <w:szCs w:val="24"/>
        </w:rPr>
        <w:t xml:space="preserve"> in disputes over orthodoxy.</w:t>
      </w:r>
      <w:r w:rsidR="00890526" w:rsidRPr="001148C2">
        <w:rPr>
          <w:rStyle w:val="Endnotenzeichen"/>
          <w:rFonts w:asciiTheme="majorHAnsi" w:hAnsiTheme="majorHAnsi" w:cstheme="majorHAnsi"/>
          <w:sz w:val="24"/>
          <w:szCs w:val="24"/>
        </w:rPr>
        <w:endnoteReference w:id="81"/>
      </w:r>
      <w:r w:rsidR="00890526" w:rsidRPr="001148C2">
        <w:rPr>
          <w:rFonts w:asciiTheme="majorHAnsi" w:hAnsiTheme="majorHAnsi" w:cstheme="majorHAnsi"/>
          <w:sz w:val="24"/>
          <w:szCs w:val="24"/>
        </w:rPr>
        <w:t xml:space="preserve"> The same holds for the relationship between the Roman monarchy and Judaism, where emperors likewise refrained from engaging with questions of divine truth internal to Jewish religious thought.</w:t>
      </w:r>
      <w:r w:rsidR="00890526" w:rsidRPr="001148C2">
        <w:rPr>
          <w:rStyle w:val="Endnotenzeichen"/>
          <w:rFonts w:asciiTheme="majorHAnsi" w:hAnsiTheme="majorHAnsi" w:cstheme="majorHAnsi"/>
          <w:sz w:val="24"/>
          <w:szCs w:val="24"/>
        </w:rPr>
        <w:endnoteReference w:id="82"/>
      </w:r>
      <w:r w:rsidR="00890526" w:rsidRPr="001148C2">
        <w:rPr>
          <w:rFonts w:asciiTheme="majorHAnsi" w:hAnsiTheme="majorHAnsi" w:cstheme="majorHAnsi"/>
          <w:sz w:val="24"/>
          <w:szCs w:val="24"/>
        </w:rPr>
        <w:t xml:space="preserve"> </w:t>
      </w:r>
      <w:r w:rsidRPr="001148C2">
        <w:rPr>
          <w:rFonts w:asciiTheme="majorHAnsi" w:hAnsiTheme="majorHAnsi" w:cstheme="majorHAnsi"/>
          <w:sz w:val="24"/>
          <w:szCs w:val="24"/>
        </w:rPr>
        <w:t xml:space="preserve">In these cases, the fateful coupling of authority and orthodoxy is absent, and with it the far-reaching </w:t>
      </w:r>
      <w:r w:rsidR="008F07FD" w:rsidRPr="001148C2">
        <w:rPr>
          <w:rFonts w:asciiTheme="majorHAnsi" w:hAnsiTheme="majorHAnsi" w:cstheme="majorHAnsi"/>
          <w:sz w:val="24"/>
          <w:szCs w:val="24"/>
        </w:rPr>
        <w:t xml:space="preserve">systemic </w:t>
      </w:r>
      <w:r w:rsidRPr="001148C2">
        <w:rPr>
          <w:rFonts w:asciiTheme="majorHAnsi" w:hAnsiTheme="majorHAnsi" w:cstheme="majorHAnsi"/>
          <w:sz w:val="24"/>
          <w:szCs w:val="24"/>
        </w:rPr>
        <w:t xml:space="preserve">repercussions that came to characterize the encounter between the late Roman monarchy and Christianity. </w:t>
      </w:r>
    </w:p>
    <w:p w:rsidR="00D670CA" w:rsidRPr="001148C2" w:rsidRDefault="007F347E" w:rsidP="00D670CA">
      <w:pPr>
        <w:spacing w:after="60" w:line="240" w:lineRule="auto"/>
        <w:ind w:firstLine="567"/>
        <w:rPr>
          <w:rFonts w:asciiTheme="majorHAnsi" w:hAnsiTheme="majorHAnsi" w:cstheme="majorHAnsi"/>
          <w:sz w:val="24"/>
          <w:szCs w:val="24"/>
        </w:rPr>
      </w:pPr>
      <w:r w:rsidRPr="001148C2">
        <w:rPr>
          <w:rFonts w:asciiTheme="majorHAnsi" w:hAnsiTheme="majorHAnsi" w:cstheme="majorHAnsi"/>
          <w:sz w:val="24"/>
          <w:szCs w:val="24"/>
        </w:rPr>
        <w:t xml:space="preserve">The </w:t>
      </w:r>
      <w:r w:rsidR="00A161CD" w:rsidRPr="001148C2">
        <w:rPr>
          <w:rFonts w:asciiTheme="majorHAnsi" w:hAnsiTheme="majorHAnsi" w:cstheme="majorHAnsi"/>
          <w:sz w:val="24"/>
          <w:szCs w:val="24"/>
        </w:rPr>
        <w:t xml:space="preserve">coupling between </w:t>
      </w:r>
      <w:r w:rsidRPr="001148C2">
        <w:rPr>
          <w:rFonts w:asciiTheme="majorHAnsi" w:hAnsiTheme="majorHAnsi" w:cstheme="majorHAnsi"/>
          <w:sz w:val="24"/>
          <w:szCs w:val="24"/>
        </w:rPr>
        <w:t xml:space="preserve">secular </w:t>
      </w:r>
      <w:r w:rsidR="00A161CD" w:rsidRPr="001148C2">
        <w:rPr>
          <w:rFonts w:asciiTheme="majorHAnsi" w:hAnsiTheme="majorHAnsi" w:cstheme="majorHAnsi"/>
          <w:sz w:val="24"/>
          <w:szCs w:val="24"/>
        </w:rPr>
        <w:t xml:space="preserve">authority and </w:t>
      </w:r>
      <w:r w:rsidRPr="001148C2">
        <w:rPr>
          <w:rFonts w:asciiTheme="majorHAnsi" w:hAnsiTheme="majorHAnsi" w:cstheme="majorHAnsi"/>
          <w:sz w:val="24"/>
          <w:szCs w:val="24"/>
        </w:rPr>
        <w:t xml:space="preserve">Christian </w:t>
      </w:r>
      <w:r w:rsidR="00A161CD" w:rsidRPr="001148C2">
        <w:rPr>
          <w:rFonts w:asciiTheme="majorHAnsi" w:hAnsiTheme="majorHAnsi" w:cstheme="majorHAnsi"/>
          <w:sz w:val="24"/>
          <w:szCs w:val="24"/>
        </w:rPr>
        <w:t xml:space="preserve">orthodoxy raises questions about the structural configuration of late Roman rule. Why did an imperial commitment of this kind become necessary in the first place? What objectives was such a commitment intended to serve, and why </w:t>
      </w:r>
      <w:r w:rsidRPr="001148C2">
        <w:rPr>
          <w:rFonts w:asciiTheme="majorHAnsi" w:hAnsiTheme="majorHAnsi" w:cstheme="majorHAnsi"/>
          <w:sz w:val="24"/>
          <w:szCs w:val="24"/>
        </w:rPr>
        <w:t xml:space="preserve">were Roman emperors still mostly </w:t>
      </w:r>
      <w:r w:rsidR="00A161CD" w:rsidRPr="001148C2">
        <w:rPr>
          <w:rFonts w:asciiTheme="majorHAnsi" w:hAnsiTheme="majorHAnsi" w:cstheme="majorHAnsi"/>
          <w:sz w:val="24"/>
          <w:szCs w:val="24"/>
        </w:rPr>
        <w:t xml:space="preserve">incapable of resolving </w:t>
      </w:r>
      <w:r w:rsidRPr="001148C2">
        <w:rPr>
          <w:rFonts w:asciiTheme="majorHAnsi" w:hAnsiTheme="majorHAnsi" w:cstheme="majorHAnsi"/>
          <w:sz w:val="24"/>
          <w:szCs w:val="24"/>
        </w:rPr>
        <w:t xml:space="preserve">religious </w:t>
      </w:r>
      <w:r w:rsidR="00A161CD" w:rsidRPr="001148C2">
        <w:rPr>
          <w:rFonts w:asciiTheme="majorHAnsi" w:hAnsiTheme="majorHAnsi" w:cstheme="majorHAnsi"/>
          <w:sz w:val="24"/>
          <w:szCs w:val="24"/>
        </w:rPr>
        <w:t>conflict</w:t>
      </w:r>
      <w:r w:rsidRPr="001148C2">
        <w:rPr>
          <w:rFonts w:asciiTheme="majorHAnsi" w:hAnsiTheme="majorHAnsi" w:cstheme="majorHAnsi"/>
          <w:sz w:val="24"/>
          <w:szCs w:val="24"/>
        </w:rPr>
        <w:t>s over orthodoxy</w:t>
      </w:r>
      <w:r w:rsidR="00A161CD" w:rsidRPr="001148C2">
        <w:rPr>
          <w:rFonts w:asciiTheme="majorHAnsi" w:hAnsiTheme="majorHAnsi" w:cstheme="majorHAnsi"/>
          <w:sz w:val="24"/>
          <w:szCs w:val="24"/>
        </w:rPr>
        <w:t xml:space="preserve">? </w:t>
      </w:r>
      <w:r w:rsidRPr="001148C2">
        <w:rPr>
          <w:rFonts w:asciiTheme="majorHAnsi" w:hAnsiTheme="majorHAnsi" w:cstheme="majorHAnsi"/>
          <w:sz w:val="24"/>
          <w:szCs w:val="24"/>
        </w:rPr>
        <w:t>W</w:t>
      </w:r>
      <w:r w:rsidR="00A161CD" w:rsidRPr="001148C2">
        <w:rPr>
          <w:rFonts w:asciiTheme="majorHAnsi" w:hAnsiTheme="majorHAnsi" w:cstheme="majorHAnsi"/>
          <w:sz w:val="24"/>
          <w:szCs w:val="24"/>
        </w:rPr>
        <w:t xml:space="preserve">hy, once </w:t>
      </w:r>
      <w:r w:rsidR="00D670CA" w:rsidRPr="001148C2">
        <w:rPr>
          <w:rFonts w:asciiTheme="majorHAnsi" w:hAnsiTheme="majorHAnsi" w:cstheme="majorHAnsi"/>
          <w:sz w:val="24"/>
          <w:szCs w:val="24"/>
        </w:rPr>
        <w:t xml:space="preserve">the </w:t>
      </w:r>
      <w:r w:rsidR="00A161CD" w:rsidRPr="001148C2">
        <w:rPr>
          <w:rFonts w:asciiTheme="majorHAnsi" w:hAnsiTheme="majorHAnsi" w:cstheme="majorHAnsi"/>
          <w:sz w:val="24"/>
          <w:szCs w:val="24"/>
        </w:rPr>
        <w:t xml:space="preserve">precedent </w:t>
      </w:r>
      <w:r w:rsidRPr="001148C2">
        <w:rPr>
          <w:rFonts w:asciiTheme="majorHAnsi" w:hAnsiTheme="majorHAnsi" w:cstheme="majorHAnsi"/>
          <w:sz w:val="24"/>
          <w:szCs w:val="24"/>
        </w:rPr>
        <w:t xml:space="preserve">of the </w:t>
      </w:r>
      <w:r w:rsidR="00D670CA" w:rsidRPr="001148C2">
        <w:rPr>
          <w:rFonts w:asciiTheme="majorHAnsi" w:hAnsiTheme="majorHAnsi" w:cstheme="majorHAnsi"/>
          <w:sz w:val="24"/>
          <w:szCs w:val="24"/>
        </w:rPr>
        <w:t>emperor</w:t>
      </w:r>
      <w:r w:rsidRPr="001148C2">
        <w:rPr>
          <w:rFonts w:asciiTheme="majorHAnsi" w:hAnsiTheme="majorHAnsi" w:cstheme="majorHAnsi"/>
          <w:sz w:val="24"/>
          <w:szCs w:val="24"/>
        </w:rPr>
        <w:t xml:space="preserve">’s </w:t>
      </w:r>
      <w:r w:rsidR="00D670CA" w:rsidRPr="001148C2">
        <w:rPr>
          <w:rFonts w:asciiTheme="majorHAnsi" w:hAnsiTheme="majorHAnsi" w:cstheme="majorHAnsi"/>
          <w:sz w:val="24"/>
          <w:szCs w:val="24"/>
        </w:rPr>
        <w:t xml:space="preserve">doctrinal </w:t>
      </w:r>
      <w:r w:rsidRPr="001148C2">
        <w:rPr>
          <w:rFonts w:asciiTheme="majorHAnsi" w:hAnsiTheme="majorHAnsi" w:cstheme="majorHAnsi"/>
          <w:sz w:val="24"/>
          <w:szCs w:val="24"/>
        </w:rPr>
        <w:t xml:space="preserve">partiality </w:t>
      </w:r>
      <w:r w:rsidR="00A161CD" w:rsidRPr="001148C2">
        <w:rPr>
          <w:rFonts w:asciiTheme="majorHAnsi" w:hAnsiTheme="majorHAnsi" w:cstheme="majorHAnsi"/>
          <w:sz w:val="24"/>
          <w:szCs w:val="24"/>
        </w:rPr>
        <w:t xml:space="preserve">had been </w:t>
      </w:r>
      <w:r w:rsidRPr="001148C2">
        <w:rPr>
          <w:rFonts w:asciiTheme="majorHAnsi" w:hAnsiTheme="majorHAnsi" w:cstheme="majorHAnsi"/>
          <w:sz w:val="24"/>
          <w:szCs w:val="24"/>
        </w:rPr>
        <w:t>set</w:t>
      </w:r>
      <w:r w:rsidR="00A161CD" w:rsidRPr="001148C2">
        <w:rPr>
          <w:rFonts w:asciiTheme="majorHAnsi" w:hAnsiTheme="majorHAnsi" w:cstheme="majorHAnsi"/>
          <w:sz w:val="24"/>
          <w:szCs w:val="24"/>
        </w:rPr>
        <w:t xml:space="preserve">, was there no sustainable path by which </w:t>
      </w:r>
      <w:r w:rsidRPr="001148C2">
        <w:rPr>
          <w:rFonts w:asciiTheme="majorHAnsi" w:hAnsiTheme="majorHAnsi" w:cstheme="majorHAnsi"/>
          <w:sz w:val="24"/>
          <w:szCs w:val="24"/>
        </w:rPr>
        <w:t xml:space="preserve">Roman </w:t>
      </w:r>
      <w:r w:rsidR="00A161CD" w:rsidRPr="001148C2">
        <w:rPr>
          <w:rFonts w:asciiTheme="majorHAnsi" w:hAnsiTheme="majorHAnsi" w:cstheme="majorHAnsi"/>
          <w:sz w:val="24"/>
          <w:szCs w:val="24"/>
        </w:rPr>
        <w:t xml:space="preserve">monarchy could extricate itself from what may be termed the “orthodoxy trap”, a </w:t>
      </w:r>
      <w:r w:rsidR="0020712F" w:rsidRPr="001148C2">
        <w:rPr>
          <w:rFonts w:asciiTheme="majorHAnsi" w:hAnsiTheme="majorHAnsi" w:cstheme="majorHAnsi"/>
          <w:sz w:val="24"/>
          <w:szCs w:val="24"/>
        </w:rPr>
        <w:t xml:space="preserve">systemic </w:t>
      </w:r>
      <w:r w:rsidR="00A161CD" w:rsidRPr="001148C2">
        <w:rPr>
          <w:rFonts w:asciiTheme="majorHAnsi" w:hAnsiTheme="majorHAnsi" w:cstheme="majorHAnsi"/>
          <w:sz w:val="24"/>
          <w:szCs w:val="24"/>
        </w:rPr>
        <w:t xml:space="preserve">bind that </w:t>
      </w:r>
      <w:r w:rsidR="00D670CA" w:rsidRPr="001148C2">
        <w:rPr>
          <w:rFonts w:asciiTheme="majorHAnsi" w:hAnsiTheme="majorHAnsi" w:cstheme="majorHAnsi"/>
          <w:sz w:val="24"/>
          <w:szCs w:val="24"/>
        </w:rPr>
        <w:t xml:space="preserve">made it almost impossible for the </w:t>
      </w:r>
      <w:r w:rsidRPr="001148C2">
        <w:rPr>
          <w:rFonts w:asciiTheme="majorHAnsi" w:hAnsiTheme="majorHAnsi" w:cstheme="majorHAnsi"/>
          <w:sz w:val="24"/>
          <w:szCs w:val="24"/>
        </w:rPr>
        <w:t xml:space="preserve">Roman administration, in either the short or the long term, to develop alternative modes of cooperation with Christian groups adhering to divergent confessional positions? </w:t>
      </w:r>
      <w:r w:rsidR="00A161CD" w:rsidRPr="001148C2">
        <w:rPr>
          <w:rFonts w:asciiTheme="majorHAnsi" w:hAnsiTheme="majorHAnsi" w:cstheme="majorHAnsi"/>
          <w:sz w:val="24"/>
          <w:szCs w:val="24"/>
        </w:rPr>
        <w:t>The concluding section of this chapter formulates three theses that outline an explanatory model for addressing these questions</w:t>
      </w:r>
      <w:r w:rsidR="00D670CA" w:rsidRPr="001148C2">
        <w:rPr>
          <w:rFonts w:asciiTheme="majorHAnsi" w:hAnsiTheme="majorHAnsi" w:cstheme="majorHAnsi"/>
          <w:sz w:val="24"/>
          <w:szCs w:val="24"/>
        </w:rPr>
        <w:t xml:space="preserve"> concerning the rise and impact </w:t>
      </w:r>
      <w:r w:rsidR="00D670CA" w:rsidRPr="001148C2">
        <w:rPr>
          <w:rFonts w:asciiTheme="majorHAnsi" w:hAnsiTheme="majorHAnsi" w:cstheme="majorHAnsi"/>
          <w:sz w:val="24"/>
          <w:szCs w:val="24"/>
        </w:rPr>
        <w:lastRenderedPageBreak/>
        <w:t>of a new politico-religious dynamic that would shape the Christian monarchy and its relationship with</w:t>
      </w:r>
      <w:r w:rsidR="00D670CA" w:rsidRPr="001148C2">
        <w:rPr>
          <w:rFonts w:asciiTheme="majorHAnsi" w:hAnsiTheme="majorHAnsi" w:cstheme="majorHAnsi"/>
          <w:sz w:val="24"/>
          <w:szCs w:val="24"/>
        </w:rPr>
        <w:t xml:space="preserve"> its subjects for decades and centuries to come. </w:t>
      </w:r>
    </w:p>
    <w:p w:rsidR="00A161CD" w:rsidRPr="001148C2" w:rsidRDefault="00A161CD" w:rsidP="00AB70CF">
      <w:pPr>
        <w:spacing w:after="60" w:line="240" w:lineRule="auto"/>
        <w:rPr>
          <w:rFonts w:asciiTheme="majorHAnsi" w:hAnsiTheme="majorHAnsi" w:cstheme="majorHAnsi"/>
          <w:sz w:val="24"/>
          <w:szCs w:val="24"/>
        </w:rPr>
      </w:pPr>
    </w:p>
    <w:p w:rsidR="00A161CD" w:rsidRPr="001148C2" w:rsidRDefault="00A161CD" w:rsidP="00AB70CF">
      <w:pPr>
        <w:spacing w:after="60" w:line="240" w:lineRule="auto"/>
        <w:rPr>
          <w:rFonts w:asciiTheme="majorHAnsi" w:hAnsiTheme="majorHAnsi" w:cstheme="majorHAnsi"/>
          <w:sz w:val="24"/>
          <w:szCs w:val="24"/>
        </w:rPr>
      </w:pPr>
    </w:p>
    <w:p w:rsidR="00A161CD" w:rsidRPr="001148C2" w:rsidRDefault="00A161CD" w:rsidP="00AB70CF">
      <w:pPr>
        <w:spacing w:after="60" w:line="240" w:lineRule="auto"/>
        <w:jc w:val="center"/>
        <w:rPr>
          <w:rFonts w:asciiTheme="majorHAnsi" w:hAnsiTheme="majorHAnsi" w:cstheme="majorHAnsi"/>
          <w:sz w:val="24"/>
          <w:szCs w:val="24"/>
        </w:rPr>
      </w:pPr>
      <w:r w:rsidRPr="001148C2">
        <w:rPr>
          <w:rFonts w:asciiTheme="majorHAnsi" w:hAnsiTheme="majorHAnsi" w:cstheme="majorHAnsi"/>
          <w:sz w:val="24"/>
          <w:szCs w:val="24"/>
        </w:rPr>
        <w:t>* * *</w:t>
      </w:r>
    </w:p>
    <w:p w:rsidR="00A161CD" w:rsidRPr="001148C2" w:rsidRDefault="00A161CD" w:rsidP="00F3766C">
      <w:pPr>
        <w:spacing w:after="60" w:line="240" w:lineRule="auto"/>
        <w:rPr>
          <w:rFonts w:asciiTheme="majorHAnsi" w:hAnsiTheme="majorHAnsi" w:cstheme="majorHAnsi"/>
          <w:b/>
          <w:bCs/>
          <w:sz w:val="24"/>
          <w:szCs w:val="24"/>
        </w:rPr>
      </w:pPr>
      <w:r w:rsidRPr="001148C2">
        <w:rPr>
          <w:rFonts w:asciiTheme="majorHAnsi" w:hAnsiTheme="majorHAnsi" w:cstheme="majorHAnsi"/>
          <w:b/>
          <w:bCs/>
          <w:sz w:val="24"/>
          <w:szCs w:val="24"/>
        </w:rPr>
        <w:t>First thesis: Without binding hierarch</w:t>
      </w:r>
      <w:r w:rsidR="0020712F" w:rsidRPr="001148C2">
        <w:rPr>
          <w:rFonts w:asciiTheme="majorHAnsi" w:hAnsiTheme="majorHAnsi" w:cstheme="majorHAnsi"/>
          <w:b/>
          <w:bCs/>
          <w:sz w:val="24"/>
          <w:szCs w:val="24"/>
        </w:rPr>
        <w:t>ies</w:t>
      </w:r>
      <w:r w:rsidRPr="001148C2">
        <w:rPr>
          <w:rFonts w:asciiTheme="majorHAnsi" w:hAnsiTheme="majorHAnsi" w:cstheme="majorHAnsi"/>
          <w:b/>
          <w:bCs/>
          <w:sz w:val="24"/>
          <w:szCs w:val="24"/>
        </w:rPr>
        <w:t>, no functioning cooperation</w:t>
      </w:r>
    </w:p>
    <w:p w:rsidR="00A161CD" w:rsidRPr="001148C2" w:rsidRDefault="00A161CD" w:rsidP="0021469D">
      <w:pPr>
        <w:spacing w:after="60" w:line="240" w:lineRule="auto"/>
        <w:rPr>
          <w:rFonts w:asciiTheme="majorHAnsi" w:hAnsiTheme="majorHAnsi" w:cstheme="majorHAnsi"/>
          <w:sz w:val="24"/>
          <w:szCs w:val="24"/>
        </w:rPr>
      </w:pPr>
      <w:r w:rsidRPr="001148C2">
        <w:rPr>
          <w:rFonts w:asciiTheme="majorHAnsi" w:hAnsiTheme="majorHAnsi" w:cstheme="majorHAnsi"/>
          <w:sz w:val="24"/>
          <w:szCs w:val="24"/>
        </w:rPr>
        <w:t xml:space="preserve">Cooperation between the Roman administration and non-state actors consistently presupposed clearly defined structures of responsibility on both sides. This requirement was not new. Throughout the long process of imperial expansion and consolidation, the Roman </w:t>
      </w:r>
      <w:r w:rsidR="008F07FD" w:rsidRPr="001148C2">
        <w:rPr>
          <w:rFonts w:asciiTheme="majorHAnsi" w:hAnsiTheme="majorHAnsi" w:cstheme="majorHAnsi"/>
          <w:sz w:val="24"/>
          <w:szCs w:val="24"/>
        </w:rPr>
        <w:t>s</w:t>
      </w:r>
      <w:r w:rsidRPr="001148C2">
        <w:rPr>
          <w:rFonts w:asciiTheme="majorHAnsi" w:hAnsiTheme="majorHAnsi" w:cstheme="majorHAnsi"/>
          <w:sz w:val="24"/>
          <w:szCs w:val="24"/>
        </w:rPr>
        <w:t xml:space="preserve">enate and, later, the emperor repeatedly identified specific </w:t>
      </w:r>
      <w:r w:rsidR="0020712F" w:rsidRPr="001148C2">
        <w:rPr>
          <w:rFonts w:asciiTheme="majorHAnsi" w:hAnsiTheme="majorHAnsi" w:cstheme="majorHAnsi"/>
          <w:sz w:val="24"/>
          <w:szCs w:val="24"/>
        </w:rPr>
        <w:t>collaborators</w:t>
      </w:r>
      <w:r w:rsidRPr="001148C2">
        <w:rPr>
          <w:rFonts w:asciiTheme="majorHAnsi" w:hAnsiTheme="majorHAnsi" w:cstheme="majorHAnsi"/>
          <w:sz w:val="24"/>
          <w:szCs w:val="24"/>
        </w:rPr>
        <w:t xml:space="preserve"> within the broader civic, ethnic, and religious groups they encountered and endowed them with competencies, responsibilities, and resources. In this way, stable and integrated hierarchies could take shape. We see this mechanism, for instance, in the formation of local aristocracies in provincial cities.</w:t>
      </w:r>
      <w:r w:rsidRPr="001148C2">
        <w:rPr>
          <w:rStyle w:val="Endnotenzeichen"/>
          <w:rFonts w:asciiTheme="majorHAnsi" w:hAnsiTheme="majorHAnsi" w:cstheme="majorHAnsi"/>
          <w:sz w:val="24"/>
          <w:szCs w:val="24"/>
        </w:rPr>
        <w:endnoteReference w:id="83"/>
      </w:r>
      <w:r w:rsidRPr="001148C2">
        <w:rPr>
          <w:rFonts w:asciiTheme="majorHAnsi" w:hAnsiTheme="majorHAnsi" w:cstheme="majorHAnsi"/>
          <w:sz w:val="24"/>
          <w:szCs w:val="24"/>
        </w:rPr>
        <w:t xml:space="preserve"> Comparable dynamics can also be observed beyond the empire’s borders, where processes of ethnogenesis were partly shaped by the Roman authorities’ active promotion of hierarchical leadership </w:t>
      </w:r>
      <w:r w:rsidR="008F07FD" w:rsidRPr="001148C2">
        <w:rPr>
          <w:rFonts w:asciiTheme="majorHAnsi" w:hAnsiTheme="majorHAnsi" w:cstheme="majorHAnsi"/>
          <w:sz w:val="24"/>
          <w:szCs w:val="24"/>
        </w:rPr>
        <w:t>constellations</w:t>
      </w:r>
      <w:r w:rsidRPr="001148C2">
        <w:rPr>
          <w:rFonts w:asciiTheme="majorHAnsi" w:hAnsiTheme="majorHAnsi" w:cstheme="majorHAnsi"/>
          <w:sz w:val="24"/>
          <w:szCs w:val="24"/>
        </w:rPr>
        <w:t xml:space="preserve"> among </w:t>
      </w:r>
      <w:r w:rsidR="0020712F" w:rsidRPr="001148C2">
        <w:rPr>
          <w:rFonts w:asciiTheme="majorHAnsi" w:hAnsiTheme="majorHAnsi" w:cstheme="majorHAnsi"/>
          <w:sz w:val="24"/>
          <w:szCs w:val="24"/>
        </w:rPr>
        <w:t xml:space="preserve">non-Roman </w:t>
      </w:r>
      <w:r w:rsidRPr="001148C2">
        <w:rPr>
          <w:rFonts w:asciiTheme="majorHAnsi" w:hAnsiTheme="majorHAnsi" w:cstheme="majorHAnsi"/>
          <w:sz w:val="24"/>
          <w:szCs w:val="24"/>
        </w:rPr>
        <w:t>societies.</w:t>
      </w:r>
      <w:r w:rsidRPr="001148C2">
        <w:rPr>
          <w:rStyle w:val="Endnotenzeichen"/>
          <w:rFonts w:asciiTheme="majorHAnsi" w:hAnsiTheme="majorHAnsi" w:cstheme="majorHAnsi"/>
          <w:sz w:val="24"/>
          <w:szCs w:val="24"/>
        </w:rPr>
        <w:endnoteReference w:id="84"/>
      </w:r>
      <w:r w:rsidRPr="001148C2">
        <w:rPr>
          <w:rFonts w:asciiTheme="majorHAnsi" w:hAnsiTheme="majorHAnsi" w:cstheme="majorHAnsi"/>
          <w:sz w:val="24"/>
          <w:szCs w:val="24"/>
        </w:rPr>
        <w:t xml:space="preserve"> Only where stable hierarchies </w:t>
      </w:r>
      <w:r w:rsidR="008F07FD" w:rsidRPr="001148C2">
        <w:rPr>
          <w:rFonts w:asciiTheme="majorHAnsi" w:hAnsiTheme="majorHAnsi" w:cstheme="majorHAnsi"/>
          <w:sz w:val="24"/>
          <w:szCs w:val="24"/>
        </w:rPr>
        <w:t xml:space="preserve">structured </w:t>
      </w:r>
      <w:r w:rsidRPr="001148C2">
        <w:rPr>
          <w:rFonts w:asciiTheme="majorHAnsi" w:hAnsiTheme="majorHAnsi" w:cstheme="majorHAnsi"/>
          <w:sz w:val="24"/>
          <w:szCs w:val="24"/>
        </w:rPr>
        <w:t xml:space="preserve">networks of responsibility and dependence could diplomacy, economic exchange, and political cooperation function effectively. </w:t>
      </w:r>
      <w:r w:rsidR="0020712F" w:rsidRPr="001148C2">
        <w:rPr>
          <w:rFonts w:asciiTheme="majorHAnsi" w:hAnsiTheme="majorHAnsi" w:cstheme="majorHAnsi"/>
          <w:sz w:val="24"/>
          <w:szCs w:val="24"/>
        </w:rPr>
        <w:t xml:space="preserve">With the </w:t>
      </w:r>
      <w:proofErr w:type="spellStart"/>
      <w:r w:rsidR="0020712F" w:rsidRPr="001148C2">
        <w:rPr>
          <w:rFonts w:asciiTheme="majorHAnsi" w:hAnsiTheme="majorHAnsi" w:cstheme="majorHAnsi"/>
          <w:sz w:val="24"/>
          <w:szCs w:val="24"/>
        </w:rPr>
        <w:t>religio</w:t>
      </w:r>
      <w:proofErr w:type="spellEnd"/>
      <w:r w:rsidR="0020712F" w:rsidRPr="001148C2">
        <w:rPr>
          <w:rFonts w:asciiTheme="majorHAnsi" w:hAnsiTheme="majorHAnsi" w:cstheme="majorHAnsi"/>
          <w:sz w:val="24"/>
          <w:szCs w:val="24"/>
        </w:rPr>
        <w:t xml:space="preserve">-political transformation under Constantine, this </w:t>
      </w:r>
      <w:r w:rsidR="008F07FD" w:rsidRPr="001148C2">
        <w:rPr>
          <w:rFonts w:asciiTheme="majorHAnsi" w:hAnsiTheme="majorHAnsi" w:cstheme="majorHAnsi"/>
          <w:sz w:val="24"/>
          <w:szCs w:val="24"/>
        </w:rPr>
        <w:t>systemic</w:t>
      </w:r>
      <w:r w:rsidR="0020712F" w:rsidRPr="001148C2">
        <w:rPr>
          <w:rFonts w:asciiTheme="majorHAnsi" w:hAnsiTheme="majorHAnsi" w:cstheme="majorHAnsi"/>
          <w:sz w:val="24"/>
          <w:szCs w:val="24"/>
        </w:rPr>
        <w:t xml:space="preserve"> requirement re-emerged, this time alongside attempts to integrate Christian communities into </w:t>
      </w:r>
      <w:r w:rsidR="0000689C" w:rsidRPr="001148C2">
        <w:rPr>
          <w:rFonts w:asciiTheme="majorHAnsi" w:hAnsiTheme="majorHAnsi" w:cstheme="majorHAnsi"/>
          <w:sz w:val="24"/>
          <w:szCs w:val="24"/>
        </w:rPr>
        <w:t xml:space="preserve">the </w:t>
      </w:r>
      <w:r w:rsidR="0020712F" w:rsidRPr="001148C2">
        <w:rPr>
          <w:rFonts w:asciiTheme="majorHAnsi" w:hAnsiTheme="majorHAnsi" w:cstheme="majorHAnsi"/>
          <w:sz w:val="24"/>
          <w:szCs w:val="24"/>
        </w:rPr>
        <w:t>empire-wide governance frameworks</w:t>
      </w:r>
      <w:r w:rsidRPr="001148C2">
        <w:rPr>
          <w:rFonts w:asciiTheme="majorHAnsi" w:hAnsiTheme="majorHAnsi" w:cstheme="majorHAnsi"/>
          <w:sz w:val="24"/>
          <w:szCs w:val="24"/>
        </w:rPr>
        <w:t xml:space="preserve">. The absence of a unified ecclesiastical hierarchy at the outset did not in itself </w:t>
      </w:r>
      <w:proofErr w:type="gramStart"/>
      <w:r w:rsidRPr="001148C2">
        <w:rPr>
          <w:rFonts w:asciiTheme="majorHAnsi" w:hAnsiTheme="majorHAnsi" w:cstheme="majorHAnsi"/>
          <w:sz w:val="24"/>
          <w:szCs w:val="24"/>
        </w:rPr>
        <w:t>constitute</w:t>
      </w:r>
      <w:proofErr w:type="gramEnd"/>
      <w:r w:rsidRPr="001148C2">
        <w:rPr>
          <w:rFonts w:asciiTheme="majorHAnsi" w:hAnsiTheme="majorHAnsi" w:cstheme="majorHAnsi"/>
          <w:sz w:val="24"/>
          <w:szCs w:val="24"/>
        </w:rPr>
        <w:t xml:space="preserve"> a decisive obstacle. What was new, however, was that in the case of Christianity, disputes over religious orthodoxy could obstruct the consolidation of a hierarchical ecclesiastical order. Imperial authority now became conditional upon orthodoxy, and the established strategies and instruments of Roman administration offered no effective means of addressing this structural constraint.</w:t>
      </w:r>
    </w:p>
    <w:p w:rsidR="00A161CD" w:rsidRPr="001148C2" w:rsidRDefault="00A161CD" w:rsidP="0098193B">
      <w:pPr>
        <w:spacing w:after="60" w:line="240" w:lineRule="auto"/>
        <w:rPr>
          <w:rFonts w:asciiTheme="majorHAnsi" w:hAnsiTheme="majorHAnsi" w:cstheme="majorHAnsi"/>
          <w:sz w:val="24"/>
          <w:szCs w:val="24"/>
        </w:rPr>
      </w:pPr>
    </w:p>
    <w:p w:rsidR="00A161CD" w:rsidRPr="001148C2" w:rsidRDefault="00A161CD" w:rsidP="00535351">
      <w:pPr>
        <w:spacing w:after="60" w:line="240" w:lineRule="auto"/>
        <w:rPr>
          <w:rFonts w:asciiTheme="majorHAnsi" w:hAnsiTheme="majorHAnsi" w:cstheme="majorHAnsi"/>
          <w:b/>
          <w:bCs/>
          <w:sz w:val="24"/>
          <w:szCs w:val="24"/>
        </w:rPr>
      </w:pPr>
      <w:r w:rsidRPr="001148C2">
        <w:rPr>
          <w:rFonts w:asciiTheme="majorHAnsi" w:hAnsiTheme="majorHAnsi" w:cstheme="majorHAnsi"/>
          <w:b/>
          <w:bCs/>
          <w:sz w:val="24"/>
          <w:szCs w:val="24"/>
        </w:rPr>
        <w:t xml:space="preserve">Second thesis: The emperor’s doctrinal commitment became a </w:t>
      </w:r>
      <w:r w:rsidR="0000689C" w:rsidRPr="001148C2">
        <w:rPr>
          <w:rFonts w:asciiTheme="majorHAnsi" w:hAnsiTheme="majorHAnsi" w:cstheme="majorHAnsi"/>
          <w:b/>
          <w:bCs/>
          <w:sz w:val="24"/>
          <w:szCs w:val="24"/>
        </w:rPr>
        <w:t>systemic</w:t>
      </w:r>
      <w:r w:rsidRPr="001148C2">
        <w:rPr>
          <w:rFonts w:asciiTheme="majorHAnsi" w:hAnsiTheme="majorHAnsi" w:cstheme="majorHAnsi"/>
          <w:b/>
          <w:bCs/>
          <w:sz w:val="24"/>
          <w:szCs w:val="24"/>
        </w:rPr>
        <w:t xml:space="preserve"> necessity </w:t>
      </w:r>
    </w:p>
    <w:p w:rsidR="00A161CD" w:rsidRPr="001148C2" w:rsidRDefault="00A161CD" w:rsidP="000A34BC">
      <w:pPr>
        <w:spacing w:after="60" w:line="240" w:lineRule="auto"/>
        <w:rPr>
          <w:rFonts w:asciiTheme="majorHAnsi" w:hAnsiTheme="majorHAnsi" w:cstheme="majorHAnsi"/>
          <w:sz w:val="24"/>
          <w:szCs w:val="24"/>
        </w:rPr>
      </w:pPr>
      <w:r w:rsidRPr="001148C2">
        <w:rPr>
          <w:rFonts w:asciiTheme="majorHAnsi" w:hAnsiTheme="majorHAnsi" w:cstheme="majorHAnsi"/>
          <w:sz w:val="24"/>
          <w:szCs w:val="24"/>
        </w:rPr>
        <w:t xml:space="preserve">The emperor’s commitment to a particular understanding of divine truth within the Christian struggle over orthodoxy was not a contingent personal decision by a pious monarch, but emerged from the imperatives of integrating Christian communities into stable, empire-wide frameworks of governance. The imperial objective of fostering </w:t>
      </w:r>
      <w:r w:rsidR="008F07FD" w:rsidRPr="001148C2">
        <w:rPr>
          <w:rFonts w:asciiTheme="majorHAnsi" w:hAnsiTheme="majorHAnsi" w:cstheme="majorHAnsi"/>
          <w:sz w:val="24"/>
          <w:szCs w:val="24"/>
        </w:rPr>
        <w:t xml:space="preserve">a </w:t>
      </w:r>
      <w:r w:rsidRPr="001148C2">
        <w:rPr>
          <w:rFonts w:asciiTheme="majorHAnsi" w:hAnsiTheme="majorHAnsi" w:cstheme="majorHAnsi"/>
          <w:sz w:val="24"/>
          <w:szCs w:val="24"/>
        </w:rPr>
        <w:t xml:space="preserve">cohesive ecclesiastical </w:t>
      </w:r>
      <w:r w:rsidR="008F07FD" w:rsidRPr="001148C2">
        <w:rPr>
          <w:rFonts w:asciiTheme="majorHAnsi" w:hAnsiTheme="majorHAnsi" w:cstheme="majorHAnsi"/>
          <w:sz w:val="24"/>
          <w:szCs w:val="24"/>
        </w:rPr>
        <w:t xml:space="preserve">organization </w:t>
      </w:r>
      <w:r w:rsidRPr="001148C2">
        <w:rPr>
          <w:rFonts w:asciiTheme="majorHAnsi" w:hAnsiTheme="majorHAnsi" w:cstheme="majorHAnsi"/>
          <w:sz w:val="24"/>
          <w:szCs w:val="24"/>
        </w:rPr>
        <w:t xml:space="preserve">rendered the emperor’s neutrality in doctrinal matters increasingly untenable. Once Christian communities were drawn into the orbit of imperial rule, local communities’ positions on questions of orthodoxy could reverberate far beyond their </w:t>
      </w:r>
      <w:r w:rsidR="0000689C" w:rsidRPr="001148C2">
        <w:rPr>
          <w:rFonts w:asciiTheme="majorHAnsi" w:hAnsiTheme="majorHAnsi" w:cstheme="majorHAnsi"/>
          <w:sz w:val="24"/>
          <w:szCs w:val="24"/>
        </w:rPr>
        <w:t>original</w:t>
      </w:r>
      <w:r w:rsidRPr="001148C2">
        <w:rPr>
          <w:rFonts w:asciiTheme="majorHAnsi" w:hAnsiTheme="majorHAnsi" w:cstheme="majorHAnsi"/>
          <w:sz w:val="24"/>
          <w:szCs w:val="24"/>
        </w:rPr>
        <w:t xml:space="preserve"> context</w:t>
      </w:r>
      <w:r w:rsidR="0000689C" w:rsidRPr="001148C2">
        <w:rPr>
          <w:rFonts w:asciiTheme="majorHAnsi" w:hAnsiTheme="majorHAnsi" w:cstheme="majorHAnsi"/>
          <w:sz w:val="24"/>
          <w:szCs w:val="24"/>
        </w:rPr>
        <w:t>s</w:t>
      </w:r>
      <w:r w:rsidRPr="001148C2">
        <w:rPr>
          <w:rFonts w:asciiTheme="majorHAnsi" w:hAnsiTheme="majorHAnsi" w:cstheme="majorHAnsi"/>
          <w:sz w:val="24"/>
          <w:szCs w:val="24"/>
        </w:rPr>
        <w:t xml:space="preserve">, unsettling the broader political </w:t>
      </w:r>
      <w:r w:rsidR="008F07FD" w:rsidRPr="001148C2">
        <w:rPr>
          <w:rFonts w:asciiTheme="majorHAnsi" w:hAnsiTheme="majorHAnsi" w:cstheme="majorHAnsi"/>
          <w:sz w:val="24"/>
          <w:szCs w:val="24"/>
        </w:rPr>
        <w:t>constellations</w:t>
      </w:r>
      <w:r w:rsidRPr="001148C2">
        <w:rPr>
          <w:rFonts w:asciiTheme="majorHAnsi" w:hAnsiTheme="majorHAnsi" w:cstheme="majorHAnsi"/>
          <w:sz w:val="24"/>
          <w:szCs w:val="24"/>
        </w:rPr>
        <w:t xml:space="preserve">. This dynamic unfolded within a field of tension between two universalizing claims, Roman sovereignty and Christian truth, grounded in fundamentally different conceptions of legitimate authority. Under such conditions, deviations from doctrinal conformity were no longer confined to the local or merely doctrinal sphere but required containment within expanded political and theological frameworks. In the Donatist controversy, Constantine was still able to confine the destabilizing potential of the conflict. Outside North Africa, adherence to the rigorist position remained limited, and even locally, the unrest, though serious, was manageable or at least bearable. This constellation allowed the emperor to experiment with different modes of intervention before imperial authorities eventually recognized the necessity of </w:t>
      </w:r>
      <w:r w:rsidRPr="001148C2">
        <w:rPr>
          <w:rFonts w:asciiTheme="majorHAnsi" w:hAnsiTheme="majorHAnsi" w:cstheme="majorHAnsi"/>
          <w:sz w:val="24"/>
          <w:szCs w:val="24"/>
        </w:rPr>
        <w:lastRenderedPageBreak/>
        <w:t xml:space="preserve">positioning the emperor himself within the field of doctrinal contestation. In the later Christological disputes, beginning with the Arian controversy, this </w:t>
      </w:r>
      <w:r w:rsidR="008F07FD" w:rsidRPr="001148C2">
        <w:rPr>
          <w:rFonts w:asciiTheme="majorHAnsi" w:hAnsiTheme="majorHAnsi" w:cstheme="majorHAnsi"/>
          <w:sz w:val="24"/>
          <w:szCs w:val="24"/>
        </w:rPr>
        <w:t>systemic</w:t>
      </w:r>
      <w:r w:rsidRPr="001148C2">
        <w:rPr>
          <w:rFonts w:asciiTheme="majorHAnsi" w:hAnsiTheme="majorHAnsi" w:cstheme="majorHAnsi"/>
          <w:sz w:val="24"/>
          <w:szCs w:val="24"/>
        </w:rPr>
        <w:t xml:space="preserve"> logic intensified. </w:t>
      </w:r>
      <w:r w:rsidR="008F07FD" w:rsidRPr="001148C2">
        <w:rPr>
          <w:rFonts w:asciiTheme="majorHAnsi" w:hAnsiTheme="majorHAnsi" w:cstheme="majorHAnsi"/>
          <w:sz w:val="24"/>
          <w:szCs w:val="24"/>
        </w:rPr>
        <w:t>I</w:t>
      </w:r>
      <w:r w:rsidRPr="001148C2">
        <w:rPr>
          <w:rFonts w:asciiTheme="majorHAnsi" w:hAnsiTheme="majorHAnsi" w:cstheme="majorHAnsi"/>
          <w:sz w:val="24"/>
          <w:szCs w:val="24"/>
        </w:rPr>
        <w:t>mperial doctrinal commitment ceased to be provisional and became an integral feature of late antique imperial governance.</w:t>
      </w:r>
    </w:p>
    <w:p w:rsidR="00A161CD" w:rsidRPr="001148C2" w:rsidRDefault="00A161CD" w:rsidP="00535351">
      <w:pPr>
        <w:spacing w:after="60" w:line="240" w:lineRule="auto"/>
        <w:rPr>
          <w:rFonts w:asciiTheme="majorHAnsi" w:hAnsiTheme="majorHAnsi" w:cstheme="majorHAnsi"/>
          <w:sz w:val="24"/>
          <w:szCs w:val="24"/>
        </w:rPr>
      </w:pPr>
    </w:p>
    <w:p w:rsidR="00A161CD" w:rsidRPr="001148C2" w:rsidRDefault="00A161CD" w:rsidP="000A34BC">
      <w:pPr>
        <w:spacing w:after="60" w:line="240" w:lineRule="auto"/>
        <w:rPr>
          <w:rFonts w:asciiTheme="majorHAnsi" w:hAnsiTheme="majorHAnsi" w:cstheme="majorHAnsi"/>
          <w:sz w:val="24"/>
          <w:szCs w:val="24"/>
        </w:rPr>
      </w:pPr>
      <w:r w:rsidRPr="001148C2">
        <w:rPr>
          <w:rFonts w:asciiTheme="majorHAnsi" w:hAnsiTheme="majorHAnsi" w:cstheme="majorHAnsi"/>
          <w:b/>
          <w:bCs/>
          <w:sz w:val="24"/>
          <w:szCs w:val="24"/>
        </w:rPr>
        <w:t xml:space="preserve">Third thesis: Imperial doctrinal commitment as a functional element of governance </w:t>
      </w:r>
    </w:p>
    <w:p w:rsidR="00A161CD" w:rsidRPr="001148C2" w:rsidRDefault="00A161CD" w:rsidP="000A34BC">
      <w:pPr>
        <w:spacing w:after="60" w:line="240" w:lineRule="auto"/>
        <w:rPr>
          <w:rFonts w:asciiTheme="majorHAnsi" w:hAnsiTheme="majorHAnsi" w:cstheme="majorHAnsi"/>
          <w:sz w:val="24"/>
          <w:szCs w:val="24"/>
        </w:rPr>
      </w:pPr>
      <w:r w:rsidRPr="001148C2">
        <w:rPr>
          <w:rFonts w:asciiTheme="majorHAnsi" w:hAnsiTheme="majorHAnsi" w:cstheme="majorHAnsi"/>
          <w:sz w:val="24"/>
          <w:szCs w:val="24"/>
        </w:rPr>
        <w:t xml:space="preserve">The emperor’s doctrinal commitment within Christian orthodoxy became, in </w:t>
      </w:r>
      <w:r w:rsidR="008F07FD" w:rsidRPr="001148C2">
        <w:rPr>
          <w:rFonts w:asciiTheme="majorHAnsi" w:hAnsiTheme="majorHAnsi" w:cstheme="majorHAnsi"/>
          <w:sz w:val="24"/>
          <w:szCs w:val="24"/>
        </w:rPr>
        <w:t>l</w:t>
      </w:r>
      <w:r w:rsidRPr="001148C2">
        <w:rPr>
          <w:rFonts w:asciiTheme="majorHAnsi" w:hAnsiTheme="majorHAnsi" w:cstheme="majorHAnsi"/>
          <w:sz w:val="24"/>
          <w:szCs w:val="24"/>
        </w:rPr>
        <w:t xml:space="preserve">ate </w:t>
      </w:r>
      <w:r w:rsidR="008F07FD" w:rsidRPr="001148C2">
        <w:rPr>
          <w:rFonts w:asciiTheme="majorHAnsi" w:hAnsiTheme="majorHAnsi" w:cstheme="majorHAnsi"/>
          <w:sz w:val="24"/>
          <w:szCs w:val="24"/>
        </w:rPr>
        <w:t>a</w:t>
      </w:r>
      <w:r w:rsidRPr="001148C2">
        <w:rPr>
          <w:rFonts w:asciiTheme="majorHAnsi" w:hAnsiTheme="majorHAnsi" w:cstheme="majorHAnsi"/>
          <w:sz w:val="24"/>
          <w:szCs w:val="24"/>
        </w:rPr>
        <w:t>ntiquity, a</w:t>
      </w:r>
      <w:r w:rsidR="008F07FD" w:rsidRPr="001148C2">
        <w:rPr>
          <w:rFonts w:asciiTheme="majorHAnsi" w:hAnsiTheme="majorHAnsi" w:cstheme="majorHAnsi"/>
          <w:sz w:val="24"/>
          <w:szCs w:val="24"/>
        </w:rPr>
        <w:t xml:space="preserve">n integral </w:t>
      </w:r>
      <w:r w:rsidRPr="001148C2">
        <w:rPr>
          <w:rFonts w:asciiTheme="majorHAnsi" w:hAnsiTheme="majorHAnsi" w:cstheme="majorHAnsi"/>
          <w:sz w:val="24"/>
          <w:szCs w:val="24"/>
        </w:rPr>
        <w:t>component of imperial governance. While situational pressures may have prompted individual acts of alignment</w:t>
      </w:r>
      <w:r w:rsidR="008F07FD" w:rsidRPr="001148C2">
        <w:rPr>
          <w:rFonts w:asciiTheme="majorHAnsi" w:hAnsiTheme="majorHAnsi" w:cstheme="majorHAnsi"/>
          <w:sz w:val="24"/>
          <w:szCs w:val="24"/>
        </w:rPr>
        <w:t xml:space="preserve"> with a particular doctrinal understanding</w:t>
      </w:r>
      <w:r w:rsidRPr="001148C2">
        <w:rPr>
          <w:rFonts w:asciiTheme="majorHAnsi" w:hAnsiTheme="majorHAnsi" w:cstheme="majorHAnsi"/>
          <w:sz w:val="24"/>
          <w:szCs w:val="24"/>
        </w:rPr>
        <w:t>, imperial partiality in matters of Christian truth arose from the internal logic of Roman rule and, once adopted, became a systemic and dynamic factor in governmental practice. Commitment to doctrinal truth could not remain merely symbolic; it required elaboration, specification, and translation into administrative action. This, in turn, necessitated sustained imperial engagement with Christian discourse to determine what counted as orthodox truth, how it was to be articulated, and by whom it was to be authoritatively defined. At the same time, doctrinal positioning had to be promulgated across the empire and embedded in administrative, legal, and, where</w:t>
      </w:r>
      <w:r w:rsidR="00890526" w:rsidRPr="001148C2">
        <w:rPr>
          <w:rFonts w:asciiTheme="majorHAnsi" w:hAnsiTheme="majorHAnsi" w:cstheme="majorHAnsi"/>
          <w:sz w:val="24"/>
          <w:szCs w:val="24"/>
        </w:rPr>
        <w:t>ver</w:t>
      </w:r>
      <w:r w:rsidRPr="001148C2">
        <w:rPr>
          <w:rFonts w:asciiTheme="majorHAnsi" w:hAnsiTheme="majorHAnsi" w:cstheme="majorHAnsi"/>
          <w:sz w:val="24"/>
          <w:szCs w:val="24"/>
        </w:rPr>
        <w:t xml:space="preserve"> necessary, coercive measures capable of producing compliance. Once institutionalized, doctrinal alignment also required continual delimitation. Its scope, limits, and consequences had to be negotiated continuously: which deviations were to be tolerated, which sanctioned and by what means; which actors were entitled to speak authoritatively for the truth; and how interpretative conflicts were to be adjudicated. Far from stabilizing governance, imperial involvement in the quest for Christian orthodoxy generated new pressures for decision and intervention, repeatedly drawing the emperor and the wider Roman administration into disputes that could not be resolved by procedural or legal instruments alone. In this way, imperial positioning within Christian orthodoxy became self-reinforcing. What had initially emerged as a response to crisis became a structural feature of the Christian monarchy. Doctrinal commitment reshaped expectations of imperial authority, reconfigured the relationship between obedience and belief, and bound the exercise of power ever more closely to contested claims of religious truth. As a result, the emperor’s role as guarantor of order became increasingly entangled with the volatile dynamics of </w:t>
      </w:r>
      <w:r w:rsidR="0000689C" w:rsidRPr="001148C2">
        <w:rPr>
          <w:rFonts w:asciiTheme="majorHAnsi" w:hAnsiTheme="majorHAnsi" w:cstheme="majorHAnsi"/>
          <w:sz w:val="24"/>
          <w:szCs w:val="24"/>
        </w:rPr>
        <w:t>doctrinal and, more specifically, theological</w:t>
      </w:r>
      <w:r w:rsidRPr="001148C2">
        <w:rPr>
          <w:rFonts w:asciiTheme="majorHAnsi" w:hAnsiTheme="majorHAnsi" w:cstheme="majorHAnsi"/>
          <w:sz w:val="24"/>
          <w:szCs w:val="24"/>
        </w:rPr>
        <w:t xml:space="preserve"> controversy. This constellation would come to characterize the political culture of </w:t>
      </w:r>
      <w:r w:rsidR="008F07FD" w:rsidRPr="001148C2">
        <w:rPr>
          <w:rFonts w:asciiTheme="majorHAnsi" w:hAnsiTheme="majorHAnsi" w:cstheme="majorHAnsi"/>
          <w:sz w:val="24"/>
          <w:szCs w:val="24"/>
        </w:rPr>
        <w:t>l</w:t>
      </w:r>
      <w:r w:rsidRPr="001148C2">
        <w:rPr>
          <w:rFonts w:asciiTheme="majorHAnsi" w:hAnsiTheme="majorHAnsi" w:cstheme="majorHAnsi"/>
          <w:sz w:val="24"/>
          <w:szCs w:val="24"/>
        </w:rPr>
        <w:t xml:space="preserve">ate </w:t>
      </w:r>
      <w:r w:rsidR="008F07FD" w:rsidRPr="001148C2">
        <w:rPr>
          <w:rFonts w:asciiTheme="majorHAnsi" w:hAnsiTheme="majorHAnsi" w:cstheme="majorHAnsi"/>
          <w:sz w:val="24"/>
          <w:szCs w:val="24"/>
        </w:rPr>
        <w:t>a</w:t>
      </w:r>
      <w:r w:rsidRPr="001148C2">
        <w:rPr>
          <w:rFonts w:asciiTheme="majorHAnsi" w:hAnsiTheme="majorHAnsi" w:cstheme="majorHAnsi"/>
          <w:sz w:val="24"/>
          <w:szCs w:val="24"/>
        </w:rPr>
        <w:t>ntiquity well beyond the Constantinian moment.</w:t>
      </w:r>
    </w:p>
    <w:p w:rsidR="00A161CD" w:rsidRPr="001148C2" w:rsidRDefault="00A161CD" w:rsidP="000A34BC">
      <w:pPr>
        <w:spacing w:after="60" w:line="240" w:lineRule="auto"/>
        <w:rPr>
          <w:rFonts w:asciiTheme="majorHAnsi" w:hAnsiTheme="majorHAnsi" w:cstheme="majorHAnsi"/>
          <w:sz w:val="24"/>
          <w:szCs w:val="24"/>
        </w:rPr>
      </w:pPr>
    </w:p>
    <w:p w:rsidR="00A161CD" w:rsidRPr="001148C2" w:rsidRDefault="00A161CD" w:rsidP="00BC182B">
      <w:pPr>
        <w:spacing w:after="60" w:line="240" w:lineRule="auto"/>
        <w:rPr>
          <w:rFonts w:asciiTheme="majorHAnsi" w:hAnsiTheme="majorHAnsi" w:cstheme="majorHAnsi"/>
          <w:sz w:val="24"/>
          <w:szCs w:val="24"/>
        </w:rPr>
      </w:pPr>
      <w:r w:rsidRPr="001148C2">
        <w:rPr>
          <w:rFonts w:asciiTheme="majorHAnsi" w:hAnsiTheme="majorHAnsi" w:cstheme="majorHAnsi"/>
          <w:sz w:val="24"/>
          <w:szCs w:val="24"/>
        </w:rPr>
        <w:t xml:space="preserve">The possibility, now open to a Roman emperor, of committing himself doctrinally had far-reaching implications for the late antique politico-religious </w:t>
      </w:r>
      <w:r w:rsidR="00564D44" w:rsidRPr="001148C2">
        <w:rPr>
          <w:rFonts w:asciiTheme="majorHAnsi" w:hAnsiTheme="majorHAnsi" w:cstheme="majorHAnsi"/>
          <w:sz w:val="24"/>
          <w:szCs w:val="24"/>
        </w:rPr>
        <w:t>landscape</w:t>
      </w:r>
      <w:r w:rsidRPr="001148C2">
        <w:rPr>
          <w:rFonts w:asciiTheme="majorHAnsi" w:hAnsiTheme="majorHAnsi" w:cstheme="majorHAnsi"/>
          <w:sz w:val="24"/>
          <w:szCs w:val="24"/>
        </w:rPr>
        <w:t xml:space="preserve">. </w:t>
      </w:r>
      <w:r w:rsidR="00564D44" w:rsidRPr="001148C2">
        <w:rPr>
          <w:rFonts w:asciiTheme="majorHAnsi" w:hAnsiTheme="majorHAnsi" w:cstheme="majorHAnsi"/>
          <w:sz w:val="24"/>
          <w:szCs w:val="24"/>
        </w:rPr>
        <w:t xml:space="preserve">For mapping out </w:t>
      </w:r>
      <w:r w:rsidRPr="001148C2">
        <w:rPr>
          <w:rFonts w:asciiTheme="majorHAnsi" w:hAnsiTheme="majorHAnsi" w:cstheme="majorHAnsi"/>
          <w:sz w:val="24"/>
          <w:szCs w:val="24"/>
        </w:rPr>
        <w:t>these consequences, it is useful to distinguish three clusters of governance strategies that crystallized around the emperor’s alignment with Christian orthodoxy.</w:t>
      </w:r>
      <w:r w:rsidRPr="001148C2">
        <w:rPr>
          <w:rStyle w:val="Endnotenzeichen"/>
          <w:rFonts w:asciiTheme="majorHAnsi" w:hAnsiTheme="majorHAnsi" w:cstheme="majorHAnsi"/>
          <w:sz w:val="24"/>
          <w:szCs w:val="24"/>
        </w:rPr>
        <w:endnoteReference w:id="85"/>
      </w:r>
    </w:p>
    <w:p w:rsidR="00A161CD" w:rsidRPr="001148C2" w:rsidRDefault="00A161CD" w:rsidP="0001736A">
      <w:pPr>
        <w:spacing w:after="60" w:line="240" w:lineRule="auto"/>
        <w:ind w:firstLine="720"/>
        <w:rPr>
          <w:rFonts w:asciiTheme="majorHAnsi" w:hAnsiTheme="majorHAnsi" w:cstheme="majorHAnsi"/>
          <w:sz w:val="24"/>
          <w:szCs w:val="24"/>
        </w:rPr>
      </w:pPr>
      <w:r w:rsidRPr="001148C2">
        <w:rPr>
          <w:rFonts w:asciiTheme="majorHAnsi" w:hAnsiTheme="majorHAnsi" w:cstheme="majorHAnsi"/>
          <w:i/>
          <w:iCs/>
          <w:sz w:val="24"/>
          <w:szCs w:val="24"/>
        </w:rPr>
        <w:t>Strategies of implementation.</w:t>
      </w:r>
      <w:r w:rsidRPr="001148C2">
        <w:rPr>
          <w:rFonts w:asciiTheme="majorHAnsi" w:hAnsiTheme="majorHAnsi" w:cstheme="majorHAnsi"/>
          <w:sz w:val="24"/>
          <w:szCs w:val="24"/>
        </w:rPr>
        <w:t xml:space="preserve"> Imperial doctrinal </w:t>
      </w:r>
      <w:r w:rsidR="00564D44" w:rsidRPr="001148C2">
        <w:rPr>
          <w:rFonts w:asciiTheme="majorHAnsi" w:hAnsiTheme="majorHAnsi" w:cstheme="majorHAnsi"/>
          <w:sz w:val="24"/>
          <w:szCs w:val="24"/>
        </w:rPr>
        <w:t>commitment</w:t>
      </w:r>
      <w:r w:rsidRPr="001148C2">
        <w:rPr>
          <w:rFonts w:asciiTheme="majorHAnsi" w:hAnsiTheme="majorHAnsi" w:cstheme="majorHAnsi"/>
          <w:sz w:val="24"/>
          <w:szCs w:val="24"/>
        </w:rPr>
        <w:t xml:space="preserve"> was never an end in itself. It had to acquire effective force and binding authority, which required coordinated action by imperial authorities and their Christian partners. Strategies of implementation included legal codification, </w:t>
      </w:r>
      <w:r w:rsidR="00564D44" w:rsidRPr="001148C2">
        <w:rPr>
          <w:rFonts w:asciiTheme="majorHAnsi" w:hAnsiTheme="majorHAnsi" w:cstheme="majorHAnsi"/>
          <w:sz w:val="24"/>
          <w:szCs w:val="24"/>
        </w:rPr>
        <w:t xml:space="preserve">adjustment </w:t>
      </w:r>
      <w:r w:rsidRPr="001148C2">
        <w:rPr>
          <w:rFonts w:asciiTheme="majorHAnsi" w:hAnsiTheme="majorHAnsi" w:cstheme="majorHAnsi"/>
          <w:sz w:val="24"/>
          <w:szCs w:val="24"/>
        </w:rPr>
        <w:t xml:space="preserve">of institutional structures and administrative procedures, allocation of funds and resources, and, where necessary, coercive enforcement of </w:t>
      </w:r>
      <w:r w:rsidR="00890526" w:rsidRPr="001148C2">
        <w:rPr>
          <w:rFonts w:asciiTheme="majorHAnsi" w:hAnsiTheme="majorHAnsi" w:cstheme="majorHAnsi"/>
          <w:sz w:val="24"/>
          <w:szCs w:val="24"/>
        </w:rPr>
        <w:t xml:space="preserve">ecclesiastical </w:t>
      </w:r>
      <w:r w:rsidRPr="001148C2">
        <w:rPr>
          <w:rFonts w:asciiTheme="majorHAnsi" w:hAnsiTheme="majorHAnsi" w:cstheme="majorHAnsi"/>
          <w:sz w:val="24"/>
          <w:szCs w:val="24"/>
        </w:rPr>
        <w:t>leadership claims</w:t>
      </w:r>
      <w:r w:rsidR="00564D44" w:rsidRPr="001148C2">
        <w:rPr>
          <w:rFonts w:asciiTheme="majorHAnsi" w:hAnsiTheme="majorHAnsi" w:cstheme="majorHAnsi"/>
          <w:sz w:val="24"/>
          <w:szCs w:val="24"/>
        </w:rPr>
        <w:t xml:space="preserve"> and </w:t>
      </w:r>
      <w:r w:rsidR="00890526" w:rsidRPr="001148C2">
        <w:rPr>
          <w:rFonts w:asciiTheme="majorHAnsi" w:hAnsiTheme="majorHAnsi" w:cstheme="majorHAnsi"/>
          <w:sz w:val="24"/>
          <w:szCs w:val="24"/>
        </w:rPr>
        <w:t xml:space="preserve">communal </w:t>
      </w:r>
      <w:r w:rsidR="00564D44" w:rsidRPr="001148C2">
        <w:rPr>
          <w:rFonts w:asciiTheme="majorHAnsi" w:hAnsiTheme="majorHAnsi" w:cstheme="majorHAnsi"/>
          <w:sz w:val="24"/>
          <w:szCs w:val="24"/>
        </w:rPr>
        <w:t>allegiance</w:t>
      </w:r>
      <w:r w:rsidRPr="001148C2">
        <w:rPr>
          <w:rFonts w:asciiTheme="majorHAnsi" w:hAnsiTheme="majorHAnsi" w:cstheme="majorHAnsi"/>
          <w:sz w:val="24"/>
          <w:szCs w:val="24"/>
        </w:rPr>
        <w:t>.</w:t>
      </w:r>
    </w:p>
    <w:p w:rsidR="00632450" w:rsidRPr="001148C2" w:rsidRDefault="00632450" w:rsidP="00632450">
      <w:pPr>
        <w:spacing w:after="60" w:line="240" w:lineRule="auto"/>
        <w:ind w:firstLine="720"/>
        <w:rPr>
          <w:rFonts w:asciiTheme="majorHAnsi" w:hAnsiTheme="majorHAnsi" w:cstheme="majorHAnsi"/>
          <w:sz w:val="24"/>
          <w:szCs w:val="24"/>
        </w:rPr>
      </w:pPr>
      <w:r w:rsidRPr="001148C2">
        <w:rPr>
          <w:rFonts w:asciiTheme="majorHAnsi" w:hAnsiTheme="majorHAnsi" w:cstheme="majorHAnsi"/>
          <w:i/>
          <w:iCs/>
          <w:sz w:val="24"/>
          <w:szCs w:val="24"/>
        </w:rPr>
        <w:t>Strategies of limitation</w:t>
      </w:r>
      <w:r w:rsidRPr="001148C2">
        <w:rPr>
          <w:rFonts w:asciiTheme="majorHAnsi" w:hAnsiTheme="majorHAnsi" w:cstheme="majorHAnsi"/>
          <w:sz w:val="24"/>
          <w:szCs w:val="24"/>
        </w:rPr>
        <w:t xml:space="preserve">. At the same time, imperial authorities sought to </w:t>
      </w:r>
      <w:r w:rsidR="00564D44" w:rsidRPr="001148C2">
        <w:rPr>
          <w:rFonts w:asciiTheme="majorHAnsi" w:hAnsiTheme="majorHAnsi" w:cstheme="majorHAnsi"/>
          <w:sz w:val="24"/>
          <w:szCs w:val="24"/>
        </w:rPr>
        <w:t xml:space="preserve">contain </w:t>
      </w:r>
      <w:r w:rsidRPr="001148C2">
        <w:rPr>
          <w:rFonts w:asciiTheme="majorHAnsi" w:hAnsiTheme="majorHAnsi" w:cstheme="majorHAnsi"/>
          <w:sz w:val="24"/>
          <w:szCs w:val="24"/>
        </w:rPr>
        <w:t xml:space="preserve">the </w:t>
      </w:r>
      <w:r w:rsidR="00564D44" w:rsidRPr="001148C2">
        <w:rPr>
          <w:rFonts w:asciiTheme="majorHAnsi" w:hAnsiTheme="majorHAnsi" w:cstheme="majorHAnsi"/>
          <w:sz w:val="24"/>
          <w:szCs w:val="24"/>
        </w:rPr>
        <w:t xml:space="preserve">corollaries </w:t>
      </w:r>
      <w:r w:rsidRPr="001148C2">
        <w:rPr>
          <w:rFonts w:asciiTheme="majorHAnsi" w:hAnsiTheme="majorHAnsi" w:cstheme="majorHAnsi"/>
          <w:sz w:val="24"/>
          <w:szCs w:val="24"/>
        </w:rPr>
        <w:t xml:space="preserve">of </w:t>
      </w:r>
      <w:r w:rsidR="00564D44" w:rsidRPr="001148C2">
        <w:rPr>
          <w:rFonts w:asciiTheme="majorHAnsi" w:hAnsiTheme="majorHAnsi" w:cstheme="majorHAnsi"/>
          <w:sz w:val="24"/>
          <w:szCs w:val="24"/>
        </w:rPr>
        <w:t xml:space="preserve">the emperor’s doctrinal </w:t>
      </w:r>
      <w:r w:rsidRPr="001148C2">
        <w:rPr>
          <w:rFonts w:asciiTheme="majorHAnsi" w:hAnsiTheme="majorHAnsi" w:cstheme="majorHAnsi"/>
          <w:sz w:val="24"/>
          <w:szCs w:val="24"/>
        </w:rPr>
        <w:t>partisan</w:t>
      </w:r>
      <w:r w:rsidR="00564D44" w:rsidRPr="001148C2">
        <w:rPr>
          <w:rFonts w:asciiTheme="majorHAnsi" w:hAnsiTheme="majorHAnsi" w:cstheme="majorHAnsi"/>
          <w:sz w:val="24"/>
          <w:szCs w:val="24"/>
        </w:rPr>
        <w:t>ship by deliberately</w:t>
      </w:r>
      <w:r w:rsidRPr="001148C2">
        <w:rPr>
          <w:rFonts w:asciiTheme="majorHAnsi" w:hAnsiTheme="majorHAnsi" w:cstheme="majorHAnsi"/>
          <w:sz w:val="24"/>
          <w:szCs w:val="24"/>
        </w:rPr>
        <w:t xml:space="preserve"> </w:t>
      </w:r>
      <w:r w:rsidR="00564D44" w:rsidRPr="001148C2">
        <w:rPr>
          <w:rFonts w:asciiTheme="majorHAnsi" w:hAnsiTheme="majorHAnsi" w:cstheme="majorHAnsi"/>
          <w:sz w:val="24"/>
          <w:szCs w:val="24"/>
        </w:rPr>
        <w:t xml:space="preserve">shielding other </w:t>
      </w:r>
      <w:r w:rsidRPr="001148C2">
        <w:rPr>
          <w:rFonts w:asciiTheme="majorHAnsi" w:hAnsiTheme="majorHAnsi" w:cstheme="majorHAnsi"/>
          <w:sz w:val="24"/>
          <w:szCs w:val="24"/>
        </w:rPr>
        <w:t xml:space="preserve">social </w:t>
      </w:r>
      <w:r w:rsidRPr="001148C2">
        <w:rPr>
          <w:rFonts w:asciiTheme="majorHAnsi" w:hAnsiTheme="majorHAnsi" w:cstheme="majorHAnsi"/>
          <w:sz w:val="24"/>
          <w:szCs w:val="24"/>
        </w:rPr>
        <w:lastRenderedPageBreak/>
        <w:t>arenas</w:t>
      </w:r>
      <w:r w:rsidR="00564D44" w:rsidRPr="001148C2">
        <w:rPr>
          <w:rFonts w:asciiTheme="majorHAnsi" w:hAnsiTheme="majorHAnsi" w:cstheme="majorHAnsi"/>
          <w:sz w:val="24"/>
          <w:szCs w:val="24"/>
        </w:rPr>
        <w:t>:</w:t>
      </w:r>
      <w:r w:rsidRPr="001148C2">
        <w:rPr>
          <w:rFonts w:asciiTheme="majorHAnsi" w:hAnsiTheme="majorHAnsi" w:cstheme="majorHAnsi"/>
          <w:sz w:val="24"/>
          <w:szCs w:val="24"/>
        </w:rPr>
        <w:t xml:space="preserve"> The imperial dialogue with bishops over questions of orthodoxy was not intended to permeate interactions with urban elites, the military sphere, or courtly society. It is telling, for example, that Constantine convened councils in provincial cities such as </w:t>
      </w:r>
      <w:r w:rsidR="00564D44" w:rsidRPr="001148C2">
        <w:rPr>
          <w:rFonts w:asciiTheme="majorHAnsi" w:hAnsiTheme="majorHAnsi" w:cstheme="majorHAnsi"/>
          <w:sz w:val="24"/>
          <w:szCs w:val="24"/>
        </w:rPr>
        <w:t xml:space="preserve">Arles </w:t>
      </w:r>
      <w:r w:rsidR="007F347E" w:rsidRPr="001148C2">
        <w:rPr>
          <w:rFonts w:asciiTheme="majorHAnsi" w:hAnsiTheme="majorHAnsi" w:cstheme="majorHAnsi"/>
          <w:sz w:val="24"/>
          <w:szCs w:val="24"/>
        </w:rPr>
        <w:t>and Nicaea rather than inviting episcopal congregations to major residential cities</w:t>
      </w:r>
      <w:r w:rsidR="00564D44" w:rsidRPr="001148C2">
        <w:rPr>
          <w:rFonts w:asciiTheme="majorHAnsi" w:hAnsiTheme="majorHAnsi" w:cstheme="majorHAnsi"/>
          <w:sz w:val="24"/>
          <w:szCs w:val="24"/>
        </w:rPr>
        <w:t xml:space="preserve"> such as Trier or Constantinople</w:t>
      </w:r>
      <w:r w:rsidRPr="001148C2">
        <w:rPr>
          <w:rFonts w:asciiTheme="majorHAnsi" w:hAnsiTheme="majorHAnsi" w:cstheme="majorHAnsi"/>
          <w:sz w:val="24"/>
          <w:szCs w:val="24"/>
        </w:rPr>
        <w:t xml:space="preserve">. Mechanisms of containment were </w:t>
      </w:r>
      <w:r w:rsidR="00564D44" w:rsidRPr="001148C2">
        <w:rPr>
          <w:rFonts w:asciiTheme="majorHAnsi" w:hAnsiTheme="majorHAnsi" w:cstheme="majorHAnsi"/>
          <w:sz w:val="24"/>
          <w:szCs w:val="24"/>
        </w:rPr>
        <w:t>created</w:t>
      </w:r>
      <w:r w:rsidRPr="001148C2">
        <w:rPr>
          <w:rFonts w:asciiTheme="majorHAnsi" w:hAnsiTheme="majorHAnsi" w:cstheme="majorHAnsi"/>
          <w:sz w:val="24"/>
          <w:szCs w:val="24"/>
        </w:rPr>
        <w:t xml:space="preserve"> around imperial doctrinal commitments to restrict their potential</w:t>
      </w:r>
      <w:r w:rsidR="00564D44" w:rsidRPr="001148C2">
        <w:rPr>
          <w:rFonts w:asciiTheme="majorHAnsi" w:hAnsiTheme="majorHAnsi" w:cstheme="majorHAnsi"/>
          <w:sz w:val="24"/>
          <w:szCs w:val="24"/>
        </w:rPr>
        <w:t xml:space="preserve"> to cause unintended side effects to the emperor’s image</w:t>
      </w:r>
      <w:r w:rsidRPr="001148C2">
        <w:rPr>
          <w:rFonts w:asciiTheme="majorHAnsi" w:hAnsiTheme="majorHAnsi" w:cstheme="majorHAnsi"/>
          <w:sz w:val="24"/>
          <w:szCs w:val="24"/>
        </w:rPr>
        <w:t>.</w:t>
      </w:r>
    </w:p>
    <w:p w:rsidR="007A73A5" w:rsidRPr="001148C2" w:rsidRDefault="00A161CD" w:rsidP="0001736A">
      <w:pPr>
        <w:spacing w:after="60" w:line="240" w:lineRule="auto"/>
        <w:ind w:firstLine="720"/>
        <w:rPr>
          <w:rFonts w:asciiTheme="majorHAnsi" w:hAnsiTheme="majorHAnsi" w:cstheme="majorHAnsi"/>
          <w:sz w:val="24"/>
          <w:szCs w:val="24"/>
        </w:rPr>
      </w:pPr>
      <w:r w:rsidRPr="001148C2">
        <w:rPr>
          <w:rFonts w:asciiTheme="majorHAnsi" w:hAnsiTheme="majorHAnsi" w:cstheme="majorHAnsi"/>
          <w:i/>
          <w:iCs/>
          <w:sz w:val="24"/>
          <w:szCs w:val="24"/>
        </w:rPr>
        <w:t>Strategies of legitimation.</w:t>
      </w:r>
      <w:r w:rsidRPr="001148C2">
        <w:rPr>
          <w:rFonts w:asciiTheme="majorHAnsi" w:hAnsiTheme="majorHAnsi" w:cstheme="majorHAnsi"/>
          <w:sz w:val="24"/>
          <w:szCs w:val="24"/>
        </w:rPr>
        <w:t xml:space="preserve"> By aligning himself with a particular position in the struggle over Christian orthodoxy, the emperor</w:t>
      </w:r>
      <w:r w:rsidR="00564D44" w:rsidRPr="001148C2">
        <w:rPr>
          <w:rFonts w:asciiTheme="majorHAnsi" w:hAnsiTheme="majorHAnsi" w:cstheme="majorHAnsi"/>
          <w:sz w:val="24"/>
          <w:szCs w:val="24"/>
        </w:rPr>
        <w:t xml:space="preserve">’s </w:t>
      </w:r>
      <w:r w:rsidRPr="001148C2">
        <w:rPr>
          <w:rFonts w:asciiTheme="majorHAnsi" w:hAnsiTheme="majorHAnsi" w:cstheme="majorHAnsi"/>
          <w:sz w:val="24"/>
          <w:szCs w:val="24"/>
        </w:rPr>
        <w:t xml:space="preserve">authority </w:t>
      </w:r>
      <w:r w:rsidR="007F347E" w:rsidRPr="001148C2">
        <w:rPr>
          <w:rFonts w:asciiTheme="majorHAnsi" w:hAnsiTheme="majorHAnsi" w:cstheme="majorHAnsi"/>
          <w:sz w:val="24"/>
          <w:szCs w:val="24"/>
        </w:rPr>
        <w:t>became more vulnerable</w:t>
      </w:r>
      <w:r w:rsidR="00564D44" w:rsidRPr="001148C2">
        <w:rPr>
          <w:rFonts w:asciiTheme="majorHAnsi" w:hAnsiTheme="majorHAnsi" w:cstheme="majorHAnsi"/>
          <w:sz w:val="24"/>
          <w:szCs w:val="24"/>
        </w:rPr>
        <w:t>.</w:t>
      </w:r>
      <w:r w:rsidRPr="001148C2">
        <w:rPr>
          <w:rFonts w:asciiTheme="majorHAnsi" w:hAnsiTheme="majorHAnsi" w:cstheme="majorHAnsi"/>
          <w:sz w:val="24"/>
          <w:szCs w:val="24"/>
        </w:rPr>
        <w:t xml:space="preserve"> On what grounds could a secular ruler claim competence in matters of divine truth? Imperial commitment thus exposed new points of attack, which were exploited with considerable intensity</w:t>
      </w:r>
      <w:r w:rsidR="00564D44" w:rsidRPr="001148C2">
        <w:rPr>
          <w:rFonts w:asciiTheme="majorHAnsi" w:hAnsiTheme="majorHAnsi" w:cstheme="majorHAnsi"/>
          <w:sz w:val="24"/>
          <w:szCs w:val="24"/>
        </w:rPr>
        <w:t xml:space="preserve"> by those who did not see a viable path for alignment with the emperor’s position</w:t>
      </w:r>
      <w:r w:rsidRPr="001148C2">
        <w:rPr>
          <w:rFonts w:asciiTheme="majorHAnsi" w:hAnsiTheme="majorHAnsi" w:cstheme="majorHAnsi"/>
          <w:sz w:val="24"/>
          <w:szCs w:val="24"/>
        </w:rPr>
        <w:t>. These vulnerabilities required continual stabilization. The evolving profiles of Christian monarchs can be understood, in part, as attempts to secure imperial authority by demonstrating religious competence and divine favor.</w:t>
      </w:r>
      <w:r w:rsidR="007A73A5" w:rsidRPr="001148C2">
        <w:rPr>
          <w:rStyle w:val="Endnotenzeichen"/>
          <w:rFonts w:asciiTheme="majorHAnsi" w:hAnsiTheme="majorHAnsi" w:cstheme="majorHAnsi"/>
          <w:sz w:val="24"/>
          <w:szCs w:val="24"/>
        </w:rPr>
        <w:endnoteReference w:id="86"/>
      </w:r>
    </w:p>
    <w:p w:rsidR="00FB1F8E" w:rsidRPr="001148C2" w:rsidRDefault="00FB1F8E" w:rsidP="0001736A">
      <w:pPr>
        <w:spacing w:after="60" w:line="240" w:lineRule="auto"/>
        <w:rPr>
          <w:rFonts w:asciiTheme="majorHAnsi" w:hAnsiTheme="majorHAnsi" w:cstheme="majorHAnsi"/>
          <w:sz w:val="24"/>
          <w:szCs w:val="24"/>
        </w:rPr>
      </w:pPr>
    </w:p>
    <w:p w:rsidR="001A5296" w:rsidRPr="001148C2" w:rsidRDefault="00FB1F8E" w:rsidP="008F07FD">
      <w:pPr>
        <w:spacing w:after="60" w:line="240" w:lineRule="auto"/>
        <w:rPr>
          <w:rFonts w:asciiTheme="majorHAnsi" w:hAnsiTheme="majorHAnsi" w:cstheme="majorHAnsi"/>
          <w:sz w:val="24"/>
          <w:szCs w:val="24"/>
        </w:rPr>
      </w:pPr>
      <w:r w:rsidRPr="001148C2">
        <w:rPr>
          <w:rFonts w:asciiTheme="majorHAnsi" w:hAnsiTheme="majorHAnsi" w:cstheme="majorHAnsi"/>
          <w:sz w:val="24"/>
          <w:szCs w:val="24"/>
        </w:rPr>
        <w:t xml:space="preserve">The new pattern of conflict and administrative transformation described here was driven by the interplay between imperial strategies of politico-religious integration and the counter-reactions they provoked. Christians unwilling to cooperate developed counter-discourses that challenged imperial claims to religious authority, claims that underpinned interventions in doctrinal disputes and were indispensable for constructing a hierarchically organized ecclesiastical body capable of sustained cooperation with Roman rule. </w:t>
      </w:r>
      <w:r w:rsidR="008F07FD" w:rsidRPr="001148C2">
        <w:rPr>
          <w:rFonts w:asciiTheme="majorHAnsi" w:hAnsiTheme="majorHAnsi" w:cstheme="majorHAnsi"/>
          <w:sz w:val="24"/>
          <w:szCs w:val="24"/>
        </w:rPr>
        <w:t>Conversely, those prepared to collaborate with imperial power had little incentive to uphold measures that limited the reach of the emperor’s doctrinal commitments, since such constraints diminished his potential as a promoter of their own understanding of true religion.</w:t>
      </w:r>
      <w:r w:rsidRPr="001148C2">
        <w:rPr>
          <w:rFonts w:asciiTheme="majorHAnsi" w:hAnsiTheme="majorHAnsi" w:cstheme="majorHAnsi"/>
          <w:sz w:val="24"/>
          <w:szCs w:val="24"/>
        </w:rPr>
        <w:t xml:space="preserve"> From the outset, cooperative Christian actors thus worked to erode the very safeguards intended to contain imperial doctrinal partiality, thereby advancing an ever-deeper entanglement of social order and orthodoxy. </w:t>
      </w:r>
      <w:r w:rsidRPr="001148C2">
        <w:rPr>
          <w:rFonts w:asciiTheme="majorHAnsi" w:hAnsiTheme="majorHAnsi" w:cstheme="majorHAnsi"/>
          <w:sz w:val="24"/>
          <w:szCs w:val="24"/>
        </w:rPr>
        <w:t xml:space="preserve">The gradual erosion of the administration’s capacity to shield broader societal spheres from disputes over divine truth had profound transformative consequences for the relationship between religion and politics in </w:t>
      </w:r>
      <w:r w:rsidR="008F07FD" w:rsidRPr="001148C2">
        <w:rPr>
          <w:rFonts w:asciiTheme="majorHAnsi" w:hAnsiTheme="majorHAnsi" w:cstheme="majorHAnsi"/>
          <w:sz w:val="24"/>
          <w:szCs w:val="24"/>
        </w:rPr>
        <w:t>l</w:t>
      </w:r>
      <w:r w:rsidRPr="001148C2">
        <w:rPr>
          <w:rFonts w:asciiTheme="majorHAnsi" w:hAnsiTheme="majorHAnsi" w:cstheme="majorHAnsi"/>
          <w:sz w:val="24"/>
          <w:szCs w:val="24"/>
        </w:rPr>
        <w:t xml:space="preserve">ate </w:t>
      </w:r>
      <w:r w:rsidR="008F07FD" w:rsidRPr="001148C2">
        <w:rPr>
          <w:rFonts w:asciiTheme="majorHAnsi" w:hAnsiTheme="majorHAnsi" w:cstheme="majorHAnsi"/>
          <w:sz w:val="24"/>
          <w:szCs w:val="24"/>
        </w:rPr>
        <w:t>a</w:t>
      </w:r>
      <w:r w:rsidRPr="001148C2">
        <w:rPr>
          <w:rFonts w:asciiTheme="majorHAnsi" w:hAnsiTheme="majorHAnsi" w:cstheme="majorHAnsi"/>
          <w:sz w:val="24"/>
          <w:szCs w:val="24"/>
        </w:rPr>
        <w:t>ntiquity.</w:t>
      </w:r>
      <w:r w:rsidRPr="001148C2">
        <w:rPr>
          <w:rFonts w:asciiTheme="majorHAnsi" w:hAnsiTheme="majorHAnsi" w:cstheme="majorHAnsi"/>
          <w:sz w:val="24"/>
          <w:szCs w:val="24"/>
        </w:rPr>
        <w:t xml:space="preserve"> In the long run, adherence to the “correct” theological position came to matter even in arenas once considered purely secular.</w:t>
      </w:r>
      <w:r w:rsidRPr="001148C2">
        <w:rPr>
          <w:rStyle w:val="Endnotenzeichen"/>
          <w:rFonts w:asciiTheme="majorHAnsi" w:hAnsiTheme="majorHAnsi" w:cstheme="majorHAnsi"/>
          <w:sz w:val="24"/>
          <w:szCs w:val="24"/>
        </w:rPr>
        <w:endnoteReference w:id="87"/>
      </w:r>
    </w:p>
    <w:p w:rsidR="00D5774D" w:rsidRPr="001148C2" w:rsidRDefault="008A65E8" w:rsidP="001148C2">
      <w:pPr>
        <w:spacing w:after="60" w:line="240" w:lineRule="auto"/>
        <w:ind w:firstLine="567"/>
        <w:rPr>
          <w:rFonts w:asciiTheme="majorHAnsi" w:hAnsiTheme="majorHAnsi" w:cstheme="majorHAnsi"/>
          <w:sz w:val="24"/>
          <w:szCs w:val="24"/>
        </w:rPr>
      </w:pPr>
      <w:r w:rsidRPr="001148C2">
        <w:rPr>
          <w:rFonts w:asciiTheme="majorHAnsi" w:hAnsiTheme="majorHAnsi" w:cstheme="majorHAnsi"/>
          <w:sz w:val="24"/>
          <w:szCs w:val="24"/>
        </w:rPr>
        <w:t xml:space="preserve">This development did not unfold </w:t>
      </w:r>
      <w:r w:rsidR="00FB1F8E" w:rsidRPr="001148C2">
        <w:rPr>
          <w:rFonts w:asciiTheme="majorHAnsi" w:hAnsiTheme="majorHAnsi" w:cstheme="majorHAnsi"/>
          <w:sz w:val="24"/>
          <w:szCs w:val="24"/>
        </w:rPr>
        <w:t>linearly</w:t>
      </w:r>
      <w:r w:rsidRPr="001148C2">
        <w:rPr>
          <w:rFonts w:asciiTheme="majorHAnsi" w:hAnsiTheme="majorHAnsi" w:cstheme="majorHAnsi"/>
          <w:sz w:val="24"/>
          <w:szCs w:val="24"/>
        </w:rPr>
        <w:t>. Emperors repeatedly sought to mitigate the destabilizing effects of their doctrinal commitments</w:t>
      </w:r>
      <w:r w:rsidRPr="001148C2">
        <w:rPr>
          <w:rFonts w:asciiTheme="majorHAnsi" w:hAnsiTheme="majorHAnsi" w:cstheme="majorHAnsi"/>
          <w:sz w:val="24"/>
          <w:szCs w:val="24"/>
        </w:rPr>
        <w:t xml:space="preserve"> </w:t>
      </w:r>
      <w:r w:rsidRPr="001148C2">
        <w:rPr>
          <w:rFonts w:asciiTheme="majorHAnsi" w:hAnsiTheme="majorHAnsi" w:cstheme="majorHAnsi"/>
          <w:sz w:val="24"/>
          <w:szCs w:val="24"/>
        </w:rPr>
        <w:t>through compromise, regional differentiation, or tactical restraint.</w:t>
      </w:r>
      <w:r w:rsidR="00FB1F8E" w:rsidRPr="001148C2">
        <w:rPr>
          <w:rFonts w:asciiTheme="majorHAnsi" w:hAnsiTheme="majorHAnsi" w:cstheme="majorHAnsi"/>
          <w:sz w:val="24"/>
          <w:szCs w:val="24"/>
          <w:shd w:val="clear" w:color="auto" w:fill="FF9900"/>
          <w:vertAlign w:val="superscript"/>
        </w:rPr>
        <w:endnoteReference w:id="88"/>
      </w:r>
      <w:r w:rsidRPr="001148C2">
        <w:rPr>
          <w:rFonts w:asciiTheme="majorHAnsi" w:hAnsiTheme="majorHAnsi" w:cstheme="majorHAnsi"/>
          <w:sz w:val="24"/>
          <w:szCs w:val="24"/>
        </w:rPr>
        <w:t xml:space="preserve"> Yet the </w:t>
      </w:r>
      <w:r w:rsidR="00FB1F8E" w:rsidRPr="001148C2">
        <w:rPr>
          <w:rFonts w:asciiTheme="majorHAnsi" w:hAnsiTheme="majorHAnsi" w:cstheme="majorHAnsi"/>
          <w:sz w:val="24"/>
          <w:szCs w:val="24"/>
        </w:rPr>
        <w:t>systemic</w:t>
      </w:r>
      <w:r w:rsidRPr="001148C2">
        <w:rPr>
          <w:rFonts w:asciiTheme="majorHAnsi" w:hAnsiTheme="majorHAnsi" w:cstheme="majorHAnsi"/>
          <w:sz w:val="24"/>
          <w:szCs w:val="24"/>
        </w:rPr>
        <w:t xml:space="preserve"> logic of imperial involvement in orthodoxy proved difficult to evade. </w:t>
      </w:r>
      <w:proofErr w:type="gramStart"/>
      <w:r w:rsidRPr="001148C2">
        <w:rPr>
          <w:rFonts w:asciiTheme="majorHAnsi" w:hAnsiTheme="majorHAnsi" w:cstheme="majorHAnsi"/>
          <w:sz w:val="24"/>
          <w:szCs w:val="24"/>
        </w:rPr>
        <w:t>Again</w:t>
      </w:r>
      <w:proofErr w:type="gramEnd"/>
      <w:r w:rsidRPr="001148C2">
        <w:rPr>
          <w:rFonts w:asciiTheme="majorHAnsi" w:hAnsiTheme="majorHAnsi" w:cstheme="majorHAnsi"/>
          <w:sz w:val="24"/>
          <w:szCs w:val="24"/>
        </w:rPr>
        <w:t xml:space="preserve"> and again, the emperor was drawn into taking a substantive stance on contested claims of divine truth. It is in the Constantinian age that we can observe the emergence of this historically consequential dynamic: political authority came to operate under the reservation of orthodoxy. And it was precisely this reservation that led Christians, of all people, to topple the statues of Constantine</w:t>
      </w:r>
      <w:r w:rsidR="00FB1F8E" w:rsidRPr="001148C2">
        <w:rPr>
          <w:rFonts w:asciiTheme="majorHAnsi" w:hAnsiTheme="majorHAnsi" w:cstheme="majorHAnsi"/>
          <w:sz w:val="24"/>
          <w:szCs w:val="24"/>
        </w:rPr>
        <w:t xml:space="preserve">, </w:t>
      </w:r>
      <w:r w:rsidRPr="001148C2">
        <w:rPr>
          <w:rFonts w:asciiTheme="majorHAnsi" w:hAnsiTheme="majorHAnsi" w:cstheme="majorHAnsi"/>
          <w:sz w:val="24"/>
          <w:szCs w:val="24"/>
        </w:rPr>
        <w:t xml:space="preserve">the first Roman emperor who had sought to promote Christianity and secure its peaceful cooperation with imperial power. Conversely, it was the doctrinal commitment </w:t>
      </w:r>
      <w:r w:rsidR="00FB1F8E" w:rsidRPr="001148C2">
        <w:rPr>
          <w:rFonts w:asciiTheme="majorHAnsi" w:hAnsiTheme="majorHAnsi" w:cstheme="majorHAnsi"/>
          <w:sz w:val="24"/>
          <w:szCs w:val="24"/>
        </w:rPr>
        <w:t xml:space="preserve">precisely </w:t>
      </w:r>
      <w:r w:rsidRPr="001148C2">
        <w:rPr>
          <w:rFonts w:asciiTheme="majorHAnsi" w:hAnsiTheme="majorHAnsi" w:cstheme="majorHAnsi"/>
          <w:sz w:val="24"/>
          <w:szCs w:val="24"/>
        </w:rPr>
        <w:t xml:space="preserve">that compelled the first Christian emperor to order military violence against a Christian community. A threshold had been crossed. A new logic of internal conflict and governance </w:t>
      </w:r>
      <w:r w:rsidR="00FB1F8E" w:rsidRPr="001148C2">
        <w:rPr>
          <w:rFonts w:asciiTheme="majorHAnsi" w:hAnsiTheme="majorHAnsi" w:cstheme="majorHAnsi"/>
          <w:sz w:val="24"/>
          <w:szCs w:val="24"/>
        </w:rPr>
        <w:t xml:space="preserve">reaction </w:t>
      </w:r>
      <w:r w:rsidRPr="001148C2">
        <w:rPr>
          <w:rFonts w:asciiTheme="majorHAnsi" w:hAnsiTheme="majorHAnsi" w:cstheme="majorHAnsi"/>
          <w:sz w:val="24"/>
          <w:szCs w:val="24"/>
        </w:rPr>
        <w:t xml:space="preserve">had </w:t>
      </w:r>
      <w:r w:rsidR="00FB1F8E" w:rsidRPr="001148C2">
        <w:rPr>
          <w:rFonts w:asciiTheme="majorHAnsi" w:hAnsiTheme="majorHAnsi" w:cstheme="majorHAnsi"/>
          <w:sz w:val="24"/>
          <w:szCs w:val="24"/>
        </w:rPr>
        <w:t>emerged</w:t>
      </w:r>
      <w:r w:rsidRPr="001148C2">
        <w:rPr>
          <w:rFonts w:asciiTheme="majorHAnsi" w:hAnsiTheme="majorHAnsi" w:cstheme="majorHAnsi"/>
          <w:sz w:val="24"/>
          <w:szCs w:val="24"/>
        </w:rPr>
        <w:t>. The coupling of authority and orthodoxy</w:t>
      </w:r>
      <w:r w:rsidR="00FB1F8E" w:rsidRPr="001148C2">
        <w:rPr>
          <w:rFonts w:asciiTheme="majorHAnsi" w:hAnsiTheme="majorHAnsi" w:cstheme="majorHAnsi"/>
          <w:sz w:val="24"/>
          <w:szCs w:val="24"/>
        </w:rPr>
        <w:t xml:space="preserve">, whose origins we witness here, would shape the </w:t>
      </w:r>
      <w:r w:rsidR="00FB1F8E" w:rsidRPr="001148C2">
        <w:rPr>
          <w:rFonts w:asciiTheme="majorHAnsi" w:hAnsiTheme="majorHAnsi" w:cstheme="majorHAnsi"/>
          <w:sz w:val="24"/>
          <w:szCs w:val="24"/>
        </w:rPr>
        <w:lastRenderedPageBreak/>
        <w:t xml:space="preserve">Christian monarchy for centuries </w:t>
      </w:r>
      <w:r w:rsidRPr="001148C2">
        <w:rPr>
          <w:rFonts w:asciiTheme="majorHAnsi" w:hAnsiTheme="majorHAnsi" w:cstheme="majorHAnsi"/>
          <w:sz w:val="24"/>
          <w:szCs w:val="24"/>
        </w:rPr>
        <w:t>and would only be fundamentally disentangled in the modern age.</w:t>
      </w:r>
      <w:r w:rsidR="001A5296" w:rsidRPr="001148C2">
        <w:rPr>
          <w:rFonts w:asciiTheme="majorHAnsi" w:hAnsiTheme="majorHAnsi" w:cstheme="majorHAnsi"/>
          <w:sz w:val="24"/>
          <w:szCs w:val="24"/>
          <w:shd w:val="clear" w:color="auto" w:fill="FF9900"/>
          <w:vertAlign w:val="superscript"/>
        </w:rPr>
        <w:endnoteReference w:id="89"/>
      </w:r>
    </w:p>
    <w:p w:rsidR="00F47FBC" w:rsidRPr="001148C2" w:rsidRDefault="00F47FBC" w:rsidP="00262976">
      <w:pPr>
        <w:spacing w:after="60" w:line="240" w:lineRule="auto"/>
        <w:rPr>
          <w:rFonts w:asciiTheme="majorHAnsi" w:hAnsiTheme="majorHAnsi" w:cstheme="majorHAnsi"/>
          <w:sz w:val="24"/>
          <w:szCs w:val="24"/>
        </w:rPr>
      </w:pPr>
    </w:p>
    <w:p w:rsidR="00F47FBC" w:rsidRPr="001148C2" w:rsidRDefault="00F47FBC" w:rsidP="00371852">
      <w:pPr>
        <w:spacing w:after="60" w:line="240" w:lineRule="auto"/>
        <w:ind w:firstLine="566"/>
        <w:rPr>
          <w:rFonts w:asciiTheme="majorHAnsi" w:hAnsiTheme="majorHAnsi" w:cstheme="majorHAnsi"/>
          <w:sz w:val="24"/>
          <w:szCs w:val="24"/>
        </w:rPr>
      </w:pPr>
    </w:p>
    <w:p w:rsidR="00A161CD" w:rsidRPr="001148C2" w:rsidRDefault="00A161CD" w:rsidP="00371852">
      <w:pPr>
        <w:spacing w:after="60" w:line="240" w:lineRule="auto"/>
        <w:ind w:firstLine="566"/>
        <w:rPr>
          <w:rFonts w:asciiTheme="majorHAnsi" w:hAnsiTheme="majorHAnsi" w:cstheme="majorHAnsi"/>
          <w:sz w:val="24"/>
          <w:szCs w:val="24"/>
        </w:rPr>
      </w:pPr>
    </w:p>
    <w:p w:rsidR="00A161CD" w:rsidRPr="001148C2" w:rsidRDefault="00A161CD" w:rsidP="00371852">
      <w:pPr>
        <w:spacing w:after="60" w:line="240" w:lineRule="auto"/>
        <w:ind w:firstLine="566"/>
        <w:rPr>
          <w:rFonts w:asciiTheme="majorHAnsi" w:hAnsiTheme="majorHAnsi" w:cstheme="majorHAnsi"/>
          <w:sz w:val="24"/>
          <w:szCs w:val="24"/>
        </w:rPr>
      </w:pPr>
    </w:p>
    <w:p w:rsidR="00A161CD" w:rsidRPr="001148C2" w:rsidRDefault="00A161CD" w:rsidP="00371852">
      <w:pPr>
        <w:spacing w:after="60" w:line="240" w:lineRule="auto"/>
        <w:ind w:firstLine="566"/>
        <w:rPr>
          <w:rFonts w:asciiTheme="majorHAnsi" w:hAnsiTheme="majorHAnsi" w:cstheme="majorHAnsi"/>
          <w:sz w:val="24"/>
          <w:szCs w:val="24"/>
        </w:rPr>
      </w:pPr>
    </w:p>
    <w:p w:rsidR="00A161CD" w:rsidRPr="001148C2" w:rsidRDefault="00A161CD" w:rsidP="00371852">
      <w:pPr>
        <w:spacing w:after="60" w:line="240" w:lineRule="auto"/>
        <w:ind w:firstLine="566"/>
        <w:rPr>
          <w:rFonts w:asciiTheme="majorHAnsi" w:hAnsiTheme="majorHAnsi" w:cstheme="majorHAnsi"/>
          <w:sz w:val="24"/>
          <w:szCs w:val="24"/>
        </w:rPr>
      </w:pPr>
    </w:p>
    <w:p w:rsidR="00A161CD" w:rsidRPr="001148C2" w:rsidRDefault="00A161CD" w:rsidP="00371852">
      <w:pPr>
        <w:spacing w:after="60" w:line="240" w:lineRule="auto"/>
        <w:ind w:firstLine="566"/>
        <w:rPr>
          <w:rFonts w:asciiTheme="majorHAnsi" w:hAnsiTheme="majorHAnsi" w:cstheme="majorHAnsi"/>
          <w:sz w:val="24"/>
          <w:szCs w:val="24"/>
        </w:rPr>
      </w:pPr>
    </w:p>
    <w:p w:rsidR="00A161CD" w:rsidRPr="001148C2" w:rsidRDefault="00A161CD" w:rsidP="00371852">
      <w:pPr>
        <w:spacing w:after="60" w:line="240" w:lineRule="auto"/>
        <w:ind w:firstLine="566"/>
        <w:rPr>
          <w:rFonts w:asciiTheme="majorHAnsi" w:hAnsiTheme="majorHAnsi" w:cstheme="majorHAnsi"/>
          <w:sz w:val="24"/>
          <w:szCs w:val="24"/>
        </w:rPr>
      </w:pPr>
    </w:p>
    <w:p w:rsidR="00A161CD" w:rsidRPr="001148C2" w:rsidRDefault="00A161CD" w:rsidP="00371852">
      <w:pPr>
        <w:spacing w:after="60" w:line="240" w:lineRule="auto"/>
        <w:ind w:firstLine="566"/>
        <w:rPr>
          <w:rFonts w:asciiTheme="majorHAnsi" w:hAnsiTheme="majorHAnsi" w:cstheme="majorHAnsi"/>
          <w:sz w:val="24"/>
          <w:szCs w:val="24"/>
        </w:rPr>
      </w:pPr>
    </w:p>
    <w:p w:rsidR="00A161CD" w:rsidRPr="001148C2" w:rsidRDefault="00A161CD" w:rsidP="00371852">
      <w:pPr>
        <w:spacing w:after="60" w:line="240" w:lineRule="auto"/>
        <w:ind w:firstLine="566"/>
        <w:rPr>
          <w:rFonts w:asciiTheme="majorHAnsi" w:hAnsiTheme="majorHAnsi" w:cstheme="majorHAnsi"/>
          <w:sz w:val="24"/>
          <w:szCs w:val="24"/>
        </w:rPr>
      </w:pPr>
    </w:p>
    <w:p w:rsidR="00A161CD" w:rsidRPr="001148C2" w:rsidRDefault="00A161CD" w:rsidP="00371852">
      <w:pPr>
        <w:spacing w:after="60" w:line="240" w:lineRule="auto"/>
        <w:ind w:firstLine="566"/>
        <w:rPr>
          <w:rFonts w:asciiTheme="majorHAnsi" w:hAnsiTheme="majorHAnsi" w:cstheme="majorHAnsi"/>
          <w:sz w:val="24"/>
          <w:szCs w:val="24"/>
        </w:rPr>
      </w:pPr>
    </w:p>
    <w:p w:rsidR="00A161CD" w:rsidRPr="001148C2" w:rsidRDefault="00A161CD" w:rsidP="00371852">
      <w:pPr>
        <w:spacing w:after="60" w:line="240" w:lineRule="auto"/>
        <w:ind w:firstLine="566"/>
        <w:rPr>
          <w:rFonts w:asciiTheme="majorHAnsi" w:hAnsiTheme="majorHAnsi" w:cstheme="majorHAnsi"/>
          <w:sz w:val="24"/>
          <w:szCs w:val="24"/>
        </w:rPr>
      </w:pPr>
    </w:p>
    <w:p w:rsidR="00A161CD" w:rsidRPr="001148C2" w:rsidRDefault="00A161CD" w:rsidP="00371852">
      <w:pPr>
        <w:spacing w:after="60" w:line="240" w:lineRule="auto"/>
        <w:ind w:firstLine="566"/>
        <w:rPr>
          <w:rFonts w:asciiTheme="majorHAnsi" w:hAnsiTheme="majorHAnsi" w:cstheme="majorHAnsi"/>
          <w:sz w:val="24"/>
          <w:szCs w:val="24"/>
        </w:rPr>
      </w:pPr>
    </w:p>
    <w:p w:rsidR="00A161CD" w:rsidRPr="001148C2" w:rsidRDefault="00A161CD" w:rsidP="00371852">
      <w:pPr>
        <w:spacing w:after="60" w:line="240" w:lineRule="auto"/>
        <w:ind w:firstLine="566"/>
        <w:rPr>
          <w:rFonts w:asciiTheme="majorHAnsi" w:hAnsiTheme="majorHAnsi" w:cstheme="majorHAnsi"/>
          <w:sz w:val="24"/>
          <w:szCs w:val="24"/>
        </w:rPr>
      </w:pPr>
    </w:p>
    <w:p w:rsidR="00A161CD" w:rsidRPr="001148C2" w:rsidRDefault="00A161CD" w:rsidP="00371852">
      <w:pPr>
        <w:spacing w:after="60" w:line="240" w:lineRule="auto"/>
        <w:ind w:firstLine="566"/>
        <w:rPr>
          <w:rFonts w:asciiTheme="majorHAnsi" w:hAnsiTheme="majorHAnsi" w:cstheme="majorHAnsi"/>
          <w:sz w:val="24"/>
          <w:szCs w:val="24"/>
        </w:rPr>
      </w:pPr>
    </w:p>
    <w:p w:rsidR="00A161CD" w:rsidRPr="001148C2" w:rsidRDefault="00A161CD" w:rsidP="00371852">
      <w:pPr>
        <w:spacing w:after="60" w:line="240" w:lineRule="auto"/>
        <w:ind w:firstLine="566"/>
        <w:rPr>
          <w:rFonts w:asciiTheme="majorHAnsi" w:hAnsiTheme="majorHAnsi" w:cstheme="majorHAnsi"/>
          <w:sz w:val="24"/>
          <w:szCs w:val="24"/>
        </w:rPr>
      </w:pPr>
    </w:p>
    <w:p w:rsidR="00A161CD" w:rsidRPr="001148C2" w:rsidRDefault="00A161CD" w:rsidP="00371852">
      <w:pPr>
        <w:spacing w:after="60" w:line="240" w:lineRule="auto"/>
        <w:ind w:firstLine="566"/>
        <w:rPr>
          <w:rFonts w:asciiTheme="majorHAnsi" w:hAnsiTheme="majorHAnsi" w:cstheme="majorHAnsi"/>
          <w:sz w:val="24"/>
          <w:szCs w:val="24"/>
        </w:rPr>
      </w:pPr>
    </w:p>
    <w:p w:rsidR="00A161CD" w:rsidRPr="001148C2" w:rsidRDefault="00A161CD" w:rsidP="00371852">
      <w:pPr>
        <w:spacing w:after="60" w:line="240" w:lineRule="auto"/>
        <w:ind w:firstLine="566"/>
        <w:rPr>
          <w:rFonts w:asciiTheme="majorHAnsi" w:hAnsiTheme="majorHAnsi" w:cstheme="majorHAnsi"/>
          <w:sz w:val="24"/>
          <w:szCs w:val="24"/>
        </w:rPr>
      </w:pPr>
    </w:p>
    <w:p w:rsidR="00A161CD" w:rsidRPr="001148C2" w:rsidRDefault="00A161CD" w:rsidP="00371852">
      <w:pPr>
        <w:spacing w:after="60" w:line="240" w:lineRule="auto"/>
        <w:ind w:firstLine="566"/>
        <w:rPr>
          <w:rFonts w:asciiTheme="majorHAnsi" w:hAnsiTheme="majorHAnsi" w:cstheme="majorHAnsi"/>
          <w:sz w:val="24"/>
          <w:szCs w:val="24"/>
        </w:rPr>
      </w:pPr>
    </w:p>
    <w:p w:rsidR="00A161CD" w:rsidRPr="001148C2" w:rsidRDefault="00A161CD" w:rsidP="00371852">
      <w:pPr>
        <w:spacing w:after="60" w:line="240" w:lineRule="auto"/>
        <w:ind w:firstLine="566"/>
        <w:rPr>
          <w:rFonts w:asciiTheme="majorHAnsi" w:hAnsiTheme="majorHAnsi" w:cstheme="majorHAnsi"/>
          <w:sz w:val="24"/>
          <w:szCs w:val="24"/>
        </w:rPr>
      </w:pPr>
    </w:p>
    <w:p w:rsidR="00A161CD" w:rsidRPr="001148C2" w:rsidRDefault="00A161CD" w:rsidP="00371852">
      <w:pPr>
        <w:spacing w:after="60" w:line="240" w:lineRule="auto"/>
        <w:ind w:firstLine="566"/>
        <w:rPr>
          <w:rFonts w:asciiTheme="majorHAnsi" w:hAnsiTheme="majorHAnsi" w:cstheme="majorHAnsi"/>
          <w:sz w:val="24"/>
          <w:szCs w:val="24"/>
        </w:rPr>
      </w:pPr>
    </w:p>
    <w:p w:rsidR="00A161CD" w:rsidRPr="001148C2" w:rsidRDefault="00A161CD" w:rsidP="001A5296">
      <w:pPr>
        <w:spacing w:after="60" w:line="240" w:lineRule="auto"/>
        <w:rPr>
          <w:rFonts w:asciiTheme="majorHAnsi" w:hAnsiTheme="majorHAnsi" w:cstheme="majorHAnsi"/>
          <w:sz w:val="24"/>
          <w:szCs w:val="24"/>
        </w:rPr>
      </w:pPr>
    </w:p>
    <w:p w:rsidR="00A161CD" w:rsidRPr="001148C2" w:rsidRDefault="00A161CD" w:rsidP="00371852">
      <w:pPr>
        <w:spacing w:after="60" w:line="240" w:lineRule="auto"/>
        <w:ind w:firstLine="566"/>
        <w:rPr>
          <w:rFonts w:asciiTheme="majorHAnsi" w:hAnsiTheme="majorHAnsi" w:cstheme="majorHAnsi"/>
          <w:sz w:val="24"/>
          <w:szCs w:val="24"/>
        </w:rPr>
      </w:pPr>
    </w:p>
    <w:p w:rsidR="00F707F4" w:rsidRPr="001148C2" w:rsidRDefault="00F707F4" w:rsidP="00371852">
      <w:pPr>
        <w:spacing w:after="60" w:line="240" w:lineRule="auto"/>
        <w:ind w:firstLine="566"/>
        <w:rPr>
          <w:rFonts w:asciiTheme="majorHAnsi" w:hAnsiTheme="majorHAnsi" w:cstheme="majorHAnsi"/>
          <w:sz w:val="24"/>
          <w:szCs w:val="24"/>
        </w:rPr>
      </w:pPr>
    </w:p>
    <w:sectPr w:rsidR="00F707F4" w:rsidRPr="001148C2">
      <w:headerReference w:type="even" r:id="rId8"/>
      <w:headerReference w:type="default" r:id="rId9"/>
      <w:footerReference w:type="even" r:id="rId10"/>
      <w:footerReference w:type="default" r:id="rId11"/>
      <w:headerReference w:type="first" r:id="rId12"/>
      <w:footerReference w:type="first" r:id="rId13"/>
      <w:endnotePr>
        <w:numFmt w:val="decimal"/>
      </w:endnotePr>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0930" w:rsidRDefault="000C0930">
      <w:pPr>
        <w:spacing w:after="0" w:line="240" w:lineRule="auto"/>
      </w:pPr>
      <w:r>
        <w:separator/>
      </w:r>
    </w:p>
  </w:endnote>
  <w:endnote w:type="continuationSeparator" w:id="0">
    <w:p w:rsidR="000C0930" w:rsidRDefault="000C0930">
      <w:pPr>
        <w:spacing w:after="0" w:line="240" w:lineRule="auto"/>
      </w:pPr>
      <w:r>
        <w:continuationSeparator/>
      </w:r>
    </w:p>
  </w:endnote>
  <w:endnote w:id="1">
    <w:p w:rsidR="00F839EC" w:rsidRPr="001148C2" w:rsidRDefault="00F839EC" w:rsidP="001148C2">
      <w:pPr>
        <w:spacing w:after="0" w:line="240" w:lineRule="auto"/>
        <w:rPr>
          <w:rFonts w:asciiTheme="majorHAnsi" w:hAnsiTheme="majorHAnsi" w:cstheme="majorHAnsi"/>
          <w:sz w:val="20"/>
          <w:szCs w:val="20"/>
        </w:rPr>
      </w:pPr>
      <w:r w:rsidRPr="001148C2">
        <w:rPr>
          <w:rFonts w:asciiTheme="majorHAnsi" w:hAnsiTheme="majorHAnsi" w:cstheme="majorHAnsi"/>
          <w:sz w:val="20"/>
          <w:szCs w:val="20"/>
          <w:vertAlign w:val="superscript"/>
        </w:rPr>
        <w:endnoteRef/>
      </w:r>
    </w:p>
  </w:endnote>
  <w:endnote w:id="2">
    <w:p w:rsidR="00F839EC" w:rsidRPr="001148C2" w:rsidRDefault="00F839EC" w:rsidP="001148C2">
      <w:pPr>
        <w:spacing w:after="0" w:line="240" w:lineRule="auto"/>
        <w:rPr>
          <w:rFonts w:asciiTheme="majorHAnsi" w:hAnsiTheme="majorHAnsi" w:cstheme="majorHAnsi"/>
          <w:sz w:val="20"/>
          <w:szCs w:val="20"/>
        </w:rPr>
      </w:pPr>
      <w:r w:rsidRPr="001148C2">
        <w:rPr>
          <w:rFonts w:asciiTheme="majorHAnsi" w:hAnsiTheme="majorHAnsi" w:cstheme="majorHAnsi"/>
          <w:sz w:val="20"/>
          <w:szCs w:val="20"/>
          <w:vertAlign w:val="superscript"/>
        </w:rPr>
        <w:endnoteRef/>
      </w:r>
    </w:p>
  </w:endnote>
  <w:endnote w:id="3">
    <w:p w:rsidR="00F839EC" w:rsidRPr="001148C2" w:rsidRDefault="00F839EC" w:rsidP="001148C2">
      <w:pPr>
        <w:spacing w:after="0" w:line="240" w:lineRule="auto"/>
        <w:rPr>
          <w:rFonts w:asciiTheme="majorHAnsi" w:hAnsiTheme="majorHAnsi" w:cstheme="majorHAnsi"/>
          <w:sz w:val="20"/>
          <w:szCs w:val="20"/>
        </w:rPr>
      </w:pPr>
      <w:r w:rsidRPr="001148C2">
        <w:rPr>
          <w:rFonts w:asciiTheme="majorHAnsi" w:hAnsiTheme="majorHAnsi" w:cstheme="majorHAnsi"/>
          <w:sz w:val="20"/>
          <w:szCs w:val="20"/>
          <w:vertAlign w:val="superscript"/>
        </w:rPr>
        <w:endnoteRef/>
      </w:r>
    </w:p>
  </w:endnote>
  <w:endnote w:id="4">
    <w:p w:rsidR="00F839EC" w:rsidRPr="001148C2" w:rsidRDefault="00F839EC" w:rsidP="001148C2">
      <w:pPr>
        <w:spacing w:after="0" w:line="240" w:lineRule="auto"/>
        <w:rPr>
          <w:rFonts w:asciiTheme="majorHAnsi" w:hAnsiTheme="majorHAnsi" w:cstheme="majorHAnsi"/>
          <w:sz w:val="20"/>
          <w:szCs w:val="20"/>
        </w:rPr>
      </w:pPr>
      <w:r w:rsidRPr="001148C2">
        <w:rPr>
          <w:rFonts w:asciiTheme="majorHAnsi" w:hAnsiTheme="majorHAnsi" w:cstheme="majorHAnsi"/>
          <w:sz w:val="20"/>
          <w:szCs w:val="20"/>
          <w:vertAlign w:val="superscript"/>
        </w:rPr>
        <w:endnoteRef/>
      </w:r>
    </w:p>
  </w:endnote>
  <w:endnote w:id="5">
    <w:p w:rsidR="00F839EC" w:rsidRPr="001148C2" w:rsidRDefault="00F839EC" w:rsidP="001148C2">
      <w:pPr>
        <w:pStyle w:val="Endnotentext"/>
        <w:rPr>
          <w:rFonts w:asciiTheme="majorHAnsi" w:hAnsiTheme="majorHAnsi" w:cstheme="majorHAnsi"/>
          <w:lang w:val="de-DE"/>
        </w:rPr>
      </w:pPr>
      <w:r w:rsidRPr="001148C2">
        <w:rPr>
          <w:rStyle w:val="Endnotenzeichen"/>
          <w:rFonts w:asciiTheme="majorHAnsi" w:hAnsiTheme="majorHAnsi" w:cstheme="majorHAnsi"/>
        </w:rPr>
        <w:endnoteRef/>
      </w:r>
    </w:p>
  </w:endnote>
  <w:endnote w:id="6">
    <w:p w:rsidR="00F839EC" w:rsidRPr="001148C2" w:rsidRDefault="00F839EC" w:rsidP="001148C2">
      <w:pPr>
        <w:spacing w:after="0" w:line="240" w:lineRule="auto"/>
        <w:rPr>
          <w:rFonts w:asciiTheme="majorHAnsi" w:hAnsiTheme="majorHAnsi" w:cstheme="majorHAnsi"/>
          <w:sz w:val="20"/>
          <w:szCs w:val="20"/>
        </w:rPr>
      </w:pPr>
      <w:r w:rsidRPr="001148C2">
        <w:rPr>
          <w:rFonts w:asciiTheme="majorHAnsi" w:hAnsiTheme="majorHAnsi" w:cstheme="majorHAnsi"/>
          <w:sz w:val="20"/>
          <w:szCs w:val="20"/>
          <w:vertAlign w:val="superscript"/>
        </w:rPr>
        <w:endnoteRef/>
      </w:r>
    </w:p>
  </w:endnote>
  <w:endnote w:id="7">
    <w:p w:rsidR="00F839EC" w:rsidRPr="001148C2" w:rsidRDefault="00F839EC" w:rsidP="001148C2">
      <w:pPr>
        <w:spacing w:after="0" w:line="240" w:lineRule="auto"/>
        <w:rPr>
          <w:rFonts w:asciiTheme="majorHAnsi" w:hAnsiTheme="majorHAnsi" w:cstheme="majorHAnsi"/>
          <w:sz w:val="20"/>
          <w:szCs w:val="20"/>
        </w:rPr>
      </w:pPr>
      <w:r w:rsidRPr="001148C2">
        <w:rPr>
          <w:rFonts w:asciiTheme="majorHAnsi" w:hAnsiTheme="majorHAnsi" w:cstheme="majorHAnsi"/>
          <w:sz w:val="20"/>
          <w:szCs w:val="20"/>
          <w:vertAlign w:val="superscript"/>
        </w:rPr>
        <w:endnoteRef/>
      </w:r>
    </w:p>
  </w:endnote>
  <w:endnote w:id="8">
    <w:p w:rsidR="00F839EC" w:rsidRPr="001148C2" w:rsidRDefault="00F839EC" w:rsidP="001148C2">
      <w:pPr>
        <w:spacing w:after="0" w:line="240" w:lineRule="auto"/>
        <w:rPr>
          <w:rFonts w:asciiTheme="majorHAnsi" w:hAnsiTheme="majorHAnsi" w:cstheme="majorHAnsi"/>
          <w:sz w:val="20"/>
          <w:szCs w:val="20"/>
          <w:shd w:val="clear" w:color="auto" w:fill="FF9900"/>
        </w:rPr>
      </w:pPr>
      <w:r w:rsidRPr="001148C2">
        <w:rPr>
          <w:rFonts w:asciiTheme="majorHAnsi" w:hAnsiTheme="majorHAnsi" w:cstheme="majorHAnsi"/>
          <w:sz w:val="20"/>
          <w:szCs w:val="20"/>
          <w:vertAlign w:val="superscript"/>
        </w:rPr>
        <w:endnoteRef/>
      </w:r>
    </w:p>
  </w:endnote>
  <w:endnote w:id="9">
    <w:p w:rsidR="00F839EC" w:rsidRPr="001148C2" w:rsidRDefault="00F839EC" w:rsidP="001148C2">
      <w:pPr>
        <w:spacing w:after="0" w:line="240" w:lineRule="auto"/>
        <w:rPr>
          <w:rFonts w:asciiTheme="majorHAnsi" w:hAnsiTheme="majorHAnsi" w:cstheme="majorHAnsi"/>
          <w:sz w:val="20"/>
          <w:szCs w:val="20"/>
          <w:shd w:val="clear" w:color="auto" w:fill="FF9900"/>
        </w:rPr>
      </w:pPr>
      <w:r w:rsidRPr="001148C2">
        <w:rPr>
          <w:rFonts w:asciiTheme="majorHAnsi" w:hAnsiTheme="majorHAnsi" w:cstheme="majorHAnsi"/>
          <w:sz w:val="20"/>
          <w:szCs w:val="20"/>
          <w:vertAlign w:val="superscript"/>
        </w:rPr>
        <w:endnoteRef/>
      </w:r>
    </w:p>
  </w:endnote>
  <w:endnote w:id="10">
    <w:p w:rsidR="00F839EC" w:rsidRPr="001148C2" w:rsidRDefault="00F839EC" w:rsidP="001148C2">
      <w:pPr>
        <w:spacing w:after="0" w:line="240" w:lineRule="auto"/>
        <w:rPr>
          <w:rFonts w:asciiTheme="majorHAnsi" w:hAnsiTheme="majorHAnsi" w:cstheme="majorHAnsi"/>
          <w:sz w:val="20"/>
          <w:szCs w:val="20"/>
        </w:rPr>
      </w:pPr>
      <w:r w:rsidRPr="001148C2">
        <w:rPr>
          <w:rFonts w:asciiTheme="majorHAnsi" w:hAnsiTheme="majorHAnsi" w:cstheme="majorHAnsi"/>
          <w:sz w:val="20"/>
          <w:szCs w:val="20"/>
          <w:vertAlign w:val="superscript"/>
        </w:rPr>
        <w:endnoteRef/>
      </w:r>
    </w:p>
  </w:endnote>
  <w:endnote w:id="11">
    <w:p w:rsidR="00F839EC" w:rsidRPr="001148C2" w:rsidRDefault="00F839EC" w:rsidP="001148C2">
      <w:pPr>
        <w:spacing w:after="0" w:line="240" w:lineRule="auto"/>
        <w:rPr>
          <w:rFonts w:asciiTheme="majorHAnsi" w:hAnsiTheme="majorHAnsi" w:cstheme="majorHAnsi"/>
          <w:sz w:val="20"/>
          <w:szCs w:val="20"/>
        </w:rPr>
      </w:pPr>
      <w:r w:rsidRPr="001148C2">
        <w:rPr>
          <w:rFonts w:asciiTheme="majorHAnsi" w:hAnsiTheme="majorHAnsi" w:cstheme="majorHAnsi"/>
          <w:sz w:val="20"/>
          <w:szCs w:val="20"/>
          <w:vertAlign w:val="superscript"/>
        </w:rPr>
        <w:endnoteRef/>
      </w:r>
    </w:p>
  </w:endnote>
  <w:endnote w:id="12">
    <w:p w:rsidR="00F839EC" w:rsidRPr="001148C2" w:rsidRDefault="00F839EC" w:rsidP="001148C2">
      <w:pPr>
        <w:spacing w:after="0" w:line="240" w:lineRule="auto"/>
        <w:rPr>
          <w:rFonts w:asciiTheme="majorHAnsi" w:hAnsiTheme="majorHAnsi" w:cstheme="majorHAnsi"/>
          <w:sz w:val="20"/>
          <w:szCs w:val="20"/>
        </w:rPr>
      </w:pPr>
      <w:r w:rsidRPr="001148C2">
        <w:rPr>
          <w:rFonts w:asciiTheme="majorHAnsi" w:hAnsiTheme="majorHAnsi" w:cstheme="majorHAnsi"/>
          <w:sz w:val="20"/>
          <w:szCs w:val="20"/>
          <w:vertAlign w:val="superscript"/>
        </w:rPr>
        <w:endnoteRef/>
      </w:r>
    </w:p>
  </w:endnote>
  <w:endnote w:id="13">
    <w:p w:rsidR="00F839EC" w:rsidRPr="001148C2" w:rsidRDefault="00F839EC" w:rsidP="001148C2">
      <w:pPr>
        <w:spacing w:after="0" w:line="240" w:lineRule="auto"/>
        <w:rPr>
          <w:rFonts w:asciiTheme="majorHAnsi" w:hAnsiTheme="majorHAnsi" w:cstheme="majorHAnsi"/>
          <w:i/>
          <w:iCs/>
          <w:sz w:val="20"/>
          <w:szCs w:val="20"/>
        </w:rPr>
      </w:pPr>
      <w:r w:rsidRPr="001148C2">
        <w:rPr>
          <w:rFonts w:asciiTheme="majorHAnsi" w:hAnsiTheme="majorHAnsi" w:cstheme="majorHAnsi"/>
          <w:sz w:val="20"/>
          <w:szCs w:val="20"/>
          <w:vertAlign w:val="superscript"/>
        </w:rPr>
        <w:endnoteRef/>
      </w:r>
      <w:r w:rsidRPr="001148C2">
        <w:rPr>
          <w:rFonts w:asciiTheme="majorHAnsi" w:hAnsiTheme="majorHAnsi" w:cstheme="majorHAnsi"/>
          <w:i/>
          <w:iCs/>
          <w:sz w:val="20"/>
          <w:szCs w:val="20"/>
        </w:rPr>
        <w:t xml:space="preserve"> </w:t>
      </w:r>
    </w:p>
  </w:endnote>
  <w:endnote w:id="14">
    <w:p w:rsidR="00F839EC" w:rsidRPr="001148C2" w:rsidRDefault="00F839EC" w:rsidP="001148C2">
      <w:pPr>
        <w:spacing w:after="0" w:line="240" w:lineRule="auto"/>
        <w:rPr>
          <w:rFonts w:asciiTheme="majorHAnsi" w:hAnsiTheme="majorHAnsi" w:cstheme="majorHAnsi"/>
          <w:b/>
          <w:bCs/>
          <w:sz w:val="20"/>
          <w:szCs w:val="20"/>
          <w:u w:val="single"/>
        </w:rPr>
      </w:pPr>
      <w:r w:rsidRPr="001148C2">
        <w:rPr>
          <w:rFonts w:asciiTheme="majorHAnsi" w:hAnsiTheme="majorHAnsi" w:cstheme="majorHAnsi"/>
          <w:sz w:val="20"/>
          <w:szCs w:val="20"/>
          <w:vertAlign w:val="superscript"/>
        </w:rPr>
        <w:endnoteRef/>
      </w:r>
      <w:r w:rsidRPr="001148C2">
        <w:rPr>
          <w:rFonts w:asciiTheme="majorHAnsi" w:hAnsiTheme="majorHAnsi" w:cstheme="majorHAnsi"/>
          <w:b/>
          <w:bCs/>
          <w:sz w:val="20"/>
          <w:szCs w:val="20"/>
          <w:u w:val="single"/>
        </w:rPr>
        <w:t xml:space="preserve"> </w:t>
      </w:r>
    </w:p>
  </w:endnote>
  <w:endnote w:id="15">
    <w:p w:rsidR="00F839EC" w:rsidRPr="001148C2" w:rsidRDefault="00F839EC" w:rsidP="001148C2">
      <w:pPr>
        <w:spacing w:after="0" w:line="240" w:lineRule="auto"/>
        <w:rPr>
          <w:rFonts w:asciiTheme="majorHAnsi" w:hAnsiTheme="majorHAnsi" w:cstheme="majorHAnsi"/>
          <w:i/>
          <w:iCs/>
          <w:sz w:val="20"/>
          <w:szCs w:val="20"/>
        </w:rPr>
      </w:pPr>
      <w:r w:rsidRPr="001148C2">
        <w:rPr>
          <w:rFonts w:asciiTheme="majorHAnsi" w:hAnsiTheme="majorHAnsi" w:cstheme="majorHAnsi"/>
          <w:sz w:val="20"/>
          <w:szCs w:val="20"/>
          <w:vertAlign w:val="superscript"/>
        </w:rPr>
        <w:endnoteRef/>
      </w:r>
      <w:r w:rsidRPr="001148C2">
        <w:rPr>
          <w:rFonts w:asciiTheme="majorHAnsi" w:hAnsiTheme="majorHAnsi" w:cstheme="majorHAnsi"/>
          <w:i/>
          <w:iCs/>
          <w:color w:val="202122"/>
          <w:sz w:val="20"/>
          <w:szCs w:val="20"/>
        </w:rPr>
        <w:t xml:space="preserve"> </w:t>
      </w:r>
    </w:p>
  </w:endnote>
  <w:endnote w:id="16">
    <w:p w:rsidR="00F839EC" w:rsidRPr="001148C2" w:rsidRDefault="00F839EC" w:rsidP="001148C2">
      <w:pPr>
        <w:spacing w:after="0" w:line="240" w:lineRule="auto"/>
        <w:rPr>
          <w:rFonts w:asciiTheme="majorHAnsi" w:hAnsiTheme="majorHAnsi" w:cstheme="majorHAnsi"/>
          <w:sz w:val="20"/>
          <w:szCs w:val="20"/>
        </w:rPr>
      </w:pPr>
      <w:r w:rsidRPr="001148C2">
        <w:rPr>
          <w:rFonts w:asciiTheme="majorHAnsi" w:hAnsiTheme="majorHAnsi" w:cstheme="majorHAnsi"/>
          <w:sz w:val="20"/>
          <w:szCs w:val="20"/>
          <w:vertAlign w:val="superscript"/>
        </w:rPr>
        <w:endnoteRef/>
      </w:r>
      <w:r w:rsidRPr="001148C2">
        <w:rPr>
          <w:rFonts w:asciiTheme="majorHAnsi" w:hAnsiTheme="majorHAnsi" w:cstheme="majorHAnsi"/>
          <w:sz w:val="20"/>
          <w:szCs w:val="20"/>
        </w:rPr>
        <w:t xml:space="preserve"> </w:t>
      </w:r>
    </w:p>
  </w:endnote>
  <w:endnote w:id="17">
    <w:p w:rsidR="00F839EC" w:rsidRPr="001148C2" w:rsidRDefault="00F839EC" w:rsidP="001148C2">
      <w:pPr>
        <w:spacing w:after="0" w:line="240" w:lineRule="auto"/>
        <w:rPr>
          <w:rFonts w:asciiTheme="majorHAnsi" w:hAnsiTheme="majorHAnsi" w:cstheme="majorHAnsi"/>
          <w:sz w:val="20"/>
          <w:szCs w:val="20"/>
        </w:rPr>
      </w:pPr>
      <w:r w:rsidRPr="001148C2">
        <w:rPr>
          <w:rFonts w:asciiTheme="majorHAnsi" w:hAnsiTheme="majorHAnsi" w:cstheme="majorHAnsi"/>
          <w:sz w:val="20"/>
          <w:szCs w:val="20"/>
          <w:vertAlign w:val="superscript"/>
        </w:rPr>
        <w:endnoteRef/>
      </w:r>
      <w:r w:rsidRPr="001148C2">
        <w:rPr>
          <w:rFonts w:asciiTheme="majorHAnsi" w:hAnsiTheme="majorHAnsi" w:cstheme="majorHAnsi"/>
          <w:sz w:val="20"/>
          <w:szCs w:val="20"/>
        </w:rPr>
        <w:t xml:space="preserve"> </w:t>
      </w:r>
    </w:p>
  </w:endnote>
  <w:endnote w:id="18">
    <w:p w:rsidR="00F839EC" w:rsidRPr="001148C2" w:rsidRDefault="00F839EC" w:rsidP="001148C2">
      <w:pPr>
        <w:spacing w:after="0" w:line="240" w:lineRule="auto"/>
        <w:rPr>
          <w:rFonts w:asciiTheme="majorHAnsi" w:hAnsiTheme="majorHAnsi" w:cstheme="majorHAnsi"/>
          <w:sz w:val="20"/>
          <w:szCs w:val="20"/>
        </w:rPr>
      </w:pPr>
      <w:r w:rsidRPr="001148C2">
        <w:rPr>
          <w:rFonts w:asciiTheme="majorHAnsi" w:hAnsiTheme="majorHAnsi" w:cstheme="majorHAnsi"/>
          <w:sz w:val="20"/>
          <w:szCs w:val="20"/>
          <w:vertAlign w:val="superscript"/>
        </w:rPr>
        <w:endnoteRef/>
      </w:r>
      <w:r w:rsidRPr="001148C2">
        <w:rPr>
          <w:rFonts w:asciiTheme="majorHAnsi" w:hAnsiTheme="majorHAnsi" w:cstheme="majorHAnsi"/>
          <w:sz w:val="20"/>
          <w:szCs w:val="20"/>
        </w:rPr>
        <w:t xml:space="preserve"> </w:t>
      </w:r>
    </w:p>
  </w:endnote>
  <w:endnote w:id="19">
    <w:p w:rsidR="00F839EC" w:rsidRPr="001148C2" w:rsidRDefault="00F839EC" w:rsidP="001148C2">
      <w:pPr>
        <w:spacing w:after="0" w:line="240" w:lineRule="auto"/>
        <w:rPr>
          <w:rFonts w:asciiTheme="majorHAnsi" w:hAnsiTheme="majorHAnsi" w:cstheme="majorHAnsi"/>
          <w:sz w:val="20"/>
          <w:szCs w:val="20"/>
        </w:rPr>
      </w:pPr>
      <w:r w:rsidRPr="001148C2">
        <w:rPr>
          <w:rFonts w:asciiTheme="majorHAnsi" w:hAnsiTheme="majorHAnsi" w:cstheme="majorHAnsi"/>
          <w:sz w:val="20"/>
          <w:szCs w:val="20"/>
          <w:vertAlign w:val="superscript"/>
        </w:rPr>
        <w:endnoteRef/>
      </w:r>
      <w:r w:rsidRPr="001148C2">
        <w:rPr>
          <w:rFonts w:asciiTheme="majorHAnsi" w:hAnsiTheme="majorHAnsi" w:cstheme="majorHAnsi"/>
          <w:sz w:val="20"/>
          <w:szCs w:val="20"/>
        </w:rPr>
        <w:t xml:space="preserve"> </w:t>
      </w:r>
    </w:p>
  </w:endnote>
  <w:endnote w:id="20">
    <w:p w:rsidR="00F839EC" w:rsidRPr="001148C2" w:rsidRDefault="00F839EC" w:rsidP="001148C2">
      <w:pPr>
        <w:spacing w:after="0" w:line="240" w:lineRule="auto"/>
        <w:rPr>
          <w:rFonts w:asciiTheme="majorHAnsi" w:hAnsiTheme="majorHAnsi" w:cstheme="majorHAnsi"/>
          <w:sz w:val="20"/>
          <w:szCs w:val="20"/>
        </w:rPr>
      </w:pPr>
      <w:r w:rsidRPr="001148C2">
        <w:rPr>
          <w:rFonts w:asciiTheme="majorHAnsi" w:hAnsiTheme="majorHAnsi" w:cstheme="majorHAnsi"/>
          <w:sz w:val="20"/>
          <w:szCs w:val="20"/>
          <w:vertAlign w:val="superscript"/>
        </w:rPr>
        <w:endnoteRef/>
      </w:r>
      <w:r w:rsidRPr="001148C2">
        <w:rPr>
          <w:rFonts w:asciiTheme="majorHAnsi" w:hAnsiTheme="majorHAnsi" w:cstheme="majorHAnsi"/>
          <w:sz w:val="20"/>
          <w:szCs w:val="20"/>
        </w:rPr>
        <w:t xml:space="preserve"> </w:t>
      </w:r>
    </w:p>
  </w:endnote>
  <w:endnote w:id="21">
    <w:p w:rsidR="00F839EC" w:rsidRPr="001148C2" w:rsidRDefault="00F839EC" w:rsidP="001148C2">
      <w:pPr>
        <w:spacing w:after="0" w:line="240" w:lineRule="auto"/>
        <w:rPr>
          <w:rFonts w:asciiTheme="majorHAnsi" w:hAnsiTheme="majorHAnsi" w:cstheme="majorHAnsi"/>
          <w:sz w:val="20"/>
          <w:szCs w:val="20"/>
        </w:rPr>
      </w:pPr>
      <w:r w:rsidRPr="001148C2">
        <w:rPr>
          <w:rFonts w:asciiTheme="majorHAnsi" w:hAnsiTheme="majorHAnsi" w:cstheme="majorHAnsi"/>
          <w:sz w:val="20"/>
          <w:szCs w:val="20"/>
          <w:vertAlign w:val="superscript"/>
        </w:rPr>
        <w:endnoteRef/>
      </w:r>
      <w:r w:rsidRPr="001148C2">
        <w:rPr>
          <w:rFonts w:asciiTheme="majorHAnsi" w:hAnsiTheme="majorHAnsi" w:cstheme="majorHAnsi"/>
          <w:sz w:val="20"/>
          <w:szCs w:val="20"/>
        </w:rPr>
        <w:t xml:space="preserve"> </w:t>
      </w:r>
    </w:p>
  </w:endnote>
  <w:endnote w:id="22">
    <w:p w:rsidR="00A161CD" w:rsidRPr="001148C2" w:rsidRDefault="00A161CD" w:rsidP="001148C2">
      <w:pPr>
        <w:pStyle w:val="Endnotentext"/>
        <w:rPr>
          <w:lang w:val="de-DE"/>
        </w:rPr>
      </w:pPr>
      <w:r w:rsidRPr="001148C2">
        <w:rPr>
          <w:rStyle w:val="Endnotenzeichen"/>
        </w:rPr>
        <w:endnoteRef/>
      </w:r>
      <w:r w:rsidRPr="001148C2">
        <w:t xml:space="preserve"> </w:t>
      </w:r>
    </w:p>
  </w:endnote>
  <w:endnote w:id="23">
    <w:p w:rsidR="00A161CD" w:rsidRPr="001148C2" w:rsidRDefault="00A161CD" w:rsidP="001148C2">
      <w:pPr>
        <w:spacing w:after="0" w:line="240" w:lineRule="auto"/>
        <w:rPr>
          <w:rFonts w:asciiTheme="majorHAnsi" w:hAnsiTheme="majorHAnsi" w:cstheme="majorHAnsi"/>
          <w:sz w:val="20"/>
          <w:szCs w:val="20"/>
        </w:rPr>
      </w:pPr>
      <w:r w:rsidRPr="001148C2">
        <w:rPr>
          <w:rFonts w:asciiTheme="majorHAnsi" w:hAnsiTheme="majorHAnsi" w:cstheme="majorHAnsi"/>
          <w:sz w:val="20"/>
          <w:szCs w:val="20"/>
          <w:vertAlign w:val="superscript"/>
        </w:rPr>
        <w:endnoteRef/>
      </w:r>
      <w:r w:rsidRPr="001148C2">
        <w:rPr>
          <w:rFonts w:asciiTheme="majorHAnsi" w:hAnsiTheme="majorHAnsi" w:cstheme="majorHAnsi"/>
          <w:sz w:val="20"/>
          <w:szCs w:val="20"/>
        </w:rPr>
        <w:t xml:space="preserve"> </w:t>
      </w:r>
    </w:p>
  </w:endnote>
  <w:endnote w:id="24">
    <w:p w:rsidR="00A161CD" w:rsidRPr="001148C2" w:rsidRDefault="00A161CD" w:rsidP="001148C2">
      <w:pPr>
        <w:spacing w:after="0" w:line="240" w:lineRule="auto"/>
        <w:rPr>
          <w:rFonts w:asciiTheme="majorHAnsi" w:hAnsiTheme="majorHAnsi" w:cstheme="majorHAnsi"/>
          <w:sz w:val="20"/>
          <w:szCs w:val="20"/>
        </w:rPr>
      </w:pPr>
      <w:r w:rsidRPr="001148C2">
        <w:rPr>
          <w:rFonts w:asciiTheme="majorHAnsi" w:hAnsiTheme="majorHAnsi" w:cstheme="majorHAnsi"/>
          <w:sz w:val="20"/>
          <w:szCs w:val="20"/>
          <w:vertAlign w:val="superscript"/>
        </w:rPr>
        <w:endnoteRef/>
      </w:r>
      <w:r w:rsidRPr="001148C2">
        <w:rPr>
          <w:rFonts w:asciiTheme="majorHAnsi" w:hAnsiTheme="majorHAnsi" w:cstheme="majorHAnsi"/>
          <w:sz w:val="20"/>
          <w:szCs w:val="20"/>
        </w:rPr>
        <w:t xml:space="preserve"> </w:t>
      </w:r>
    </w:p>
  </w:endnote>
  <w:endnote w:id="25">
    <w:p w:rsidR="00A161CD" w:rsidRPr="001148C2" w:rsidRDefault="00A161CD" w:rsidP="001148C2">
      <w:pPr>
        <w:spacing w:after="0" w:line="240" w:lineRule="auto"/>
        <w:rPr>
          <w:rFonts w:asciiTheme="majorHAnsi" w:eastAsia="Arial" w:hAnsiTheme="majorHAnsi" w:cstheme="majorHAnsi"/>
          <w:sz w:val="20"/>
          <w:szCs w:val="20"/>
        </w:rPr>
      </w:pPr>
      <w:r w:rsidRPr="001148C2">
        <w:rPr>
          <w:rFonts w:asciiTheme="majorHAnsi" w:hAnsiTheme="majorHAnsi" w:cstheme="majorHAnsi"/>
          <w:sz w:val="20"/>
          <w:szCs w:val="20"/>
          <w:vertAlign w:val="superscript"/>
        </w:rPr>
        <w:endnoteRef/>
      </w:r>
      <w:r w:rsidRPr="001148C2">
        <w:rPr>
          <w:rFonts w:asciiTheme="majorHAnsi" w:eastAsia="Arial" w:hAnsiTheme="majorHAnsi" w:cstheme="majorHAnsi"/>
          <w:sz w:val="20"/>
          <w:szCs w:val="20"/>
        </w:rPr>
        <w:t xml:space="preserve"> </w:t>
      </w:r>
    </w:p>
  </w:endnote>
  <w:endnote w:id="26">
    <w:p w:rsidR="00A161CD" w:rsidRPr="001148C2" w:rsidRDefault="00A161CD" w:rsidP="001148C2">
      <w:pPr>
        <w:spacing w:after="0" w:line="240" w:lineRule="auto"/>
        <w:rPr>
          <w:rFonts w:asciiTheme="majorHAnsi" w:eastAsia="Arial" w:hAnsiTheme="majorHAnsi" w:cstheme="majorHAnsi"/>
          <w:sz w:val="20"/>
          <w:szCs w:val="20"/>
        </w:rPr>
      </w:pPr>
      <w:r w:rsidRPr="001148C2">
        <w:rPr>
          <w:rFonts w:asciiTheme="majorHAnsi" w:hAnsiTheme="majorHAnsi" w:cstheme="majorHAnsi"/>
          <w:sz w:val="20"/>
          <w:szCs w:val="20"/>
          <w:vertAlign w:val="superscript"/>
        </w:rPr>
        <w:endnoteRef/>
      </w:r>
      <w:r w:rsidRPr="001148C2">
        <w:rPr>
          <w:rFonts w:asciiTheme="majorHAnsi" w:eastAsia="Arial" w:hAnsiTheme="majorHAnsi" w:cstheme="majorHAnsi"/>
          <w:sz w:val="20"/>
          <w:szCs w:val="20"/>
        </w:rPr>
        <w:t xml:space="preserve"> </w:t>
      </w:r>
    </w:p>
  </w:endnote>
  <w:endnote w:id="27">
    <w:p w:rsidR="00A161CD" w:rsidRPr="001148C2" w:rsidRDefault="00A161CD" w:rsidP="001148C2">
      <w:pPr>
        <w:spacing w:after="0" w:line="240" w:lineRule="auto"/>
        <w:rPr>
          <w:rFonts w:asciiTheme="majorHAnsi" w:eastAsia="Arial" w:hAnsiTheme="majorHAnsi" w:cstheme="majorHAnsi"/>
          <w:sz w:val="20"/>
          <w:szCs w:val="20"/>
        </w:rPr>
      </w:pPr>
      <w:r w:rsidRPr="001148C2">
        <w:rPr>
          <w:rFonts w:asciiTheme="majorHAnsi" w:hAnsiTheme="majorHAnsi" w:cstheme="majorHAnsi"/>
          <w:sz w:val="20"/>
          <w:szCs w:val="20"/>
          <w:vertAlign w:val="superscript"/>
        </w:rPr>
        <w:endnoteRef/>
      </w:r>
      <w:r w:rsidRPr="001148C2">
        <w:rPr>
          <w:rFonts w:asciiTheme="majorHAnsi" w:eastAsia="Arial" w:hAnsiTheme="majorHAnsi" w:cstheme="majorHAnsi"/>
          <w:sz w:val="20"/>
          <w:szCs w:val="20"/>
        </w:rPr>
        <w:t xml:space="preserve"> </w:t>
      </w:r>
    </w:p>
  </w:endnote>
  <w:endnote w:id="28">
    <w:p w:rsidR="00A161CD" w:rsidRPr="001148C2" w:rsidRDefault="00A161CD" w:rsidP="001148C2">
      <w:pPr>
        <w:pStyle w:val="Endnotentext"/>
        <w:rPr>
          <w:rFonts w:asciiTheme="majorHAnsi" w:hAnsiTheme="majorHAnsi" w:cstheme="majorHAnsi"/>
          <w:lang w:val="de-DE"/>
        </w:rPr>
      </w:pPr>
      <w:r w:rsidRPr="001148C2">
        <w:rPr>
          <w:rStyle w:val="Endnotenzeichen"/>
          <w:rFonts w:asciiTheme="majorHAnsi" w:hAnsiTheme="majorHAnsi" w:cstheme="majorHAnsi"/>
        </w:rPr>
        <w:endnoteRef/>
      </w:r>
      <w:r w:rsidRPr="001148C2">
        <w:rPr>
          <w:rFonts w:asciiTheme="majorHAnsi" w:hAnsiTheme="majorHAnsi" w:cstheme="majorHAnsi"/>
        </w:rPr>
        <w:t xml:space="preserve"> </w:t>
      </w:r>
    </w:p>
  </w:endnote>
  <w:endnote w:id="29">
    <w:p w:rsidR="00A161CD" w:rsidRPr="001148C2" w:rsidRDefault="00A161CD" w:rsidP="001148C2">
      <w:pPr>
        <w:spacing w:after="0" w:line="240" w:lineRule="auto"/>
        <w:rPr>
          <w:rFonts w:asciiTheme="majorHAnsi" w:eastAsia="Arial" w:hAnsiTheme="majorHAnsi" w:cstheme="majorHAnsi"/>
          <w:sz w:val="20"/>
          <w:szCs w:val="20"/>
        </w:rPr>
      </w:pPr>
      <w:r w:rsidRPr="001148C2">
        <w:rPr>
          <w:rFonts w:asciiTheme="majorHAnsi" w:hAnsiTheme="majorHAnsi" w:cstheme="majorHAnsi"/>
          <w:sz w:val="20"/>
          <w:szCs w:val="20"/>
          <w:vertAlign w:val="superscript"/>
        </w:rPr>
        <w:endnoteRef/>
      </w:r>
      <w:r w:rsidRPr="001148C2">
        <w:rPr>
          <w:rFonts w:asciiTheme="majorHAnsi" w:eastAsia="Arial" w:hAnsiTheme="majorHAnsi" w:cstheme="majorHAnsi"/>
          <w:sz w:val="20"/>
          <w:szCs w:val="20"/>
        </w:rPr>
        <w:t xml:space="preserve"> </w:t>
      </w:r>
    </w:p>
  </w:endnote>
  <w:endnote w:id="30">
    <w:p w:rsidR="00A161CD" w:rsidRPr="001148C2" w:rsidRDefault="00A161CD" w:rsidP="001148C2">
      <w:pPr>
        <w:spacing w:after="0" w:line="240" w:lineRule="auto"/>
        <w:rPr>
          <w:rFonts w:asciiTheme="majorHAnsi" w:eastAsia="Arial" w:hAnsiTheme="majorHAnsi" w:cstheme="majorHAnsi"/>
          <w:sz w:val="20"/>
          <w:szCs w:val="20"/>
          <w:shd w:val="clear" w:color="auto" w:fill="FF9900"/>
        </w:rPr>
      </w:pPr>
      <w:r w:rsidRPr="001148C2">
        <w:rPr>
          <w:rFonts w:asciiTheme="majorHAnsi" w:hAnsiTheme="majorHAnsi" w:cstheme="majorHAnsi"/>
          <w:sz w:val="20"/>
          <w:szCs w:val="20"/>
          <w:vertAlign w:val="superscript"/>
        </w:rPr>
        <w:endnoteRef/>
      </w:r>
      <w:r w:rsidRPr="001148C2">
        <w:rPr>
          <w:rFonts w:asciiTheme="majorHAnsi" w:eastAsia="Arial" w:hAnsiTheme="majorHAnsi" w:cstheme="majorHAnsi"/>
          <w:sz w:val="20"/>
          <w:szCs w:val="20"/>
          <w:shd w:val="clear" w:color="auto" w:fill="FF9900"/>
        </w:rPr>
        <w:t xml:space="preserve"> </w:t>
      </w:r>
    </w:p>
  </w:endnote>
  <w:endnote w:id="31">
    <w:p w:rsidR="00A161CD" w:rsidRPr="001148C2" w:rsidRDefault="00A161CD" w:rsidP="001148C2">
      <w:pPr>
        <w:spacing w:after="0" w:line="240" w:lineRule="auto"/>
        <w:rPr>
          <w:rFonts w:asciiTheme="majorHAnsi" w:hAnsiTheme="majorHAnsi" w:cstheme="majorHAnsi"/>
          <w:sz w:val="20"/>
          <w:szCs w:val="20"/>
        </w:rPr>
      </w:pPr>
      <w:r w:rsidRPr="001148C2">
        <w:rPr>
          <w:rFonts w:asciiTheme="majorHAnsi" w:hAnsiTheme="majorHAnsi" w:cstheme="majorHAnsi"/>
          <w:sz w:val="20"/>
          <w:szCs w:val="20"/>
          <w:vertAlign w:val="superscript"/>
        </w:rPr>
        <w:endnoteRef/>
      </w:r>
    </w:p>
  </w:endnote>
  <w:endnote w:id="32">
    <w:p w:rsidR="00A161CD" w:rsidRPr="001148C2" w:rsidRDefault="00A161CD" w:rsidP="001148C2">
      <w:pPr>
        <w:spacing w:after="0" w:line="240" w:lineRule="auto"/>
        <w:rPr>
          <w:rFonts w:asciiTheme="majorHAnsi" w:eastAsia="Arial" w:hAnsiTheme="majorHAnsi" w:cstheme="majorHAnsi"/>
          <w:sz w:val="20"/>
          <w:szCs w:val="20"/>
        </w:rPr>
      </w:pPr>
      <w:r w:rsidRPr="001148C2">
        <w:rPr>
          <w:rFonts w:asciiTheme="majorHAnsi" w:hAnsiTheme="majorHAnsi" w:cstheme="majorHAnsi"/>
          <w:sz w:val="20"/>
          <w:szCs w:val="20"/>
          <w:vertAlign w:val="superscript"/>
        </w:rPr>
        <w:endnoteRef/>
      </w:r>
    </w:p>
  </w:endnote>
  <w:endnote w:id="33">
    <w:p w:rsidR="00A161CD" w:rsidRPr="001148C2" w:rsidRDefault="00A161CD" w:rsidP="001148C2">
      <w:pPr>
        <w:spacing w:after="0" w:line="240" w:lineRule="auto"/>
        <w:rPr>
          <w:rFonts w:asciiTheme="majorHAnsi" w:eastAsia="Arial" w:hAnsiTheme="majorHAnsi" w:cstheme="majorHAnsi"/>
          <w:sz w:val="20"/>
          <w:szCs w:val="20"/>
        </w:rPr>
      </w:pPr>
      <w:r w:rsidRPr="001148C2">
        <w:rPr>
          <w:rFonts w:asciiTheme="majorHAnsi" w:hAnsiTheme="majorHAnsi" w:cstheme="majorHAnsi"/>
          <w:sz w:val="20"/>
          <w:szCs w:val="20"/>
          <w:vertAlign w:val="superscript"/>
        </w:rPr>
        <w:endnoteRef/>
      </w:r>
    </w:p>
  </w:endnote>
  <w:endnote w:id="34">
    <w:p w:rsidR="00A161CD" w:rsidRPr="001148C2" w:rsidRDefault="00A161CD" w:rsidP="001148C2">
      <w:pPr>
        <w:spacing w:after="0" w:line="240" w:lineRule="auto"/>
        <w:rPr>
          <w:rFonts w:asciiTheme="majorHAnsi" w:eastAsia="Arial" w:hAnsiTheme="majorHAnsi" w:cstheme="majorHAnsi"/>
          <w:sz w:val="20"/>
          <w:szCs w:val="20"/>
        </w:rPr>
      </w:pPr>
      <w:r w:rsidRPr="001148C2">
        <w:rPr>
          <w:rFonts w:asciiTheme="majorHAnsi" w:hAnsiTheme="majorHAnsi" w:cstheme="majorHAnsi"/>
          <w:sz w:val="20"/>
          <w:szCs w:val="20"/>
          <w:vertAlign w:val="superscript"/>
        </w:rPr>
        <w:endnoteRef/>
      </w:r>
      <w:r w:rsidRPr="001148C2">
        <w:rPr>
          <w:rFonts w:asciiTheme="majorHAnsi" w:eastAsia="Arial" w:hAnsiTheme="majorHAnsi" w:cstheme="majorHAnsi"/>
          <w:sz w:val="20"/>
          <w:szCs w:val="20"/>
        </w:rPr>
        <w:t xml:space="preserve"> </w:t>
      </w:r>
    </w:p>
  </w:endnote>
  <w:endnote w:id="35">
    <w:p w:rsidR="00A161CD" w:rsidRPr="001148C2" w:rsidRDefault="00A161CD" w:rsidP="001148C2">
      <w:pPr>
        <w:spacing w:after="0" w:line="240" w:lineRule="auto"/>
        <w:rPr>
          <w:rFonts w:asciiTheme="majorHAnsi" w:hAnsiTheme="majorHAnsi" w:cstheme="majorHAnsi"/>
          <w:sz w:val="20"/>
          <w:szCs w:val="20"/>
        </w:rPr>
      </w:pPr>
      <w:r w:rsidRPr="001148C2">
        <w:rPr>
          <w:rFonts w:asciiTheme="majorHAnsi" w:hAnsiTheme="majorHAnsi" w:cstheme="majorHAnsi"/>
          <w:sz w:val="20"/>
          <w:szCs w:val="20"/>
          <w:vertAlign w:val="superscript"/>
        </w:rPr>
        <w:endnoteRef/>
      </w:r>
    </w:p>
  </w:endnote>
  <w:endnote w:id="36">
    <w:p w:rsidR="00A161CD" w:rsidRPr="001148C2" w:rsidRDefault="00A161CD" w:rsidP="001148C2">
      <w:pPr>
        <w:spacing w:after="0" w:line="240" w:lineRule="auto"/>
        <w:rPr>
          <w:rFonts w:asciiTheme="majorHAnsi" w:hAnsiTheme="majorHAnsi" w:cstheme="majorHAnsi"/>
          <w:sz w:val="20"/>
          <w:szCs w:val="20"/>
        </w:rPr>
      </w:pPr>
      <w:r w:rsidRPr="001148C2">
        <w:rPr>
          <w:rFonts w:asciiTheme="majorHAnsi" w:hAnsiTheme="majorHAnsi" w:cstheme="majorHAnsi"/>
          <w:sz w:val="20"/>
          <w:szCs w:val="20"/>
          <w:vertAlign w:val="superscript"/>
        </w:rPr>
        <w:endnoteRef/>
      </w:r>
    </w:p>
  </w:endnote>
  <w:endnote w:id="37">
    <w:p w:rsidR="00A161CD" w:rsidRPr="001148C2" w:rsidRDefault="00A161CD" w:rsidP="001148C2">
      <w:pPr>
        <w:pStyle w:val="Endnotentext"/>
        <w:rPr>
          <w:lang w:val="de-DE"/>
        </w:rPr>
      </w:pPr>
      <w:r w:rsidRPr="001148C2">
        <w:rPr>
          <w:rStyle w:val="Endnotenzeichen"/>
        </w:rPr>
        <w:endnoteRef/>
      </w:r>
    </w:p>
  </w:endnote>
  <w:endnote w:id="38">
    <w:p w:rsidR="00A161CD" w:rsidRPr="001148C2" w:rsidRDefault="00A161CD" w:rsidP="001148C2">
      <w:pPr>
        <w:spacing w:after="0" w:line="240" w:lineRule="auto"/>
        <w:rPr>
          <w:rFonts w:asciiTheme="majorHAnsi" w:eastAsia="Arial" w:hAnsiTheme="majorHAnsi" w:cstheme="majorHAnsi"/>
          <w:sz w:val="20"/>
          <w:szCs w:val="20"/>
        </w:rPr>
      </w:pPr>
      <w:r w:rsidRPr="001148C2">
        <w:rPr>
          <w:rFonts w:asciiTheme="majorHAnsi" w:hAnsiTheme="majorHAnsi" w:cstheme="majorHAnsi"/>
          <w:sz w:val="20"/>
          <w:szCs w:val="20"/>
          <w:vertAlign w:val="superscript"/>
        </w:rPr>
        <w:endnoteRef/>
      </w:r>
      <w:r w:rsidRPr="001148C2">
        <w:rPr>
          <w:rFonts w:asciiTheme="majorHAnsi" w:eastAsia="Arial" w:hAnsiTheme="majorHAnsi" w:cstheme="majorHAnsi"/>
          <w:sz w:val="20"/>
          <w:szCs w:val="20"/>
        </w:rPr>
        <w:t xml:space="preserve"> </w:t>
      </w:r>
    </w:p>
  </w:endnote>
  <w:endnote w:id="39">
    <w:p w:rsidR="00A161CD" w:rsidRPr="001148C2" w:rsidRDefault="00A161CD" w:rsidP="001148C2">
      <w:pPr>
        <w:spacing w:after="0" w:line="240" w:lineRule="auto"/>
        <w:rPr>
          <w:rFonts w:asciiTheme="majorHAnsi" w:eastAsia="Arial" w:hAnsiTheme="majorHAnsi" w:cstheme="majorHAnsi"/>
          <w:sz w:val="20"/>
          <w:szCs w:val="20"/>
        </w:rPr>
      </w:pPr>
      <w:r w:rsidRPr="001148C2">
        <w:rPr>
          <w:rFonts w:asciiTheme="majorHAnsi" w:hAnsiTheme="majorHAnsi" w:cstheme="majorHAnsi"/>
          <w:sz w:val="20"/>
          <w:szCs w:val="20"/>
          <w:vertAlign w:val="superscript"/>
        </w:rPr>
        <w:endnoteRef/>
      </w:r>
      <w:r w:rsidRPr="001148C2">
        <w:rPr>
          <w:rFonts w:asciiTheme="majorHAnsi" w:eastAsia="Arial" w:hAnsiTheme="majorHAnsi" w:cstheme="majorHAnsi"/>
          <w:sz w:val="20"/>
          <w:szCs w:val="20"/>
        </w:rPr>
        <w:t xml:space="preserve"> </w:t>
      </w:r>
    </w:p>
  </w:endnote>
  <w:endnote w:id="40">
    <w:p w:rsidR="00A161CD" w:rsidRPr="001148C2" w:rsidRDefault="00A161CD" w:rsidP="001148C2">
      <w:pPr>
        <w:spacing w:after="0" w:line="240" w:lineRule="auto"/>
        <w:rPr>
          <w:rFonts w:asciiTheme="majorHAnsi" w:eastAsia="Arial" w:hAnsiTheme="majorHAnsi" w:cstheme="majorHAnsi"/>
          <w:sz w:val="20"/>
          <w:szCs w:val="20"/>
        </w:rPr>
      </w:pPr>
      <w:r w:rsidRPr="001148C2">
        <w:rPr>
          <w:rFonts w:asciiTheme="majorHAnsi" w:hAnsiTheme="majorHAnsi" w:cstheme="majorHAnsi"/>
          <w:sz w:val="20"/>
          <w:szCs w:val="20"/>
          <w:vertAlign w:val="superscript"/>
        </w:rPr>
        <w:endnoteRef/>
      </w:r>
    </w:p>
  </w:endnote>
  <w:endnote w:id="41">
    <w:p w:rsidR="00A161CD" w:rsidRPr="001148C2" w:rsidRDefault="00A161CD" w:rsidP="001148C2">
      <w:pPr>
        <w:spacing w:after="0" w:line="240" w:lineRule="auto"/>
        <w:rPr>
          <w:rFonts w:asciiTheme="majorHAnsi" w:eastAsia="Arial" w:hAnsiTheme="majorHAnsi" w:cstheme="majorHAnsi"/>
          <w:sz w:val="20"/>
          <w:szCs w:val="20"/>
        </w:rPr>
      </w:pPr>
      <w:r w:rsidRPr="001148C2">
        <w:rPr>
          <w:rFonts w:asciiTheme="majorHAnsi" w:hAnsiTheme="majorHAnsi" w:cstheme="majorHAnsi"/>
          <w:sz w:val="20"/>
          <w:szCs w:val="20"/>
          <w:vertAlign w:val="superscript"/>
        </w:rPr>
        <w:endnoteRef/>
      </w:r>
      <w:r w:rsidRPr="001148C2">
        <w:rPr>
          <w:rFonts w:asciiTheme="majorHAnsi" w:eastAsia="Arial" w:hAnsiTheme="majorHAnsi" w:cstheme="majorHAnsi"/>
          <w:sz w:val="20"/>
          <w:szCs w:val="20"/>
        </w:rPr>
        <w:t xml:space="preserve"> </w:t>
      </w:r>
    </w:p>
  </w:endnote>
  <w:endnote w:id="42">
    <w:p w:rsidR="00A161CD" w:rsidRPr="001148C2" w:rsidRDefault="00A161CD" w:rsidP="001148C2">
      <w:pPr>
        <w:spacing w:after="0" w:line="240" w:lineRule="auto"/>
        <w:rPr>
          <w:rFonts w:asciiTheme="majorHAnsi" w:eastAsia="Arial" w:hAnsiTheme="majorHAnsi" w:cstheme="majorHAnsi"/>
          <w:sz w:val="20"/>
          <w:szCs w:val="20"/>
        </w:rPr>
      </w:pPr>
      <w:r w:rsidRPr="001148C2">
        <w:rPr>
          <w:rFonts w:asciiTheme="majorHAnsi" w:hAnsiTheme="majorHAnsi" w:cstheme="majorHAnsi"/>
          <w:sz w:val="20"/>
          <w:szCs w:val="20"/>
          <w:vertAlign w:val="superscript"/>
        </w:rPr>
        <w:endnoteRef/>
      </w:r>
      <w:r w:rsidRPr="001148C2">
        <w:rPr>
          <w:rFonts w:asciiTheme="majorHAnsi" w:eastAsia="Arial" w:hAnsiTheme="majorHAnsi" w:cstheme="majorHAnsi"/>
          <w:sz w:val="20"/>
          <w:szCs w:val="20"/>
        </w:rPr>
        <w:t xml:space="preserve"> </w:t>
      </w:r>
    </w:p>
  </w:endnote>
  <w:endnote w:id="43">
    <w:p w:rsidR="00A161CD" w:rsidRPr="001148C2" w:rsidRDefault="00A161CD" w:rsidP="001148C2">
      <w:pPr>
        <w:spacing w:after="0" w:line="240" w:lineRule="auto"/>
        <w:rPr>
          <w:rFonts w:asciiTheme="majorHAnsi" w:eastAsia="Arial" w:hAnsiTheme="majorHAnsi" w:cstheme="majorHAnsi"/>
          <w:sz w:val="20"/>
          <w:szCs w:val="20"/>
        </w:rPr>
      </w:pPr>
      <w:r w:rsidRPr="001148C2">
        <w:rPr>
          <w:rFonts w:asciiTheme="majorHAnsi" w:hAnsiTheme="majorHAnsi" w:cstheme="majorHAnsi"/>
          <w:sz w:val="20"/>
          <w:szCs w:val="20"/>
          <w:vertAlign w:val="superscript"/>
        </w:rPr>
        <w:endnoteRef/>
      </w:r>
      <w:r w:rsidRPr="001148C2">
        <w:rPr>
          <w:rFonts w:asciiTheme="majorHAnsi" w:eastAsia="Arial" w:hAnsiTheme="majorHAnsi" w:cstheme="majorHAnsi"/>
          <w:sz w:val="20"/>
          <w:szCs w:val="20"/>
        </w:rPr>
        <w:t xml:space="preserve"> </w:t>
      </w:r>
    </w:p>
  </w:endnote>
  <w:endnote w:id="44">
    <w:p w:rsidR="00A161CD" w:rsidRPr="001148C2" w:rsidRDefault="00A161CD" w:rsidP="001148C2">
      <w:pPr>
        <w:spacing w:after="0" w:line="240" w:lineRule="auto"/>
        <w:rPr>
          <w:rFonts w:asciiTheme="majorHAnsi" w:eastAsia="Arial" w:hAnsiTheme="majorHAnsi" w:cstheme="majorHAnsi"/>
          <w:sz w:val="20"/>
          <w:szCs w:val="20"/>
        </w:rPr>
      </w:pPr>
      <w:r w:rsidRPr="001148C2">
        <w:rPr>
          <w:rFonts w:asciiTheme="majorHAnsi" w:hAnsiTheme="majorHAnsi" w:cstheme="majorHAnsi"/>
          <w:sz w:val="20"/>
          <w:szCs w:val="20"/>
          <w:vertAlign w:val="superscript"/>
        </w:rPr>
        <w:endnoteRef/>
      </w:r>
    </w:p>
  </w:endnote>
  <w:endnote w:id="45">
    <w:p w:rsidR="00A161CD" w:rsidRPr="001148C2" w:rsidRDefault="00A161CD" w:rsidP="001148C2">
      <w:pPr>
        <w:spacing w:after="0" w:line="240" w:lineRule="auto"/>
        <w:rPr>
          <w:rFonts w:asciiTheme="majorHAnsi" w:eastAsia="Arial" w:hAnsiTheme="majorHAnsi" w:cstheme="majorHAnsi"/>
          <w:sz w:val="20"/>
          <w:szCs w:val="20"/>
        </w:rPr>
      </w:pPr>
      <w:r w:rsidRPr="001148C2">
        <w:rPr>
          <w:rFonts w:asciiTheme="majorHAnsi" w:hAnsiTheme="majorHAnsi" w:cstheme="majorHAnsi"/>
          <w:sz w:val="20"/>
          <w:szCs w:val="20"/>
          <w:vertAlign w:val="superscript"/>
        </w:rPr>
        <w:endnoteRef/>
      </w:r>
    </w:p>
  </w:endnote>
  <w:endnote w:id="46">
    <w:p w:rsidR="00A161CD" w:rsidRPr="001148C2" w:rsidRDefault="00A161CD" w:rsidP="001148C2">
      <w:pPr>
        <w:spacing w:after="0" w:line="240" w:lineRule="auto"/>
        <w:rPr>
          <w:rFonts w:asciiTheme="majorHAnsi" w:hAnsiTheme="majorHAnsi" w:cstheme="majorHAnsi"/>
          <w:sz w:val="20"/>
          <w:szCs w:val="20"/>
        </w:rPr>
      </w:pPr>
      <w:r w:rsidRPr="001148C2">
        <w:rPr>
          <w:rFonts w:asciiTheme="majorHAnsi" w:hAnsiTheme="majorHAnsi" w:cstheme="majorHAnsi"/>
          <w:sz w:val="20"/>
          <w:szCs w:val="20"/>
          <w:vertAlign w:val="superscript"/>
        </w:rPr>
        <w:endnoteRef/>
      </w:r>
    </w:p>
  </w:endnote>
  <w:endnote w:id="47">
    <w:p w:rsidR="00A161CD" w:rsidRPr="001148C2" w:rsidRDefault="00A161CD" w:rsidP="001148C2">
      <w:pPr>
        <w:spacing w:after="0" w:line="240" w:lineRule="auto"/>
        <w:rPr>
          <w:rFonts w:asciiTheme="majorHAnsi" w:eastAsia="Arial" w:hAnsiTheme="majorHAnsi" w:cstheme="majorHAnsi"/>
          <w:sz w:val="20"/>
          <w:szCs w:val="20"/>
        </w:rPr>
      </w:pPr>
      <w:r w:rsidRPr="001148C2">
        <w:rPr>
          <w:rFonts w:asciiTheme="majorHAnsi" w:hAnsiTheme="majorHAnsi" w:cstheme="majorHAnsi"/>
          <w:sz w:val="20"/>
          <w:szCs w:val="20"/>
          <w:vertAlign w:val="superscript"/>
        </w:rPr>
        <w:endnoteRef/>
      </w:r>
    </w:p>
  </w:endnote>
  <w:endnote w:id="48">
    <w:p w:rsidR="00A161CD" w:rsidRPr="001148C2" w:rsidRDefault="00A161CD" w:rsidP="001148C2">
      <w:pPr>
        <w:spacing w:after="0" w:line="240" w:lineRule="auto"/>
        <w:rPr>
          <w:rFonts w:asciiTheme="majorHAnsi" w:eastAsia="Arial" w:hAnsiTheme="majorHAnsi" w:cstheme="majorHAnsi"/>
          <w:sz w:val="20"/>
          <w:szCs w:val="20"/>
        </w:rPr>
      </w:pPr>
      <w:r w:rsidRPr="001148C2">
        <w:rPr>
          <w:rFonts w:asciiTheme="majorHAnsi" w:hAnsiTheme="majorHAnsi" w:cstheme="majorHAnsi"/>
          <w:sz w:val="20"/>
          <w:szCs w:val="20"/>
          <w:vertAlign w:val="superscript"/>
        </w:rPr>
        <w:endnoteRef/>
      </w:r>
    </w:p>
  </w:endnote>
  <w:endnote w:id="49">
    <w:p w:rsidR="00A161CD" w:rsidRPr="001148C2" w:rsidRDefault="00A161CD" w:rsidP="001148C2">
      <w:pPr>
        <w:spacing w:after="0" w:line="240" w:lineRule="auto"/>
        <w:rPr>
          <w:rFonts w:asciiTheme="majorHAnsi" w:hAnsiTheme="majorHAnsi" w:cstheme="majorHAnsi"/>
          <w:sz w:val="20"/>
          <w:szCs w:val="20"/>
        </w:rPr>
      </w:pPr>
      <w:r w:rsidRPr="001148C2">
        <w:rPr>
          <w:rFonts w:asciiTheme="majorHAnsi" w:hAnsiTheme="majorHAnsi" w:cstheme="majorHAnsi"/>
          <w:sz w:val="20"/>
          <w:szCs w:val="20"/>
          <w:vertAlign w:val="superscript"/>
        </w:rPr>
        <w:endnoteRef/>
      </w:r>
    </w:p>
  </w:endnote>
  <w:endnote w:id="50">
    <w:p w:rsidR="00A161CD" w:rsidRPr="001148C2" w:rsidRDefault="00A161CD" w:rsidP="001148C2">
      <w:pPr>
        <w:spacing w:after="0" w:line="240" w:lineRule="auto"/>
        <w:rPr>
          <w:rFonts w:asciiTheme="majorHAnsi" w:eastAsia="Arial" w:hAnsiTheme="majorHAnsi" w:cstheme="majorHAnsi"/>
          <w:sz w:val="20"/>
          <w:szCs w:val="20"/>
        </w:rPr>
      </w:pPr>
      <w:r w:rsidRPr="001148C2">
        <w:rPr>
          <w:rFonts w:asciiTheme="majorHAnsi" w:hAnsiTheme="majorHAnsi" w:cstheme="majorHAnsi"/>
          <w:sz w:val="20"/>
          <w:szCs w:val="20"/>
          <w:vertAlign w:val="superscript"/>
        </w:rPr>
        <w:endnoteRef/>
      </w:r>
    </w:p>
  </w:endnote>
  <w:endnote w:id="51">
    <w:p w:rsidR="00A161CD" w:rsidRPr="001148C2" w:rsidRDefault="00A161CD" w:rsidP="001148C2">
      <w:pPr>
        <w:spacing w:after="0" w:line="240" w:lineRule="auto"/>
        <w:rPr>
          <w:rFonts w:asciiTheme="majorHAnsi" w:eastAsia="Arial" w:hAnsiTheme="majorHAnsi" w:cstheme="majorHAnsi"/>
          <w:sz w:val="20"/>
          <w:szCs w:val="20"/>
        </w:rPr>
      </w:pPr>
      <w:r w:rsidRPr="001148C2">
        <w:rPr>
          <w:rFonts w:asciiTheme="majorHAnsi" w:hAnsiTheme="majorHAnsi" w:cstheme="majorHAnsi"/>
          <w:sz w:val="20"/>
          <w:szCs w:val="20"/>
          <w:vertAlign w:val="superscript"/>
        </w:rPr>
        <w:endnoteRef/>
      </w:r>
    </w:p>
  </w:endnote>
  <w:endnote w:id="52">
    <w:p w:rsidR="00A161CD" w:rsidRPr="001148C2" w:rsidRDefault="00A161CD" w:rsidP="001148C2">
      <w:pPr>
        <w:spacing w:after="0" w:line="240" w:lineRule="auto"/>
        <w:rPr>
          <w:rFonts w:asciiTheme="majorHAnsi" w:hAnsiTheme="majorHAnsi" w:cstheme="majorHAnsi"/>
          <w:sz w:val="20"/>
          <w:szCs w:val="20"/>
        </w:rPr>
      </w:pPr>
      <w:r w:rsidRPr="001148C2">
        <w:rPr>
          <w:rFonts w:asciiTheme="majorHAnsi" w:hAnsiTheme="majorHAnsi" w:cstheme="majorHAnsi"/>
          <w:sz w:val="20"/>
          <w:szCs w:val="20"/>
          <w:vertAlign w:val="superscript"/>
        </w:rPr>
        <w:endnoteRef/>
      </w:r>
    </w:p>
  </w:endnote>
  <w:endnote w:id="53">
    <w:p w:rsidR="00A161CD" w:rsidRPr="001148C2" w:rsidRDefault="00A161CD" w:rsidP="001148C2">
      <w:pPr>
        <w:spacing w:after="0" w:line="240" w:lineRule="auto"/>
        <w:rPr>
          <w:rFonts w:asciiTheme="majorHAnsi" w:eastAsia="Arial" w:hAnsiTheme="majorHAnsi" w:cstheme="majorHAnsi"/>
          <w:sz w:val="20"/>
          <w:szCs w:val="20"/>
        </w:rPr>
      </w:pPr>
      <w:r w:rsidRPr="001148C2">
        <w:rPr>
          <w:rFonts w:asciiTheme="majorHAnsi" w:hAnsiTheme="majorHAnsi" w:cstheme="majorHAnsi"/>
          <w:sz w:val="20"/>
          <w:szCs w:val="20"/>
          <w:vertAlign w:val="superscript"/>
        </w:rPr>
        <w:endnoteRef/>
      </w:r>
      <w:r w:rsidRPr="001148C2">
        <w:rPr>
          <w:rFonts w:asciiTheme="majorHAnsi" w:eastAsia="Arial" w:hAnsiTheme="majorHAnsi" w:cstheme="majorHAnsi"/>
          <w:sz w:val="20"/>
          <w:szCs w:val="20"/>
        </w:rPr>
        <w:t xml:space="preserve"> </w:t>
      </w:r>
    </w:p>
  </w:endnote>
  <w:endnote w:id="54">
    <w:p w:rsidR="00A161CD" w:rsidRPr="001148C2" w:rsidRDefault="00A161CD" w:rsidP="001148C2">
      <w:pPr>
        <w:spacing w:after="0" w:line="240" w:lineRule="auto"/>
        <w:rPr>
          <w:rFonts w:asciiTheme="majorHAnsi" w:eastAsia="Arial" w:hAnsiTheme="majorHAnsi" w:cstheme="majorHAnsi"/>
          <w:sz w:val="20"/>
          <w:szCs w:val="20"/>
        </w:rPr>
      </w:pPr>
      <w:r w:rsidRPr="001148C2">
        <w:rPr>
          <w:rFonts w:asciiTheme="majorHAnsi" w:hAnsiTheme="majorHAnsi" w:cstheme="majorHAnsi"/>
          <w:sz w:val="20"/>
          <w:szCs w:val="20"/>
          <w:vertAlign w:val="superscript"/>
        </w:rPr>
        <w:endnoteRef/>
      </w:r>
    </w:p>
  </w:endnote>
  <w:endnote w:id="55">
    <w:p w:rsidR="00A161CD" w:rsidRPr="001148C2" w:rsidRDefault="00A161CD" w:rsidP="001148C2">
      <w:pPr>
        <w:pStyle w:val="Endnotentext"/>
        <w:rPr>
          <w:lang w:val="de-DE"/>
        </w:rPr>
      </w:pPr>
      <w:r w:rsidRPr="001148C2">
        <w:rPr>
          <w:rStyle w:val="Endnotenzeichen"/>
        </w:rPr>
        <w:endnoteRef/>
      </w:r>
    </w:p>
  </w:endnote>
  <w:endnote w:id="56">
    <w:p w:rsidR="00A161CD" w:rsidRPr="001148C2" w:rsidRDefault="00A161CD" w:rsidP="001148C2">
      <w:pPr>
        <w:pStyle w:val="Endnotentext"/>
        <w:rPr>
          <w:lang w:val="de-DE"/>
        </w:rPr>
      </w:pPr>
      <w:r w:rsidRPr="001148C2">
        <w:rPr>
          <w:rStyle w:val="Endnotenzeichen"/>
        </w:rPr>
        <w:endnoteRef/>
      </w:r>
    </w:p>
  </w:endnote>
  <w:endnote w:id="57">
    <w:p w:rsidR="00A161CD" w:rsidRPr="001148C2" w:rsidRDefault="00A161CD" w:rsidP="001148C2">
      <w:pPr>
        <w:spacing w:after="0" w:line="240" w:lineRule="auto"/>
        <w:rPr>
          <w:rFonts w:asciiTheme="majorHAnsi" w:eastAsia="Arial" w:hAnsiTheme="majorHAnsi" w:cstheme="majorHAnsi"/>
          <w:sz w:val="20"/>
          <w:szCs w:val="20"/>
        </w:rPr>
      </w:pPr>
      <w:r w:rsidRPr="001148C2">
        <w:rPr>
          <w:rFonts w:asciiTheme="majorHAnsi" w:hAnsiTheme="majorHAnsi" w:cstheme="majorHAnsi"/>
          <w:sz w:val="20"/>
          <w:szCs w:val="20"/>
          <w:vertAlign w:val="superscript"/>
        </w:rPr>
        <w:endnoteRef/>
      </w:r>
    </w:p>
  </w:endnote>
  <w:endnote w:id="58">
    <w:p w:rsidR="00A161CD" w:rsidRPr="001148C2" w:rsidRDefault="00A161CD" w:rsidP="001148C2">
      <w:pPr>
        <w:spacing w:after="0" w:line="240" w:lineRule="auto"/>
        <w:rPr>
          <w:rFonts w:asciiTheme="majorHAnsi" w:eastAsia="Arial" w:hAnsiTheme="majorHAnsi" w:cstheme="majorHAnsi"/>
          <w:sz w:val="20"/>
          <w:szCs w:val="20"/>
        </w:rPr>
      </w:pPr>
      <w:r w:rsidRPr="001148C2">
        <w:rPr>
          <w:rFonts w:asciiTheme="majorHAnsi" w:hAnsiTheme="majorHAnsi" w:cstheme="majorHAnsi"/>
          <w:sz w:val="20"/>
          <w:szCs w:val="20"/>
          <w:vertAlign w:val="superscript"/>
        </w:rPr>
        <w:endnoteRef/>
      </w:r>
      <w:r w:rsidRPr="001148C2">
        <w:rPr>
          <w:rFonts w:asciiTheme="majorHAnsi" w:eastAsia="Arial" w:hAnsiTheme="majorHAnsi" w:cstheme="majorHAnsi"/>
          <w:sz w:val="20"/>
          <w:szCs w:val="20"/>
        </w:rPr>
        <w:t xml:space="preserve"> </w:t>
      </w:r>
    </w:p>
  </w:endnote>
  <w:endnote w:id="59">
    <w:p w:rsidR="00A161CD" w:rsidRPr="001148C2" w:rsidRDefault="00A161CD" w:rsidP="001148C2">
      <w:pPr>
        <w:spacing w:after="0" w:line="240" w:lineRule="auto"/>
        <w:rPr>
          <w:rFonts w:asciiTheme="majorHAnsi" w:eastAsia="Arial" w:hAnsiTheme="majorHAnsi" w:cstheme="majorHAnsi"/>
          <w:sz w:val="20"/>
          <w:szCs w:val="20"/>
        </w:rPr>
      </w:pPr>
      <w:r w:rsidRPr="001148C2">
        <w:rPr>
          <w:rFonts w:asciiTheme="majorHAnsi" w:hAnsiTheme="majorHAnsi" w:cstheme="majorHAnsi"/>
          <w:sz w:val="20"/>
          <w:szCs w:val="20"/>
          <w:vertAlign w:val="superscript"/>
        </w:rPr>
        <w:endnoteRef/>
      </w:r>
      <w:r w:rsidRPr="001148C2">
        <w:rPr>
          <w:rFonts w:asciiTheme="majorHAnsi" w:eastAsia="Arial" w:hAnsiTheme="majorHAnsi" w:cstheme="majorHAnsi"/>
          <w:sz w:val="20"/>
          <w:szCs w:val="20"/>
        </w:rPr>
        <w:t xml:space="preserve"> </w:t>
      </w:r>
    </w:p>
  </w:endnote>
  <w:endnote w:id="60">
    <w:p w:rsidR="00A161CD" w:rsidRPr="001148C2" w:rsidRDefault="00A161CD" w:rsidP="001148C2">
      <w:pPr>
        <w:pStyle w:val="Endnotentext"/>
        <w:rPr>
          <w:lang w:val="de-DE"/>
        </w:rPr>
      </w:pPr>
      <w:r w:rsidRPr="001148C2">
        <w:rPr>
          <w:rStyle w:val="Endnotenzeichen"/>
        </w:rPr>
        <w:endnoteRef/>
      </w:r>
    </w:p>
  </w:endnote>
  <w:endnote w:id="61">
    <w:p w:rsidR="00A161CD" w:rsidRPr="001148C2" w:rsidRDefault="00A161CD" w:rsidP="001148C2">
      <w:pPr>
        <w:spacing w:after="0" w:line="240" w:lineRule="auto"/>
        <w:rPr>
          <w:rFonts w:asciiTheme="majorHAnsi" w:eastAsia="Arial" w:hAnsiTheme="majorHAnsi" w:cstheme="majorHAnsi"/>
          <w:sz w:val="20"/>
          <w:szCs w:val="20"/>
        </w:rPr>
      </w:pPr>
      <w:r w:rsidRPr="001148C2">
        <w:rPr>
          <w:rFonts w:asciiTheme="majorHAnsi" w:hAnsiTheme="majorHAnsi" w:cstheme="majorHAnsi"/>
          <w:sz w:val="20"/>
          <w:szCs w:val="20"/>
          <w:vertAlign w:val="superscript"/>
        </w:rPr>
        <w:endnoteRef/>
      </w:r>
    </w:p>
  </w:endnote>
  <w:endnote w:id="62">
    <w:p w:rsidR="00A161CD" w:rsidRPr="001148C2" w:rsidRDefault="00A161CD" w:rsidP="001148C2">
      <w:pPr>
        <w:spacing w:after="0" w:line="240" w:lineRule="auto"/>
        <w:rPr>
          <w:rFonts w:asciiTheme="majorHAnsi" w:eastAsia="Arial" w:hAnsiTheme="majorHAnsi" w:cstheme="majorHAnsi"/>
          <w:sz w:val="20"/>
          <w:szCs w:val="20"/>
        </w:rPr>
      </w:pPr>
      <w:r w:rsidRPr="001148C2">
        <w:rPr>
          <w:rFonts w:asciiTheme="majorHAnsi" w:hAnsiTheme="majorHAnsi" w:cstheme="majorHAnsi"/>
          <w:sz w:val="20"/>
          <w:szCs w:val="20"/>
          <w:vertAlign w:val="superscript"/>
        </w:rPr>
        <w:endnoteRef/>
      </w:r>
      <w:r w:rsidRPr="001148C2">
        <w:rPr>
          <w:rFonts w:asciiTheme="majorHAnsi" w:eastAsia="Arial" w:hAnsiTheme="majorHAnsi" w:cstheme="majorHAnsi"/>
          <w:sz w:val="20"/>
          <w:szCs w:val="20"/>
        </w:rPr>
        <w:t xml:space="preserve"> </w:t>
      </w:r>
    </w:p>
  </w:endnote>
  <w:endnote w:id="63">
    <w:p w:rsidR="00A161CD" w:rsidRPr="001148C2" w:rsidRDefault="00A161CD" w:rsidP="001148C2">
      <w:pPr>
        <w:spacing w:after="0" w:line="240" w:lineRule="auto"/>
        <w:rPr>
          <w:rFonts w:asciiTheme="majorHAnsi" w:eastAsia="Arial" w:hAnsiTheme="majorHAnsi" w:cstheme="majorHAnsi"/>
          <w:sz w:val="20"/>
          <w:szCs w:val="20"/>
        </w:rPr>
      </w:pPr>
      <w:r w:rsidRPr="001148C2">
        <w:rPr>
          <w:rFonts w:asciiTheme="majorHAnsi" w:hAnsiTheme="majorHAnsi" w:cstheme="majorHAnsi"/>
          <w:sz w:val="20"/>
          <w:szCs w:val="20"/>
          <w:vertAlign w:val="superscript"/>
        </w:rPr>
        <w:endnoteRef/>
      </w:r>
      <w:r w:rsidRPr="001148C2">
        <w:rPr>
          <w:rFonts w:asciiTheme="majorHAnsi" w:eastAsia="Arial" w:hAnsiTheme="majorHAnsi" w:cstheme="majorHAnsi"/>
          <w:sz w:val="20"/>
          <w:szCs w:val="20"/>
        </w:rPr>
        <w:t xml:space="preserve"> </w:t>
      </w:r>
    </w:p>
  </w:endnote>
  <w:endnote w:id="64">
    <w:p w:rsidR="00A161CD" w:rsidRPr="001148C2" w:rsidRDefault="00A161CD" w:rsidP="001148C2">
      <w:pPr>
        <w:spacing w:after="0" w:line="240" w:lineRule="auto"/>
        <w:rPr>
          <w:rFonts w:asciiTheme="majorHAnsi" w:hAnsiTheme="majorHAnsi" w:cstheme="majorHAnsi"/>
          <w:sz w:val="20"/>
          <w:szCs w:val="20"/>
        </w:rPr>
      </w:pPr>
      <w:r w:rsidRPr="001148C2">
        <w:rPr>
          <w:rFonts w:asciiTheme="majorHAnsi" w:hAnsiTheme="majorHAnsi" w:cstheme="majorHAnsi"/>
          <w:sz w:val="20"/>
          <w:szCs w:val="20"/>
          <w:vertAlign w:val="superscript"/>
        </w:rPr>
        <w:endnoteRef/>
      </w:r>
      <w:r w:rsidRPr="001148C2">
        <w:rPr>
          <w:rFonts w:asciiTheme="majorHAnsi" w:hAnsiTheme="majorHAnsi" w:cstheme="majorHAnsi"/>
          <w:sz w:val="20"/>
          <w:szCs w:val="20"/>
        </w:rPr>
        <w:t xml:space="preserve"> </w:t>
      </w:r>
    </w:p>
  </w:endnote>
  <w:endnote w:id="65">
    <w:p w:rsidR="00A161CD" w:rsidRPr="001148C2" w:rsidRDefault="00A161CD" w:rsidP="001148C2">
      <w:pPr>
        <w:spacing w:after="0" w:line="240" w:lineRule="auto"/>
        <w:rPr>
          <w:rFonts w:asciiTheme="majorHAnsi" w:eastAsia="Arial" w:hAnsiTheme="majorHAnsi" w:cstheme="majorHAnsi"/>
          <w:sz w:val="20"/>
          <w:szCs w:val="20"/>
        </w:rPr>
      </w:pPr>
      <w:r w:rsidRPr="001148C2">
        <w:rPr>
          <w:rFonts w:asciiTheme="majorHAnsi" w:hAnsiTheme="majorHAnsi" w:cstheme="majorHAnsi"/>
          <w:sz w:val="20"/>
          <w:szCs w:val="20"/>
          <w:vertAlign w:val="superscript"/>
        </w:rPr>
        <w:endnoteRef/>
      </w:r>
    </w:p>
  </w:endnote>
  <w:endnote w:id="66">
    <w:p w:rsidR="00A161CD" w:rsidRPr="001148C2" w:rsidRDefault="00A161CD" w:rsidP="001148C2">
      <w:pPr>
        <w:spacing w:after="0" w:line="240" w:lineRule="auto"/>
        <w:rPr>
          <w:rFonts w:asciiTheme="majorHAnsi" w:eastAsia="Arial" w:hAnsiTheme="majorHAnsi" w:cstheme="majorHAnsi"/>
          <w:sz w:val="20"/>
          <w:szCs w:val="20"/>
        </w:rPr>
      </w:pPr>
      <w:r w:rsidRPr="001148C2">
        <w:rPr>
          <w:rFonts w:asciiTheme="majorHAnsi" w:hAnsiTheme="majorHAnsi" w:cstheme="majorHAnsi"/>
          <w:sz w:val="20"/>
          <w:szCs w:val="20"/>
          <w:vertAlign w:val="superscript"/>
        </w:rPr>
        <w:endnoteRef/>
      </w:r>
      <w:r w:rsidRPr="001148C2">
        <w:rPr>
          <w:rFonts w:asciiTheme="majorHAnsi" w:eastAsia="Arial" w:hAnsiTheme="majorHAnsi" w:cstheme="majorHAnsi"/>
          <w:sz w:val="20"/>
          <w:szCs w:val="20"/>
        </w:rPr>
        <w:t xml:space="preserve"> </w:t>
      </w:r>
    </w:p>
  </w:endnote>
  <w:endnote w:id="67">
    <w:p w:rsidR="00A161CD" w:rsidRPr="001148C2" w:rsidRDefault="00A161CD" w:rsidP="001148C2">
      <w:pPr>
        <w:spacing w:after="0" w:line="240" w:lineRule="auto"/>
        <w:rPr>
          <w:rFonts w:asciiTheme="majorHAnsi" w:eastAsia="Arial" w:hAnsiTheme="majorHAnsi" w:cstheme="majorHAnsi"/>
          <w:sz w:val="20"/>
          <w:szCs w:val="20"/>
        </w:rPr>
      </w:pPr>
      <w:r w:rsidRPr="001148C2">
        <w:rPr>
          <w:rFonts w:asciiTheme="majorHAnsi" w:hAnsiTheme="majorHAnsi" w:cstheme="majorHAnsi"/>
          <w:sz w:val="20"/>
          <w:szCs w:val="20"/>
          <w:vertAlign w:val="superscript"/>
        </w:rPr>
        <w:endnoteRef/>
      </w:r>
    </w:p>
  </w:endnote>
  <w:endnote w:id="68">
    <w:p w:rsidR="00A161CD" w:rsidRPr="001148C2" w:rsidRDefault="00A161CD" w:rsidP="001148C2">
      <w:pPr>
        <w:spacing w:after="0" w:line="240" w:lineRule="auto"/>
        <w:rPr>
          <w:rFonts w:asciiTheme="majorHAnsi" w:eastAsia="Arial" w:hAnsiTheme="majorHAnsi" w:cstheme="majorHAnsi"/>
          <w:sz w:val="20"/>
          <w:szCs w:val="20"/>
        </w:rPr>
      </w:pPr>
      <w:r w:rsidRPr="001148C2">
        <w:rPr>
          <w:rFonts w:asciiTheme="majorHAnsi" w:hAnsiTheme="majorHAnsi" w:cstheme="majorHAnsi"/>
          <w:sz w:val="20"/>
          <w:szCs w:val="20"/>
          <w:vertAlign w:val="superscript"/>
        </w:rPr>
        <w:endnoteRef/>
      </w:r>
    </w:p>
  </w:endnote>
  <w:endnote w:id="69">
    <w:p w:rsidR="00A161CD" w:rsidRPr="001148C2" w:rsidRDefault="00A161CD" w:rsidP="001148C2">
      <w:pPr>
        <w:spacing w:after="0" w:line="240" w:lineRule="auto"/>
        <w:rPr>
          <w:rFonts w:asciiTheme="majorHAnsi" w:eastAsia="Arial" w:hAnsiTheme="majorHAnsi" w:cstheme="majorHAnsi"/>
          <w:sz w:val="20"/>
          <w:szCs w:val="20"/>
        </w:rPr>
      </w:pPr>
      <w:r w:rsidRPr="001148C2">
        <w:rPr>
          <w:rFonts w:asciiTheme="majorHAnsi" w:hAnsiTheme="majorHAnsi" w:cstheme="majorHAnsi"/>
          <w:sz w:val="20"/>
          <w:szCs w:val="20"/>
          <w:vertAlign w:val="superscript"/>
        </w:rPr>
        <w:endnoteRef/>
      </w:r>
    </w:p>
  </w:endnote>
  <w:endnote w:id="70">
    <w:p w:rsidR="00A161CD" w:rsidRPr="001148C2" w:rsidRDefault="00A161CD" w:rsidP="001148C2">
      <w:pPr>
        <w:spacing w:after="0" w:line="240" w:lineRule="auto"/>
        <w:rPr>
          <w:rFonts w:asciiTheme="majorHAnsi" w:eastAsia="Arial" w:hAnsiTheme="majorHAnsi" w:cstheme="majorHAnsi"/>
          <w:sz w:val="20"/>
          <w:szCs w:val="20"/>
        </w:rPr>
      </w:pPr>
      <w:r w:rsidRPr="001148C2">
        <w:rPr>
          <w:rFonts w:asciiTheme="majorHAnsi" w:hAnsiTheme="majorHAnsi" w:cstheme="majorHAnsi"/>
          <w:sz w:val="20"/>
          <w:szCs w:val="20"/>
          <w:vertAlign w:val="superscript"/>
        </w:rPr>
        <w:endnoteRef/>
      </w:r>
    </w:p>
  </w:endnote>
  <w:endnote w:id="71">
    <w:p w:rsidR="00A161CD" w:rsidRPr="001148C2" w:rsidRDefault="00A161CD" w:rsidP="001148C2">
      <w:pPr>
        <w:spacing w:after="0" w:line="240" w:lineRule="auto"/>
        <w:rPr>
          <w:rFonts w:asciiTheme="majorHAnsi" w:eastAsia="Arial" w:hAnsiTheme="majorHAnsi" w:cstheme="majorHAnsi"/>
          <w:sz w:val="20"/>
          <w:szCs w:val="20"/>
        </w:rPr>
      </w:pPr>
      <w:r w:rsidRPr="001148C2">
        <w:rPr>
          <w:rFonts w:asciiTheme="majorHAnsi" w:hAnsiTheme="majorHAnsi" w:cstheme="majorHAnsi"/>
          <w:sz w:val="20"/>
          <w:szCs w:val="20"/>
          <w:vertAlign w:val="superscript"/>
        </w:rPr>
        <w:endnoteRef/>
      </w:r>
    </w:p>
  </w:endnote>
  <w:endnote w:id="72">
    <w:p w:rsidR="00A161CD" w:rsidRPr="001148C2" w:rsidRDefault="00A161CD" w:rsidP="001148C2">
      <w:pPr>
        <w:spacing w:after="0" w:line="240" w:lineRule="auto"/>
        <w:rPr>
          <w:rFonts w:asciiTheme="majorHAnsi" w:eastAsia="Arial" w:hAnsiTheme="majorHAnsi" w:cstheme="majorHAnsi"/>
          <w:sz w:val="20"/>
          <w:szCs w:val="20"/>
        </w:rPr>
      </w:pPr>
      <w:r w:rsidRPr="001148C2">
        <w:rPr>
          <w:rFonts w:asciiTheme="majorHAnsi" w:hAnsiTheme="majorHAnsi" w:cstheme="majorHAnsi"/>
          <w:sz w:val="20"/>
          <w:szCs w:val="20"/>
          <w:vertAlign w:val="superscript"/>
        </w:rPr>
        <w:endnoteRef/>
      </w:r>
      <w:r w:rsidRPr="001148C2">
        <w:rPr>
          <w:rFonts w:asciiTheme="majorHAnsi" w:eastAsia="Arial" w:hAnsiTheme="majorHAnsi" w:cstheme="majorHAnsi"/>
          <w:sz w:val="20"/>
          <w:szCs w:val="20"/>
        </w:rPr>
        <w:t xml:space="preserve"> </w:t>
      </w:r>
    </w:p>
  </w:endnote>
  <w:endnote w:id="73">
    <w:p w:rsidR="00A161CD" w:rsidRPr="001148C2" w:rsidRDefault="00A161CD" w:rsidP="001148C2">
      <w:pPr>
        <w:spacing w:after="0" w:line="240" w:lineRule="auto"/>
        <w:rPr>
          <w:rFonts w:asciiTheme="majorHAnsi" w:eastAsia="Arial" w:hAnsiTheme="majorHAnsi" w:cstheme="majorHAnsi"/>
          <w:sz w:val="20"/>
          <w:szCs w:val="20"/>
        </w:rPr>
      </w:pPr>
      <w:r w:rsidRPr="001148C2">
        <w:rPr>
          <w:rFonts w:asciiTheme="majorHAnsi" w:hAnsiTheme="majorHAnsi" w:cstheme="majorHAnsi"/>
          <w:sz w:val="20"/>
          <w:szCs w:val="20"/>
          <w:vertAlign w:val="superscript"/>
        </w:rPr>
        <w:endnoteRef/>
      </w:r>
      <w:r w:rsidRPr="001148C2">
        <w:rPr>
          <w:rFonts w:asciiTheme="majorHAnsi" w:eastAsia="Arial" w:hAnsiTheme="majorHAnsi" w:cstheme="majorHAnsi"/>
          <w:sz w:val="20"/>
          <w:szCs w:val="20"/>
        </w:rPr>
        <w:t xml:space="preserve"> </w:t>
      </w:r>
    </w:p>
  </w:endnote>
  <w:endnote w:id="74">
    <w:p w:rsidR="00A161CD" w:rsidRPr="001148C2" w:rsidRDefault="00A161CD" w:rsidP="001148C2">
      <w:pPr>
        <w:spacing w:after="0" w:line="240" w:lineRule="auto"/>
        <w:rPr>
          <w:rFonts w:asciiTheme="majorHAnsi" w:eastAsia="Arial" w:hAnsiTheme="majorHAnsi" w:cstheme="majorHAnsi"/>
          <w:sz w:val="20"/>
          <w:szCs w:val="20"/>
        </w:rPr>
      </w:pPr>
      <w:r w:rsidRPr="001148C2">
        <w:rPr>
          <w:rFonts w:asciiTheme="majorHAnsi" w:hAnsiTheme="majorHAnsi" w:cstheme="majorHAnsi"/>
          <w:sz w:val="20"/>
          <w:szCs w:val="20"/>
          <w:vertAlign w:val="superscript"/>
        </w:rPr>
        <w:endnoteRef/>
      </w:r>
      <w:r w:rsidRPr="001148C2">
        <w:rPr>
          <w:rFonts w:asciiTheme="majorHAnsi" w:eastAsia="Arial" w:hAnsiTheme="majorHAnsi" w:cstheme="majorHAnsi"/>
          <w:sz w:val="20"/>
          <w:szCs w:val="20"/>
        </w:rPr>
        <w:t xml:space="preserve"> </w:t>
      </w:r>
    </w:p>
  </w:endnote>
  <w:endnote w:id="75">
    <w:p w:rsidR="00A161CD" w:rsidRPr="001148C2" w:rsidRDefault="00A161CD" w:rsidP="001148C2">
      <w:pPr>
        <w:spacing w:after="0" w:line="240" w:lineRule="auto"/>
        <w:rPr>
          <w:rFonts w:asciiTheme="majorHAnsi" w:eastAsia="Arial" w:hAnsiTheme="majorHAnsi" w:cstheme="majorHAnsi"/>
          <w:sz w:val="20"/>
          <w:szCs w:val="20"/>
        </w:rPr>
      </w:pPr>
      <w:r w:rsidRPr="001148C2">
        <w:rPr>
          <w:rFonts w:asciiTheme="majorHAnsi" w:hAnsiTheme="majorHAnsi" w:cstheme="majorHAnsi"/>
          <w:sz w:val="20"/>
          <w:szCs w:val="20"/>
          <w:vertAlign w:val="superscript"/>
        </w:rPr>
        <w:endnoteRef/>
      </w:r>
    </w:p>
  </w:endnote>
  <w:endnote w:id="76">
    <w:p w:rsidR="00A161CD" w:rsidRPr="001148C2" w:rsidRDefault="00A161CD" w:rsidP="001148C2">
      <w:pPr>
        <w:spacing w:after="0" w:line="240" w:lineRule="auto"/>
        <w:rPr>
          <w:rFonts w:asciiTheme="majorHAnsi" w:eastAsia="Arial" w:hAnsiTheme="majorHAnsi" w:cstheme="majorHAnsi"/>
          <w:sz w:val="20"/>
          <w:szCs w:val="20"/>
        </w:rPr>
      </w:pPr>
      <w:r w:rsidRPr="001148C2">
        <w:rPr>
          <w:rFonts w:asciiTheme="majorHAnsi" w:hAnsiTheme="majorHAnsi" w:cstheme="majorHAnsi"/>
          <w:sz w:val="20"/>
          <w:szCs w:val="20"/>
          <w:vertAlign w:val="superscript"/>
        </w:rPr>
        <w:endnoteRef/>
      </w:r>
    </w:p>
  </w:endnote>
  <w:endnote w:id="77">
    <w:p w:rsidR="00A161CD" w:rsidRPr="001148C2" w:rsidRDefault="00A161CD" w:rsidP="001148C2">
      <w:pPr>
        <w:spacing w:after="0" w:line="240" w:lineRule="auto"/>
        <w:rPr>
          <w:rFonts w:asciiTheme="majorHAnsi" w:eastAsia="Arial" w:hAnsiTheme="majorHAnsi" w:cstheme="majorHAnsi"/>
          <w:sz w:val="20"/>
          <w:szCs w:val="20"/>
        </w:rPr>
      </w:pPr>
      <w:r w:rsidRPr="001148C2">
        <w:rPr>
          <w:rFonts w:asciiTheme="majorHAnsi" w:hAnsiTheme="majorHAnsi" w:cstheme="majorHAnsi"/>
          <w:sz w:val="20"/>
          <w:szCs w:val="20"/>
          <w:vertAlign w:val="superscript"/>
        </w:rPr>
        <w:endnoteRef/>
      </w:r>
    </w:p>
  </w:endnote>
  <w:endnote w:id="78">
    <w:p w:rsidR="00A161CD" w:rsidRPr="001148C2" w:rsidRDefault="00A161CD" w:rsidP="001148C2">
      <w:pPr>
        <w:spacing w:after="0" w:line="240" w:lineRule="auto"/>
        <w:rPr>
          <w:rFonts w:asciiTheme="majorHAnsi" w:eastAsia="Arial" w:hAnsiTheme="majorHAnsi" w:cstheme="majorHAnsi"/>
          <w:sz w:val="20"/>
          <w:szCs w:val="20"/>
        </w:rPr>
      </w:pPr>
      <w:r w:rsidRPr="001148C2">
        <w:rPr>
          <w:rFonts w:asciiTheme="majorHAnsi" w:hAnsiTheme="majorHAnsi" w:cstheme="majorHAnsi"/>
          <w:sz w:val="20"/>
          <w:szCs w:val="20"/>
          <w:vertAlign w:val="superscript"/>
        </w:rPr>
        <w:endnoteRef/>
      </w:r>
    </w:p>
  </w:endnote>
  <w:endnote w:id="79">
    <w:p w:rsidR="00A161CD" w:rsidRPr="001148C2" w:rsidRDefault="00A161CD" w:rsidP="001148C2">
      <w:pPr>
        <w:spacing w:after="0" w:line="240" w:lineRule="auto"/>
        <w:rPr>
          <w:rFonts w:asciiTheme="majorHAnsi" w:eastAsia="Arial" w:hAnsiTheme="majorHAnsi" w:cstheme="majorHAnsi"/>
          <w:sz w:val="20"/>
          <w:szCs w:val="20"/>
        </w:rPr>
      </w:pPr>
      <w:r w:rsidRPr="001148C2">
        <w:rPr>
          <w:rFonts w:asciiTheme="majorHAnsi" w:hAnsiTheme="majorHAnsi" w:cstheme="majorHAnsi"/>
          <w:sz w:val="20"/>
          <w:szCs w:val="20"/>
          <w:vertAlign w:val="superscript"/>
        </w:rPr>
        <w:endnoteRef/>
      </w:r>
    </w:p>
  </w:endnote>
  <w:endnote w:id="80">
    <w:p w:rsidR="00890526" w:rsidRPr="001148C2" w:rsidRDefault="00890526" w:rsidP="001148C2">
      <w:pPr>
        <w:pStyle w:val="Endnotentext"/>
        <w:rPr>
          <w:lang w:val="de-DE"/>
        </w:rPr>
      </w:pPr>
      <w:r w:rsidRPr="001148C2">
        <w:rPr>
          <w:rStyle w:val="Endnotenzeichen"/>
        </w:rPr>
        <w:endnoteRef/>
      </w:r>
      <w:r w:rsidRPr="001148C2">
        <w:t xml:space="preserve"> </w:t>
      </w:r>
    </w:p>
  </w:endnote>
  <w:endnote w:id="81">
    <w:p w:rsidR="00890526" w:rsidRPr="001148C2" w:rsidRDefault="00890526" w:rsidP="001148C2">
      <w:pPr>
        <w:pStyle w:val="Endnotentext"/>
        <w:rPr>
          <w:lang w:val="de-DE"/>
        </w:rPr>
      </w:pPr>
      <w:r w:rsidRPr="001148C2">
        <w:rPr>
          <w:rStyle w:val="Endnotenzeichen"/>
        </w:rPr>
        <w:endnoteRef/>
      </w:r>
      <w:r w:rsidRPr="001148C2">
        <w:t xml:space="preserve"> </w:t>
      </w:r>
    </w:p>
  </w:endnote>
  <w:endnote w:id="82">
    <w:p w:rsidR="00890526" w:rsidRPr="001148C2" w:rsidRDefault="00890526" w:rsidP="001148C2">
      <w:pPr>
        <w:pStyle w:val="Endnotentext"/>
        <w:rPr>
          <w:lang w:val="de-DE"/>
        </w:rPr>
      </w:pPr>
      <w:r w:rsidRPr="001148C2">
        <w:rPr>
          <w:rStyle w:val="Endnotenzeichen"/>
        </w:rPr>
        <w:endnoteRef/>
      </w:r>
      <w:r w:rsidRPr="001148C2">
        <w:t xml:space="preserve"> </w:t>
      </w:r>
    </w:p>
  </w:endnote>
  <w:endnote w:id="83">
    <w:p w:rsidR="00A161CD" w:rsidRPr="001148C2" w:rsidRDefault="00A161CD" w:rsidP="001148C2">
      <w:pPr>
        <w:pStyle w:val="Endnotentext"/>
        <w:rPr>
          <w:lang w:val="de-DE"/>
        </w:rPr>
      </w:pPr>
      <w:r w:rsidRPr="001148C2">
        <w:rPr>
          <w:rStyle w:val="Endnotenzeichen"/>
        </w:rPr>
        <w:endnoteRef/>
      </w:r>
      <w:r w:rsidRPr="001148C2">
        <w:t xml:space="preserve"> </w:t>
      </w:r>
    </w:p>
  </w:endnote>
  <w:endnote w:id="84">
    <w:p w:rsidR="00A161CD" w:rsidRPr="001148C2" w:rsidRDefault="00A161CD" w:rsidP="001148C2">
      <w:pPr>
        <w:pStyle w:val="Endnotentext"/>
        <w:rPr>
          <w:lang w:val="de-DE"/>
        </w:rPr>
      </w:pPr>
      <w:r w:rsidRPr="001148C2">
        <w:rPr>
          <w:rStyle w:val="Endnotenzeichen"/>
        </w:rPr>
        <w:endnoteRef/>
      </w:r>
      <w:r w:rsidRPr="001148C2">
        <w:t xml:space="preserve"> </w:t>
      </w:r>
    </w:p>
  </w:endnote>
  <w:endnote w:id="85">
    <w:p w:rsidR="00A161CD" w:rsidRPr="001148C2" w:rsidRDefault="00A161CD" w:rsidP="001148C2">
      <w:pPr>
        <w:pStyle w:val="Endnotentext"/>
        <w:rPr>
          <w:lang w:val="de-DE"/>
        </w:rPr>
      </w:pPr>
      <w:r w:rsidRPr="001148C2">
        <w:rPr>
          <w:rStyle w:val="Endnotenzeichen"/>
        </w:rPr>
        <w:endnoteRef/>
      </w:r>
    </w:p>
  </w:endnote>
  <w:endnote w:id="86">
    <w:p w:rsidR="007A73A5" w:rsidRPr="001148C2" w:rsidRDefault="007A73A5" w:rsidP="001148C2">
      <w:pPr>
        <w:pStyle w:val="Endnotentext"/>
        <w:rPr>
          <w:lang w:val="de-DE"/>
        </w:rPr>
      </w:pPr>
      <w:r w:rsidRPr="001148C2">
        <w:rPr>
          <w:rStyle w:val="Endnotenzeichen"/>
        </w:rPr>
        <w:endnoteRef/>
      </w:r>
      <w:r w:rsidRPr="001148C2">
        <w:t xml:space="preserve"> </w:t>
      </w:r>
    </w:p>
  </w:endnote>
  <w:endnote w:id="87">
    <w:p w:rsidR="00FB1F8E" w:rsidRPr="001148C2" w:rsidRDefault="00FB1F8E" w:rsidP="001148C2">
      <w:pPr>
        <w:pStyle w:val="Endnotentext"/>
        <w:rPr>
          <w:lang w:val="de-DE"/>
        </w:rPr>
      </w:pPr>
      <w:r w:rsidRPr="001148C2">
        <w:rPr>
          <w:rStyle w:val="Endnotenzeichen"/>
        </w:rPr>
        <w:endnoteRef/>
      </w:r>
    </w:p>
  </w:endnote>
  <w:endnote w:id="88">
    <w:p w:rsidR="00FB1F8E" w:rsidRPr="001148C2" w:rsidRDefault="00FB1F8E" w:rsidP="001148C2">
      <w:pPr>
        <w:spacing w:after="0" w:line="240" w:lineRule="auto"/>
        <w:rPr>
          <w:rFonts w:asciiTheme="majorHAnsi" w:eastAsia="Arial" w:hAnsiTheme="majorHAnsi" w:cstheme="majorHAnsi"/>
          <w:sz w:val="20"/>
          <w:szCs w:val="20"/>
        </w:rPr>
      </w:pPr>
      <w:r w:rsidRPr="001148C2">
        <w:rPr>
          <w:rFonts w:asciiTheme="majorHAnsi" w:hAnsiTheme="majorHAnsi" w:cstheme="majorHAnsi"/>
          <w:sz w:val="20"/>
          <w:szCs w:val="20"/>
          <w:vertAlign w:val="superscript"/>
        </w:rPr>
        <w:endnoteRef/>
      </w:r>
    </w:p>
  </w:endnote>
  <w:endnote w:id="89">
    <w:p w:rsidR="001A5296" w:rsidRPr="00D5774D" w:rsidRDefault="001A5296" w:rsidP="001148C2">
      <w:pPr>
        <w:spacing w:after="0" w:line="240" w:lineRule="auto"/>
        <w:rPr>
          <w:rFonts w:asciiTheme="majorHAnsi" w:hAnsiTheme="majorHAnsi" w:cstheme="majorHAnsi"/>
          <w:sz w:val="20"/>
          <w:szCs w:val="20"/>
          <w:shd w:val="clear" w:color="auto" w:fill="FF9900"/>
        </w:rPr>
      </w:pPr>
      <w:r w:rsidRPr="001148C2">
        <w:rPr>
          <w:rFonts w:asciiTheme="majorHAnsi" w:hAnsiTheme="majorHAnsi" w:cstheme="majorHAnsi"/>
          <w:sz w:val="20"/>
          <w:szCs w:val="20"/>
          <w:vertAlign w:val="superscript"/>
        </w:rPr>
        <w:endnoteRef/>
      </w:r>
      <w:r w:rsidRPr="00D5774D">
        <w:rPr>
          <w:rFonts w:asciiTheme="majorHAnsi" w:hAnsiTheme="majorHAnsi" w:cstheme="majorHAnsi"/>
          <w:sz w:val="20"/>
          <w:szCs w:val="20"/>
          <w:shd w:val="clear" w:color="auto" w:fill="FF9900"/>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DFE48FDE-5A87-4AE9-9573-1579966C9B3B}"/>
    <w:embedBold r:id="rId2" w:fontKey="{A2E4F093-B7B7-4CC8-8D13-4EBFEF5E8BD1}"/>
    <w:embedItalic r:id="rId3" w:fontKey="{5797AD81-9B88-487C-87C1-3725A8CDD4A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4" w:fontKey="{F46D6307-F7A7-4425-8DDA-30AD9CE8C315}"/>
  </w:font>
  <w:font w:name="Georgia">
    <w:panose1 w:val="02040502050405020303"/>
    <w:charset w:val="00"/>
    <w:family w:val="roman"/>
    <w:pitch w:val="variable"/>
    <w:sig w:usb0="00000287" w:usb1="00000000" w:usb2="00000000" w:usb3="00000000" w:csb0="0000009F" w:csb1="00000000"/>
    <w:embedItalic r:id="rId5" w:fontKey="{27D90961-4429-4DFB-9229-D0D4DBDA7EC3}"/>
  </w:font>
  <w:font w:name="Segoe UI">
    <w:panose1 w:val="020B0502040204020203"/>
    <w:charset w:val="00"/>
    <w:family w:val="swiss"/>
    <w:pitch w:val="variable"/>
    <w:sig w:usb0="E4002EFF" w:usb1="C000E47F" w:usb2="00000009" w:usb3="00000000" w:csb0="000001FF" w:csb1="00000000"/>
    <w:embedRegular r:id="rId6" w:fontKey="{B28CC213-D9DA-4126-BC2C-CB094F5EE19D}"/>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0FE36246-D014-4488-AEE8-3E99B8BA23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39EC" w:rsidRDefault="00F839E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1054702"/>
      <w:docPartObj>
        <w:docPartGallery w:val="Page Numbers (Bottom of Page)"/>
        <w:docPartUnique/>
      </w:docPartObj>
    </w:sdtPr>
    <w:sdtEndPr/>
    <w:sdtContent>
      <w:p w:rsidR="00F839EC" w:rsidRDefault="00F839EC">
        <w:pPr>
          <w:pStyle w:val="Fuzeile"/>
          <w:jc w:val="center"/>
        </w:pPr>
        <w:r>
          <w:fldChar w:fldCharType="begin"/>
        </w:r>
        <w:r>
          <w:instrText>PAGE   \* MERGEFORMAT</w:instrText>
        </w:r>
        <w:r>
          <w:fldChar w:fldCharType="separate"/>
        </w:r>
        <w:r>
          <w:rPr>
            <w:lang w:val="de-DE"/>
          </w:rPr>
          <w:t>2</w:t>
        </w:r>
        <w:r>
          <w:fldChar w:fldCharType="end"/>
        </w:r>
      </w:p>
    </w:sdtContent>
  </w:sdt>
  <w:p w:rsidR="00F839EC" w:rsidRDefault="00F839E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39EC" w:rsidRDefault="00F839E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0930" w:rsidRDefault="000C0930">
      <w:pPr>
        <w:spacing w:after="0" w:line="240" w:lineRule="auto"/>
      </w:pPr>
      <w:r>
        <w:separator/>
      </w:r>
    </w:p>
  </w:footnote>
  <w:footnote w:type="continuationSeparator" w:id="0">
    <w:p w:rsidR="000C0930" w:rsidRDefault="000C09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39EC" w:rsidRDefault="00F839E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39EC" w:rsidRDefault="00F839E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39EC" w:rsidRDefault="00F839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773DA"/>
    <w:multiLevelType w:val="hybridMultilevel"/>
    <w:tmpl w:val="E7F66672"/>
    <w:lvl w:ilvl="0" w:tplc="AAA861F8">
      <w:numFmt w:val="bullet"/>
      <w:lvlText w:val=""/>
      <w:lvlJc w:val="left"/>
      <w:pPr>
        <w:ind w:left="720" w:hanging="360"/>
      </w:pPr>
      <w:rPr>
        <w:rFonts w:ascii="Symbol" w:eastAsia="Calibri" w:hAnsi="Symbol" w:cstheme="maj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BE0A7D"/>
    <w:multiLevelType w:val="hybridMultilevel"/>
    <w:tmpl w:val="C67AF300"/>
    <w:lvl w:ilvl="0" w:tplc="A5961BE0">
      <w:numFmt w:val="bullet"/>
      <w:lvlText w:val=""/>
      <w:lvlJc w:val="left"/>
      <w:pPr>
        <w:ind w:left="720" w:hanging="360"/>
      </w:pPr>
      <w:rPr>
        <w:rFonts w:ascii="Symbol" w:eastAsia="Calibri" w:hAnsi="Symbol" w:cstheme="maj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75E3873"/>
    <w:multiLevelType w:val="multilevel"/>
    <w:tmpl w:val="8BDC1F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C066A0"/>
    <w:multiLevelType w:val="multilevel"/>
    <w:tmpl w:val="B69C3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AA657D3"/>
    <w:multiLevelType w:val="hybridMultilevel"/>
    <w:tmpl w:val="C6E83DB4"/>
    <w:lvl w:ilvl="0" w:tplc="BB240DB2">
      <w:numFmt w:val="bullet"/>
      <w:lvlText w:val=""/>
      <w:lvlJc w:val="left"/>
      <w:pPr>
        <w:ind w:left="720" w:hanging="360"/>
      </w:pPr>
      <w:rPr>
        <w:rFonts w:ascii="Symbol" w:eastAsia="Calibri" w:hAnsi="Symbol" w:cstheme="maj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14F25C1"/>
    <w:multiLevelType w:val="multilevel"/>
    <w:tmpl w:val="270EB3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3B403FE"/>
    <w:multiLevelType w:val="hybridMultilevel"/>
    <w:tmpl w:val="9048AD40"/>
    <w:lvl w:ilvl="0" w:tplc="E94477F0">
      <w:numFmt w:val="bullet"/>
      <w:lvlText w:val=""/>
      <w:lvlJc w:val="left"/>
      <w:pPr>
        <w:ind w:left="720" w:hanging="360"/>
      </w:pPr>
      <w:rPr>
        <w:rFonts w:ascii="Symbol" w:eastAsia="Calibri"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EE165C0"/>
    <w:multiLevelType w:val="hybridMultilevel"/>
    <w:tmpl w:val="9F72794C"/>
    <w:lvl w:ilvl="0" w:tplc="1798894C">
      <w:numFmt w:val="bullet"/>
      <w:lvlText w:val=""/>
      <w:lvlJc w:val="left"/>
      <w:pPr>
        <w:ind w:left="720" w:hanging="360"/>
      </w:pPr>
      <w:rPr>
        <w:rFonts w:ascii="Symbol" w:eastAsia="Calibri" w:hAnsi="Symbol" w:cstheme="maj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56D0D6F"/>
    <w:multiLevelType w:val="hybridMultilevel"/>
    <w:tmpl w:val="5D1EBFB2"/>
    <w:lvl w:ilvl="0" w:tplc="03C4CB50">
      <w:numFmt w:val="bullet"/>
      <w:lvlText w:val=""/>
      <w:lvlJc w:val="left"/>
      <w:pPr>
        <w:ind w:left="720" w:hanging="360"/>
      </w:pPr>
      <w:rPr>
        <w:rFonts w:ascii="Symbol" w:eastAsia="Calibri" w:hAnsi="Symbol" w:cstheme="maj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DCA3CAF"/>
    <w:multiLevelType w:val="multilevel"/>
    <w:tmpl w:val="698EE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3"/>
  </w:num>
  <w:num w:numId="3">
    <w:abstractNumId w:val="9"/>
  </w:num>
  <w:num w:numId="4">
    <w:abstractNumId w:val="5"/>
  </w:num>
  <w:num w:numId="5">
    <w:abstractNumId w:val="6"/>
  </w:num>
  <w:num w:numId="6">
    <w:abstractNumId w:val="8"/>
  </w:num>
  <w:num w:numId="7">
    <w:abstractNumId w:val="0"/>
  </w:num>
  <w:num w:numId="8">
    <w:abstractNumId w:val="5"/>
  </w:num>
  <w:num w:numId="9">
    <w:abstractNumId w:val="4"/>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proofState w:spelling="clean" w:grammar="clean"/>
  <w:defaultTabStop w:val="720"/>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2D8"/>
    <w:rsid w:val="0000689C"/>
    <w:rsid w:val="0001382E"/>
    <w:rsid w:val="0001535E"/>
    <w:rsid w:val="00015EF4"/>
    <w:rsid w:val="0001736A"/>
    <w:rsid w:val="000229BB"/>
    <w:rsid w:val="00027BC8"/>
    <w:rsid w:val="00042A1F"/>
    <w:rsid w:val="00054D1F"/>
    <w:rsid w:val="00056291"/>
    <w:rsid w:val="000759DD"/>
    <w:rsid w:val="000823C5"/>
    <w:rsid w:val="00092D44"/>
    <w:rsid w:val="00094458"/>
    <w:rsid w:val="000A1656"/>
    <w:rsid w:val="000A34BC"/>
    <w:rsid w:val="000C0930"/>
    <w:rsid w:val="000C5485"/>
    <w:rsid w:val="000C5E1A"/>
    <w:rsid w:val="000E00F7"/>
    <w:rsid w:val="000F2580"/>
    <w:rsid w:val="000F49B6"/>
    <w:rsid w:val="000F77C5"/>
    <w:rsid w:val="0010359C"/>
    <w:rsid w:val="001148C2"/>
    <w:rsid w:val="00147132"/>
    <w:rsid w:val="0015257B"/>
    <w:rsid w:val="001918D0"/>
    <w:rsid w:val="001A5296"/>
    <w:rsid w:val="001B1F17"/>
    <w:rsid w:val="001C19C9"/>
    <w:rsid w:val="001C19CA"/>
    <w:rsid w:val="001C2903"/>
    <w:rsid w:val="001E106F"/>
    <w:rsid w:val="001F1E09"/>
    <w:rsid w:val="001F2A28"/>
    <w:rsid w:val="002022CF"/>
    <w:rsid w:val="00202992"/>
    <w:rsid w:val="0020712F"/>
    <w:rsid w:val="0021469D"/>
    <w:rsid w:val="00217DF3"/>
    <w:rsid w:val="00220907"/>
    <w:rsid w:val="00230597"/>
    <w:rsid w:val="00241A31"/>
    <w:rsid w:val="00245F67"/>
    <w:rsid w:val="00262976"/>
    <w:rsid w:val="00265911"/>
    <w:rsid w:val="00292291"/>
    <w:rsid w:val="00294724"/>
    <w:rsid w:val="002C6D71"/>
    <w:rsid w:val="00302DC4"/>
    <w:rsid w:val="00306906"/>
    <w:rsid w:val="00306E81"/>
    <w:rsid w:val="0034404D"/>
    <w:rsid w:val="003608F9"/>
    <w:rsid w:val="0036175B"/>
    <w:rsid w:val="00371852"/>
    <w:rsid w:val="003734FF"/>
    <w:rsid w:val="00373A8F"/>
    <w:rsid w:val="0037692B"/>
    <w:rsid w:val="003804CD"/>
    <w:rsid w:val="00385182"/>
    <w:rsid w:val="00386945"/>
    <w:rsid w:val="003941FB"/>
    <w:rsid w:val="0039643C"/>
    <w:rsid w:val="003A4F82"/>
    <w:rsid w:val="003D0088"/>
    <w:rsid w:val="003D271B"/>
    <w:rsid w:val="003E6797"/>
    <w:rsid w:val="0040446A"/>
    <w:rsid w:val="00405721"/>
    <w:rsid w:val="004130FE"/>
    <w:rsid w:val="00415EFA"/>
    <w:rsid w:val="00417419"/>
    <w:rsid w:val="00434A02"/>
    <w:rsid w:val="00440DA9"/>
    <w:rsid w:val="004512AA"/>
    <w:rsid w:val="00473413"/>
    <w:rsid w:val="0048166A"/>
    <w:rsid w:val="00482093"/>
    <w:rsid w:val="00494BBC"/>
    <w:rsid w:val="00495856"/>
    <w:rsid w:val="004A3998"/>
    <w:rsid w:val="004A4606"/>
    <w:rsid w:val="004B1A77"/>
    <w:rsid w:val="004E65A0"/>
    <w:rsid w:val="004E6E84"/>
    <w:rsid w:val="005072B7"/>
    <w:rsid w:val="00513EBE"/>
    <w:rsid w:val="00520D29"/>
    <w:rsid w:val="00535351"/>
    <w:rsid w:val="00540192"/>
    <w:rsid w:val="00545130"/>
    <w:rsid w:val="005546DD"/>
    <w:rsid w:val="00556EBB"/>
    <w:rsid w:val="00564D44"/>
    <w:rsid w:val="00566635"/>
    <w:rsid w:val="00573869"/>
    <w:rsid w:val="005A3619"/>
    <w:rsid w:val="005A5001"/>
    <w:rsid w:val="005A5652"/>
    <w:rsid w:val="005B054F"/>
    <w:rsid w:val="005B2806"/>
    <w:rsid w:val="005C0A77"/>
    <w:rsid w:val="005C535A"/>
    <w:rsid w:val="005E2EA1"/>
    <w:rsid w:val="005E62B3"/>
    <w:rsid w:val="005F2CD1"/>
    <w:rsid w:val="00632450"/>
    <w:rsid w:val="00632F19"/>
    <w:rsid w:val="00642D6B"/>
    <w:rsid w:val="00647062"/>
    <w:rsid w:val="00651891"/>
    <w:rsid w:val="00664BC0"/>
    <w:rsid w:val="006A5532"/>
    <w:rsid w:val="006C787E"/>
    <w:rsid w:val="007044B9"/>
    <w:rsid w:val="0071457D"/>
    <w:rsid w:val="0071590A"/>
    <w:rsid w:val="0072247F"/>
    <w:rsid w:val="00754390"/>
    <w:rsid w:val="00766181"/>
    <w:rsid w:val="0077320B"/>
    <w:rsid w:val="00794DCE"/>
    <w:rsid w:val="007A1825"/>
    <w:rsid w:val="007A73A5"/>
    <w:rsid w:val="007B5019"/>
    <w:rsid w:val="007D133F"/>
    <w:rsid w:val="007E0673"/>
    <w:rsid w:val="007E384F"/>
    <w:rsid w:val="007E74A2"/>
    <w:rsid w:val="007E78F2"/>
    <w:rsid w:val="007F347E"/>
    <w:rsid w:val="007F5BEE"/>
    <w:rsid w:val="008213C5"/>
    <w:rsid w:val="008324B8"/>
    <w:rsid w:val="0083347F"/>
    <w:rsid w:val="0085694F"/>
    <w:rsid w:val="00864CCA"/>
    <w:rsid w:val="00874BC6"/>
    <w:rsid w:val="00885C07"/>
    <w:rsid w:val="00890526"/>
    <w:rsid w:val="008A65E8"/>
    <w:rsid w:val="008A7D26"/>
    <w:rsid w:val="008B36BA"/>
    <w:rsid w:val="008C09F5"/>
    <w:rsid w:val="008C556D"/>
    <w:rsid w:val="008E5816"/>
    <w:rsid w:val="008F07FD"/>
    <w:rsid w:val="00917E33"/>
    <w:rsid w:val="009349AE"/>
    <w:rsid w:val="00952920"/>
    <w:rsid w:val="00965BFE"/>
    <w:rsid w:val="0098193B"/>
    <w:rsid w:val="00986D27"/>
    <w:rsid w:val="00996523"/>
    <w:rsid w:val="009B145E"/>
    <w:rsid w:val="009B2A8F"/>
    <w:rsid w:val="009C0605"/>
    <w:rsid w:val="009C233D"/>
    <w:rsid w:val="009F4557"/>
    <w:rsid w:val="009F5130"/>
    <w:rsid w:val="00A11110"/>
    <w:rsid w:val="00A122D8"/>
    <w:rsid w:val="00A161CD"/>
    <w:rsid w:val="00A41881"/>
    <w:rsid w:val="00A45195"/>
    <w:rsid w:val="00A47DA6"/>
    <w:rsid w:val="00A6201C"/>
    <w:rsid w:val="00AB21A6"/>
    <w:rsid w:val="00AB70CF"/>
    <w:rsid w:val="00AD6B91"/>
    <w:rsid w:val="00B1210E"/>
    <w:rsid w:val="00B20F1F"/>
    <w:rsid w:val="00B32F87"/>
    <w:rsid w:val="00B35713"/>
    <w:rsid w:val="00B56CBC"/>
    <w:rsid w:val="00B7054A"/>
    <w:rsid w:val="00B95B6A"/>
    <w:rsid w:val="00B97B62"/>
    <w:rsid w:val="00BC182B"/>
    <w:rsid w:val="00BC5281"/>
    <w:rsid w:val="00BE0E55"/>
    <w:rsid w:val="00BF12B1"/>
    <w:rsid w:val="00BF544C"/>
    <w:rsid w:val="00C105BF"/>
    <w:rsid w:val="00C11028"/>
    <w:rsid w:val="00C23FC2"/>
    <w:rsid w:val="00C52CBC"/>
    <w:rsid w:val="00C62A46"/>
    <w:rsid w:val="00C82A2C"/>
    <w:rsid w:val="00C933F8"/>
    <w:rsid w:val="00CD07E2"/>
    <w:rsid w:val="00CE6D82"/>
    <w:rsid w:val="00CF3CC1"/>
    <w:rsid w:val="00D10A98"/>
    <w:rsid w:val="00D131EB"/>
    <w:rsid w:val="00D167E0"/>
    <w:rsid w:val="00D20F46"/>
    <w:rsid w:val="00D358C7"/>
    <w:rsid w:val="00D5774D"/>
    <w:rsid w:val="00D619F7"/>
    <w:rsid w:val="00D670CA"/>
    <w:rsid w:val="00DC268B"/>
    <w:rsid w:val="00DC4F6B"/>
    <w:rsid w:val="00DF0F9A"/>
    <w:rsid w:val="00E0460F"/>
    <w:rsid w:val="00E06382"/>
    <w:rsid w:val="00E350C3"/>
    <w:rsid w:val="00E622E4"/>
    <w:rsid w:val="00E836D3"/>
    <w:rsid w:val="00EB496B"/>
    <w:rsid w:val="00EC0BAD"/>
    <w:rsid w:val="00EC68C0"/>
    <w:rsid w:val="00ED69E1"/>
    <w:rsid w:val="00EE3BD7"/>
    <w:rsid w:val="00EE4EB6"/>
    <w:rsid w:val="00F12F2B"/>
    <w:rsid w:val="00F309BB"/>
    <w:rsid w:val="00F309E7"/>
    <w:rsid w:val="00F3766C"/>
    <w:rsid w:val="00F475DC"/>
    <w:rsid w:val="00F47FBC"/>
    <w:rsid w:val="00F51695"/>
    <w:rsid w:val="00F602A2"/>
    <w:rsid w:val="00F707F4"/>
    <w:rsid w:val="00F745BD"/>
    <w:rsid w:val="00F750BB"/>
    <w:rsid w:val="00F839EC"/>
    <w:rsid w:val="00F864AF"/>
    <w:rsid w:val="00F87EAF"/>
    <w:rsid w:val="00F95A25"/>
    <w:rsid w:val="00FB1F8E"/>
    <w:rsid w:val="00FC112F"/>
    <w:rsid w:val="00FC50A8"/>
    <w:rsid w:val="00FD36AB"/>
    <w:rsid w:val="00FE5679"/>
    <w:rsid w:val="00FE74E3"/>
    <w:rsid w:val="00FF0DF9"/>
    <w:rsid w:val="00FF6801"/>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9A4D0"/>
  <w15:docId w15:val="{9D4A99D0-75ED-49B8-A230-3A51E6CAA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de-D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bCs/>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bCs/>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bCs/>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bCs/>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bCs/>
    </w:rPr>
  </w:style>
  <w:style w:type="paragraph" w:styleId="berschrift6">
    <w:name w:val="heading 6"/>
    <w:basedOn w:val="Standard"/>
    <w:next w:val="Standard"/>
    <w:uiPriority w:val="9"/>
    <w:semiHidden/>
    <w:unhideWhenUsed/>
    <w:qFormat/>
    <w:pPr>
      <w:keepNext/>
      <w:keepLines/>
      <w:spacing w:before="200" w:after="40"/>
      <w:outlineLvl w:val="5"/>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bCs/>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Kopfzeile">
    <w:name w:val="header"/>
    <w:basedOn w:val="Standard"/>
    <w:link w:val="KopfzeileZchn"/>
    <w:uiPriority w:val="99"/>
    <w:unhideWhenUsed/>
    <w:rsid w:val="0036175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6175B"/>
  </w:style>
  <w:style w:type="paragraph" w:styleId="Fuzeile">
    <w:name w:val="footer"/>
    <w:basedOn w:val="Standard"/>
    <w:link w:val="FuzeileZchn"/>
    <w:uiPriority w:val="99"/>
    <w:unhideWhenUsed/>
    <w:rsid w:val="0036175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6175B"/>
  </w:style>
  <w:style w:type="paragraph" w:styleId="Sprechblasentext">
    <w:name w:val="Balloon Text"/>
    <w:basedOn w:val="Standard"/>
    <w:link w:val="SprechblasentextZchn"/>
    <w:uiPriority w:val="99"/>
    <w:semiHidden/>
    <w:unhideWhenUsed/>
    <w:rsid w:val="0036175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6175B"/>
    <w:rPr>
      <w:rFonts w:ascii="Segoe UI" w:hAnsi="Segoe UI" w:cs="Segoe UI"/>
      <w:sz w:val="18"/>
      <w:szCs w:val="18"/>
    </w:rPr>
  </w:style>
  <w:style w:type="paragraph" w:styleId="Endnotentext">
    <w:name w:val="endnote text"/>
    <w:basedOn w:val="Standard"/>
    <w:link w:val="EndnotentextZchn"/>
    <w:uiPriority w:val="99"/>
    <w:semiHidden/>
    <w:unhideWhenUsed/>
    <w:rsid w:val="00986D27"/>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986D27"/>
    <w:rPr>
      <w:sz w:val="20"/>
      <w:szCs w:val="20"/>
    </w:rPr>
  </w:style>
  <w:style w:type="paragraph" w:styleId="Funotentext">
    <w:name w:val="footnote text"/>
    <w:basedOn w:val="Standard"/>
    <w:link w:val="FunotentextZchn"/>
    <w:uiPriority w:val="99"/>
    <w:semiHidden/>
    <w:unhideWhenUsed/>
    <w:rsid w:val="00986D27"/>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986D27"/>
    <w:rPr>
      <w:sz w:val="20"/>
      <w:szCs w:val="20"/>
    </w:rPr>
  </w:style>
  <w:style w:type="character" w:styleId="Endnotenzeichen">
    <w:name w:val="endnote reference"/>
    <w:basedOn w:val="Absatz-Standardschriftart"/>
    <w:uiPriority w:val="99"/>
    <w:semiHidden/>
    <w:unhideWhenUsed/>
    <w:rsid w:val="00986D27"/>
    <w:rPr>
      <w:vertAlign w:val="superscript"/>
    </w:rPr>
  </w:style>
  <w:style w:type="character" w:styleId="Funotenzeichen">
    <w:name w:val="footnote reference"/>
    <w:basedOn w:val="Absatz-Standardschriftart"/>
    <w:uiPriority w:val="99"/>
    <w:semiHidden/>
    <w:unhideWhenUsed/>
    <w:rsid w:val="00986D27"/>
    <w:rPr>
      <w:vertAlign w:val="superscript"/>
    </w:rPr>
  </w:style>
  <w:style w:type="paragraph" w:styleId="Listenabsatz">
    <w:name w:val="List Paragraph"/>
    <w:basedOn w:val="Standard"/>
    <w:uiPriority w:val="34"/>
    <w:qFormat/>
    <w:rsid w:val="004816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45415">
      <w:bodyDiv w:val="1"/>
      <w:marLeft w:val="0"/>
      <w:marRight w:val="0"/>
      <w:marTop w:val="0"/>
      <w:marBottom w:val="0"/>
      <w:divBdr>
        <w:top w:val="none" w:sz="0" w:space="0" w:color="auto"/>
        <w:left w:val="none" w:sz="0" w:space="0" w:color="auto"/>
        <w:bottom w:val="none" w:sz="0" w:space="0" w:color="auto"/>
        <w:right w:val="none" w:sz="0" w:space="0" w:color="auto"/>
      </w:divBdr>
    </w:div>
    <w:div w:id="108203802">
      <w:bodyDiv w:val="1"/>
      <w:marLeft w:val="0"/>
      <w:marRight w:val="0"/>
      <w:marTop w:val="0"/>
      <w:marBottom w:val="0"/>
      <w:divBdr>
        <w:top w:val="none" w:sz="0" w:space="0" w:color="auto"/>
        <w:left w:val="none" w:sz="0" w:space="0" w:color="auto"/>
        <w:bottom w:val="none" w:sz="0" w:space="0" w:color="auto"/>
        <w:right w:val="none" w:sz="0" w:space="0" w:color="auto"/>
      </w:divBdr>
    </w:div>
    <w:div w:id="155191374">
      <w:bodyDiv w:val="1"/>
      <w:marLeft w:val="0"/>
      <w:marRight w:val="0"/>
      <w:marTop w:val="0"/>
      <w:marBottom w:val="0"/>
      <w:divBdr>
        <w:top w:val="none" w:sz="0" w:space="0" w:color="auto"/>
        <w:left w:val="none" w:sz="0" w:space="0" w:color="auto"/>
        <w:bottom w:val="none" w:sz="0" w:space="0" w:color="auto"/>
        <w:right w:val="none" w:sz="0" w:space="0" w:color="auto"/>
      </w:divBdr>
    </w:div>
    <w:div w:id="197816153">
      <w:bodyDiv w:val="1"/>
      <w:marLeft w:val="0"/>
      <w:marRight w:val="0"/>
      <w:marTop w:val="0"/>
      <w:marBottom w:val="0"/>
      <w:divBdr>
        <w:top w:val="none" w:sz="0" w:space="0" w:color="auto"/>
        <w:left w:val="none" w:sz="0" w:space="0" w:color="auto"/>
        <w:bottom w:val="none" w:sz="0" w:space="0" w:color="auto"/>
        <w:right w:val="none" w:sz="0" w:space="0" w:color="auto"/>
      </w:divBdr>
    </w:div>
    <w:div w:id="259681757">
      <w:bodyDiv w:val="1"/>
      <w:marLeft w:val="0"/>
      <w:marRight w:val="0"/>
      <w:marTop w:val="0"/>
      <w:marBottom w:val="0"/>
      <w:divBdr>
        <w:top w:val="none" w:sz="0" w:space="0" w:color="auto"/>
        <w:left w:val="none" w:sz="0" w:space="0" w:color="auto"/>
        <w:bottom w:val="none" w:sz="0" w:space="0" w:color="auto"/>
        <w:right w:val="none" w:sz="0" w:space="0" w:color="auto"/>
      </w:divBdr>
    </w:div>
    <w:div w:id="507215783">
      <w:bodyDiv w:val="1"/>
      <w:marLeft w:val="0"/>
      <w:marRight w:val="0"/>
      <w:marTop w:val="0"/>
      <w:marBottom w:val="0"/>
      <w:divBdr>
        <w:top w:val="none" w:sz="0" w:space="0" w:color="auto"/>
        <w:left w:val="none" w:sz="0" w:space="0" w:color="auto"/>
        <w:bottom w:val="none" w:sz="0" w:space="0" w:color="auto"/>
        <w:right w:val="none" w:sz="0" w:space="0" w:color="auto"/>
      </w:divBdr>
    </w:div>
    <w:div w:id="565191781">
      <w:bodyDiv w:val="1"/>
      <w:marLeft w:val="0"/>
      <w:marRight w:val="0"/>
      <w:marTop w:val="0"/>
      <w:marBottom w:val="0"/>
      <w:divBdr>
        <w:top w:val="none" w:sz="0" w:space="0" w:color="auto"/>
        <w:left w:val="none" w:sz="0" w:space="0" w:color="auto"/>
        <w:bottom w:val="none" w:sz="0" w:space="0" w:color="auto"/>
        <w:right w:val="none" w:sz="0" w:space="0" w:color="auto"/>
      </w:divBdr>
    </w:div>
    <w:div w:id="585307113">
      <w:bodyDiv w:val="1"/>
      <w:marLeft w:val="0"/>
      <w:marRight w:val="0"/>
      <w:marTop w:val="0"/>
      <w:marBottom w:val="0"/>
      <w:divBdr>
        <w:top w:val="none" w:sz="0" w:space="0" w:color="auto"/>
        <w:left w:val="none" w:sz="0" w:space="0" w:color="auto"/>
        <w:bottom w:val="none" w:sz="0" w:space="0" w:color="auto"/>
        <w:right w:val="none" w:sz="0" w:space="0" w:color="auto"/>
      </w:divBdr>
    </w:div>
    <w:div w:id="622931682">
      <w:bodyDiv w:val="1"/>
      <w:marLeft w:val="0"/>
      <w:marRight w:val="0"/>
      <w:marTop w:val="0"/>
      <w:marBottom w:val="0"/>
      <w:divBdr>
        <w:top w:val="none" w:sz="0" w:space="0" w:color="auto"/>
        <w:left w:val="none" w:sz="0" w:space="0" w:color="auto"/>
        <w:bottom w:val="none" w:sz="0" w:space="0" w:color="auto"/>
        <w:right w:val="none" w:sz="0" w:space="0" w:color="auto"/>
      </w:divBdr>
    </w:div>
    <w:div w:id="675695450">
      <w:bodyDiv w:val="1"/>
      <w:marLeft w:val="0"/>
      <w:marRight w:val="0"/>
      <w:marTop w:val="0"/>
      <w:marBottom w:val="0"/>
      <w:divBdr>
        <w:top w:val="none" w:sz="0" w:space="0" w:color="auto"/>
        <w:left w:val="none" w:sz="0" w:space="0" w:color="auto"/>
        <w:bottom w:val="none" w:sz="0" w:space="0" w:color="auto"/>
        <w:right w:val="none" w:sz="0" w:space="0" w:color="auto"/>
      </w:divBdr>
    </w:div>
    <w:div w:id="706107737">
      <w:bodyDiv w:val="1"/>
      <w:marLeft w:val="0"/>
      <w:marRight w:val="0"/>
      <w:marTop w:val="0"/>
      <w:marBottom w:val="0"/>
      <w:divBdr>
        <w:top w:val="none" w:sz="0" w:space="0" w:color="auto"/>
        <w:left w:val="none" w:sz="0" w:space="0" w:color="auto"/>
        <w:bottom w:val="none" w:sz="0" w:space="0" w:color="auto"/>
        <w:right w:val="none" w:sz="0" w:space="0" w:color="auto"/>
      </w:divBdr>
    </w:div>
    <w:div w:id="762725680">
      <w:bodyDiv w:val="1"/>
      <w:marLeft w:val="0"/>
      <w:marRight w:val="0"/>
      <w:marTop w:val="0"/>
      <w:marBottom w:val="0"/>
      <w:divBdr>
        <w:top w:val="none" w:sz="0" w:space="0" w:color="auto"/>
        <w:left w:val="none" w:sz="0" w:space="0" w:color="auto"/>
        <w:bottom w:val="none" w:sz="0" w:space="0" w:color="auto"/>
        <w:right w:val="none" w:sz="0" w:space="0" w:color="auto"/>
      </w:divBdr>
    </w:div>
    <w:div w:id="785782167">
      <w:bodyDiv w:val="1"/>
      <w:marLeft w:val="0"/>
      <w:marRight w:val="0"/>
      <w:marTop w:val="0"/>
      <w:marBottom w:val="0"/>
      <w:divBdr>
        <w:top w:val="none" w:sz="0" w:space="0" w:color="auto"/>
        <w:left w:val="none" w:sz="0" w:space="0" w:color="auto"/>
        <w:bottom w:val="none" w:sz="0" w:space="0" w:color="auto"/>
        <w:right w:val="none" w:sz="0" w:space="0" w:color="auto"/>
      </w:divBdr>
    </w:div>
    <w:div w:id="881750902">
      <w:bodyDiv w:val="1"/>
      <w:marLeft w:val="0"/>
      <w:marRight w:val="0"/>
      <w:marTop w:val="0"/>
      <w:marBottom w:val="0"/>
      <w:divBdr>
        <w:top w:val="none" w:sz="0" w:space="0" w:color="auto"/>
        <w:left w:val="none" w:sz="0" w:space="0" w:color="auto"/>
        <w:bottom w:val="none" w:sz="0" w:space="0" w:color="auto"/>
        <w:right w:val="none" w:sz="0" w:space="0" w:color="auto"/>
      </w:divBdr>
    </w:div>
    <w:div w:id="942683889">
      <w:bodyDiv w:val="1"/>
      <w:marLeft w:val="0"/>
      <w:marRight w:val="0"/>
      <w:marTop w:val="0"/>
      <w:marBottom w:val="0"/>
      <w:divBdr>
        <w:top w:val="none" w:sz="0" w:space="0" w:color="auto"/>
        <w:left w:val="none" w:sz="0" w:space="0" w:color="auto"/>
        <w:bottom w:val="none" w:sz="0" w:space="0" w:color="auto"/>
        <w:right w:val="none" w:sz="0" w:space="0" w:color="auto"/>
      </w:divBdr>
    </w:div>
    <w:div w:id="980961331">
      <w:bodyDiv w:val="1"/>
      <w:marLeft w:val="0"/>
      <w:marRight w:val="0"/>
      <w:marTop w:val="0"/>
      <w:marBottom w:val="0"/>
      <w:divBdr>
        <w:top w:val="none" w:sz="0" w:space="0" w:color="auto"/>
        <w:left w:val="none" w:sz="0" w:space="0" w:color="auto"/>
        <w:bottom w:val="none" w:sz="0" w:space="0" w:color="auto"/>
        <w:right w:val="none" w:sz="0" w:space="0" w:color="auto"/>
      </w:divBdr>
    </w:div>
    <w:div w:id="1008367941">
      <w:bodyDiv w:val="1"/>
      <w:marLeft w:val="0"/>
      <w:marRight w:val="0"/>
      <w:marTop w:val="0"/>
      <w:marBottom w:val="0"/>
      <w:divBdr>
        <w:top w:val="none" w:sz="0" w:space="0" w:color="auto"/>
        <w:left w:val="none" w:sz="0" w:space="0" w:color="auto"/>
        <w:bottom w:val="none" w:sz="0" w:space="0" w:color="auto"/>
        <w:right w:val="none" w:sz="0" w:space="0" w:color="auto"/>
      </w:divBdr>
    </w:div>
    <w:div w:id="1052928493">
      <w:bodyDiv w:val="1"/>
      <w:marLeft w:val="0"/>
      <w:marRight w:val="0"/>
      <w:marTop w:val="0"/>
      <w:marBottom w:val="0"/>
      <w:divBdr>
        <w:top w:val="none" w:sz="0" w:space="0" w:color="auto"/>
        <w:left w:val="none" w:sz="0" w:space="0" w:color="auto"/>
        <w:bottom w:val="none" w:sz="0" w:space="0" w:color="auto"/>
        <w:right w:val="none" w:sz="0" w:space="0" w:color="auto"/>
      </w:divBdr>
    </w:div>
    <w:div w:id="1192181069">
      <w:bodyDiv w:val="1"/>
      <w:marLeft w:val="0"/>
      <w:marRight w:val="0"/>
      <w:marTop w:val="0"/>
      <w:marBottom w:val="0"/>
      <w:divBdr>
        <w:top w:val="none" w:sz="0" w:space="0" w:color="auto"/>
        <w:left w:val="none" w:sz="0" w:space="0" w:color="auto"/>
        <w:bottom w:val="none" w:sz="0" w:space="0" w:color="auto"/>
        <w:right w:val="none" w:sz="0" w:space="0" w:color="auto"/>
      </w:divBdr>
    </w:div>
    <w:div w:id="1251547373">
      <w:bodyDiv w:val="1"/>
      <w:marLeft w:val="0"/>
      <w:marRight w:val="0"/>
      <w:marTop w:val="0"/>
      <w:marBottom w:val="0"/>
      <w:divBdr>
        <w:top w:val="none" w:sz="0" w:space="0" w:color="auto"/>
        <w:left w:val="none" w:sz="0" w:space="0" w:color="auto"/>
        <w:bottom w:val="none" w:sz="0" w:space="0" w:color="auto"/>
        <w:right w:val="none" w:sz="0" w:space="0" w:color="auto"/>
      </w:divBdr>
    </w:div>
    <w:div w:id="1336811068">
      <w:bodyDiv w:val="1"/>
      <w:marLeft w:val="0"/>
      <w:marRight w:val="0"/>
      <w:marTop w:val="0"/>
      <w:marBottom w:val="0"/>
      <w:divBdr>
        <w:top w:val="none" w:sz="0" w:space="0" w:color="auto"/>
        <w:left w:val="none" w:sz="0" w:space="0" w:color="auto"/>
        <w:bottom w:val="none" w:sz="0" w:space="0" w:color="auto"/>
        <w:right w:val="none" w:sz="0" w:space="0" w:color="auto"/>
      </w:divBdr>
    </w:div>
    <w:div w:id="1432702957">
      <w:bodyDiv w:val="1"/>
      <w:marLeft w:val="0"/>
      <w:marRight w:val="0"/>
      <w:marTop w:val="0"/>
      <w:marBottom w:val="0"/>
      <w:divBdr>
        <w:top w:val="none" w:sz="0" w:space="0" w:color="auto"/>
        <w:left w:val="none" w:sz="0" w:space="0" w:color="auto"/>
        <w:bottom w:val="none" w:sz="0" w:space="0" w:color="auto"/>
        <w:right w:val="none" w:sz="0" w:space="0" w:color="auto"/>
      </w:divBdr>
    </w:div>
    <w:div w:id="1446995372">
      <w:bodyDiv w:val="1"/>
      <w:marLeft w:val="0"/>
      <w:marRight w:val="0"/>
      <w:marTop w:val="0"/>
      <w:marBottom w:val="0"/>
      <w:divBdr>
        <w:top w:val="none" w:sz="0" w:space="0" w:color="auto"/>
        <w:left w:val="none" w:sz="0" w:space="0" w:color="auto"/>
        <w:bottom w:val="none" w:sz="0" w:space="0" w:color="auto"/>
        <w:right w:val="none" w:sz="0" w:space="0" w:color="auto"/>
      </w:divBdr>
    </w:div>
    <w:div w:id="1638099534">
      <w:bodyDiv w:val="1"/>
      <w:marLeft w:val="0"/>
      <w:marRight w:val="0"/>
      <w:marTop w:val="0"/>
      <w:marBottom w:val="0"/>
      <w:divBdr>
        <w:top w:val="none" w:sz="0" w:space="0" w:color="auto"/>
        <w:left w:val="none" w:sz="0" w:space="0" w:color="auto"/>
        <w:bottom w:val="none" w:sz="0" w:space="0" w:color="auto"/>
        <w:right w:val="none" w:sz="0" w:space="0" w:color="auto"/>
      </w:divBdr>
    </w:div>
    <w:div w:id="1701781658">
      <w:bodyDiv w:val="1"/>
      <w:marLeft w:val="0"/>
      <w:marRight w:val="0"/>
      <w:marTop w:val="0"/>
      <w:marBottom w:val="0"/>
      <w:divBdr>
        <w:top w:val="none" w:sz="0" w:space="0" w:color="auto"/>
        <w:left w:val="none" w:sz="0" w:space="0" w:color="auto"/>
        <w:bottom w:val="none" w:sz="0" w:space="0" w:color="auto"/>
        <w:right w:val="none" w:sz="0" w:space="0" w:color="auto"/>
      </w:divBdr>
    </w:div>
    <w:div w:id="1726174762">
      <w:bodyDiv w:val="1"/>
      <w:marLeft w:val="0"/>
      <w:marRight w:val="0"/>
      <w:marTop w:val="0"/>
      <w:marBottom w:val="0"/>
      <w:divBdr>
        <w:top w:val="none" w:sz="0" w:space="0" w:color="auto"/>
        <w:left w:val="none" w:sz="0" w:space="0" w:color="auto"/>
        <w:bottom w:val="none" w:sz="0" w:space="0" w:color="auto"/>
        <w:right w:val="none" w:sz="0" w:space="0" w:color="auto"/>
      </w:divBdr>
    </w:div>
    <w:div w:id="1748765903">
      <w:bodyDiv w:val="1"/>
      <w:marLeft w:val="0"/>
      <w:marRight w:val="0"/>
      <w:marTop w:val="0"/>
      <w:marBottom w:val="0"/>
      <w:divBdr>
        <w:top w:val="none" w:sz="0" w:space="0" w:color="auto"/>
        <w:left w:val="none" w:sz="0" w:space="0" w:color="auto"/>
        <w:bottom w:val="none" w:sz="0" w:space="0" w:color="auto"/>
        <w:right w:val="none" w:sz="0" w:space="0" w:color="auto"/>
      </w:divBdr>
    </w:div>
    <w:div w:id="1761945807">
      <w:bodyDiv w:val="1"/>
      <w:marLeft w:val="0"/>
      <w:marRight w:val="0"/>
      <w:marTop w:val="0"/>
      <w:marBottom w:val="0"/>
      <w:divBdr>
        <w:top w:val="none" w:sz="0" w:space="0" w:color="auto"/>
        <w:left w:val="none" w:sz="0" w:space="0" w:color="auto"/>
        <w:bottom w:val="none" w:sz="0" w:space="0" w:color="auto"/>
        <w:right w:val="none" w:sz="0" w:space="0" w:color="auto"/>
      </w:divBdr>
    </w:div>
    <w:div w:id="1894460395">
      <w:bodyDiv w:val="1"/>
      <w:marLeft w:val="0"/>
      <w:marRight w:val="0"/>
      <w:marTop w:val="0"/>
      <w:marBottom w:val="0"/>
      <w:divBdr>
        <w:top w:val="none" w:sz="0" w:space="0" w:color="auto"/>
        <w:left w:val="none" w:sz="0" w:space="0" w:color="auto"/>
        <w:bottom w:val="none" w:sz="0" w:space="0" w:color="auto"/>
        <w:right w:val="none" w:sz="0" w:space="0" w:color="auto"/>
      </w:divBdr>
    </w:div>
    <w:div w:id="1938244066">
      <w:bodyDiv w:val="1"/>
      <w:marLeft w:val="0"/>
      <w:marRight w:val="0"/>
      <w:marTop w:val="0"/>
      <w:marBottom w:val="0"/>
      <w:divBdr>
        <w:top w:val="none" w:sz="0" w:space="0" w:color="auto"/>
        <w:left w:val="none" w:sz="0" w:space="0" w:color="auto"/>
        <w:bottom w:val="none" w:sz="0" w:space="0" w:color="auto"/>
        <w:right w:val="none" w:sz="0" w:space="0" w:color="auto"/>
      </w:divBdr>
    </w:div>
    <w:div w:id="1990937733">
      <w:bodyDiv w:val="1"/>
      <w:marLeft w:val="0"/>
      <w:marRight w:val="0"/>
      <w:marTop w:val="0"/>
      <w:marBottom w:val="0"/>
      <w:divBdr>
        <w:top w:val="none" w:sz="0" w:space="0" w:color="auto"/>
        <w:left w:val="none" w:sz="0" w:space="0" w:color="auto"/>
        <w:bottom w:val="none" w:sz="0" w:space="0" w:color="auto"/>
        <w:right w:val="none" w:sz="0" w:space="0" w:color="auto"/>
      </w:divBdr>
    </w:div>
    <w:div w:id="2009476822">
      <w:bodyDiv w:val="1"/>
      <w:marLeft w:val="0"/>
      <w:marRight w:val="0"/>
      <w:marTop w:val="0"/>
      <w:marBottom w:val="0"/>
      <w:divBdr>
        <w:top w:val="none" w:sz="0" w:space="0" w:color="auto"/>
        <w:left w:val="none" w:sz="0" w:space="0" w:color="auto"/>
        <w:bottom w:val="none" w:sz="0" w:space="0" w:color="auto"/>
        <w:right w:val="none" w:sz="0" w:space="0" w:color="auto"/>
      </w:divBdr>
    </w:div>
    <w:div w:id="20257842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531C0-2593-4C05-B146-493F32CB5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7664</Words>
  <Characters>57177</Characters>
  <Application>Microsoft Office Word</Application>
  <DocSecurity>0</DocSecurity>
  <Lines>5717</Lines>
  <Paragraphs>2401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Johannes Wienand</dc:creator>
  <cp:lastModifiedBy>Johannes Wienand</cp:lastModifiedBy>
  <cp:revision>3</cp:revision>
  <cp:lastPrinted>2026-02-24T07:34:00Z</cp:lastPrinted>
  <dcterms:created xsi:type="dcterms:W3CDTF">2026-02-25T08:04:00Z</dcterms:created>
  <dcterms:modified xsi:type="dcterms:W3CDTF">2026-02-25T08:08:00Z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d5791a17-027e-422d-8e0d-b35b3169eaba</vt:lpwstr>
  </property>
</Properties>
</file>