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080C" w14:textId="54681D14" w:rsidR="009C3231" w:rsidRDefault="009C3231" w:rsidP="004C3394">
      <w:pPr>
        <w:contextualSpacing/>
        <w:rPr>
          <w:rFonts w:asciiTheme="majorBidi" w:eastAsia="Arial" w:hAnsiTheme="majorBidi" w:cstheme="majorBidi"/>
          <w:sz w:val="24"/>
          <w:szCs w:val="24"/>
        </w:rPr>
      </w:pPr>
      <w:r>
        <w:rPr>
          <w:rFonts w:asciiTheme="majorBidi" w:eastAsia="Arial" w:hAnsiTheme="majorBidi" w:cstheme="majorBidi"/>
          <w:b/>
          <w:bCs/>
          <w:sz w:val="24"/>
          <w:szCs w:val="24"/>
        </w:rPr>
        <w:t xml:space="preserve">Title: </w:t>
      </w:r>
      <w:r w:rsidR="004C3394" w:rsidRPr="004C3394">
        <w:rPr>
          <w:rFonts w:asciiTheme="majorBidi" w:eastAsia="Arial" w:hAnsiTheme="majorBidi" w:cstheme="majorBidi"/>
          <w:sz w:val="24"/>
          <w:szCs w:val="24"/>
        </w:rPr>
        <w:t>Clinical Insight and Treatment Outcomes in Depression: The Role of Illness Attribution and Rumination in a Cross-Cultural Longitudinal Study</w:t>
      </w:r>
    </w:p>
    <w:p w14:paraId="51C632B0" w14:textId="77777777" w:rsidR="004C3394" w:rsidRDefault="004C3394" w:rsidP="004C3394">
      <w:pPr>
        <w:contextualSpacing/>
        <w:rPr>
          <w:rFonts w:asciiTheme="majorBidi" w:eastAsia="Arial" w:hAnsiTheme="majorBidi" w:cstheme="majorBidi"/>
          <w:b/>
          <w:bCs/>
          <w:sz w:val="24"/>
          <w:szCs w:val="24"/>
        </w:rPr>
      </w:pPr>
    </w:p>
    <w:p w14:paraId="56039E80" w14:textId="18AF0ABF"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Background &amp; Rationale</w:t>
      </w:r>
    </w:p>
    <w:p w14:paraId="35683A1D" w14:textId="77777777" w:rsidR="009C3231" w:rsidRPr="009C3231" w:rsidRDefault="00000000" w:rsidP="009C3231">
      <w:pPr>
        <w:pStyle w:val="ListParagraph"/>
        <w:numPr>
          <w:ilvl w:val="0"/>
          <w:numId w:val="3"/>
        </w:numPr>
        <w:contextualSpacing/>
        <w:rPr>
          <w:rFonts w:asciiTheme="majorBidi" w:hAnsiTheme="majorBidi" w:cstheme="majorBidi"/>
          <w:sz w:val="24"/>
          <w:szCs w:val="24"/>
        </w:rPr>
      </w:pPr>
      <w:r w:rsidRPr="009C3231">
        <w:rPr>
          <w:rFonts w:asciiTheme="majorBidi" w:eastAsia="Arial" w:hAnsiTheme="majorBidi" w:cstheme="majorBidi"/>
          <w:sz w:val="24"/>
          <w:szCs w:val="24"/>
        </w:rPr>
        <w:t>Most theoretical models of insight in mental health have been developed within the context of psychosis and therefore do not adequately capture the cognitive and emotional dimensions specific to depression. In outpatient psychiatric settings, patients typically acknowledge having a problem and actively seek treatment; however, they vary substantially in how they conceptualize, interpret, and attribute their condition.</w:t>
      </w:r>
    </w:p>
    <w:p w14:paraId="0F5965D8" w14:textId="77777777" w:rsidR="009C3231" w:rsidRPr="009C3231" w:rsidRDefault="00000000" w:rsidP="009C3231">
      <w:pPr>
        <w:pStyle w:val="ListParagraph"/>
        <w:numPr>
          <w:ilvl w:val="0"/>
          <w:numId w:val="3"/>
        </w:numPr>
        <w:contextualSpacing/>
        <w:rPr>
          <w:rFonts w:asciiTheme="majorBidi" w:hAnsiTheme="majorBidi" w:cstheme="majorBidi"/>
          <w:sz w:val="24"/>
          <w:szCs w:val="24"/>
        </w:rPr>
      </w:pPr>
      <w:r w:rsidRPr="009C3231">
        <w:rPr>
          <w:rFonts w:asciiTheme="majorBidi" w:eastAsia="Arial" w:hAnsiTheme="majorBidi" w:cstheme="majorBidi"/>
          <w:sz w:val="24"/>
          <w:szCs w:val="24"/>
        </w:rPr>
        <w:t>This variation may be clinically significant. Patients who perceive their depression as permanent, biologically fixed, or fate-determined may engage differently with treatment, process distress in distinct ways, and ultimately show varied responses to intervention.</w:t>
      </w:r>
    </w:p>
    <w:p w14:paraId="3928381B" w14:textId="5077648D" w:rsidR="004704D4" w:rsidRPr="009C3231" w:rsidRDefault="00000000" w:rsidP="009C3231">
      <w:pPr>
        <w:pStyle w:val="ListParagraph"/>
        <w:numPr>
          <w:ilvl w:val="0"/>
          <w:numId w:val="3"/>
        </w:numPr>
        <w:contextualSpacing/>
        <w:rPr>
          <w:rFonts w:asciiTheme="majorBidi" w:hAnsiTheme="majorBidi" w:cstheme="majorBidi"/>
          <w:sz w:val="24"/>
          <w:szCs w:val="24"/>
        </w:rPr>
      </w:pPr>
      <w:r w:rsidRPr="009C3231">
        <w:rPr>
          <w:rFonts w:asciiTheme="majorBidi" w:eastAsia="Arial" w:hAnsiTheme="majorBidi" w:cstheme="majorBidi"/>
          <w:sz w:val="24"/>
          <w:szCs w:val="24"/>
        </w:rPr>
        <w:t xml:space="preserve">Building on this limitation, the present study tests the Insight Paradox Model, which challenges the assumption that clinical insight is uniformly beneficial. Specifically, it proposes that the effect of insight on treatment outcomes depends on patients’ causal attributions. Insight may facilitate recovery when paired with adaptive </w:t>
      </w:r>
      <w:proofErr w:type="gramStart"/>
      <w:r w:rsidRPr="009C3231">
        <w:rPr>
          <w:rFonts w:asciiTheme="majorBidi" w:eastAsia="Arial" w:hAnsiTheme="majorBidi" w:cstheme="majorBidi"/>
          <w:sz w:val="24"/>
          <w:szCs w:val="24"/>
        </w:rPr>
        <w:t>attributions, but</w:t>
      </w:r>
      <w:proofErr w:type="gramEnd"/>
      <w:r w:rsidRPr="009C3231">
        <w:rPr>
          <w:rFonts w:asciiTheme="majorBidi" w:eastAsia="Arial" w:hAnsiTheme="majorBidi" w:cstheme="majorBidi"/>
          <w:sz w:val="24"/>
          <w:szCs w:val="24"/>
        </w:rPr>
        <w:t xml:space="preserve"> may contribute to distress and disengagement when combined with maladaptive beliefs. Rumination is proposed as a key psychological mechanism through which these effects unfold over time.</w:t>
      </w:r>
    </w:p>
    <w:p w14:paraId="56FD39AD" w14:textId="77777777" w:rsidR="004704D4" w:rsidRPr="009C3231" w:rsidRDefault="004704D4" w:rsidP="009C3231">
      <w:pPr>
        <w:contextualSpacing/>
        <w:rPr>
          <w:rFonts w:asciiTheme="majorBidi" w:hAnsiTheme="majorBidi" w:cstheme="majorBidi"/>
          <w:sz w:val="24"/>
          <w:szCs w:val="24"/>
        </w:rPr>
      </w:pPr>
    </w:p>
    <w:p w14:paraId="4B9A81D5"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This proposal builds on two foundational strands of work:</w:t>
      </w:r>
    </w:p>
    <w:p w14:paraId="3C8A5F80" w14:textId="237E9262" w:rsidR="009C3231" w:rsidRPr="009C3231" w:rsidRDefault="00000000" w:rsidP="009C3231">
      <w:pPr>
        <w:pStyle w:val="ListParagraph"/>
        <w:numPr>
          <w:ilvl w:val="0"/>
          <w:numId w:val="4"/>
        </w:numPr>
        <w:contextualSpacing/>
        <w:rPr>
          <w:rFonts w:asciiTheme="majorBidi" w:hAnsiTheme="majorBidi" w:cstheme="majorBidi"/>
          <w:sz w:val="24"/>
          <w:szCs w:val="24"/>
        </w:rPr>
      </w:pPr>
      <w:r w:rsidRPr="009C3231">
        <w:rPr>
          <w:rFonts w:asciiTheme="majorBidi" w:eastAsia="Arial" w:hAnsiTheme="majorBidi" w:cstheme="majorBidi"/>
          <w:sz w:val="24"/>
          <w:szCs w:val="24"/>
        </w:rPr>
        <w:t>First, a theoretical paper proposes a multidimensional framework of insight in depression comprising three domains: cognitive awareness (symptom recognition, clinical understanding, treatment need), emotional interpretation (self-blame, rumination, internalized stigma), and clinical/relational engagement (help-seeking, therapeutic alliance, recovery orientation). Building on this framework, the present study focuses specifically on the interaction between cognitive awareness (insight) and causal attribution, a core but previously untested component of emotional interpretation, and examines rumination as the mechanism linking these constructs to treatment outcomes.</w:t>
      </w:r>
    </w:p>
    <w:p w14:paraId="6EBC211B" w14:textId="50FE189D" w:rsidR="004704D4" w:rsidRPr="009C3231" w:rsidRDefault="00000000" w:rsidP="00381D6C">
      <w:pPr>
        <w:pStyle w:val="ListParagraph"/>
        <w:numPr>
          <w:ilvl w:val="0"/>
          <w:numId w:val="4"/>
        </w:numPr>
        <w:contextualSpacing/>
        <w:rPr>
          <w:rFonts w:asciiTheme="majorBidi" w:hAnsiTheme="majorBidi" w:cstheme="majorBidi"/>
          <w:sz w:val="24"/>
          <w:szCs w:val="24"/>
        </w:rPr>
      </w:pPr>
      <w:r w:rsidRPr="009C3231">
        <w:rPr>
          <w:rFonts w:asciiTheme="majorBidi" w:eastAsia="Arial" w:hAnsiTheme="majorBidi" w:cstheme="majorBidi"/>
          <w:sz w:val="24"/>
          <w:szCs w:val="24"/>
        </w:rPr>
        <w:t xml:space="preserve">Second, </w:t>
      </w:r>
      <w:r w:rsidR="00D54620" w:rsidRPr="00D54620">
        <w:rPr>
          <w:rFonts w:asciiTheme="majorBidi" w:eastAsia="Arial" w:hAnsiTheme="majorBidi" w:cstheme="majorBidi"/>
          <w:sz w:val="24"/>
          <w:szCs w:val="24"/>
        </w:rPr>
        <w:t xml:space="preserve">a cross-sectional pilot study (N=437, PHQ-8 ≥10) recruited adults with at least moderate depressive symptoms from a general population online sample. Participants completed measures of clinical and cognitive insight, illness perceptions, causal attributions, functioning, well-being, quality of life, and help-seeking attitudes. </w:t>
      </w:r>
      <w:r w:rsidR="00381D6C" w:rsidRPr="00381D6C">
        <w:rPr>
          <w:rFonts w:asciiTheme="majorBidi" w:eastAsia="Arial" w:hAnsiTheme="majorBidi" w:cstheme="majorBidi"/>
          <w:sz w:val="24"/>
          <w:szCs w:val="24"/>
        </w:rPr>
        <w:t>Results indicated that the relationship between insight and depressive symptoms was largely indirect</w:t>
      </w:r>
      <w:r w:rsidR="00381D6C">
        <w:rPr>
          <w:rFonts w:asciiTheme="majorBidi" w:eastAsia="Arial" w:hAnsiTheme="majorBidi" w:cstheme="majorBidi"/>
          <w:sz w:val="24"/>
          <w:szCs w:val="24"/>
        </w:rPr>
        <w:t xml:space="preserve">; </w:t>
      </w:r>
      <w:r w:rsidR="00381D6C" w:rsidRPr="00381D6C">
        <w:rPr>
          <w:rFonts w:asciiTheme="majorBidi" w:eastAsia="Arial" w:hAnsiTheme="majorBidi" w:cstheme="majorBidi"/>
          <w:sz w:val="24"/>
          <w:szCs w:val="24"/>
        </w:rPr>
        <w:t>64% of this relationship was transmitted through patients' illness beliefs and causal attributions</w:t>
      </w:r>
      <w:r w:rsidR="00381D6C">
        <w:rPr>
          <w:rFonts w:asciiTheme="majorBidi" w:eastAsia="Arial" w:hAnsiTheme="majorBidi" w:cstheme="majorBidi"/>
          <w:sz w:val="24"/>
          <w:szCs w:val="24"/>
        </w:rPr>
        <w:t xml:space="preserve">. </w:t>
      </w:r>
      <w:r w:rsidR="00D54620" w:rsidRPr="00D54620">
        <w:rPr>
          <w:rFonts w:asciiTheme="majorBidi" w:eastAsia="Arial" w:hAnsiTheme="majorBidi" w:cstheme="majorBidi"/>
          <w:sz w:val="24"/>
          <w:szCs w:val="24"/>
        </w:rPr>
        <w:t>Help-seeking was positively associated with perceived treatment control and negatively associated with religious or fate-based attributions</w:t>
      </w:r>
      <w:r w:rsidRPr="009C3231">
        <w:rPr>
          <w:rFonts w:asciiTheme="majorBidi" w:eastAsia="Arial" w:hAnsiTheme="majorBidi" w:cstheme="majorBidi"/>
          <w:sz w:val="24"/>
          <w:szCs w:val="24"/>
        </w:rPr>
        <w:t>.</w:t>
      </w:r>
    </w:p>
    <w:p w14:paraId="424EF17C" w14:textId="77777777" w:rsidR="004704D4" w:rsidRPr="009C3231" w:rsidRDefault="004704D4" w:rsidP="009C3231">
      <w:pPr>
        <w:contextualSpacing/>
        <w:rPr>
          <w:rFonts w:asciiTheme="majorBidi" w:hAnsiTheme="majorBidi" w:cstheme="majorBidi"/>
          <w:sz w:val="24"/>
          <w:szCs w:val="24"/>
        </w:rPr>
      </w:pPr>
    </w:p>
    <w:p w14:paraId="6992F271" w14:textId="77777777" w:rsidR="004704D4" w:rsidRPr="009C3231" w:rsidRDefault="004704D4" w:rsidP="009C3231">
      <w:pPr>
        <w:contextualSpacing/>
        <w:rPr>
          <w:rFonts w:asciiTheme="majorBidi" w:hAnsiTheme="majorBidi" w:cstheme="majorBidi"/>
          <w:sz w:val="24"/>
          <w:szCs w:val="24"/>
        </w:rPr>
      </w:pPr>
    </w:p>
    <w:p w14:paraId="456BD56F"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Research Aims</w:t>
      </w:r>
    </w:p>
    <w:p w14:paraId="6BC4C609" w14:textId="4C481257" w:rsidR="009C3231" w:rsidRPr="009C3231" w:rsidRDefault="00000000" w:rsidP="00460E30">
      <w:pPr>
        <w:pStyle w:val="ListParagraph"/>
        <w:numPr>
          <w:ilvl w:val="0"/>
          <w:numId w:val="5"/>
        </w:numPr>
        <w:contextualSpacing/>
        <w:rPr>
          <w:rFonts w:asciiTheme="majorBidi" w:hAnsiTheme="majorBidi" w:cstheme="majorBidi"/>
          <w:sz w:val="24"/>
          <w:szCs w:val="24"/>
        </w:rPr>
      </w:pPr>
      <w:r w:rsidRPr="009C3231">
        <w:rPr>
          <w:rFonts w:asciiTheme="majorBidi" w:eastAsia="Arial" w:hAnsiTheme="majorBidi" w:cstheme="majorBidi"/>
          <w:sz w:val="24"/>
          <w:szCs w:val="24"/>
        </w:rPr>
        <w:t xml:space="preserve">Aim 1 </w:t>
      </w:r>
      <w:r w:rsidR="009C3231" w:rsidRPr="009C3231">
        <w:rPr>
          <w:rFonts w:asciiTheme="majorBidi" w:eastAsia="Arial" w:hAnsiTheme="majorBidi" w:cstheme="majorBidi"/>
          <w:sz w:val="24"/>
          <w:szCs w:val="24"/>
        </w:rPr>
        <w:t>-</w:t>
      </w:r>
      <w:r w:rsidRPr="009C3231">
        <w:rPr>
          <w:rFonts w:asciiTheme="majorBidi" w:eastAsia="Arial" w:hAnsiTheme="majorBidi" w:cstheme="majorBidi"/>
          <w:sz w:val="24"/>
          <w:szCs w:val="24"/>
        </w:rPr>
        <w:t xml:space="preserve">Mechanism: </w:t>
      </w:r>
      <w:r w:rsidR="00460E30" w:rsidRPr="00460E30">
        <w:rPr>
          <w:rFonts w:asciiTheme="majorBidi" w:eastAsia="Arial" w:hAnsiTheme="majorBidi" w:cstheme="majorBidi"/>
          <w:sz w:val="24"/>
          <w:szCs w:val="24"/>
        </w:rPr>
        <w:t>Test whether rumination mediates the relationship between clinical insight and treatment outcomes, and whether this indirect effect is moderated by causal attribution.</w:t>
      </w:r>
    </w:p>
    <w:p w14:paraId="67624787" w14:textId="4000B9D3" w:rsidR="004704D4" w:rsidRPr="00460E30" w:rsidRDefault="00000000" w:rsidP="00460E30">
      <w:pPr>
        <w:pStyle w:val="ListParagraph"/>
        <w:numPr>
          <w:ilvl w:val="1"/>
          <w:numId w:val="5"/>
        </w:numPr>
        <w:contextualSpacing/>
        <w:rPr>
          <w:rFonts w:asciiTheme="majorBidi" w:hAnsiTheme="majorBidi" w:cstheme="majorBidi"/>
          <w:sz w:val="24"/>
          <w:szCs w:val="24"/>
        </w:rPr>
      </w:pPr>
      <w:r w:rsidRPr="00460E30">
        <w:rPr>
          <w:rFonts w:asciiTheme="majorBidi" w:eastAsia="Arial" w:hAnsiTheme="majorBidi" w:cstheme="majorBidi"/>
          <w:b/>
          <w:bCs/>
          <w:sz w:val="24"/>
          <w:szCs w:val="24"/>
        </w:rPr>
        <w:t>Hypothesis</w:t>
      </w:r>
      <w:r w:rsidR="00460E30">
        <w:t xml:space="preserve">: </w:t>
      </w:r>
      <w:r w:rsidR="00460E30" w:rsidRPr="00460E30">
        <w:rPr>
          <w:rFonts w:asciiTheme="majorBidi" w:eastAsia="Arial" w:hAnsiTheme="majorBidi" w:cstheme="majorBidi"/>
          <w:sz w:val="24"/>
          <w:szCs w:val="24"/>
        </w:rPr>
        <w:t xml:space="preserve">The indirect effect of insight on treatment outcomes through rumination will be moderated by causal attribution. Specifically, this indirect effect will be more negative when insight is paired with maladaptive attributions </w:t>
      </w:r>
      <w:r w:rsidR="00460E30" w:rsidRPr="00460E30">
        <w:rPr>
          <w:rFonts w:asciiTheme="majorBidi" w:eastAsia="Arial" w:hAnsiTheme="majorBidi" w:cstheme="majorBidi"/>
          <w:sz w:val="24"/>
          <w:szCs w:val="24"/>
        </w:rPr>
        <w:lastRenderedPageBreak/>
        <w:t>(e.g., self-blame, fate), and weaker or reversed when paired with adaptive attributions (e.g., treatment controllability).</w:t>
      </w:r>
    </w:p>
    <w:p w14:paraId="23C596B4" w14:textId="77777777" w:rsidR="00090FDA" w:rsidRDefault="00000000" w:rsidP="00090FDA">
      <w:pPr>
        <w:pStyle w:val="ListParagraph"/>
        <w:numPr>
          <w:ilvl w:val="0"/>
          <w:numId w:val="5"/>
        </w:numPr>
        <w:contextualSpacing/>
        <w:rPr>
          <w:rFonts w:asciiTheme="majorBidi" w:hAnsiTheme="majorBidi" w:cstheme="majorBidi"/>
          <w:sz w:val="24"/>
          <w:szCs w:val="24"/>
        </w:rPr>
      </w:pPr>
      <w:r w:rsidRPr="009C3231">
        <w:rPr>
          <w:rFonts w:asciiTheme="majorBidi" w:eastAsia="Arial" w:hAnsiTheme="majorBidi" w:cstheme="majorBidi"/>
          <w:sz w:val="24"/>
          <w:szCs w:val="24"/>
        </w:rPr>
        <w:t xml:space="preserve">Aim 2 </w:t>
      </w:r>
      <w:r w:rsidR="009C3231" w:rsidRPr="009C3231">
        <w:rPr>
          <w:rFonts w:asciiTheme="majorBidi" w:eastAsia="Arial" w:hAnsiTheme="majorBidi" w:cstheme="majorBidi"/>
          <w:sz w:val="24"/>
          <w:szCs w:val="24"/>
        </w:rPr>
        <w:t xml:space="preserve">- </w:t>
      </w:r>
      <w:r w:rsidR="00090FDA" w:rsidRPr="00090FDA">
        <w:rPr>
          <w:rFonts w:asciiTheme="majorBidi" w:hAnsiTheme="majorBidi" w:cstheme="majorBidi"/>
          <w:sz w:val="24"/>
          <w:szCs w:val="24"/>
        </w:rPr>
        <w:t>Cross-cultural moderation: Examine whether the insight–attribution–rumination–outcome pathway differs across Israeli and US outpatient settings, with particular focus on cultural differences in religious/fate-based versus psychological attributional styles as potential moderators</w:t>
      </w:r>
      <w:r w:rsidR="00090FDA">
        <w:rPr>
          <w:rFonts w:asciiTheme="majorBidi" w:hAnsiTheme="majorBidi" w:cstheme="majorBidi"/>
          <w:sz w:val="24"/>
          <w:szCs w:val="24"/>
        </w:rPr>
        <w:t>.</w:t>
      </w:r>
    </w:p>
    <w:p w14:paraId="3415B64D" w14:textId="4B732BE5" w:rsidR="00090FDA" w:rsidRPr="00090FDA" w:rsidRDefault="00000000" w:rsidP="00090FDA">
      <w:pPr>
        <w:pStyle w:val="ListParagraph"/>
        <w:numPr>
          <w:ilvl w:val="1"/>
          <w:numId w:val="5"/>
        </w:numPr>
        <w:contextualSpacing/>
        <w:rPr>
          <w:rFonts w:asciiTheme="majorBidi" w:hAnsiTheme="majorBidi" w:cstheme="majorBidi"/>
          <w:sz w:val="24"/>
          <w:szCs w:val="24"/>
        </w:rPr>
      </w:pPr>
      <w:r w:rsidRPr="00090FDA">
        <w:rPr>
          <w:rFonts w:asciiTheme="majorBidi" w:eastAsia="Arial" w:hAnsiTheme="majorBidi" w:cstheme="majorBidi"/>
          <w:b/>
          <w:bCs/>
          <w:sz w:val="24"/>
          <w:szCs w:val="24"/>
        </w:rPr>
        <w:t xml:space="preserve">Hypothesis: </w:t>
      </w:r>
      <w:r w:rsidR="00090FDA" w:rsidRPr="00090FDA">
        <w:rPr>
          <w:rFonts w:asciiTheme="majorBidi" w:eastAsia="Arial" w:hAnsiTheme="majorBidi" w:cstheme="majorBidi"/>
          <w:sz w:val="24"/>
          <w:szCs w:val="24"/>
        </w:rPr>
        <w:t>The indirect effect of insight on outcomes through rumination will be stronger in the Israeli sample, where religious and fate-based attributions are expected to be more prevalent, compared to the US sample, where psychological attributions are more culturally normative.</w:t>
      </w:r>
    </w:p>
    <w:p w14:paraId="00EACE7E" w14:textId="4EA22B3C" w:rsidR="00163355" w:rsidRPr="00163355" w:rsidRDefault="00000000" w:rsidP="00163355">
      <w:pPr>
        <w:pStyle w:val="ListParagraph"/>
        <w:numPr>
          <w:ilvl w:val="0"/>
          <w:numId w:val="11"/>
        </w:numPr>
        <w:contextualSpacing/>
        <w:rPr>
          <w:rFonts w:asciiTheme="majorBidi" w:hAnsiTheme="majorBidi" w:cstheme="majorBidi"/>
          <w:sz w:val="24"/>
          <w:szCs w:val="24"/>
        </w:rPr>
      </w:pPr>
      <w:r w:rsidRPr="00090FDA">
        <w:rPr>
          <w:rFonts w:asciiTheme="majorBidi" w:eastAsia="Arial" w:hAnsiTheme="majorBidi" w:cstheme="majorBidi"/>
          <w:sz w:val="24"/>
          <w:szCs w:val="24"/>
        </w:rPr>
        <w:t xml:space="preserve">Aim 3 </w:t>
      </w:r>
      <w:r w:rsidR="009C3231" w:rsidRPr="00090FDA">
        <w:rPr>
          <w:rFonts w:asciiTheme="majorBidi" w:eastAsia="Arial" w:hAnsiTheme="majorBidi" w:cstheme="majorBidi"/>
          <w:sz w:val="24"/>
          <w:szCs w:val="24"/>
        </w:rPr>
        <w:t>-</w:t>
      </w:r>
      <w:r w:rsidRPr="00090FDA">
        <w:rPr>
          <w:rFonts w:asciiTheme="majorBidi" w:eastAsia="Arial" w:hAnsiTheme="majorBidi" w:cstheme="majorBidi"/>
          <w:sz w:val="24"/>
          <w:szCs w:val="24"/>
        </w:rPr>
        <w:t xml:space="preserve">Longitudinal prediction: </w:t>
      </w:r>
      <w:r w:rsidR="00163355" w:rsidRPr="00163355">
        <w:rPr>
          <w:rFonts w:asciiTheme="majorBidi" w:hAnsiTheme="majorBidi" w:cstheme="majorBidi"/>
          <w:sz w:val="24"/>
          <w:szCs w:val="24"/>
        </w:rPr>
        <w:t>Test whether baseline insight and causal attribution independently and interactively predict depressive symptom severity and functional impairment at 3 and 6 months post-intake.</w:t>
      </w:r>
    </w:p>
    <w:p w14:paraId="3787452B" w14:textId="2A30A6BC" w:rsidR="004704D4" w:rsidRPr="0078077B" w:rsidRDefault="00000000" w:rsidP="0078077B">
      <w:pPr>
        <w:pStyle w:val="ListParagraph"/>
        <w:numPr>
          <w:ilvl w:val="1"/>
          <w:numId w:val="6"/>
        </w:numPr>
        <w:contextualSpacing/>
        <w:rPr>
          <w:rFonts w:asciiTheme="majorBidi" w:hAnsiTheme="majorBidi" w:cstheme="majorBidi"/>
          <w:sz w:val="24"/>
          <w:szCs w:val="24"/>
        </w:rPr>
      </w:pPr>
      <w:r w:rsidRPr="0078077B">
        <w:rPr>
          <w:rFonts w:asciiTheme="majorBidi" w:eastAsia="Arial" w:hAnsiTheme="majorBidi" w:cstheme="majorBidi"/>
          <w:b/>
          <w:bCs/>
          <w:sz w:val="24"/>
          <w:szCs w:val="24"/>
        </w:rPr>
        <w:t xml:space="preserve">Hypothesis: </w:t>
      </w:r>
      <w:r w:rsidR="0078077B" w:rsidRPr="0078077B">
        <w:rPr>
          <w:rFonts w:asciiTheme="majorBidi" w:eastAsia="Arial" w:hAnsiTheme="majorBidi" w:cstheme="majorBidi"/>
          <w:sz w:val="24"/>
          <w:szCs w:val="24"/>
        </w:rPr>
        <w:t>The interaction between insight and attribution at baseline will predict treatment outcomes at 3 and 6 months beyond either construct alone, such that high insight combined with maladaptive attributions will predict worse symptom severity and functional impairment over time compared to high insight combined with adaptive attributions.</w:t>
      </w:r>
    </w:p>
    <w:p w14:paraId="5B755E2F"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Study Design</w:t>
      </w:r>
    </w:p>
    <w:p w14:paraId="40AB0991"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Design: </w:t>
      </w:r>
      <w:r w:rsidRPr="009C3231">
        <w:rPr>
          <w:rFonts w:asciiTheme="majorBidi" w:eastAsia="Arial" w:hAnsiTheme="majorBidi" w:cstheme="majorBidi"/>
          <w:sz w:val="24"/>
          <w:szCs w:val="24"/>
        </w:rPr>
        <w:t>Longitudinal observational study with two assessment points post-intake (3 and 6 months)</w:t>
      </w:r>
    </w:p>
    <w:p w14:paraId="7C9AC701" w14:textId="11D21F13"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Sites: </w:t>
      </w:r>
      <w:r w:rsidRPr="009C3231">
        <w:rPr>
          <w:rFonts w:asciiTheme="majorBidi" w:eastAsia="Arial" w:hAnsiTheme="majorBidi" w:cstheme="majorBidi"/>
          <w:sz w:val="24"/>
          <w:szCs w:val="24"/>
        </w:rPr>
        <w:t>Outpatient psychiatric clinics in Israel and the US (Rhode Island Hospital, MIDAS project)</w:t>
      </w:r>
    </w:p>
    <w:p w14:paraId="448EC06A" w14:textId="111779C5" w:rsidR="002902E2" w:rsidRPr="002902E2" w:rsidRDefault="00000000" w:rsidP="002902E2">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Sample: </w:t>
      </w:r>
      <w:r w:rsidRPr="009C3231">
        <w:rPr>
          <w:rFonts w:asciiTheme="majorBidi" w:eastAsia="Arial" w:hAnsiTheme="majorBidi" w:cstheme="majorBidi"/>
          <w:sz w:val="24"/>
          <w:szCs w:val="24"/>
        </w:rPr>
        <w:t>Adults with a primary diagnosis of depression beginning outpatient treatment</w:t>
      </w:r>
      <w:r w:rsidR="00775F87">
        <w:rPr>
          <w:rFonts w:asciiTheme="majorBidi" w:eastAsia="Arial" w:hAnsiTheme="majorBidi" w:cstheme="majorBidi"/>
          <w:sz w:val="24"/>
          <w:szCs w:val="24"/>
          <w:lang w:val="en-US"/>
        </w:rPr>
        <w:t xml:space="preserve"> does this include intensive </w:t>
      </w:r>
      <w:proofErr w:type="gramStart"/>
      <w:r w:rsidR="00775F87">
        <w:rPr>
          <w:rFonts w:asciiTheme="majorBidi" w:eastAsia="Arial" w:hAnsiTheme="majorBidi" w:cstheme="majorBidi"/>
          <w:sz w:val="24"/>
          <w:szCs w:val="24"/>
          <w:lang w:val="en-US"/>
        </w:rPr>
        <w:t>outpatient?</w:t>
      </w:r>
      <w:r w:rsidRPr="009C3231">
        <w:rPr>
          <w:rFonts w:asciiTheme="majorBidi" w:eastAsia="Arial" w:hAnsiTheme="majorBidi" w:cstheme="majorBidi"/>
          <w:sz w:val="24"/>
          <w:szCs w:val="24"/>
        </w:rPr>
        <w:t>;</w:t>
      </w:r>
      <w:proofErr w:type="gramEnd"/>
      <w:r w:rsidRPr="009C3231">
        <w:rPr>
          <w:rFonts w:asciiTheme="majorBidi" w:eastAsia="Arial" w:hAnsiTheme="majorBidi" w:cstheme="majorBidi"/>
          <w:sz w:val="24"/>
          <w:szCs w:val="24"/>
        </w:rPr>
        <w:t xml:space="preserve"> comorbid diagnoses </w:t>
      </w:r>
      <w:r w:rsidR="002902E2">
        <w:rPr>
          <w:rFonts w:asciiTheme="majorBidi" w:eastAsia="Arial" w:hAnsiTheme="majorBidi" w:cstheme="majorBidi"/>
          <w:sz w:val="24"/>
          <w:szCs w:val="24"/>
          <w:lang w:val="en-US" w:bidi="he-IL"/>
        </w:rPr>
        <w:t xml:space="preserve">are </w:t>
      </w:r>
      <w:r w:rsidRPr="009C3231">
        <w:rPr>
          <w:rFonts w:asciiTheme="majorBidi" w:eastAsia="Arial" w:hAnsiTheme="majorBidi" w:cstheme="majorBidi"/>
          <w:sz w:val="24"/>
          <w:szCs w:val="24"/>
        </w:rPr>
        <w:t xml:space="preserve">recorded; N=300 total (150 per </w:t>
      </w:r>
      <w:r w:rsidR="002902E2">
        <w:rPr>
          <w:rFonts w:asciiTheme="majorBidi" w:eastAsia="Arial" w:hAnsiTheme="majorBidi" w:cstheme="majorBidi"/>
          <w:sz w:val="24"/>
          <w:szCs w:val="24"/>
        </w:rPr>
        <w:t xml:space="preserve">site) </w:t>
      </w:r>
      <w:r w:rsidR="002902E2" w:rsidRPr="002902E2">
        <w:rPr>
          <w:rFonts w:asciiTheme="majorBidi" w:eastAsia="Arial" w:hAnsiTheme="majorBidi" w:cstheme="majorBidi"/>
          <w:sz w:val="24"/>
          <w:szCs w:val="24"/>
        </w:rPr>
        <w:t>which provides sufficient power for the primary analyses, including interaction effects and cross-cultural comparisons. Recruitment will target 175 participants per site to account for expected attrition (~15%).</w:t>
      </w:r>
    </w:p>
    <w:p w14:paraId="758B9E98" w14:textId="4C9328BD" w:rsidR="004704D4" w:rsidRPr="002902E2" w:rsidRDefault="00000000" w:rsidP="002902E2">
      <w:pPr>
        <w:pStyle w:val="ListParagraph"/>
        <w:numPr>
          <w:ilvl w:val="0"/>
          <w:numId w:val="2"/>
        </w:numPr>
        <w:contextualSpacing/>
        <w:rPr>
          <w:rFonts w:asciiTheme="majorBidi" w:hAnsiTheme="majorBidi" w:cstheme="majorBidi"/>
          <w:sz w:val="24"/>
          <w:szCs w:val="24"/>
        </w:rPr>
      </w:pPr>
      <w:r w:rsidRPr="002902E2">
        <w:rPr>
          <w:rFonts w:asciiTheme="majorBidi" w:eastAsia="Arial" w:hAnsiTheme="majorBidi" w:cstheme="majorBidi"/>
          <w:b/>
          <w:bCs/>
          <w:sz w:val="24"/>
          <w:szCs w:val="24"/>
        </w:rPr>
        <w:t xml:space="preserve">Primary diagnosis: </w:t>
      </w:r>
      <w:r w:rsidRPr="002902E2">
        <w:rPr>
          <w:rFonts w:asciiTheme="majorBidi" w:eastAsia="Arial" w:hAnsiTheme="majorBidi" w:cstheme="majorBidi"/>
          <w:sz w:val="24"/>
          <w:szCs w:val="24"/>
        </w:rPr>
        <w:t>Depression required; analyses will be organized by primary vs. secondary diagnosis</w:t>
      </w:r>
    </w:p>
    <w:p w14:paraId="085018F8" w14:textId="77777777" w:rsidR="004704D4" w:rsidRPr="009C3231" w:rsidRDefault="004704D4" w:rsidP="009C3231">
      <w:pPr>
        <w:contextualSpacing/>
        <w:rPr>
          <w:rFonts w:asciiTheme="majorBidi" w:hAnsiTheme="majorBidi" w:cstheme="majorBidi"/>
          <w:sz w:val="24"/>
          <w:szCs w:val="24"/>
        </w:rPr>
      </w:pPr>
    </w:p>
    <w:p w14:paraId="03DA9D5E"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Procedure</w:t>
      </w:r>
    </w:p>
    <w:p w14:paraId="74D3C642" w14:textId="2F6D5806"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Baseline: </w:t>
      </w:r>
      <w:r w:rsidRPr="009C3231">
        <w:rPr>
          <w:rFonts w:asciiTheme="majorBidi" w:eastAsia="Arial" w:hAnsiTheme="majorBidi" w:cstheme="majorBidi"/>
          <w:sz w:val="24"/>
          <w:szCs w:val="24"/>
        </w:rPr>
        <w:t xml:space="preserve">Measures embedded within and immediately following the existing 2-hour SCID-5 intake interview (MIDAS framework). No separate research session required. Self-report measures completed via secure online platform (e.g., </w:t>
      </w:r>
      <w:proofErr w:type="spellStart"/>
      <w:r w:rsidR="009C3231">
        <w:rPr>
          <w:rFonts w:asciiTheme="majorBidi" w:eastAsia="Arial" w:hAnsiTheme="majorBidi" w:cstheme="majorBidi"/>
          <w:sz w:val="24"/>
          <w:szCs w:val="24"/>
        </w:rPr>
        <w:t>qualtrics</w:t>
      </w:r>
      <w:proofErr w:type="spellEnd"/>
      <w:r w:rsidRPr="009C3231">
        <w:rPr>
          <w:rFonts w:asciiTheme="majorBidi" w:eastAsia="Arial" w:hAnsiTheme="majorBidi" w:cstheme="majorBidi"/>
          <w:sz w:val="24"/>
          <w:szCs w:val="24"/>
        </w:rPr>
        <w:t xml:space="preserve">) </w:t>
      </w:r>
      <w:r w:rsidR="00330CCE">
        <w:rPr>
          <w:rFonts w:asciiTheme="majorBidi" w:eastAsia="Arial" w:hAnsiTheme="majorBidi" w:cstheme="majorBidi"/>
          <w:sz w:val="24"/>
          <w:szCs w:val="24"/>
          <w:lang w:val="en-US"/>
        </w:rPr>
        <w:t>p</w:t>
      </w:r>
      <w:r w:rsidR="00775F87">
        <w:rPr>
          <w:rFonts w:asciiTheme="majorBidi" w:eastAsia="Arial" w:hAnsiTheme="majorBidi" w:cstheme="majorBidi"/>
          <w:sz w:val="24"/>
          <w:szCs w:val="24"/>
          <w:lang w:val="en-US"/>
        </w:rPr>
        <w:t xml:space="preserve">re- or </w:t>
      </w:r>
      <w:r w:rsidRPr="009C3231">
        <w:rPr>
          <w:rFonts w:asciiTheme="majorBidi" w:eastAsia="Arial" w:hAnsiTheme="majorBidi" w:cstheme="majorBidi"/>
          <w:sz w:val="24"/>
          <w:szCs w:val="24"/>
        </w:rPr>
        <w:t>immediately post-intake.</w:t>
      </w:r>
    </w:p>
    <w:p w14:paraId="7B69CB22" w14:textId="195D3EFE"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During treatment: </w:t>
      </w:r>
      <w:r w:rsidRPr="009C3231">
        <w:rPr>
          <w:rFonts w:asciiTheme="majorBidi" w:eastAsia="Arial" w:hAnsiTheme="majorBidi" w:cstheme="majorBidi"/>
          <w:sz w:val="24"/>
          <w:szCs w:val="24"/>
        </w:rPr>
        <w:t>Treatment type, attendance, and medication recorded as part of routine clinical practice (5-week program at US site</w:t>
      </w:r>
      <w:r w:rsidR="00B74641">
        <w:rPr>
          <w:rFonts w:asciiTheme="majorBidi" w:eastAsia="Arial" w:hAnsiTheme="majorBidi" w:cstheme="majorBidi"/>
          <w:sz w:val="24"/>
          <w:szCs w:val="24"/>
          <w:lang w:val="en-US"/>
        </w:rPr>
        <w:t xml:space="preserve"> implies intensive </w:t>
      </w:r>
      <w:proofErr w:type="spellStart"/>
      <w:r w:rsidR="00B74641">
        <w:rPr>
          <w:rFonts w:asciiTheme="majorBidi" w:eastAsia="Arial" w:hAnsiTheme="majorBidi" w:cstheme="majorBidi"/>
          <w:sz w:val="24"/>
          <w:szCs w:val="24"/>
          <w:lang w:val="en-US"/>
        </w:rPr>
        <w:t>outpt</w:t>
      </w:r>
      <w:proofErr w:type="spellEnd"/>
      <w:r w:rsidRPr="009C3231">
        <w:rPr>
          <w:rFonts w:asciiTheme="majorBidi" w:eastAsia="Arial" w:hAnsiTheme="majorBidi" w:cstheme="majorBidi"/>
          <w:sz w:val="24"/>
          <w:szCs w:val="24"/>
        </w:rPr>
        <w:t>). At the Israeli site, treatment type and duration will vary by clinic and will be recorded as a covariate.</w:t>
      </w:r>
    </w:p>
    <w:p w14:paraId="24A2CC9E" w14:textId="77777777" w:rsidR="004704D4" w:rsidRPr="00001A3C"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Follow-up (3 and 6 months): </w:t>
      </w:r>
      <w:r w:rsidRPr="009C3231">
        <w:rPr>
          <w:rFonts w:asciiTheme="majorBidi" w:eastAsia="Arial" w:hAnsiTheme="majorBidi" w:cstheme="majorBidi"/>
          <w:sz w:val="24"/>
          <w:szCs w:val="24"/>
        </w:rPr>
        <w:t>Remote self-report assessments via secure online platform. A research assistant from the Israeli team will coordinate participant contact at both sites. Small monetary incentive offered to support retention. Clinical data extracted from records where IRB permits.</w:t>
      </w:r>
    </w:p>
    <w:p w14:paraId="3A18883F" w14:textId="07601695" w:rsidR="00001A3C" w:rsidRPr="004578CE" w:rsidRDefault="00001A3C" w:rsidP="00001A3C">
      <w:pPr>
        <w:pStyle w:val="ListParagraph"/>
        <w:ind w:left="720"/>
        <w:contextualSpacing/>
        <w:rPr>
          <w:rFonts w:asciiTheme="majorBidi" w:hAnsiTheme="majorBidi" w:cstheme="majorBidi"/>
          <w:sz w:val="24"/>
          <w:szCs w:val="24"/>
        </w:rPr>
      </w:pPr>
      <w:r>
        <w:rPr>
          <w:rFonts w:asciiTheme="majorBidi" w:eastAsia="Arial" w:hAnsiTheme="majorBidi" w:cstheme="majorBidi"/>
          <w:b/>
          <w:bCs/>
          <w:sz w:val="24"/>
          <w:szCs w:val="24"/>
        </w:rPr>
        <w:t>*</w:t>
      </w:r>
      <w:r w:rsidRPr="00001A3C">
        <w:t xml:space="preserve"> </w:t>
      </w:r>
      <w:r w:rsidRPr="00001A3C">
        <w:rPr>
          <w:rFonts w:asciiTheme="majorBidi" w:eastAsia="Arial" w:hAnsiTheme="majorBidi" w:cstheme="majorBidi"/>
          <w:sz w:val="24"/>
          <w:szCs w:val="24"/>
        </w:rPr>
        <w:t>The follow-up design is open for discussion</w:t>
      </w:r>
      <w:r>
        <w:rPr>
          <w:rFonts w:asciiTheme="majorBidi" w:eastAsia="Arial" w:hAnsiTheme="majorBidi" w:cstheme="majorBidi"/>
          <w:sz w:val="24"/>
          <w:szCs w:val="24"/>
        </w:rPr>
        <w:t xml:space="preserve">, I’m </w:t>
      </w:r>
      <w:r w:rsidRPr="00001A3C">
        <w:rPr>
          <w:rFonts w:asciiTheme="majorBidi" w:eastAsia="Arial" w:hAnsiTheme="majorBidi" w:cstheme="majorBidi"/>
          <w:sz w:val="24"/>
          <w:szCs w:val="24"/>
        </w:rPr>
        <w:t>flexible on timing and format based on what is feasible at your site.</w:t>
      </w:r>
    </w:p>
    <w:p w14:paraId="761D8405" w14:textId="0748E71C" w:rsidR="004578CE" w:rsidRPr="009C3231" w:rsidRDefault="004578CE" w:rsidP="004578CE">
      <w:pPr>
        <w:pStyle w:val="ListParagraph"/>
        <w:numPr>
          <w:ilvl w:val="0"/>
          <w:numId w:val="2"/>
        </w:numPr>
        <w:contextualSpacing/>
        <w:rPr>
          <w:rFonts w:asciiTheme="majorBidi" w:hAnsiTheme="majorBidi" w:cstheme="majorBidi"/>
          <w:sz w:val="24"/>
          <w:szCs w:val="24"/>
        </w:rPr>
      </w:pPr>
      <w:r w:rsidRPr="004578CE">
        <w:rPr>
          <w:rFonts w:asciiTheme="majorBidi" w:hAnsiTheme="majorBidi" w:cstheme="majorBidi"/>
          <w:sz w:val="24"/>
          <w:szCs w:val="24"/>
        </w:rPr>
        <w:lastRenderedPageBreak/>
        <w:t>Treatment type and intensity will be systematically recorded and included as covariates to account for cross-site differences in care structure.</w:t>
      </w:r>
    </w:p>
    <w:p w14:paraId="14908738" w14:textId="77777777" w:rsidR="004704D4" w:rsidRPr="00460E30" w:rsidRDefault="004704D4" w:rsidP="009C3231">
      <w:pPr>
        <w:contextualSpacing/>
        <w:rPr>
          <w:rFonts w:asciiTheme="majorBidi" w:hAnsiTheme="majorBidi" w:cstheme="majorBidi"/>
          <w:sz w:val="24"/>
          <w:szCs w:val="24"/>
          <w:lang w:val="en-US" w:bidi="he-IL"/>
        </w:rPr>
      </w:pPr>
    </w:p>
    <w:p w14:paraId="07A01D34"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Measures</w:t>
      </w:r>
    </w:p>
    <w:p w14:paraId="248D0DAA" w14:textId="44403EC2" w:rsidR="004704D4" w:rsidRPr="009C3231" w:rsidRDefault="00E52641" w:rsidP="00E52641">
      <w:pPr>
        <w:contextualSpacing/>
        <w:rPr>
          <w:rFonts w:asciiTheme="majorBidi" w:hAnsiTheme="majorBidi" w:cstheme="majorBidi"/>
          <w:sz w:val="24"/>
          <w:szCs w:val="24"/>
        </w:rPr>
      </w:pPr>
      <w:r w:rsidRPr="00E52641">
        <w:rPr>
          <w:rFonts w:asciiTheme="majorBidi" w:eastAsia="Arial" w:hAnsiTheme="majorBidi" w:cstheme="majorBidi"/>
          <w:sz w:val="24"/>
          <w:szCs w:val="24"/>
        </w:rPr>
        <w:t>Measures listed below are</w:t>
      </w:r>
      <w:r>
        <w:rPr>
          <w:rFonts w:asciiTheme="majorBidi" w:eastAsia="Arial" w:hAnsiTheme="majorBidi" w:cstheme="majorBidi"/>
          <w:sz w:val="24"/>
          <w:szCs w:val="24"/>
        </w:rPr>
        <w:t xml:space="preserve"> op</w:t>
      </w:r>
      <w:r w:rsidRPr="00E52641">
        <w:rPr>
          <w:rFonts w:asciiTheme="majorBidi" w:eastAsia="Arial" w:hAnsiTheme="majorBidi" w:cstheme="majorBidi"/>
          <w:sz w:val="24"/>
          <w:szCs w:val="24"/>
        </w:rPr>
        <w:t>en to discussion and adjustment based on your feedback and site feasibility.</w:t>
      </w:r>
    </w:p>
    <w:p w14:paraId="5251E7F5" w14:textId="77777777" w:rsidR="004704D4" w:rsidRPr="009C3231" w:rsidRDefault="004704D4" w:rsidP="009C3231">
      <w:pPr>
        <w:contextualSpacing/>
        <w:rPr>
          <w:rFonts w:asciiTheme="majorBidi" w:hAnsiTheme="majorBidi" w:cstheme="majorBidi"/>
          <w:sz w:val="24"/>
          <w:szCs w:val="24"/>
        </w:rPr>
      </w:pPr>
    </w:p>
    <w:p w14:paraId="2B3C7A7F"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Insight</w:t>
      </w:r>
    </w:p>
    <w:p w14:paraId="4A342178" w14:textId="5B352FCE"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Insight Scale for Affective Disorders </w:t>
      </w:r>
      <w:r w:rsidR="009C3231">
        <w:rPr>
          <w:rFonts w:asciiTheme="majorBidi" w:eastAsia="Arial" w:hAnsiTheme="majorBidi" w:cstheme="majorBidi"/>
          <w:b/>
          <w:bCs/>
          <w:sz w:val="24"/>
          <w:szCs w:val="24"/>
        </w:rPr>
        <w:t>-</w:t>
      </w:r>
      <w:r w:rsidRPr="009C3231">
        <w:rPr>
          <w:rFonts w:asciiTheme="majorBidi" w:eastAsia="Arial" w:hAnsiTheme="majorBidi" w:cstheme="majorBidi"/>
          <w:b/>
          <w:bCs/>
          <w:sz w:val="24"/>
          <w:szCs w:val="24"/>
        </w:rPr>
        <w:t xml:space="preserve"> interview (ISAD; Olaya et al., 2012): </w:t>
      </w:r>
      <w:r w:rsidRPr="009C3231">
        <w:rPr>
          <w:rFonts w:asciiTheme="majorBidi" w:eastAsia="Arial" w:hAnsiTheme="majorBidi" w:cstheme="majorBidi"/>
          <w:sz w:val="24"/>
          <w:szCs w:val="24"/>
        </w:rPr>
        <w:t>Clinician-administered scale developed specifically for mood disorders, based on the SUMD but adapted to remove psychosis-specific items and address mood symptomatology. Assesses awareness of symptoms, attribution, and treatment need. Administered by trained research assistant at intake.</w:t>
      </w:r>
    </w:p>
    <w:p w14:paraId="4CF4CF6F" w14:textId="690B7E9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Mood Disorders Insight Scale </w:t>
      </w:r>
      <w:r w:rsidR="009C3231">
        <w:rPr>
          <w:rFonts w:asciiTheme="majorBidi" w:eastAsia="Arial" w:hAnsiTheme="majorBidi" w:cstheme="majorBidi"/>
          <w:b/>
          <w:bCs/>
          <w:sz w:val="24"/>
          <w:szCs w:val="24"/>
        </w:rPr>
        <w:t>-</w:t>
      </w:r>
      <w:r w:rsidRPr="009C3231">
        <w:rPr>
          <w:rFonts w:asciiTheme="majorBidi" w:eastAsia="Arial" w:hAnsiTheme="majorBidi" w:cstheme="majorBidi"/>
          <w:b/>
          <w:bCs/>
          <w:sz w:val="24"/>
          <w:szCs w:val="24"/>
        </w:rPr>
        <w:t xml:space="preserve"> self-report (MDIS; Sturman &amp; Sproule, 2003): </w:t>
      </w:r>
      <w:r w:rsidRPr="009C3231">
        <w:rPr>
          <w:rFonts w:asciiTheme="majorBidi" w:eastAsia="Arial" w:hAnsiTheme="majorBidi" w:cstheme="majorBidi"/>
          <w:sz w:val="24"/>
          <w:szCs w:val="24"/>
        </w:rPr>
        <w:t>Brief self-report scale developed for mood disorders; assesses awareness of symptoms, attribution, and recognition of need for treatment. Administration time approximately 2</w:t>
      </w:r>
      <w:r w:rsidR="004724EF">
        <w:rPr>
          <w:rFonts w:asciiTheme="majorBidi" w:eastAsia="Arial" w:hAnsiTheme="majorBidi" w:cstheme="majorBidi"/>
          <w:sz w:val="24"/>
          <w:szCs w:val="24"/>
        </w:rPr>
        <w:t>-</w:t>
      </w:r>
      <w:r w:rsidRPr="009C3231">
        <w:rPr>
          <w:rFonts w:asciiTheme="majorBidi" w:eastAsia="Arial" w:hAnsiTheme="majorBidi" w:cstheme="majorBidi"/>
          <w:sz w:val="24"/>
          <w:szCs w:val="24"/>
        </w:rPr>
        <w:t>3 minutes.</w:t>
      </w:r>
    </w:p>
    <w:p w14:paraId="66C6C32B" w14:textId="77777777" w:rsidR="004704D4" w:rsidRPr="009C3231" w:rsidRDefault="004704D4" w:rsidP="009C3231">
      <w:pPr>
        <w:contextualSpacing/>
        <w:rPr>
          <w:rFonts w:asciiTheme="majorBidi" w:hAnsiTheme="majorBidi" w:cstheme="majorBidi"/>
          <w:sz w:val="24"/>
          <w:szCs w:val="24"/>
        </w:rPr>
      </w:pPr>
    </w:p>
    <w:p w14:paraId="723A2D66"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Causal Attribution</w:t>
      </w:r>
    </w:p>
    <w:p w14:paraId="3CEC87A8"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Causal Attribution Scale adapted from Lebowitz et al. (2013): </w:t>
      </w:r>
      <w:r w:rsidRPr="009C3231">
        <w:rPr>
          <w:rFonts w:asciiTheme="majorBidi" w:eastAsia="Arial" w:hAnsiTheme="majorBidi" w:cstheme="majorBidi"/>
          <w:sz w:val="24"/>
          <w:szCs w:val="24"/>
        </w:rPr>
        <w:t>Patients rate potential causes of their condition (biological, psychological, situational, social, spiritual/fate); instructions modified to: “Please rate how much you think each of the following contributes to the problem that brings you here today.”</w:t>
      </w:r>
    </w:p>
    <w:p w14:paraId="591D1D8F" w14:textId="77777777" w:rsidR="004704D4" w:rsidRPr="009C3231" w:rsidRDefault="004704D4" w:rsidP="009C3231">
      <w:pPr>
        <w:contextualSpacing/>
        <w:rPr>
          <w:rFonts w:asciiTheme="majorBidi" w:hAnsiTheme="majorBidi" w:cstheme="majorBidi"/>
          <w:sz w:val="24"/>
          <w:szCs w:val="24"/>
        </w:rPr>
      </w:pPr>
    </w:p>
    <w:p w14:paraId="4D03D582"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Rumination</w:t>
      </w:r>
    </w:p>
    <w:p w14:paraId="2722BEE9" w14:textId="4ED2219A"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Ruminative Response Scale </w:t>
      </w:r>
      <w:r w:rsidR="009C3231">
        <w:rPr>
          <w:rFonts w:asciiTheme="majorBidi" w:eastAsia="Arial" w:hAnsiTheme="majorBidi" w:cstheme="majorBidi"/>
          <w:b/>
          <w:bCs/>
          <w:sz w:val="24"/>
          <w:szCs w:val="24"/>
        </w:rPr>
        <w:t>-</w:t>
      </w:r>
      <w:r w:rsidRPr="009C3231">
        <w:rPr>
          <w:rFonts w:asciiTheme="majorBidi" w:eastAsia="Arial" w:hAnsiTheme="majorBidi" w:cstheme="majorBidi"/>
          <w:b/>
          <w:bCs/>
          <w:sz w:val="24"/>
          <w:szCs w:val="24"/>
        </w:rPr>
        <w:t xml:space="preserve"> abbreviated (RRS; Nolen-Hoeksema, 1991): </w:t>
      </w:r>
      <w:r w:rsidRPr="009C3231">
        <w:rPr>
          <w:rFonts w:asciiTheme="majorBidi" w:eastAsia="Arial" w:hAnsiTheme="majorBidi" w:cstheme="majorBidi"/>
          <w:sz w:val="24"/>
          <w:szCs w:val="24"/>
        </w:rPr>
        <w:t>10 items assessing brooding and reflective rumination.</w:t>
      </w:r>
    </w:p>
    <w:p w14:paraId="7B02AC95" w14:textId="77777777" w:rsidR="004704D4" w:rsidRPr="009C3231" w:rsidRDefault="004704D4" w:rsidP="009C3231">
      <w:pPr>
        <w:contextualSpacing/>
        <w:rPr>
          <w:rFonts w:asciiTheme="majorBidi" w:hAnsiTheme="majorBidi" w:cstheme="majorBidi"/>
          <w:sz w:val="24"/>
          <w:szCs w:val="24"/>
        </w:rPr>
      </w:pPr>
    </w:p>
    <w:p w14:paraId="30A3DC52"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Illness Conceptualization</w:t>
      </w:r>
    </w:p>
    <w:p w14:paraId="194809F0"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Brief Illness Perception Questionnaire (Brief IPQ; Broadbent et al., 2006): </w:t>
      </w:r>
      <w:r w:rsidRPr="009C3231">
        <w:rPr>
          <w:rFonts w:asciiTheme="majorBidi" w:eastAsia="Arial" w:hAnsiTheme="majorBidi" w:cstheme="majorBidi"/>
          <w:sz w:val="24"/>
          <w:szCs w:val="24"/>
        </w:rPr>
        <w:t>9 items assessing cognitive and emotional representations of the condition across dimensions of timeline, controllability, identity, and emotional impact.</w:t>
      </w:r>
    </w:p>
    <w:p w14:paraId="7BB1EEFC"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sz w:val="24"/>
          <w:szCs w:val="24"/>
        </w:rPr>
        <w:t>Additional items assessing whether patients conceptualize their experience as an illness, disorder, problem, or situational reaction.</w:t>
      </w:r>
    </w:p>
    <w:p w14:paraId="742A3F97" w14:textId="77777777" w:rsidR="004704D4" w:rsidRPr="009C3231" w:rsidRDefault="004704D4" w:rsidP="009C3231">
      <w:pPr>
        <w:contextualSpacing/>
        <w:rPr>
          <w:rFonts w:asciiTheme="majorBidi" w:hAnsiTheme="majorBidi" w:cstheme="majorBidi"/>
          <w:sz w:val="24"/>
          <w:szCs w:val="24"/>
        </w:rPr>
      </w:pPr>
    </w:p>
    <w:p w14:paraId="13D6826A"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Outcomes</w:t>
      </w:r>
    </w:p>
    <w:p w14:paraId="2755C80B" w14:textId="68B68181"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PHQ</w:t>
      </w:r>
      <w:r w:rsidR="009C3231">
        <w:rPr>
          <w:rFonts w:asciiTheme="majorBidi" w:eastAsia="Arial" w:hAnsiTheme="majorBidi" w:cstheme="majorBidi"/>
          <w:b/>
          <w:bCs/>
          <w:sz w:val="24"/>
          <w:szCs w:val="24"/>
        </w:rPr>
        <w:t>-</w:t>
      </w:r>
      <w:r w:rsidRPr="009C3231">
        <w:rPr>
          <w:rFonts w:asciiTheme="majorBidi" w:eastAsia="Arial" w:hAnsiTheme="majorBidi" w:cstheme="majorBidi"/>
          <w:b/>
          <w:bCs/>
          <w:sz w:val="24"/>
          <w:szCs w:val="24"/>
        </w:rPr>
        <w:t xml:space="preserve">8: </w:t>
      </w:r>
      <w:r w:rsidRPr="009C3231">
        <w:rPr>
          <w:rFonts w:asciiTheme="majorBidi" w:eastAsia="Arial" w:hAnsiTheme="majorBidi" w:cstheme="majorBidi"/>
          <w:sz w:val="24"/>
          <w:szCs w:val="24"/>
        </w:rPr>
        <w:t>Depression symptom severity</w:t>
      </w:r>
    </w:p>
    <w:p w14:paraId="20E815EE" w14:textId="1796D57C"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WSAS </w:t>
      </w:r>
      <w:r w:rsidR="009C3231">
        <w:rPr>
          <w:rFonts w:asciiTheme="majorBidi" w:eastAsia="Arial" w:hAnsiTheme="majorBidi" w:cstheme="majorBidi"/>
          <w:b/>
          <w:bCs/>
          <w:sz w:val="24"/>
          <w:szCs w:val="24"/>
        </w:rPr>
        <w:t>-</w:t>
      </w:r>
      <w:r w:rsidRPr="009C3231">
        <w:rPr>
          <w:rFonts w:asciiTheme="majorBidi" w:eastAsia="Arial" w:hAnsiTheme="majorBidi" w:cstheme="majorBidi"/>
          <w:b/>
          <w:bCs/>
          <w:sz w:val="24"/>
          <w:szCs w:val="24"/>
        </w:rPr>
        <w:t xml:space="preserve">abbreviated (5 items): </w:t>
      </w:r>
      <w:r w:rsidRPr="009C3231">
        <w:rPr>
          <w:rFonts w:asciiTheme="majorBidi" w:eastAsia="Arial" w:hAnsiTheme="majorBidi" w:cstheme="majorBidi"/>
          <w:sz w:val="24"/>
          <w:szCs w:val="24"/>
        </w:rPr>
        <w:t>Functional impairment</w:t>
      </w:r>
    </w:p>
    <w:p w14:paraId="029E0D54"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sz w:val="24"/>
          <w:szCs w:val="24"/>
        </w:rPr>
        <w:t>Treatment attendance and clinical records where IRB-permitted</w:t>
      </w:r>
    </w:p>
    <w:p w14:paraId="0471F608" w14:textId="77777777" w:rsidR="004704D4" w:rsidRPr="009C3231" w:rsidRDefault="004704D4" w:rsidP="009C3231">
      <w:pPr>
        <w:contextualSpacing/>
        <w:rPr>
          <w:rFonts w:asciiTheme="majorBidi" w:hAnsiTheme="majorBidi" w:cstheme="majorBidi"/>
          <w:sz w:val="24"/>
          <w:szCs w:val="24"/>
        </w:rPr>
      </w:pPr>
    </w:p>
    <w:p w14:paraId="22F85253"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Covariates</w:t>
      </w:r>
    </w:p>
    <w:p w14:paraId="2B7AF437" w14:textId="60138F33"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sz w:val="24"/>
          <w:szCs w:val="24"/>
        </w:rPr>
        <w:t>Primary and secondary diagnosis</w:t>
      </w:r>
      <w:r w:rsidR="005414CB">
        <w:rPr>
          <w:rFonts w:asciiTheme="majorBidi" w:eastAsia="Arial" w:hAnsiTheme="majorBidi" w:cstheme="majorBidi"/>
          <w:sz w:val="24"/>
          <w:szCs w:val="24"/>
          <w:lang w:val="en-US"/>
        </w:rPr>
        <w:t xml:space="preserve"> probably better to limit the patient sample to primary MDD</w:t>
      </w:r>
    </w:p>
    <w:p w14:paraId="26F7A3CF"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sz w:val="24"/>
          <w:szCs w:val="24"/>
        </w:rPr>
        <w:t>Treatment type and attendance</w:t>
      </w:r>
    </w:p>
    <w:p w14:paraId="0553F26A"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sz w:val="24"/>
          <w:szCs w:val="24"/>
        </w:rPr>
        <w:t>Demographic variables (age, gender, education, socioeconomic status)</w:t>
      </w:r>
    </w:p>
    <w:p w14:paraId="00877CCE"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sz w:val="24"/>
          <w:szCs w:val="24"/>
        </w:rPr>
        <w:t>Prior treatment history</w:t>
      </w:r>
    </w:p>
    <w:p w14:paraId="68CB8DB7" w14:textId="77777777" w:rsidR="004704D4" w:rsidRPr="009C3231" w:rsidRDefault="004704D4" w:rsidP="009C3231">
      <w:pPr>
        <w:contextualSpacing/>
        <w:rPr>
          <w:rFonts w:asciiTheme="majorBidi" w:hAnsiTheme="majorBidi" w:cstheme="majorBidi"/>
          <w:sz w:val="24"/>
          <w:szCs w:val="24"/>
        </w:rPr>
      </w:pPr>
    </w:p>
    <w:p w14:paraId="64088161"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Work Schedule / Timeline</w:t>
      </w:r>
    </w:p>
    <w:tbl>
      <w:tblPr>
        <w:tblW w:w="9360" w:type="dxa"/>
        <w:tblCellMar>
          <w:left w:w="10" w:type="dxa"/>
          <w:right w:w="10" w:type="dxa"/>
        </w:tblCellMar>
        <w:tblLook w:val="04A0" w:firstRow="1" w:lastRow="0" w:firstColumn="1" w:lastColumn="0" w:noHBand="0" w:noVBand="1"/>
      </w:tblPr>
      <w:tblGrid>
        <w:gridCol w:w="2400"/>
        <w:gridCol w:w="6960"/>
      </w:tblGrid>
      <w:tr w:rsidR="004704D4" w:rsidRPr="009C3231" w14:paraId="7050E3FE" w14:textId="77777777" w:rsidTr="009C3231">
        <w:tc>
          <w:tcPr>
            <w:tcW w:w="2400" w:type="dxa"/>
            <w:tcMar>
              <w:top w:w="80" w:type="dxa"/>
              <w:left w:w="120" w:type="dxa"/>
              <w:bottom w:w="80" w:type="dxa"/>
              <w:right w:w="120" w:type="dxa"/>
            </w:tcMar>
          </w:tcPr>
          <w:p w14:paraId="35585668"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Period</w:t>
            </w:r>
          </w:p>
        </w:tc>
        <w:tc>
          <w:tcPr>
            <w:tcW w:w="6960" w:type="dxa"/>
            <w:tcMar>
              <w:top w:w="80" w:type="dxa"/>
              <w:left w:w="120" w:type="dxa"/>
              <w:bottom w:w="80" w:type="dxa"/>
              <w:right w:w="120" w:type="dxa"/>
            </w:tcMar>
          </w:tcPr>
          <w:p w14:paraId="18F7AA67"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Activity</w:t>
            </w:r>
          </w:p>
        </w:tc>
      </w:tr>
      <w:tr w:rsidR="004704D4" w:rsidRPr="009C3231" w14:paraId="77C59961" w14:textId="77777777" w:rsidTr="009C3231">
        <w:tc>
          <w:tcPr>
            <w:tcW w:w="2400" w:type="dxa"/>
            <w:tcMar>
              <w:top w:w="80" w:type="dxa"/>
              <w:left w:w="120" w:type="dxa"/>
              <w:bottom w:w="80" w:type="dxa"/>
              <w:right w:w="120" w:type="dxa"/>
            </w:tcMar>
          </w:tcPr>
          <w:p w14:paraId="6A47786A"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Months 1–6</w:t>
            </w:r>
          </w:p>
        </w:tc>
        <w:tc>
          <w:tcPr>
            <w:tcW w:w="6960" w:type="dxa"/>
            <w:tcMar>
              <w:top w:w="80" w:type="dxa"/>
              <w:left w:w="120" w:type="dxa"/>
              <w:bottom w:w="80" w:type="dxa"/>
              <w:right w:w="120" w:type="dxa"/>
            </w:tcMar>
          </w:tcPr>
          <w:p w14:paraId="52E35F23"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IRB approvals; measure adaptation and Hebrew translation; research assistant training</w:t>
            </w:r>
          </w:p>
        </w:tc>
      </w:tr>
      <w:tr w:rsidR="004704D4" w:rsidRPr="009C3231" w14:paraId="0CF7FF71" w14:textId="77777777" w:rsidTr="009C3231">
        <w:tc>
          <w:tcPr>
            <w:tcW w:w="2400" w:type="dxa"/>
            <w:tcMar>
              <w:top w:w="80" w:type="dxa"/>
              <w:left w:w="120" w:type="dxa"/>
              <w:bottom w:w="80" w:type="dxa"/>
              <w:right w:w="120" w:type="dxa"/>
            </w:tcMar>
          </w:tcPr>
          <w:p w14:paraId="729A0C01"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Months 7–30</w:t>
            </w:r>
          </w:p>
        </w:tc>
        <w:tc>
          <w:tcPr>
            <w:tcW w:w="6960" w:type="dxa"/>
            <w:tcMar>
              <w:top w:w="80" w:type="dxa"/>
              <w:left w:w="120" w:type="dxa"/>
              <w:bottom w:w="80" w:type="dxa"/>
              <w:right w:w="120" w:type="dxa"/>
            </w:tcMar>
          </w:tcPr>
          <w:p w14:paraId="1ACB869D"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Recruitment and baseline assessments at both sites (target: 175 per site)</w:t>
            </w:r>
          </w:p>
        </w:tc>
      </w:tr>
      <w:tr w:rsidR="004704D4" w:rsidRPr="009C3231" w14:paraId="7DDBFC34" w14:textId="77777777" w:rsidTr="009C3231">
        <w:tc>
          <w:tcPr>
            <w:tcW w:w="2400" w:type="dxa"/>
            <w:tcMar>
              <w:top w:w="80" w:type="dxa"/>
              <w:left w:w="120" w:type="dxa"/>
              <w:bottom w:w="80" w:type="dxa"/>
              <w:right w:w="120" w:type="dxa"/>
            </w:tcMar>
          </w:tcPr>
          <w:p w14:paraId="210F53B1"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Months 10–33</w:t>
            </w:r>
          </w:p>
        </w:tc>
        <w:tc>
          <w:tcPr>
            <w:tcW w:w="6960" w:type="dxa"/>
            <w:tcMar>
              <w:top w:w="80" w:type="dxa"/>
              <w:left w:w="120" w:type="dxa"/>
              <w:bottom w:w="80" w:type="dxa"/>
              <w:right w:w="120" w:type="dxa"/>
            </w:tcMar>
          </w:tcPr>
          <w:p w14:paraId="640A6545"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3-month follow-up assessments (rolling)</w:t>
            </w:r>
          </w:p>
        </w:tc>
      </w:tr>
      <w:tr w:rsidR="004704D4" w:rsidRPr="009C3231" w14:paraId="2BD2BC40" w14:textId="77777777" w:rsidTr="009C3231">
        <w:tc>
          <w:tcPr>
            <w:tcW w:w="2400" w:type="dxa"/>
            <w:tcMar>
              <w:top w:w="80" w:type="dxa"/>
              <w:left w:w="120" w:type="dxa"/>
              <w:bottom w:w="80" w:type="dxa"/>
              <w:right w:w="120" w:type="dxa"/>
            </w:tcMar>
          </w:tcPr>
          <w:p w14:paraId="7B67458E"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Months 19–42</w:t>
            </w:r>
          </w:p>
        </w:tc>
        <w:tc>
          <w:tcPr>
            <w:tcW w:w="6960" w:type="dxa"/>
            <w:tcMar>
              <w:top w:w="80" w:type="dxa"/>
              <w:left w:w="120" w:type="dxa"/>
              <w:bottom w:w="80" w:type="dxa"/>
              <w:right w:w="120" w:type="dxa"/>
            </w:tcMar>
          </w:tcPr>
          <w:p w14:paraId="43E463BA"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6-month follow-up assessments (rolling)</w:t>
            </w:r>
          </w:p>
        </w:tc>
      </w:tr>
      <w:tr w:rsidR="004704D4" w:rsidRPr="009C3231" w14:paraId="26C135B1" w14:textId="77777777" w:rsidTr="009C3231">
        <w:tc>
          <w:tcPr>
            <w:tcW w:w="2400" w:type="dxa"/>
            <w:tcMar>
              <w:top w:w="80" w:type="dxa"/>
              <w:left w:w="120" w:type="dxa"/>
              <w:bottom w:w="80" w:type="dxa"/>
              <w:right w:w="120" w:type="dxa"/>
            </w:tcMar>
          </w:tcPr>
          <w:p w14:paraId="4E8CA962"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Months 36–44</w:t>
            </w:r>
          </w:p>
        </w:tc>
        <w:tc>
          <w:tcPr>
            <w:tcW w:w="6960" w:type="dxa"/>
            <w:tcMar>
              <w:top w:w="80" w:type="dxa"/>
              <w:left w:w="120" w:type="dxa"/>
              <w:bottom w:w="80" w:type="dxa"/>
              <w:right w:w="120" w:type="dxa"/>
            </w:tcMar>
          </w:tcPr>
          <w:p w14:paraId="054AEF0B"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Data analysis</w:t>
            </w:r>
          </w:p>
        </w:tc>
      </w:tr>
      <w:tr w:rsidR="004704D4" w:rsidRPr="009C3231" w14:paraId="6C172AE7" w14:textId="77777777" w:rsidTr="009C3231">
        <w:tc>
          <w:tcPr>
            <w:tcW w:w="2400" w:type="dxa"/>
            <w:tcMar>
              <w:top w:w="80" w:type="dxa"/>
              <w:left w:w="120" w:type="dxa"/>
              <w:bottom w:w="80" w:type="dxa"/>
              <w:right w:w="120" w:type="dxa"/>
            </w:tcMar>
          </w:tcPr>
          <w:p w14:paraId="5D357FB8"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Months 44–48</w:t>
            </w:r>
          </w:p>
        </w:tc>
        <w:tc>
          <w:tcPr>
            <w:tcW w:w="6960" w:type="dxa"/>
            <w:tcMar>
              <w:top w:w="80" w:type="dxa"/>
              <w:left w:w="120" w:type="dxa"/>
              <w:bottom w:w="80" w:type="dxa"/>
              <w:right w:w="120" w:type="dxa"/>
            </w:tcMar>
          </w:tcPr>
          <w:p w14:paraId="6871AD6D"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sz w:val="24"/>
                <w:szCs w:val="24"/>
              </w:rPr>
              <w:t>Manuscript preparation and submission</w:t>
            </w:r>
          </w:p>
        </w:tc>
      </w:tr>
    </w:tbl>
    <w:p w14:paraId="4FD5C6DE" w14:textId="77777777" w:rsidR="004704D4" w:rsidRPr="009C3231" w:rsidRDefault="004704D4" w:rsidP="009C3231">
      <w:pPr>
        <w:contextualSpacing/>
        <w:rPr>
          <w:rFonts w:asciiTheme="majorBidi" w:hAnsiTheme="majorBidi" w:cstheme="majorBidi"/>
          <w:sz w:val="24"/>
          <w:szCs w:val="24"/>
        </w:rPr>
      </w:pPr>
    </w:p>
    <w:p w14:paraId="573B22AA"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Statistical Plan</w:t>
      </w:r>
    </w:p>
    <w:p w14:paraId="12ADC2CE" w14:textId="63E3DD8C"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Primary: </w:t>
      </w:r>
      <w:r w:rsidRPr="009C3231">
        <w:rPr>
          <w:rFonts w:asciiTheme="majorBidi" w:eastAsia="Arial" w:hAnsiTheme="majorBidi" w:cstheme="majorBidi"/>
          <w:sz w:val="24"/>
          <w:szCs w:val="24"/>
        </w:rPr>
        <w:t xml:space="preserve">Moderated mediation </w:t>
      </w:r>
      <w:r w:rsidR="009C3231">
        <w:rPr>
          <w:rFonts w:asciiTheme="majorBidi" w:eastAsia="Arial" w:hAnsiTheme="majorBidi" w:cstheme="majorBidi"/>
          <w:sz w:val="24"/>
          <w:szCs w:val="24"/>
        </w:rPr>
        <w:t>-</w:t>
      </w:r>
      <w:r w:rsidRPr="009C3231">
        <w:rPr>
          <w:rFonts w:asciiTheme="majorBidi" w:eastAsia="Arial" w:hAnsiTheme="majorBidi" w:cstheme="majorBidi"/>
          <w:sz w:val="24"/>
          <w:szCs w:val="24"/>
        </w:rPr>
        <w:t xml:space="preserve"> Insight × Attribution → Rumination → Treatment Outcome, with Culture as moderator</w:t>
      </w:r>
    </w:p>
    <w:p w14:paraId="2F1713A8"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Secondary: </w:t>
      </w:r>
      <w:r w:rsidRPr="009C3231">
        <w:rPr>
          <w:rFonts w:asciiTheme="majorBidi" w:eastAsia="Arial" w:hAnsiTheme="majorBidi" w:cstheme="majorBidi"/>
          <w:sz w:val="24"/>
          <w:szCs w:val="24"/>
        </w:rPr>
        <w:t>Mixed-effects longitudinal models; subgroup analyses by primary diagnosis; examination of cultural differences in insight–attribution patterns</w:t>
      </w:r>
    </w:p>
    <w:p w14:paraId="2359DE10" w14:textId="77777777" w:rsidR="004704D4" w:rsidRPr="009C3231" w:rsidRDefault="00000000" w:rsidP="009C3231">
      <w:pPr>
        <w:pStyle w:val="ListParagraph"/>
        <w:numPr>
          <w:ilvl w:val="0"/>
          <w:numId w:val="2"/>
        </w:numPr>
        <w:contextualSpacing/>
        <w:rPr>
          <w:rFonts w:asciiTheme="majorBidi" w:hAnsiTheme="majorBidi" w:cstheme="majorBidi"/>
          <w:sz w:val="24"/>
          <w:szCs w:val="24"/>
        </w:rPr>
      </w:pPr>
      <w:r w:rsidRPr="009C3231">
        <w:rPr>
          <w:rFonts w:asciiTheme="majorBidi" w:eastAsia="Arial" w:hAnsiTheme="majorBidi" w:cstheme="majorBidi"/>
          <w:b/>
          <w:bCs/>
          <w:sz w:val="24"/>
          <w:szCs w:val="24"/>
        </w:rPr>
        <w:t xml:space="preserve">Missing data: </w:t>
      </w:r>
      <w:r w:rsidRPr="009C3231">
        <w:rPr>
          <w:rFonts w:asciiTheme="majorBidi" w:eastAsia="Arial" w:hAnsiTheme="majorBidi" w:cstheme="majorBidi"/>
          <w:sz w:val="24"/>
          <w:szCs w:val="24"/>
        </w:rPr>
        <w:t>Multiple imputation; intent-to-treat approach</w:t>
      </w:r>
    </w:p>
    <w:p w14:paraId="49A8D0F9" w14:textId="77777777" w:rsidR="004704D4" w:rsidRPr="009C3231" w:rsidRDefault="004704D4" w:rsidP="009C3231">
      <w:pPr>
        <w:contextualSpacing/>
        <w:rPr>
          <w:rFonts w:asciiTheme="majorBidi" w:hAnsiTheme="majorBidi" w:cstheme="majorBidi"/>
          <w:sz w:val="24"/>
          <w:szCs w:val="24"/>
        </w:rPr>
      </w:pPr>
    </w:p>
    <w:p w14:paraId="6C65AD08" w14:textId="77777777" w:rsidR="004704D4" w:rsidRPr="009C3231" w:rsidRDefault="00000000" w:rsidP="009C3231">
      <w:pPr>
        <w:contextualSpacing/>
        <w:rPr>
          <w:rFonts w:asciiTheme="majorBidi" w:hAnsiTheme="majorBidi" w:cstheme="majorBidi"/>
          <w:sz w:val="24"/>
          <w:szCs w:val="24"/>
        </w:rPr>
      </w:pPr>
      <w:r w:rsidRPr="009C3231">
        <w:rPr>
          <w:rFonts w:asciiTheme="majorBidi" w:eastAsia="Arial" w:hAnsiTheme="majorBidi" w:cstheme="majorBidi"/>
          <w:b/>
          <w:bCs/>
          <w:sz w:val="24"/>
          <w:szCs w:val="24"/>
        </w:rPr>
        <w:t>Cross-Cultural Component &amp; Collaboration</w:t>
      </w:r>
    </w:p>
    <w:p w14:paraId="217116A6" w14:textId="63B807B0" w:rsidR="009C3231" w:rsidRPr="009C3231" w:rsidRDefault="00000000" w:rsidP="004578CE">
      <w:pPr>
        <w:pStyle w:val="ListParagraph"/>
        <w:numPr>
          <w:ilvl w:val="0"/>
          <w:numId w:val="6"/>
        </w:numPr>
        <w:contextualSpacing/>
        <w:rPr>
          <w:rFonts w:asciiTheme="majorBidi" w:hAnsiTheme="majorBidi" w:cstheme="majorBidi"/>
          <w:sz w:val="24"/>
          <w:szCs w:val="24"/>
        </w:rPr>
      </w:pPr>
      <w:r w:rsidRPr="009C3231">
        <w:rPr>
          <w:rFonts w:asciiTheme="majorBidi" w:eastAsia="Arial" w:hAnsiTheme="majorBidi" w:cstheme="majorBidi"/>
          <w:sz w:val="24"/>
          <w:szCs w:val="24"/>
        </w:rPr>
        <w:t>The cross-cultural design is central to the proposed model. Illness attributions are shaped by cultural context, including beliefs about biology, personal responsibility, and fate. Israel and the United States differ meaningfully in these domains, providing a rigorous test of whether the Insight Paradox Model operates universally or is culturally moderated.</w:t>
      </w:r>
      <w:r w:rsidR="004578CE">
        <w:rPr>
          <w:rFonts w:asciiTheme="majorBidi" w:eastAsia="Arial" w:hAnsiTheme="majorBidi" w:cstheme="majorBidi"/>
          <w:sz w:val="24"/>
          <w:szCs w:val="24"/>
        </w:rPr>
        <w:t xml:space="preserve"> </w:t>
      </w:r>
      <w:r w:rsidR="004578CE" w:rsidRPr="004578CE">
        <w:rPr>
          <w:rFonts w:asciiTheme="majorBidi" w:eastAsia="Arial" w:hAnsiTheme="majorBidi" w:cstheme="majorBidi"/>
          <w:sz w:val="24"/>
          <w:szCs w:val="24"/>
        </w:rPr>
        <w:t>For example, cultural differences in beliefs about personal responsibility versus fate may shape attributional styles and influence the strength of maladaptive pathways.</w:t>
      </w:r>
    </w:p>
    <w:p w14:paraId="6FFE30D8" w14:textId="77777777" w:rsidR="00E52641" w:rsidRPr="00E52641" w:rsidRDefault="00000000" w:rsidP="00E52641">
      <w:pPr>
        <w:pStyle w:val="ListParagraph"/>
        <w:numPr>
          <w:ilvl w:val="0"/>
          <w:numId w:val="6"/>
        </w:numPr>
        <w:contextualSpacing/>
        <w:rPr>
          <w:rFonts w:asciiTheme="majorBidi" w:hAnsiTheme="majorBidi" w:cstheme="majorBidi"/>
          <w:sz w:val="24"/>
          <w:szCs w:val="24"/>
        </w:rPr>
      </w:pPr>
      <w:r w:rsidRPr="00E52641">
        <w:rPr>
          <w:rFonts w:asciiTheme="majorBidi" w:eastAsia="Arial" w:hAnsiTheme="majorBidi" w:cstheme="majorBidi"/>
          <w:sz w:val="24"/>
          <w:szCs w:val="24"/>
        </w:rPr>
        <w:t xml:space="preserve">This design allows us to determine whether the interaction between insight and attribution, and its downstream effects on rumination and treatment outcomes, is invariant across contexts or depends on culturally specific meaning systems. </w:t>
      </w:r>
      <w:r w:rsidR="00E52641" w:rsidRPr="00E52641">
        <w:rPr>
          <w:rFonts w:asciiTheme="majorBidi" w:eastAsia="Arial" w:hAnsiTheme="majorBidi" w:cstheme="majorBidi"/>
          <w:sz w:val="24"/>
          <w:szCs w:val="24"/>
        </w:rPr>
        <w:t>This distinction matters both theoretically and for developing culturally appropriate interventions.</w:t>
      </w:r>
    </w:p>
    <w:p w14:paraId="2FE3F5D9" w14:textId="201F68A4" w:rsidR="004704D4" w:rsidRPr="00E52641" w:rsidRDefault="00E52641" w:rsidP="00E52641">
      <w:pPr>
        <w:pStyle w:val="ListParagraph"/>
        <w:numPr>
          <w:ilvl w:val="0"/>
          <w:numId w:val="6"/>
        </w:numPr>
        <w:contextualSpacing/>
        <w:rPr>
          <w:rFonts w:asciiTheme="majorBidi" w:hAnsiTheme="majorBidi" w:cstheme="majorBidi"/>
          <w:sz w:val="24"/>
          <w:szCs w:val="24"/>
        </w:rPr>
      </w:pPr>
      <w:r w:rsidRPr="00E52641">
        <w:rPr>
          <w:rFonts w:asciiTheme="majorBidi" w:eastAsia="Arial" w:hAnsiTheme="majorBidi" w:cstheme="majorBidi"/>
          <w:sz w:val="24"/>
          <w:szCs w:val="24"/>
        </w:rPr>
        <w:t>The collaboration brings together complementary expertise and clinical infrastructure in both countries</w:t>
      </w:r>
    </w:p>
    <w:p w14:paraId="07868725" w14:textId="77777777" w:rsidR="00E52641" w:rsidRDefault="00E52641" w:rsidP="009C3231">
      <w:pPr>
        <w:contextualSpacing/>
        <w:rPr>
          <w:rFonts w:asciiTheme="majorBidi" w:eastAsia="Arial" w:hAnsiTheme="majorBidi" w:cstheme="majorBidi"/>
          <w:b/>
          <w:bCs/>
          <w:sz w:val="24"/>
          <w:szCs w:val="24"/>
        </w:rPr>
      </w:pPr>
    </w:p>
    <w:p w14:paraId="63E1C51E" w14:textId="173FD978" w:rsidR="009C3231" w:rsidRPr="009C3231" w:rsidRDefault="009C3231" w:rsidP="009C3231">
      <w:pPr>
        <w:contextualSpacing/>
        <w:rPr>
          <w:rFonts w:asciiTheme="majorBidi" w:eastAsia="Arial" w:hAnsiTheme="majorBidi" w:cstheme="majorBidi"/>
          <w:b/>
          <w:bCs/>
          <w:sz w:val="24"/>
          <w:szCs w:val="24"/>
        </w:rPr>
      </w:pPr>
      <w:r w:rsidRPr="009C3231">
        <w:rPr>
          <w:rFonts w:asciiTheme="majorBidi" w:eastAsia="Arial" w:hAnsiTheme="majorBidi" w:cstheme="majorBidi"/>
          <w:b/>
          <w:bCs/>
          <w:sz w:val="24"/>
          <w:szCs w:val="24"/>
        </w:rPr>
        <w:t>Significance &amp; Innovation</w:t>
      </w:r>
    </w:p>
    <w:p w14:paraId="6753FA12" w14:textId="77777777" w:rsidR="009C3231" w:rsidRPr="009C3231" w:rsidRDefault="009C3231" w:rsidP="009C3231">
      <w:pPr>
        <w:contextualSpacing/>
        <w:rPr>
          <w:rFonts w:asciiTheme="majorBidi" w:eastAsia="Arial" w:hAnsiTheme="majorBidi" w:cstheme="majorBidi"/>
          <w:b/>
          <w:bCs/>
          <w:sz w:val="24"/>
          <w:szCs w:val="24"/>
        </w:rPr>
      </w:pPr>
      <w:r w:rsidRPr="009C3231">
        <w:rPr>
          <w:rFonts w:asciiTheme="majorBidi" w:eastAsia="Arial" w:hAnsiTheme="majorBidi" w:cstheme="majorBidi"/>
          <w:b/>
          <w:bCs/>
          <w:sz w:val="24"/>
          <w:szCs w:val="24"/>
        </w:rPr>
        <w:t>Significance</w:t>
      </w:r>
    </w:p>
    <w:p w14:paraId="3C0B9953" w14:textId="77777777" w:rsidR="006D05F1" w:rsidRDefault="009C3231" w:rsidP="006D05F1">
      <w:pPr>
        <w:pStyle w:val="ListParagraph"/>
        <w:numPr>
          <w:ilvl w:val="0"/>
          <w:numId w:val="9"/>
        </w:numPr>
        <w:contextualSpacing/>
        <w:rPr>
          <w:rFonts w:asciiTheme="majorBidi" w:eastAsia="Arial" w:hAnsiTheme="majorBidi" w:cstheme="majorBidi"/>
          <w:sz w:val="24"/>
          <w:szCs w:val="24"/>
        </w:rPr>
      </w:pPr>
      <w:r w:rsidRPr="006D05F1">
        <w:rPr>
          <w:rFonts w:asciiTheme="majorBidi" w:eastAsia="Arial" w:hAnsiTheme="majorBidi" w:cstheme="majorBidi"/>
          <w:sz w:val="24"/>
          <w:szCs w:val="24"/>
        </w:rPr>
        <w:t xml:space="preserve">Clinical insight is widely regarded as a cornerstone of effective treatment in mental health, yet existing models were developed primarily in the context of psychosis and do not adequately capture the cognitive and emotional processes relevant to depression. </w:t>
      </w:r>
    </w:p>
    <w:p w14:paraId="0D6E68CC" w14:textId="77777777" w:rsidR="006D05F1" w:rsidRDefault="009C3231" w:rsidP="006D05F1">
      <w:pPr>
        <w:pStyle w:val="ListParagraph"/>
        <w:numPr>
          <w:ilvl w:val="0"/>
          <w:numId w:val="9"/>
        </w:numPr>
        <w:contextualSpacing/>
        <w:rPr>
          <w:rFonts w:asciiTheme="majorBidi" w:eastAsia="Arial" w:hAnsiTheme="majorBidi" w:cstheme="majorBidi"/>
          <w:sz w:val="24"/>
          <w:szCs w:val="24"/>
        </w:rPr>
      </w:pPr>
      <w:r w:rsidRPr="006D05F1">
        <w:rPr>
          <w:rFonts w:asciiTheme="majorBidi" w:eastAsia="Arial" w:hAnsiTheme="majorBidi" w:cstheme="majorBidi"/>
          <w:sz w:val="24"/>
          <w:szCs w:val="24"/>
        </w:rPr>
        <w:t xml:space="preserve">This study addresses this gap by testing the Insight Paradox Model, which proposes that insight may either facilitate recovery or exacerbate distress depending on patients' causal </w:t>
      </w:r>
      <w:r w:rsidRPr="006D05F1">
        <w:rPr>
          <w:rFonts w:asciiTheme="majorBidi" w:eastAsia="Arial" w:hAnsiTheme="majorBidi" w:cstheme="majorBidi"/>
          <w:sz w:val="24"/>
          <w:szCs w:val="24"/>
        </w:rPr>
        <w:lastRenderedPageBreak/>
        <w:t xml:space="preserve">attributions. If confirmed, this challenges the assumption that greater insight is inherently beneficial and has direct implications for clinical intervention. </w:t>
      </w:r>
    </w:p>
    <w:p w14:paraId="1BAD6D24" w14:textId="2405CBF6" w:rsidR="009C3231" w:rsidRPr="006D05F1" w:rsidRDefault="009C3231" w:rsidP="006D05F1">
      <w:pPr>
        <w:pStyle w:val="ListParagraph"/>
        <w:numPr>
          <w:ilvl w:val="0"/>
          <w:numId w:val="9"/>
        </w:numPr>
        <w:contextualSpacing/>
        <w:rPr>
          <w:rFonts w:asciiTheme="majorBidi" w:eastAsia="Arial" w:hAnsiTheme="majorBidi" w:cstheme="majorBidi"/>
          <w:sz w:val="24"/>
          <w:szCs w:val="24"/>
        </w:rPr>
      </w:pPr>
      <w:r w:rsidRPr="006D05F1">
        <w:rPr>
          <w:rFonts w:asciiTheme="majorBidi" w:eastAsia="Arial" w:hAnsiTheme="majorBidi" w:cstheme="majorBidi"/>
          <w:sz w:val="24"/>
          <w:szCs w:val="24"/>
        </w:rPr>
        <w:t>The cross-cultural design enables examination of whether these mechanisms are universal or culturally moderated. To our knowledge, no longitudinal cross-cultural study has examined whether insight can differentially facilitate or impede recovery in depression as a function of causal attribution and rumination.</w:t>
      </w:r>
    </w:p>
    <w:p w14:paraId="6740C76E" w14:textId="77777777" w:rsidR="009C3231" w:rsidRPr="009C3231" w:rsidRDefault="009C3231" w:rsidP="009C3231">
      <w:pPr>
        <w:contextualSpacing/>
        <w:rPr>
          <w:rFonts w:asciiTheme="majorBidi" w:eastAsia="Arial" w:hAnsiTheme="majorBidi" w:cstheme="majorBidi"/>
          <w:b/>
          <w:bCs/>
          <w:sz w:val="24"/>
          <w:szCs w:val="24"/>
        </w:rPr>
      </w:pPr>
      <w:r w:rsidRPr="009C3231">
        <w:rPr>
          <w:rFonts w:asciiTheme="majorBidi" w:eastAsia="Arial" w:hAnsiTheme="majorBidi" w:cstheme="majorBidi"/>
          <w:b/>
          <w:bCs/>
          <w:sz w:val="24"/>
          <w:szCs w:val="24"/>
        </w:rPr>
        <w:t>Innovation</w:t>
      </w:r>
    </w:p>
    <w:p w14:paraId="3B2FC07F" w14:textId="77777777" w:rsidR="009C3231" w:rsidRPr="009C3231" w:rsidRDefault="009C3231" w:rsidP="009C3231">
      <w:pPr>
        <w:numPr>
          <w:ilvl w:val="0"/>
          <w:numId w:val="8"/>
        </w:numPr>
        <w:contextualSpacing/>
        <w:rPr>
          <w:rFonts w:asciiTheme="majorBidi" w:eastAsia="Arial" w:hAnsiTheme="majorBidi" w:cstheme="majorBidi"/>
          <w:sz w:val="24"/>
          <w:szCs w:val="24"/>
        </w:rPr>
      </w:pPr>
      <w:r w:rsidRPr="009C3231">
        <w:rPr>
          <w:rFonts w:asciiTheme="majorBidi" w:eastAsia="Arial" w:hAnsiTheme="majorBidi" w:cstheme="majorBidi"/>
          <w:sz w:val="24"/>
          <w:szCs w:val="24"/>
        </w:rPr>
        <w:t>Theoretical: Challenges the assumption that insight is uniformly beneficial by introducing and testing the Insight Paradox Model.</w:t>
      </w:r>
    </w:p>
    <w:p w14:paraId="31F89371" w14:textId="77777777" w:rsidR="009C3231" w:rsidRPr="009C3231" w:rsidRDefault="009C3231" w:rsidP="009C3231">
      <w:pPr>
        <w:numPr>
          <w:ilvl w:val="0"/>
          <w:numId w:val="8"/>
        </w:numPr>
        <w:contextualSpacing/>
        <w:rPr>
          <w:rFonts w:asciiTheme="majorBidi" w:eastAsia="Arial" w:hAnsiTheme="majorBidi" w:cstheme="majorBidi"/>
          <w:sz w:val="24"/>
          <w:szCs w:val="24"/>
        </w:rPr>
      </w:pPr>
      <w:r w:rsidRPr="009C3231">
        <w:rPr>
          <w:rFonts w:asciiTheme="majorBidi" w:eastAsia="Arial" w:hAnsiTheme="majorBidi" w:cstheme="majorBidi"/>
          <w:sz w:val="24"/>
          <w:szCs w:val="24"/>
        </w:rPr>
        <w:t>Conceptual: Moves beyond unidimensional insight models to a multidimensional framework incorporating cognitive awareness, emotional interpretation, and relational engagement.</w:t>
      </w:r>
    </w:p>
    <w:p w14:paraId="283D1E95" w14:textId="77777777" w:rsidR="009C3231" w:rsidRPr="009C3231" w:rsidRDefault="009C3231" w:rsidP="009C3231">
      <w:pPr>
        <w:numPr>
          <w:ilvl w:val="0"/>
          <w:numId w:val="8"/>
        </w:numPr>
        <w:contextualSpacing/>
        <w:rPr>
          <w:rFonts w:asciiTheme="majorBidi" w:eastAsia="Arial" w:hAnsiTheme="majorBidi" w:cstheme="majorBidi"/>
          <w:sz w:val="24"/>
          <w:szCs w:val="24"/>
        </w:rPr>
      </w:pPr>
      <w:r w:rsidRPr="009C3231">
        <w:rPr>
          <w:rFonts w:asciiTheme="majorBidi" w:eastAsia="Arial" w:hAnsiTheme="majorBidi" w:cstheme="majorBidi"/>
          <w:sz w:val="24"/>
          <w:szCs w:val="24"/>
        </w:rPr>
        <w:t>Mechanistic: Specifies rumination as the psychological pathway linking insight and attribution to treatment outcomes.</w:t>
      </w:r>
    </w:p>
    <w:p w14:paraId="4BCB0D60" w14:textId="77777777" w:rsidR="009C3231" w:rsidRPr="009C3231" w:rsidRDefault="009C3231" w:rsidP="009C3231">
      <w:pPr>
        <w:numPr>
          <w:ilvl w:val="0"/>
          <w:numId w:val="8"/>
        </w:numPr>
        <w:contextualSpacing/>
        <w:rPr>
          <w:rFonts w:asciiTheme="majorBidi" w:eastAsia="Arial" w:hAnsiTheme="majorBidi" w:cstheme="majorBidi"/>
          <w:sz w:val="24"/>
          <w:szCs w:val="24"/>
        </w:rPr>
      </w:pPr>
      <w:r w:rsidRPr="009C3231">
        <w:rPr>
          <w:rFonts w:asciiTheme="majorBidi" w:eastAsia="Arial" w:hAnsiTheme="majorBidi" w:cstheme="majorBidi"/>
          <w:sz w:val="24"/>
          <w:szCs w:val="24"/>
        </w:rPr>
        <w:t>Methodological: Integrates longitudinal and cross-cultural methods to test universality of the proposed model.</w:t>
      </w:r>
    </w:p>
    <w:p w14:paraId="47CCEE25" w14:textId="77777777" w:rsidR="009C3231" w:rsidRPr="009C3231" w:rsidRDefault="009C3231" w:rsidP="009C3231">
      <w:pPr>
        <w:contextualSpacing/>
        <w:rPr>
          <w:rFonts w:asciiTheme="majorBidi" w:eastAsia="Arial" w:hAnsiTheme="majorBidi" w:cstheme="majorBidi"/>
          <w:b/>
          <w:bCs/>
          <w:sz w:val="24"/>
          <w:szCs w:val="24"/>
        </w:rPr>
      </w:pPr>
      <w:r w:rsidRPr="009C3231">
        <w:rPr>
          <w:rFonts w:asciiTheme="majorBidi" w:eastAsia="Arial" w:hAnsiTheme="majorBidi" w:cstheme="majorBidi"/>
          <w:b/>
          <w:bCs/>
          <w:sz w:val="24"/>
          <w:szCs w:val="24"/>
        </w:rPr>
        <w:t>Impact</w:t>
      </w:r>
    </w:p>
    <w:p w14:paraId="1BD8EC37" w14:textId="77777777" w:rsidR="009C3231" w:rsidRPr="006D05F1" w:rsidRDefault="009C3231" w:rsidP="006D05F1">
      <w:pPr>
        <w:pStyle w:val="ListParagraph"/>
        <w:numPr>
          <w:ilvl w:val="0"/>
          <w:numId w:val="10"/>
        </w:numPr>
        <w:contextualSpacing/>
        <w:rPr>
          <w:rFonts w:asciiTheme="majorBidi" w:eastAsia="Arial" w:hAnsiTheme="majorBidi" w:cstheme="majorBidi"/>
          <w:sz w:val="24"/>
          <w:szCs w:val="24"/>
        </w:rPr>
      </w:pPr>
      <w:r w:rsidRPr="006D05F1">
        <w:rPr>
          <w:rFonts w:asciiTheme="majorBidi" w:eastAsia="Arial" w:hAnsiTheme="majorBidi" w:cstheme="majorBidi"/>
          <w:sz w:val="24"/>
          <w:szCs w:val="24"/>
        </w:rPr>
        <w:t>By identifying when and for whom insight facilitates versus impedes recovery, findings will inform more precise and culturally sensitive interventions targeting maladaptive attribution and rumination in depression.</w:t>
      </w:r>
    </w:p>
    <w:p w14:paraId="488E12CA" w14:textId="4C281DA3" w:rsidR="004704D4" w:rsidRPr="009C3231" w:rsidRDefault="004704D4" w:rsidP="009C3231">
      <w:pPr>
        <w:contextualSpacing/>
      </w:pPr>
    </w:p>
    <w:sectPr w:rsidR="004704D4" w:rsidRPr="009C323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1CD"/>
    <w:multiLevelType w:val="hybridMultilevel"/>
    <w:tmpl w:val="FDFC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F43C4A"/>
    <w:multiLevelType w:val="hybridMultilevel"/>
    <w:tmpl w:val="50B6B7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DC7871"/>
    <w:multiLevelType w:val="hybridMultilevel"/>
    <w:tmpl w:val="8F0E76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320524C"/>
    <w:multiLevelType w:val="multilevel"/>
    <w:tmpl w:val="0682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4709EE"/>
    <w:multiLevelType w:val="hybridMultilevel"/>
    <w:tmpl w:val="D2D005D4"/>
    <w:lvl w:ilvl="0" w:tplc="D85E40EE">
      <w:start w:val="1"/>
      <w:numFmt w:val="bullet"/>
      <w:lvlText w:val="●"/>
      <w:lvlJc w:val="left"/>
      <w:pPr>
        <w:ind w:left="720" w:hanging="360"/>
      </w:pPr>
    </w:lvl>
    <w:lvl w:ilvl="1" w:tplc="72D4D3CC">
      <w:start w:val="1"/>
      <w:numFmt w:val="bullet"/>
      <w:lvlText w:val="○"/>
      <w:lvlJc w:val="left"/>
      <w:pPr>
        <w:ind w:left="1440" w:hanging="360"/>
      </w:pPr>
    </w:lvl>
    <w:lvl w:ilvl="2" w:tplc="DA0480DC">
      <w:start w:val="1"/>
      <w:numFmt w:val="bullet"/>
      <w:lvlText w:val="■"/>
      <w:lvlJc w:val="left"/>
      <w:pPr>
        <w:ind w:left="2160" w:hanging="360"/>
      </w:pPr>
    </w:lvl>
    <w:lvl w:ilvl="3" w:tplc="1ABCF6D0">
      <w:start w:val="1"/>
      <w:numFmt w:val="bullet"/>
      <w:lvlText w:val="●"/>
      <w:lvlJc w:val="left"/>
      <w:pPr>
        <w:ind w:left="2880" w:hanging="360"/>
      </w:pPr>
    </w:lvl>
    <w:lvl w:ilvl="4" w:tplc="151C4720">
      <w:start w:val="1"/>
      <w:numFmt w:val="bullet"/>
      <w:lvlText w:val="○"/>
      <w:lvlJc w:val="left"/>
      <w:pPr>
        <w:ind w:left="3600" w:hanging="360"/>
      </w:pPr>
    </w:lvl>
    <w:lvl w:ilvl="5" w:tplc="2D7662EE">
      <w:start w:val="1"/>
      <w:numFmt w:val="bullet"/>
      <w:lvlText w:val="■"/>
      <w:lvlJc w:val="left"/>
      <w:pPr>
        <w:ind w:left="4320" w:hanging="360"/>
      </w:pPr>
    </w:lvl>
    <w:lvl w:ilvl="6" w:tplc="BE4018E2">
      <w:start w:val="1"/>
      <w:numFmt w:val="bullet"/>
      <w:lvlText w:val="●"/>
      <w:lvlJc w:val="left"/>
      <w:pPr>
        <w:ind w:left="5040" w:hanging="360"/>
      </w:pPr>
    </w:lvl>
    <w:lvl w:ilvl="7" w:tplc="D7BA9032">
      <w:start w:val="1"/>
      <w:numFmt w:val="bullet"/>
      <w:lvlText w:val="●"/>
      <w:lvlJc w:val="left"/>
      <w:pPr>
        <w:ind w:left="5760" w:hanging="360"/>
      </w:pPr>
    </w:lvl>
    <w:lvl w:ilvl="8" w:tplc="77046D4A">
      <w:start w:val="1"/>
      <w:numFmt w:val="bullet"/>
      <w:lvlText w:val="●"/>
      <w:lvlJc w:val="left"/>
      <w:pPr>
        <w:ind w:left="6480" w:hanging="360"/>
      </w:pPr>
    </w:lvl>
  </w:abstractNum>
  <w:abstractNum w:abstractNumId="5" w15:restartNumberingAfterBreak="0">
    <w:nsid w:val="55F97555"/>
    <w:multiLevelType w:val="hybridMultilevel"/>
    <w:tmpl w:val="25F21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6DE3C60"/>
    <w:multiLevelType w:val="hybridMultilevel"/>
    <w:tmpl w:val="FAE6ED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7953162"/>
    <w:multiLevelType w:val="hybridMultilevel"/>
    <w:tmpl w:val="9880D89E"/>
    <w:lvl w:ilvl="0" w:tplc="CD7A5D48">
      <w:start w:val="1"/>
      <w:numFmt w:val="bullet"/>
      <w:lvlText w:val="•"/>
      <w:lvlJc w:val="left"/>
      <w:pPr>
        <w:ind w:left="720" w:hanging="360"/>
      </w:pPr>
    </w:lvl>
    <w:lvl w:ilvl="1" w:tplc="2B26CAB4">
      <w:numFmt w:val="decimal"/>
      <w:lvlText w:val=""/>
      <w:lvlJc w:val="left"/>
    </w:lvl>
    <w:lvl w:ilvl="2" w:tplc="DD8A9D9A">
      <w:numFmt w:val="decimal"/>
      <w:lvlText w:val=""/>
      <w:lvlJc w:val="left"/>
    </w:lvl>
    <w:lvl w:ilvl="3" w:tplc="82BCECEC">
      <w:numFmt w:val="decimal"/>
      <w:lvlText w:val=""/>
      <w:lvlJc w:val="left"/>
    </w:lvl>
    <w:lvl w:ilvl="4" w:tplc="B58E944A">
      <w:numFmt w:val="decimal"/>
      <w:lvlText w:val=""/>
      <w:lvlJc w:val="left"/>
    </w:lvl>
    <w:lvl w:ilvl="5" w:tplc="5C0C907C">
      <w:numFmt w:val="decimal"/>
      <w:lvlText w:val=""/>
      <w:lvlJc w:val="left"/>
    </w:lvl>
    <w:lvl w:ilvl="6" w:tplc="8370C088">
      <w:numFmt w:val="decimal"/>
      <w:lvlText w:val=""/>
      <w:lvlJc w:val="left"/>
    </w:lvl>
    <w:lvl w:ilvl="7" w:tplc="A186036C">
      <w:numFmt w:val="decimal"/>
      <w:lvlText w:val=""/>
      <w:lvlJc w:val="left"/>
    </w:lvl>
    <w:lvl w:ilvl="8" w:tplc="A7CCB73E">
      <w:numFmt w:val="decimal"/>
      <w:lvlText w:val=""/>
      <w:lvlJc w:val="left"/>
    </w:lvl>
  </w:abstractNum>
  <w:abstractNum w:abstractNumId="8" w15:restartNumberingAfterBreak="0">
    <w:nsid w:val="685130A7"/>
    <w:multiLevelType w:val="hybridMultilevel"/>
    <w:tmpl w:val="66E27A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E96ECC"/>
    <w:multiLevelType w:val="hybridMultilevel"/>
    <w:tmpl w:val="C34A94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2056A97"/>
    <w:multiLevelType w:val="hybridMultilevel"/>
    <w:tmpl w:val="E354C7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6855374">
    <w:abstractNumId w:val="4"/>
    <w:lvlOverride w:ilvl="0">
      <w:startOverride w:val="1"/>
    </w:lvlOverride>
  </w:num>
  <w:num w:numId="2" w16cid:durableId="488254169">
    <w:abstractNumId w:val="7"/>
    <w:lvlOverride w:ilvl="0">
      <w:startOverride w:val="1"/>
    </w:lvlOverride>
  </w:num>
  <w:num w:numId="3" w16cid:durableId="69742133">
    <w:abstractNumId w:val="6"/>
  </w:num>
  <w:num w:numId="4" w16cid:durableId="1913005804">
    <w:abstractNumId w:val="10"/>
  </w:num>
  <w:num w:numId="5" w16cid:durableId="721755077">
    <w:abstractNumId w:val="0"/>
  </w:num>
  <w:num w:numId="6" w16cid:durableId="2049404238">
    <w:abstractNumId w:val="2"/>
  </w:num>
  <w:num w:numId="7" w16cid:durableId="399596798">
    <w:abstractNumId w:val="5"/>
  </w:num>
  <w:num w:numId="8" w16cid:durableId="1590699737">
    <w:abstractNumId w:val="3"/>
  </w:num>
  <w:num w:numId="9" w16cid:durableId="2142840853">
    <w:abstractNumId w:val="8"/>
  </w:num>
  <w:num w:numId="10" w16cid:durableId="2082167490">
    <w:abstractNumId w:val="1"/>
  </w:num>
  <w:num w:numId="11" w16cid:durableId="1599487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D4"/>
    <w:rsid w:val="00001A3C"/>
    <w:rsid w:val="00090FDA"/>
    <w:rsid w:val="000E00EF"/>
    <w:rsid w:val="00163355"/>
    <w:rsid w:val="002101E5"/>
    <w:rsid w:val="002902E2"/>
    <w:rsid w:val="00330CCE"/>
    <w:rsid w:val="00381D6C"/>
    <w:rsid w:val="00417B8D"/>
    <w:rsid w:val="004578CE"/>
    <w:rsid w:val="00460E30"/>
    <w:rsid w:val="004704D4"/>
    <w:rsid w:val="004724EF"/>
    <w:rsid w:val="004C3394"/>
    <w:rsid w:val="005414CB"/>
    <w:rsid w:val="005F2CC2"/>
    <w:rsid w:val="0069520C"/>
    <w:rsid w:val="006D05F1"/>
    <w:rsid w:val="00775F87"/>
    <w:rsid w:val="0078077B"/>
    <w:rsid w:val="007F4BC3"/>
    <w:rsid w:val="008933A4"/>
    <w:rsid w:val="009C3231"/>
    <w:rsid w:val="00A96E38"/>
    <w:rsid w:val="00AA6FAF"/>
    <w:rsid w:val="00B74641"/>
    <w:rsid w:val="00BA58EB"/>
    <w:rsid w:val="00D54620"/>
    <w:rsid w:val="00E00B47"/>
    <w:rsid w:val="00E52641"/>
    <w:rsid w:val="00FA0260"/>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C32C"/>
  <w15:docId w15:val="{835D20F7-BB68-4606-9218-24042B7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L" w:eastAsia="en-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33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אסאלה חלאג'</cp:lastModifiedBy>
  <cp:revision>83</cp:revision>
  <dcterms:created xsi:type="dcterms:W3CDTF">2026-04-19T05:56:00Z</dcterms:created>
  <dcterms:modified xsi:type="dcterms:W3CDTF">2026-06-08T12:33:00Z</dcterms:modified>
</cp:coreProperties>
</file>