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C7BB" w14:textId="77777777" w:rsidR="003677F8" w:rsidRPr="00564F2E" w:rsidRDefault="003677F8" w:rsidP="00DF2A56">
      <w:pPr>
        <w:spacing w:before="100" w:beforeAutospacing="1" w:line="360" w:lineRule="auto"/>
        <w:jc w:val="center"/>
        <w:rPr>
          <w:rFonts w:asciiTheme="minorBidi" w:hAnsiTheme="minorBidi"/>
          <w:b/>
          <w:bCs/>
        </w:rPr>
      </w:pPr>
      <w:r w:rsidRPr="00564F2E">
        <w:rPr>
          <w:rFonts w:asciiTheme="minorBidi" w:hAnsiTheme="minorBidi"/>
          <w:b/>
          <w:bCs/>
        </w:rPr>
        <w:t>Aging in Motion: Ethiopian-Origin Women and the Coordination of Life Across Social Arenas</w:t>
      </w:r>
    </w:p>
    <w:p w14:paraId="7BBD0183" w14:textId="77777777" w:rsidR="006322E9" w:rsidRPr="00564F2E" w:rsidRDefault="006322E9" w:rsidP="00B154B3">
      <w:pPr>
        <w:spacing w:before="100" w:beforeAutospacing="1" w:line="360" w:lineRule="auto"/>
        <w:jc w:val="both"/>
        <w:rPr>
          <w:rFonts w:asciiTheme="minorBidi" w:hAnsiTheme="minorBidi"/>
          <w:b/>
          <w:bCs/>
          <w:rtl/>
        </w:rPr>
      </w:pPr>
    </w:p>
    <w:p w14:paraId="20E1B898" w14:textId="5CDC9D73" w:rsidR="006322E9" w:rsidRPr="00564F2E" w:rsidRDefault="006322E9" w:rsidP="00330F82">
      <w:pPr>
        <w:spacing w:before="100" w:beforeAutospacing="1" w:line="360" w:lineRule="auto"/>
        <w:jc w:val="both"/>
        <w:rPr>
          <w:rFonts w:asciiTheme="minorBidi" w:hAnsiTheme="minorBidi"/>
          <w:b/>
          <w:bCs/>
        </w:rPr>
      </w:pPr>
      <w:r w:rsidRPr="00564F2E">
        <w:rPr>
          <w:rFonts w:asciiTheme="minorBidi" w:hAnsiTheme="minorBidi"/>
          <w:b/>
          <w:bCs/>
        </w:rPr>
        <w:t>A</w:t>
      </w:r>
      <w:r w:rsidR="00330F82" w:rsidRPr="00564F2E">
        <w:rPr>
          <w:rFonts w:asciiTheme="minorBidi" w:hAnsiTheme="minorBidi"/>
          <w:b/>
          <w:bCs/>
        </w:rPr>
        <w:t>bstract</w:t>
      </w:r>
    </w:p>
    <w:p w14:paraId="2D4BD5DE" w14:textId="77777777" w:rsidR="00E37BCE" w:rsidRPr="00564F2E" w:rsidRDefault="00E37BCE" w:rsidP="00E37BCE">
      <w:pPr>
        <w:spacing w:before="100" w:beforeAutospacing="1" w:line="360" w:lineRule="auto"/>
        <w:jc w:val="both"/>
        <w:rPr>
          <w:rFonts w:asciiTheme="minorBidi" w:hAnsiTheme="minorBidi"/>
        </w:rPr>
      </w:pPr>
      <w:r w:rsidRPr="00564F2E">
        <w:rPr>
          <w:rFonts w:asciiTheme="minorBidi" w:hAnsiTheme="minorBidi"/>
        </w:rPr>
        <w:t>This article examines how aging in migration is enacted through the everyday practices of Ethiopian-origin women in Israel, shifting the analytical focus from lived experience to the organization of later life in practice. Drawing on ethnographic fieldwork and in-depth interviews, it explores how aging unfolds across family, community, digital, and transnational arenas.</w:t>
      </w:r>
    </w:p>
    <w:p w14:paraId="51585E4B" w14:textId="77777777" w:rsidR="00E37BCE" w:rsidRPr="00564F2E" w:rsidRDefault="00E37BCE" w:rsidP="00E37BCE">
      <w:pPr>
        <w:spacing w:before="100" w:beforeAutospacing="1" w:line="360" w:lineRule="auto"/>
        <w:jc w:val="both"/>
        <w:rPr>
          <w:rFonts w:asciiTheme="minorBidi" w:hAnsiTheme="minorBidi"/>
        </w:rPr>
      </w:pPr>
      <w:r w:rsidRPr="00564F2E">
        <w:rPr>
          <w:rFonts w:asciiTheme="minorBidi" w:hAnsiTheme="minorBidi"/>
        </w:rPr>
        <w:t xml:space="preserve">We argue that aging in migration is best understood as </w:t>
      </w:r>
      <w:r w:rsidRPr="00564F2E">
        <w:rPr>
          <w:rFonts w:asciiTheme="minorBidi" w:hAnsiTheme="minorBidi"/>
          <w:b/>
          <w:bCs/>
        </w:rPr>
        <w:t>aging-in-motion</w:t>
      </w:r>
      <w:r w:rsidRPr="00564F2E">
        <w:rPr>
          <w:rFonts w:asciiTheme="minorBidi" w:hAnsiTheme="minorBidi"/>
        </w:rPr>
        <w:t xml:space="preserve">, enacted through ongoing </w:t>
      </w:r>
      <w:r w:rsidRPr="00564F2E">
        <w:rPr>
          <w:rFonts w:asciiTheme="minorBidi" w:hAnsiTheme="minorBidi"/>
          <w:b/>
          <w:bCs/>
        </w:rPr>
        <w:t>coordination</w:t>
      </w:r>
      <w:r w:rsidRPr="00564F2E">
        <w:rPr>
          <w:rFonts w:asciiTheme="minorBidi" w:hAnsiTheme="minorBidi"/>
        </w:rPr>
        <w:t xml:space="preserve"> across multiple social arenas. Through this process, individuals align relationships, obligations, and forms of participation across overlapping domains of everyday life.</w:t>
      </w:r>
    </w:p>
    <w:p w14:paraId="46264960" w14:textId="77777777" w:rsidR="00E37BCE" w:rsidRPr="00564F2E" w:rsidRDefault="00E37BCE" w:rsidP="00E37BCE">
      <w:pPr>
        <w:spacing w:before="100" w:beforeAutospacing="1" w:line="360" w:lineRule="auto"/>
        <w:jc w:val="both"/>
        <w:rPr>
          <w:rFonts w:asciiTheme="minorBidi" w:hAnsiTheme="minorBidi"/>
        </w:rPr>
      </w:pPr>
      <w:r w:rsidRPr="00564F2E">
        <w:rPr>
          <w:rFonts w:asciiTheme="minorBidi" w:hAnsiTheme="minorBidi"/>
        </w:rPr>
        <w:t xml:space="preserve">The findings show that such coordinated practices enable older women to sustain presence and participation across dispersed networks, generating forms of </w:t>
      </w:r>
      <w:r w:rsidRPr="00564F2E">
        <w:rPr>
          <w:rFonts w:asciiTheme="minorBidi" w:hAnsiTheme="minorBidi"/>
          <w:b/>
          <w:bCs/>
        </w:rPr>
        <w:t>integration-from-below</w:t>
      </w:r>
      <w:r w:rsidRPr="00564F2E">
        <w:rPr>
          <w:rFonts w:asciiTheme="minorBidi" w:hAnsiTheme="minorBidi"/>
        </w:rPr>
        <w:t>. This concept captures how belonging is produced through everyday practices rather than formal institutional frameworks.</w:t>
      </w:r>
    </w:p>
    <w:p w14:paraId="45D9B174" w14:textId="77777777" w:rsidR="00E37BCE" w:rsidRPr="00564F2E" w:rsidRDefault="00E37BCE" w:rsidP="00E37BCE">
      <w:pPr>
        <w:spacing w:before="100" w:beforeAutospacing="1" w:line="360" w:lineRule="auto"/>
        <w:jc w:val="both"/>
        <w:rPr>
          <w:rFonts w:asciiTheme="minorBidi" w:hAnsiTheme="minorBidi"/>
        </w:rPr>
      </w:pPr>
      <w:r w:rsidRPr="00564F2E">
        <w:rPr>
          <w:rFonts w:asciiTheme="minorBidi" w:hAnsiTheme="minorBidi"/>
        </w:rPr>
        <w:t>The study contributes to migration and integration scholarship by reconceptualizing later life as a coordinated social process and by shifting attention to the everyday practices through which social worlds are sustained.</w:t>
      </w:r>
    </w:p>
    <w:p w14:paraId="0D1A2BD9" w14:textId="1F43FAA5" w:rsidR="00E37BCE" w:rsidRPr="00564F2E" w:rsidRDefault="00E37BCE" w:rsidP="00E37BCE">
      <w:pPr>
        <w:spacing w:before="100" w:beforeAutospacing="1" w:line="360" w:lineRule="auto"/>
        <w:jc w:val="both"/>
        <w:rPr>
          <w:rFonts w:asciiTheme="minorBidi" w:hAnsiTheme="minorBidi"/>
        </w:rPr>
      </w:pPr>
    </w:p>
    <w:p w14:paraId="059848C1" w14:textId="4010CACC" w:rsidR="00330F82" w:rsidRPr="00564F2E" w:rsidRDefault="003677F8" w:rsidP="00E37BCE">
      <w:pPr>
        <w:spacing w:before="100" w:beforeAutospacing="1" w:line="360" w:lineRule="auto"/>
        <w:jc w:val="both"/>
        <w:rPr>
          <w:rFonts w:asciiTheme="minorBidi" w:hAnsiTheme="minorBidi"/>
        </w:rPr>
      </w:pPr>
      <w:r w:rsidRPr="00564F2E">
        <w:rPr>
          <w:rFonts w:asciiTheme="minorBidi" w:hAnsiTheme="minorBidi"/>
          <w:b/>
          <w:bCs/>
        </w:rPr>
        <w:t xml:space="preserve">Key Words: </w:t>
      </w:r>
      <w:r w:rsidR="00330F82" w:rsidRPr="00564F2E">
        <w:rPr>
          <w:rFonts w:asciiTheme="minorBidi" w:hAnsiTheme="minorBidi"/>
        </w:rPr>
        <w:t>Migration and aging; Aging-in-motion; Integration-from-below; Ethiopian-origin women; Transnational ties; Israel</w:t>
      </w:r>
    </w:p>
    <w:p w14:paraId="0C86D7AE" w14:textId="77777777" w:rsidR="003B5C52" w:rsidRPr="00564F2E" w:rsidRDefault="003B5C52" w:rsidP="00330F82">
      <w:pPr>
        <w:spacing w:before="100" w:beforeAutospacing="1" w:line="360" w:lineRule="auto"/>
        <w:rPr>
          <w:rFonts w:asciiTheme="minorBidi" w:hAnsiTheme="minorBidi"/>
        </w:rPr>
      </w:pPr>
    </w:p>
    <w:p w14:paraId="0438119E" w14:textId="537D8540" w:rsidR="00485F48" w:rsidRPr="00564F2E" w:rsidRDefault="0037033A" w:rsidP="00DF2A56">
      <w:pPr>
        <w:pStyle w:val="ListParagraph"/>
        <w:numPr>
          <w:ilvl w:val="0"/>
          <w:numId w:val="13"/>
        </w:numPr>
        <w:spacing w:before="100" w:beforeAutospacing="1" w:line="360" w:lineRule="auto"/>
        <w:jc w:val="both"/>
        <w:rPr>
          <w:rFonts w:asciiTheme="minorBidi" w:hAnsiTheme="minorBidi"/>
          <w:b/>
          <w:bCs/>
          <w:rtl/>
        </w:rPr>
      </w:pPr>
      <w:r w:rsidRPr="00564F2E">
        <w:rPr>
          <w:rFonts w:asciiTheme="minorBidi" w:hAnsiTheme="minorBidi"/>
          <w:b/>
          <w:bCs/>
        </w:rPr>
        <w:t>Introduction</w:t>
      </w:r>
    </w:p>
    <w:p w14:paraId="34099B4B" w14:textId="58F791C9" w:rsidR="00DB56F4" w:rsidRPr="00564F2E" w:rsidRDefault="00A55A62" w:rsidP="00DB56F4">
      <w:pPr>
        <w:spacing w:before="100" w:beforeAutospacing="1" w:line="360" w:lineRule="auto"/>
        <w:jc w:val="both"/>
        <w:rPr>
          <w:rFonts w:asciiTheme="minorBidi" w:hAnsiTheme="minorBidi"/>
        </w:rPr>
      </w:pPr>
      <w:r w:rsidRPr="00564F2E">
        <w:rPr>
          <w:rFonts w:asciiTheme="minorBidi" w:hAnsiTheme="minorBidi"/>
        </w:rPr>
        <w:lastRenderedPageBreak/>
        <w:t>International migration has become a life-course phenomenon, yet the implications of this shift for the organization of later life remain underexplored. This transformation highlights an urgent need to understand how aging unfolds in contexts of mobility and diaspora, not as a stable condition tied to place but as a process that spans multiple social and spatial contexts. Yet older migrants remain at the margins of migration scholarship, often portrayed as dependents or invisible actors outside mainstream integration debates. At the same time, gerontological studies of aging have typically emphasized stability and “aging in place,” overlooking the ways in which later life is reconfigured through mobility, displacement, and transnational attachments.</w:t>
      </w:r>
      <w:r w:rsidR="00DB56F4" w:rsidRPr="00564F2E">
        <w:rPr>
          <w:rFonts w:ascii="Times New Roman" w:eastAsia="Times New Roman" w:hAnsi="Times New Roman" w:cs="Times New Roman"/>
          <w:b/>
          <w:bCs/>
          <w:kern w:val="0"/>
          <w14:ligatures w14:val="none"/>
        </w:rPr>
        <w:t xml:space="preserve"> </w:t>
      </w:r>
      <w:r w:rsidR="00DB56F4" w:rsidRPr="00564F2E">
        <w:rPr>
          <w:rFonts w:asciiTheme="minorBidi" w:hAnsiTheme="minorBidi"/>
        </w:rPr>
        <w:t>This article examines how later life is organized under conditions of migration when everyday life unfolds across multiple social arenas rather than within a single place, household, or institutional setting. We argue that aging in migration is best understood as aging-in-motion, enacted through the ongoing coordination of relationships, obligations, and participation across family, community, digital, and transnational domains.</w:t>
      </w:r>
    </w:p>
    <w:p w14:paraId="393C9FE0" w14:textId="77777777" w:rsidR="007F3079" w:rsidRPr="00564F2E" w:rsidRDefault="007F3079" w:rsidP="007F3079">
      <w:pPr>
        <w:spacing w:before="100" w:beforeAutospacing="1" w:line="360" w:lineRule="auto"/>
        <w:jc w:val="both"/>
        <w:rPr>
          <w:rFonts w:asciiTheme="minorBidi" w:hAnsiTheme="minorBidi"/>
        </w:rPr>
      </w:pPr>
      <w:r w:rsidRPr="00564F2E">
        <w:rPr>
          <w:rFonts w:asciiTheme="minorBidi" w:hAnsiTheme="minorBidi"/>
        </w:rPr>
        <w:t>Recent work on transnational aging and care circulation has advanced the field by showing how older migrants sustain kinship ties, resources, and ritual obligations across borders (Baldassar, 2007; Horn &amp; Schweppe, 2017). This scholarship has been crucial in challenging sedentary assumptions about later life and in foregrounding simultaneity, circulation, and care across national contexts. At the same time, however, it often relies on a spatial distinction between “here” and “there,” paying less attention to how later life is actively organized in practice across multiple arenas of everyday social life.</w:t>
      </w:r>
    </w:p>
    <w:p w14:paraId="65CE2200" w14:textId="61B7B418" w:rsidR="007F3079" w:rsidRPr="00564F2E" w:rsidRDefault="007F3079" w:rsidP="007F3079">
      <w:pPr>
        <w:spacing w:before="100" w:beforeAutospacing="1" w:line="360" w:lineRule="auto"/>
        <w:jc w:val="both"/>
        <w:rPr>
          <w:rFonts w:asciiTheme="minorBidi" w:hAnsiTheme="minorBidi"/>
        </w:rPr>
      </w:pPr>
      <w:r w:rsidRPr="00564F2E">
        <w:rPr>
          <w:rFonts w:asciiTheme="minorBidi" w:hAnsiTheme="minorBidi"/>
        </w:rPr>
        <w:t>While prior work has focused on vulnerability, resilience, and coping in later-life migration, this article shifts the analytical lens from experience to practice. Rather than examining how structural positions shape lived experience, we focus on how everyday life in later years is organized as an ongoing social process.</w:t>
      </w:r>
    </w:p>
    <w:p w14:paraId="25043EDF" w14:textId="7D54AF4D" w:rsidR="00DB56F4" w:rsidRPr="00564F2E" w:rsidRDefault="00DB56F4" w:rsidP="00DB56F4">
      <w:pPr>
        <w:spacing w:before="100" w:beforeAutospacing="1" w:line="360" w:lineRule="auto"/>
        <w:jc w:val="both"/>
        <w:rPr>
          <w:rFonts w:asciiTheme="minorBidi" w:hAnsiTheme="minorBidi"/>
        </w:rPr>
      </w:pPr>
      <w:r w:rsidRPr="00564F2E">
        <w:rPr>
          <w:rFonts w:asciiTheme="minorBidi" w:hAnsiTheme="minorBidi"/>
        </w:rPr>
        <w:lastRenderedPageBreak/>
        <w:t>Building on this gap, we develop three interconnected concepts: social arenas as the domains in which later life unfolds, coordination as the mechanism through which these domains are aligned, and aging-in-motion as the broader condition that emerges from this ongoing process. These concepts were developed inductively from the empirical material and are used to explain how later life is organized across multiple, overlapping domains of everyday life.</w:t>
      </w:r>
    </w:p>
    <w:p w14:paraId="790D099F" w14:textId="0E01CB98" w:rsidR="007F3079" w:rsidRPr="00564F2E" w:rsidRDefault="00D71F39" w:rsidP="007F3079">
      <w:pPr>
        <w:spacing w:before="100" w:beforeAutospacing="1" w:line="360" w:lineRule="auto"/>
        <w:jc w:val="both"/>
        <w:rPr>
          <w:rFonts w:asciiTheme="minorBidi" w:hAnsiTheme="minorBidi"/>
        </w:rPr>
      </w:pPr>
      <w:r w:rsidRPr="00564F2E">
        <w:rPr>
          <w:rFonts w:asciiTheme="minorBidi" w:hAnsiTheme="minorBidi"/>
        </w:rPr>
        <w:t xml:space="preserve">Building on this perspective, the article develops the concept of integration-from-below, referring to forms of belonging and participation that emerge through the coordinated practices of everyday life rather than through formal institutional frameworks. Through ongoing coordination across social arenas, older women sustain relationships, obligations, and collective participation, thereby generating integration-from-below. </w:t>
      </w:r>
      <w:r w:rsidR="007F3079" w:rsidRPr="00564F2E">
        <w:rPr>
          <w:rFonts w:asciiTheme="minorBidi" w:hAnsiTheme="minorBidi"/>
        </w:rPr>
        <w:t>This approach shifts attention from integration as a measurable outcome to integration as an ongoing, situated process enacted through social relations.</w:t>
      </w:r>
    </w:p>
    <w:p w14:paraId="04370975" w14:textId="44889A3C" w:rsidR="007F3079" w:rsidRPr="00564F2E" w:rsidRDefault="00A47F7F" w:rsidP="00A47F7F">
      <w:pPr>
        <w:spacing w:before="100" w:beforeAutospacing="1" w:line="360" w:lineRule="auto"/>
        <w:jc w:val="both"/>
        <w:rPr>
          <w:rFonts w:asciiTheme="minorBidi" w:hAnsiTheme="minorBidi"/>
        </w:rPr>
      </w:pPr>
      <w:r w:rsidRPr="00564F2E">
        <w:rPr>
          <w:rFonts w:asciiTheme="minorBidi" w:hAnsiTheme="minorBidi"/>
        </w:rPr>
        <w:t xml:space="preserve">This article develops these arguments through an ethnographic study of older Ethiopian-origin women in Israel. Grounded in close analysis of everyday practices, it uses empirical material to develop and refine its conceptual contribution. </w:t>
      </w:r>
      <w:r w:rsidR="007F3079" w:rsidRPr="00564F2E">
        <w:rPr>
          <w:rFonts w:asciiTheme="minorBidi" w:hAnsiTheme="minorBidi"/>
        </w:rPr>
        <w:t>Their migration trajectories were rarely linear, and many experienced prolonged periods of waiting under conditions of uncertainty prior to migration. These experiences provide an important context for understanding how later life is organized, but are mobilized here primarily as an analytical lens rather than as an object of description. In Israel, women navigate households, community rituals, religious spaces, digital networks, and enduring transnational ties, coordinating multiple forms of participation across these arenas.</w:t>
      </w:r>
    </w:p>
    <w:p w14:paraId="4E72882C" w14:textId="77777777" w:rsidR="007F3079" w:rsidRPr="00564F2E" w:rsidRDefault="007F3079" w:rsidP="007F3079">
      <w:pPr>
        <w:spacing w:before="100" w:beforeAutospacing="1" w:line="360" w:lineRule="auto"/>
        <w:jc w:val="both"/>
        <w:rPr>
          <w:rFonts w:asciiTheme="minorBidi" w:hAnsiTheme="minorBidi"/>
        </w:rPr>
      </w:pPr>
      <w:r w:rsidRPr="00564F2E">
        <w:rPr>
          <w:rFonts w:asciiTheme="minorBidi" w:hAnsiTheme="minorBidi"/>
        </w:rPr>
        <w:t xml:space="preserve">Specifically, we examine how aging among Ethiopian-origin women in Israel is enacted through practices across family, community, digital, and transnational domains, and how these practices reveal a broader logic of coordination that reshapes dominant understandings of aging, belonging, and migrant integration beyond state-centered and place-bound models. By focusing on the organization of everyday life, this study repositions older </w:t>
      </w:r>
      <w:r w:rsidRPr="00564F2E">
        <w:rPr>
          <w:rFonts w:asciiTheme="minorBidi" w:hAnsiTheme="minorBidi"/>
        </w:rPr>
        <w:lastRenderedPageBreak/>
        <w:t>migrants not as marginal dependents but as active participants who sustain social worlds across multiple arenas.</w:t>
      </w:r>
    </w:p>
    <w:p w14:paraId="1ADEE271" w14:textId="77777777" w:rsidR="007F3079" w:rsidRPr="00564F2E" w:rsidRDefault="007F3079" w:rsidP="007F3079">
      <w:pPr>
        <w:spacing w:before="100" w:beforeAutospacing="1" w:line="360" w:lineRule="auto"/>
        <w:jc w:val="both"/>
        <w:rPr>
          <w:rFonts w:asciiTheme="minorBidi" w:hAnsiTheme="minorBidi"/>
        </w:rPr>
      </w:pPr>
      <w:r w:rsidRPr="00564F2E">
        <w:rPr>
          <w:rFonts w:asciiTheme="minorBidi" w:hAnsiTheme="minorBidi"/>
        </w:rPr>
        <w:t>The article proceeds as follows. The next section reviews the literature on migration, aging, gender, and diaspora. We then present our methodological approach, based on ethnographic fieldwork and an abductive, concept-driven analysis. The findings are organized around key arenas of social life through which coordination is empirically elaborated. The discussion develops the concepts of aging-in-motion and integration-from-below, and the conclusion outlines broader implications for migration scholarship, gerontology, and policy.</w:t>
      </w:r>
    </w:p>
    <w:p w14:paraId="3B0ECD68" w14:textId="04CD9D37" w:rsidR="007F7229" w:rsidRPr="00564F2E" w:rsidRDefault="007F7229" w:rsidP="00DF2A56">
      <w:pPr>
        <w:pStyle w:val="ListParagraph"/>
        <w:numPr>
          <w:ilvl w:val="0"/>
          <w:numId w:val="13"/>
        </w:numPr>
        <w:spacing w:before="100" w:beforeAutospacing="1" w:line="360" w:lineRule="auto"/>
        <w:jc w:val="both"/>
        <w:rPr>
          <w:rFonts w:asciiTheme="minorBidi" w:hAnsiTheme="minorBidi"/>
          <w:b/>
          <w:bCs/>
        </w:rPr>
      </w:pPr>
      <w:r w:rsidRPr="00564F2E">
        <w:rPr>
          <w:rFonts w:asciiTheme="minorBidi" w:hAnsiTheme="minorBidi"/>
          <w:b/>
          <w:bCs/>
        </w:rPr>
        <w:t>Literature Review</w:t>
      </w:r>
    </w:p>
    <w:p w14:paraId="41EAE0D4" w14:textId="77777777" w:rsidR="007F7229" w:rsidRPr="00564F2E" w:rsidRDefault="007F7229" w:rsidP="00DF2A56">
      <w:pPr>
        <w:pStyle w:val="ListParagraph"/>
        <w:numPr>
          <w:ilvl w:val="1"/>
          <w:numId w:val="13"/>
        </w:numPr>
        <w:spacing w:before="100" w:beforeAutospacing="1" w:line="360" w:lineRule="auto"/>
        <w:jc w:val="both"/>
        <w:rPr>
          <w:rFonts w:asciiTheme="minorBidi" w:hAnsiTheme="minorBidi"/>
          <w:b/>
          <w:bCs/>
        </w:rPr>
      </w:pPr>
      <w:r w:rsidRPr="00564F2E">
        <w:rPr>
          <w:rFonts w:asciiTheme="minorBidi" w:hAnsiTheme="minorBidi"/>
          <w:b/>
          <w:bCs/>
        </w:rPr>
        <w:t>Aging and Migration as Emerging Fields of Inquiry</w:t>
      </w:r>
    </w:p>
    <w:p w14:paraId="063C3DCC" w14:textId="77777777" w:rsidR="008E08CA" w:rsidRPr="00564F2E" w:rsidRDefault="007F7229" w:rsidP="00B154B3">
      <w:pPr>
        <w:spacing w:before="100" w:beforeAutospacing="1" w:line="360" w:lineRule="auto"/>
        <w:jc w:val="both"/>
        <w:rPr>
          <w:rFonts w:asciiTheme="minorBidi" w:hAnsiTheme="minorBidi"/>
        </w:rPr>
      </w:pPr>
      <w:r w:rsidRPr="00564F2E">
        <w:rPr>
          <w:rFonts w:asciiTheme="minorBidi" w:hAnsiTheme="minorBidi"/>
        </w:rPr>
        <w:t>Aging has become an increasingly visible dimension of global migration. Communities that once migrated as young adults are now reaching later life, while new cohorts continue to arrive in older age through family reunification and humanitarian displacement. These developments raise pressing questions about how later life is defined, negotiated, and sustained across cultural and transnational contexts.</w:t>
      </w:r>
      <w:r w:rsidR="008E08CA" w:rsidRPr="00564F2E">
        <w:rPr>
          <w:rFonts w:asciiTheme="minorBidi" w:hAnsiTheme="minorBidi"/>
        </w:rPr>
        <w:t xml:space="preserve"> The convergence of population aging and international migration has drawn growing scholarly attention to the increasing number of individuals who reach later life outside their country of origin (King et al., 2017; Torres &amp; Hunter, 2023).</w:t>
      </w:r>
    </w:p>
    <w:p w14:paraId="78960036" w14:textId="77777777" w:rsidR="00CE4B89" w:rsidRPr="00564F2E" w:rsidRDefault="007F7229" w:rsidP="00225E3C">
      <w:pPr>
        <w:spacing w:beforeAutospacing="1" w:line="360" w:lineRule="auto"/>
        <w:jc w:val="both"/>
        <w:rPr>
          <w:rFonts w:asciiTheme="minorBidi" w:hAnsiTheme="minorBidi"/>
        </w:rPr>
      </w:pPr>
      <w:r w:rsidRPr="00564F2E">
        <w:rPr>
          <w:rFonts w:asciiTheme="minorBidi" w:hAnsiTheme="minorBidi"/>
        </w:rPr>
        <w:t>Yet scholarship has often lagged behind these realities. Migration studies have focused primarily on labor markets, integration trajectories, and identity politics, framing older migrants mainly as “dependency costs” or unintended outcomes of family reunification (Torres, 2006; Bolzman</w:t>
      </w:r>
      <w:r w:rsidR="00BA40F1" w:rsidRPr="00564F2E">
        <w:rPr>
          <w:rFonts w:asciiTheme="minorBidi" w:hAnsiTheme="minorBidi"/>
        </w:rPr>
        <w:t xml:space="preserve"> &amp; Ciobanu,</w:t>
      </w:r>
      <w:r w:rsidR="00296073" w:rsidRPr="00564F2E">
        <w:rPr>
          <w:rFonts w:asciiTheme="minorBidi" w:hAnsiTheme="minorBidi"/>
        </w:rPr>
        <w:t xml:space="preserve"> 2021; Horn &amp; Schweppe, 2020</w:t>
      </w:r>
      <w:r w:rsidRPr="00564F2E">
        <w:rPr>
          <w:rFonts w:asciiTheme="minorBidi" w:hAnsiTheme="minorBidi"/>
        </w:rPr>
        <w:t>)</w:t>
      </w:r>
      <w:r w:rsidR="00123809" w:rsidRPr="00564F2E">
        <w:rPr>
          <w:rFonts w:asciiTheme="minorBidi" w:hAnsiTheme="minorBidi"/>
        </w:rPr>
        <w:t>. This focus has also shaped dominant understandings of migrant integration, often measured through productivity, economic participation, and institutional incorporation.</w:t>
      </w:r>
      <w:r w:rsidRPr="00564F2E">
        <w:rPr>
          <w:rFonts w:asciiTheme="minorBidi" w:hAnsiTheme="minorBidi"/>
        </w:rPr>
        <w:t xml:space="preserve"> This reflects a broader bias privileging productivity and citizenship as markers of inclusion, sidelining those in later life (King, Cela, Fokkema &amp; Vullnetari, 2014). </w:t>
      </w:r>
    </w:p>
    <w:p w14:paraId="2ED274FD" w14:textId="19CB079B" w:rsidR="004D4406" w:rsidRPr="00564F2E" w:rsidRDefault="007F7229" w:rsidP="00130D41">
      <w:pPr>
        <w:spacing w:beforeAutospacing="1" w:line="360" w:lineRule="auto"/>
        <w:jc w:val="both"/>
        <w:rPr>
          <w:rFonts w:asciiTheme="minorBidi" w:hAnsiTheme="minorBidi"/>
        </w:rPr>
      </w:pPr>
      <w:r w:rsidRPr="00564F2E">
        <w:rPr>
          <w:rFonts w:asciiTheme="minorBidi" w:hAnsiTheme="minorBidi"/>
        </w:rPr>
        <w:lastRenderedPageBreak/>
        <w:t xml:space="preserve">In parallel, gerontological research has long emphasized “aging in place,” assuming stability and territorial rootedness (Phillipson, 2013). </w:t>
      </w:r>
      <w:r w:rsidR="00876711" w:rsidRPr="00564F2E">
        <w:rPr>
          <w:rFonts w:asciiTheme="minorBidi" w:hAnsiTheme="minorBidi"/>
        </w:rPr>
        <w:t xml:space="preserve">However, aging in place is not merely a static or territorial concept; it also refers to the capacity to maintain autonomy, identity, social relationships, and meaningful participation within familiar </w:t>
      </w:r>
      <w:r w:rsidR="00130D41" w:rsidRPr="00564F2E">
        <w:rPr>
          <w:rFonts w:asciiTheme="minorBidi" w:hAnsiTheme="minorBidi"/>
        </w:rPr>
        <w:t>home and community environments (Wiles et al., 2012).</w:t>
      </w:r>
      <w:r w:rsidR="00214FBC" w:rsidRPr="00564F2E">
        <w:rPr>
          <w:rFonts w:asciiTheme="minorBidi" w:hAnsiTheme="minorBidi"/>
        </w:rPr>
        <w:t xml:space="preserve"> </w:t>
      </w:r>
      <w:r w:rsidR="00A55A62" w:rsidRPr="00564F2E">
        <w:rPr>
          <w:rFonts w:asciiTheme="minorBidi" w:hAnsiTheme="minorBidi"/>
        </w:rPr>
        <w:t xml:space="preserve">Together, these traditions have underplayed the realities of aging in contexts of mobility and displacement, </w:t>
      </w:r>
      <w:r w:rsidR="00C01FE6" w:rsidRPr="00564F2E">
        <w:rPr>
          <w:rFonts w:asciiTheme="minorBidi" w:hAnsiTheme="minorBidi"/>
        </w:rPr>
        <w:t xml:space="preserve">where familiar environments, support networks, and forms of participation may extend across households, communities, institutions, and transnational ties. </w:t>
      </w:r>
      <w:r w:rsidR="004D4406" w:rsidRPr="00564F2E">
        <w:rPr>
          <w:rFonts w:asciiTheme="minorBidi" w:hAnsiTheme="minorBidi"/>
        </w:rPr>
        <w:t xml:space="preserve">Recent studies on older immigrants in Israel </w:t>
      </w:r>
      <w:r w:rsidR="004B27B6" w:rsidRPr="00564F2E">
        <w:rPr>
          <w:rFonts w:asciiTheme="minorBidi" w:hAnsiTheme="minorBidi"/>
        </w:rPr>
        <w:t xml:space="preserve">similarly show </w:t>
      </w:r>
      <w:r w:rsidR="00D6199D" w:rsidRPr="00564F2E">
        <w:rPr>
          <w:rFonts w:asciiTheme="minorBidi" w:hAnsiTheme="minorBidi"/>
        </w:rPr>
        <w:t xml:space="preserve">that later life after migration is shaped by </w:t>
      </w:r>
      <w:r w:rsidR="004D4406" w:rsidRPr="00564F2E">
        <w:rPr>
          <w:rFonts w:asciiTheme="minorBidi" w:hAnsiTheme="minorBidi"/>
        </w:rPr>
        <w:t>support resources, coping</w:t>
      </w:r>
      <w:r w:rsidR="00225E3C" w:rsidRPr="00564F2E">
        <w:rPr>
          <w:rFonts w:asciiTheme="minorBidi" w:hAnsiTheme="minorBidi"/>
        </w:rPr>
        <w:t xml:space="preserve"> practices</w:t>
      </w:r>
      <w:r w:rsidR="004D4406" w:rsidRPr="00564F2E">
        <w:rPr>
          <w:rFonts w:asciiTheme="minorBidi" w:hAnsiTheme="minorBidi"/>
        </w:rPr>
        <w:t>, and unequal access to services (</w:t>
      </w:r>
      <w:r w:rsidR="00097C97" w:rsidRPr="00564F2E">
        <w:rPr>
          <w:rFonts w:asciiTheme="minorBidi" w:hAnsiTheme="minorBidi"/>
        </w:rPr>
        <w:t xml:space="preserve">Ayalon et al., 2024; </w:t>
      </w:r>
      <w:r w:rsidR="004D4406" w:rsidRPr="00564F2E">
        <w:rPr>
          <w:rFonts w:asciiTheme="minorBidi" w:hAnsiTheme="minorBidi"/>
        </w:rPr>
        <w:t>Dolberg &amp; Lev, 2025, 2026; Elbaz et al., 2026).</w:t>
      </w:r>
    </w:p>
    <w:p w14:paraId="7D8C699D" w14:textId="77777777" w:rsidR="007F7229" w:rsidRPr="00564F2E" w:rsidRDefault="007F7229" w:rsidP="00DF2A56">
      <w:pPr>
        <w:pStyle w:val="ListParagraph"/>
        <w:numPr>
          <w:ilvl w:val="1"/>
          <w:numId w:val="13"/>
        </w:numPr>
        <w:spacing w:before="100" w:beforeAutospacing="1" w:line="360" w:lineRule="auto"/>
        <w:jc w:val="both"/>
        <w:rPr>
          <w:rFonts w:asciiTheme="minorBidi" w:hAnsiTheme="minorBidi"/>
          <w:b/>
          <w:bCs/>
        </w:rPr>
      </w:pPr>
      <w:r w:rsidRPr="00564F2E">
        <w:rPr>
          <w:rFonts w:asciiTheme="minorBidi" w:hAnsiTheme="minorBidi"/>
          <w:b/>
          <w:bCs/>
        </w:rPr>
        <w:t>Transnational Aging and the Circulation of Care</w:t>
      </w:r>
    </w:p>
    <w:p w14:paraId="0EBCB322" w14:textId="02DB6E6D" w:rsidR="007F7229" w:rsidRPr="00564F2E" w:rsidRDefault="007F7229" w:rsidP="00B154B3">
      <w:pPr>
        <w:spacing w:before="100" w:beforeAutospacing="1" w:line="360" w:lineRule="auto"/>
        <w:jc w:val="both"/>
        <w:rPr>
          <w:rFonts w:asciiTheme="minorBidi" w:hAnsiTheme="minorBidi"/>
        </w:rPr>
      </w:pPr>
      <w:r w:rsidRPr="00564F2E">
        <w:rPr>
          <w:rFonts w:asciiTheme="minorBidi" w:hAnsiTheme="minorBidi"/>
        </w:rPr>
        <w:t xml:space="preserve">Recent scholarship reframes aging as a transnational process rather than a territorially bounded life stage (Horn &amp; Schweppe, 2017; Ciobanu, 2021). Older migrants sustain lives “here” and “there” simultaneously through kinship ties, ritual obligations, and flows of care and resources (Levitt &amp; Glick Schiller, 2004). The concept of transnational care circulation highlights multidirectional flows of financial support, emotional communication, and ritual participation (Baldassar, 2007; Baldassar &amp; Merla, 2014). Such insights show that elders are not passive dependents but cultural transmitters and guarantors of family survival, sustaining moral authority even in conditions of frailty (Gardner, </w:t>
      </w:r>
      <w:r w:rsidR="007F2C81" w:rsidRPr="00564F2E">
        <w:rPr>
          <w:rFonts w:asciiTheme="minorBidi" w:hAnsiTheme="minorBidi"/>
        </w:rPr>
        <w:t>2020</w:t>
      </w:r>
      <w:r w:rsidRPr="00564F2E">
        <w:rPr>
          <w:rFonts w:asciiTheme="minorBidi" w:hAnsiTheme="minorBidi"/>
        </w:rPr>
        <w:t>; Lamb, 2009).</w:t>
      </w:r>
    </w:p>
    <w:p w14:paraId="455BBAB7" w14:textId="77777777" w:rsidR="008E08CA" w:rsidRPr="00564F2E" w:rsidRDefault="008E08CA" w:rsidP="00B154B3">
      <w:pPr>
        <w:spacing w:before="100" w:beforeAutospacing="1" w:line="360" w:lineRule="auto"/>
        <w:jc w:val="both"/>
        <w:rPr>
          <w:rFonts w:asciiTheme="minorBidi" w:hAnsiTheme="minorBidi"/>
        </w:rPr>
      </w:pPr>
      <w:r w:rsidRPr="00564F2E">
        <w:rPr>
          <w:rFonts w:asciiTheme="minorBidi" w:hAnsiTheme="minorBidi"/>
        </w:rPr>
        <w:t>At the same time, this body of work has also emphasized that transnational practices are shaped by life-course trajectories and the timing of migration, distinguishing between those who age in place after earlier-life migration and those who relocate in later life (Warnes &amp; Williams, 2006; King et al., 2021). Migration histories thus function not merely as background variables but as structuring forces that shape orientations to place, family, and belonging in later life.</w:t>
      </w:r>
    </w:p>
    <w:p w14:paraId="7830E601" w14:textId="79A6F8C7" w:rsidR="007F7229" w:rsidRPr="00564F2E" w:rsidRDefault="00692CAF" w:rsidP="00DF2A56">
      <w:pPr>
        <w:pStyle w:val="ListParagraph"/>
        <w:numPr>
          <w:ilvl w:val="1"/>
          <w:numId w:val="13"/>
        </w:numPr>
        <w:spacing w:before="100" w:beforeAutospacing="1" w:line="360" w:lineRule="auto"/>
        <w:jc w:val="both"/>
        <w:rPr>
          <w:rFonts w:asciiTheme="minorBidi" w:hAnsiTheme="minorBidi"/>
          <w:b/>
          <w:bCs/>
        </w:rPr>
      </w:pPr>
      <w:r w:rsidRPr="00564F2E">
        <w:rPr>
          <w:rFonts w:asciiTheme="minorBidi" w:hAnsiTheme="minorBidi"/>
          <w:b/>
          <w:bCs/>
        </w:rPr>
        <w:t xml:space="preserve">Multiple Positions Across Social Arenas </w:t>
      </w:r>
    </w:p>
    <w:p w14:paraId="7F86B3A1" w14:textId="272A4EF4" w:rsidR="00631C49" w:rsidRPr="00564F2E" w:rsidRDefault="00631C49" w:rsidP="00B154B3">
      <w:pPr>
        <w:spacing w:before="100" w:beforeAutospacing="1" w:line="360" w:lineRule="auto"/>
        <w:jc w:val="both"/>
        <w:rPr>
          <w:rFonts w:asciiTheme="minorBidi" w:hAnsiTheme="minorBidi"/>
        </w:rPr>
      </w:pPr>
      <w:r w:rsidRPr="00564F2E">
        <w:rPr>
          <w:rFonts w:asciiTheme="minorBidi" w:hAnsiTheme="minorBidi"/>
        </w:rPr>
        <w:lastRenderedPageBreak/>
        <w:t>Studies have shown that later life in migration unfolds across different social and institutional contexts, which position older migrants in distinct ways (Torres, 2006; Baldassar et al., 2016). Rather than occupying a single, fixed position, older migrants navigate multiple arenas, including formal institutional settings and transnational kin networks, where different forms of presence, participation, and authority are enacted.</w:t>
      </w:r>
    </w:p>
    <w:p w14:paraId="1A9DFF6E" w14:textId="77777777" w:rsidR="00631C49" w:rsidRPr="00564F2E" w:rsidRDefault="00631C49" w:rsidP="00B154B3">
      <w:pPr>
        <w:spacing w:before="100" w:beforeAutospacing="1" w:line="360" w:lineRule="auto"/>
        <w:jc w:val="both"/>
        <w:rPr>
          <w:rFonts w:asciiTheme="minorBidi" w:hAnsiTheme="minorBidi"/>
        </w:rPr>
      </w:pPr>
      <w:r w:rsidRPr="00564F2E">
        <w:rPr>
          <w:rFonts w:asciiTheme="minorBidi" w:hAnsiTheme="minorBidi"/>
        </w:rPr>
        <w:t>These positions are not experienced as mutually exclusive but are part of everyday life, as older migrants move between institutional environments and relational contexts, shaping their roles across these settings.</w:t>
      </w:r>
    </w:p>
    <w:p w14:paraId="42CDBE2B" w14:textId="163F6346" w:rsidR="00DB066F" w:rsidRPr="00564F2E" w:rsidRDefault="00D076E5" w:rsidP="00D076E5">
      <w:pPr>
        <w:spacing w:before="100" w:beforeAutospacing="1" w:line="360" w:lineRule="auto"/>
        <w:jc w:val="both"/>
        <w:rPr>
          <w:rFonts w:asciiTheme="minorBidi" w:hAnsiTheme="minorBidi"/>
        </w:rPr>
      </w:pPr>
      <w:r w:rsidRPr="00564F2E">
        <w:rPr>
          <w:rFonts w:asciiTheme="minorBidi" w:hAnsiTheme="minorBidi"/>
        </w:rPr>
        <w:t xml:space="preserve">Research has further documented how structural conditions shape everyday practices of aging in migration, including how familial and community relations are coordinated across social contexts (Hawkins et al., 2022; Ilgaz, 2023; Klokgieters et al., 2020). </w:t>
      </w:r>
      <w:r w:rsidR="00A55A62" w:rsidRPr="00564F2E">
        <w:rPr>
          <w:rFonts w:asciiTheme="minorBidi" w:hAnsiTheme="minorBidi"/>
        </w:rPr>
        <w:t>Understanding aging in migration therefore requires attention to how everyday practices, relations, and movements are organized within and across these social arenas.</w:t>
      </w:r>
    </w:p>
    <w:p w14:paraId="76667D7C" w14:textId="77777777" w:rsidR="007F7229" w:rsidRPr="00564F2E" w:rsidRDefault="007F7229" w:rsidP="00DF2A56">
      <w:pPr>
        <w:pStyle w:val="ListParagraph"/>
        <w:numPr>
          <w:ilvl w:val="1"/>
          <w:numId w:val="13"/>
        </w:numPr>
        <w:spacing w:before="100" w:beforeAutospacing="1" w:line="360" w:lineRule="auto"/>
        <w:jc w:val="both"/>
        <w:rPr>
          <w:rFonts w:asciiTheme="minorBidi" w:hAnsiTheme="minorBidi"/>
          <w:b/>
          <w:bCs/>
        </w:rPr>
      </w:pPr>
      <w:r w:rsidRPr="00564F2E">
        <w:rPr>
          <w:rFonts w:asciiTheme="minorBidi" w:hAnsiTheme="minorBidi"/>
          <w:b/>
          <w:bCs/>
        </w:rPr>
        <w:t>From Transnational Aging to Aging-in-Motion</w:t>
      </w:r>
    </w:p>
    <w:p w14:paraId="1D7E9D43" w14:textId="3727FB7A" w:rsidR="00E06792" w:rsidRPr="00564F2E" w:rsidRDefault="007F7229" w:rsidP="009941D9">
      <w:pPr>
        <w:spacing w:before="100" w:beforeAutospacing="1" w:line="360" w:lineRule="auto"/>
        <w:jc w:val="both"/>
        <w:rPr>
          <w:rFonts w:asciiTheme="minorBidi" w:hAnsiTheme="minorBidi"/>
        </w:rPr>
      </w:pPr>
      <w:r w:rsidRPr="00564F2E">
        <w:rPr>
          <w:rFonts w:asciiTheme="minorBidi" w:hAnsiTheme="minorBidi"/>
        </w:rPr>
        <w:t>Horn and Schweppe (</w:t>
      </w:r>
      <w:r w:rsidR="00077417" w:rsidRPr="00564F2E">
        <w:rPr>
          <w:rFonts w:asciiTheme="minorBidi" w:hAnsiTheme="minorBidi"/>
        </w:rPr>
        <w:t>2015</w:t>
      </w:r>
      <w:r w:rsidRPr="00564F2E">
        <w:rPr>
          <w:rFonts w:asciiTheme="minorBidi" w:hAnsiTheme="minorBidi"/>
        </w:rPr>
        <w:t xml:space="preserve">, 2020) propose moving beyond the static model of aging in place to conceptualize aging-in-motion. This perspective foregrounds circulation, simultaneity, and cultural reconfiguration in later life. Older migrants negotiate belonging across households, communities, ritual spaces, and increasingly digital platforms (Baldassar &amp; Wilding, 2020). Comparative research demonstrates that aging is understood through hybrid repertoires: functional definitions emphasizing vitality and contribution (common in sending societies) alongside bureaucratic chronological categories in host countries (Karl &amp; Torres, 2015). </w:t>
      </w:r>
      <w:commentRangeStart w:id="0"/>
      <w:r w:rsidR="009941D9" w:rsidRPr="00564F2E">
        <w:rPr>
          <w:rFonts w:asciiTheme="minorBidi" w:hAnsiTheme="minorBidi"/>
        </w:rPr>
        <w:t>Taken together</w:t>
      </w:r>
      <w:commentRangeEnd w:id="0"/>
      <w:r w:rsidR="00FC1AA6" w:rsidRPr="00564F2E">
        <w:rPr>
          <w:rStyle w:val="CommentReference"/>
          <w:rFonts w:asciiTheme="minorBidi" w:hAnsiTheme="minorBidi"/>
          <w:sz w:val="24"/>
          <w:szCs w:val="24"/>
        </w:rPr>
        <w:commentReference w:id="0"/>
      </w:r>
      <w:r w:rsidR="009941D9" w:rsidRPr="00564F2E">
        <w:rPr>
          <w:rFonts w:asciiTheme="minorBidi" w:hAnsiTheme="minorBidi"/>
        </w:rPr>
        <w:t xml:space="preserve">, this scholarship points toward an understanding of aging as an ongoing process unfolding across multiple and overlapping social arenas, rather than as a fixed or bounded life stage located within a single national context. At the same time, it offers limited analytical attention to how these arenas are interconnected and how later life is practically organized across them in everyday life. These limitations are particularly salient in empirical contexts </w:t>
      </w:r>
      <w:r w:rsidR="009941D9" w:rsidRPr="00564F2E">
        <w:rPr>
          <w:rFonts w:asciiTheme="minorBidi" w:hAnsiTheme="minorBidi"/>
        </w:rPr>
        <w:lastRenderedPageBreak/>
        <w:t>where everyday life unfolds simultaneously across family, community, digital, and transnational spheres, including among Ethiopian-origin migrants.</w:t>
      </w:r>
    </w:p>
    <w:p w14:paraId="06E7EC2C" w14:textId="77777777" w:rsidR="007F7229" w:rsidRPr="00564F2E" w:rsidRDefault="007F7229" w:rsidP="00DF2A56">
      <w:pPr>
        <w:pStyle w:val="ListParagraph"/>
        <w:numPr>
          <w:ilvl w:val="1"/>
          <w:numId w:val="13"/>
        </w:numPr>
        <w:spacing w:before="100" w:beforeAutospacing="1" w:line="360" w:lineRule="auto"/>
        <w:jc w:val="both"/>
        <w:rPr>
          <w:rFonts w:asciiTheme="minorBidi" w:hAnsiTheme="minorBidi"/>
          <w:b/>
          <w:bCs/>
        </w:rPr>
      </w:pPr>
      <w:r w:rsidRPr="00564F2E">
        <w:rPr>
          <w:rFonts w:asciiTheme="minorBidi" w:hAnsiTheme="minorBidi"/>
          <w:b/>
          <w:bCs/>
        </w:rPr>
        <w:t>Ethiopian Frames of Aging</w:t>
      </w:r>
    </w:p>
    <w:p w14:paraId="6A51F421" w14:textId="77500692" w:rsidR="004802D9" w:rsidRPr="00564F2E" w:rsidRDefault="004D4C31" w:rsidP="007F55E4">
      <w:pPr>
        <w:spacing w:before="100" w:beforeAutospacing="1" w:line="360" w:lineRule="auto"/>
        <w:ind w:left="360"/>
        <w:jc w:val="both"/>
        <w:rPr>
          <w:rFonts w:asciiTheme="minorBidi" w:hAnsiTheme="minorBidi"/>
        </w:rPr>
      </w:pPr>
      <w:r w:rsidRPr="00564F2E">
        <w:rPr>
          <w:rFonts w:asciiTheme="minorBidi" w:hAnsiTheme="minorBidi"/>
        </w:rPr>
        <w:t xml:space="preserve">The Ethiopian case illustrates these dynamics vividly. Without comprehensive welfare infrastructures, elders rely heavily on kin-based support, particularly in rural contexts where aging is described as a “period of constant loss” (Alebel, Bihonegn &amp; Adamek, 2024; </w:t>
      </w:r>
      <w:r w:rsidR="00973F36" w:rsidRPr="00564F2E">
        <w:rPr>
          <w:rFonts w:asciiTheme="minorBidi" w:hAnsiTheme="minorBidi"/>
        </w:rPr>
        <w:t>Gebeyaw et al., 2026</w:t>
      </w:r>
      <w:r w:rsidRPr="00564F2E">
        <w:rPr>
          <w:rFonts w:asciiTheme="minorBidi" w:hAnsiTheme="minorBidi"/>
        </w:rPr>
        <w:t>). These conditions also shape how aging is defined relationally and functionally within everyday life.</w:t>
      </w:r>
      <w:r w:rsidRPr="00564F2E">
        <w:rPr>
          <w:rFonts w:asciiTheme="minorBidi" w:hAnsiTheme="minorBidi"/>
          <w:rtl/>
        </w:rPr>
        <w:t xml:space="preserve"> </w:t>
      </w:r>
      <w:r w:rsidR="007F7229" w:rsidRPr="00564F2E">
        <w:rPr>
          <w:rFonts w:asciiTheme="minorBidi" w:hAnsiTheme="minorBidi"/>
        </w:rPr>
        <w:t>Rights-based initiatives, such as the Ethiopian Elders and Pensioners’ National Association (EEPNA), reflect new recognition yet remain institutionally fragile (Gebremichael et al., 2025). Importantly, in Ethiopian cultural frameworks old age is not defined chronologically but functionally—by the capacity to work, walk independently, and fulfill communal obligations (Alebel et al., 2024). Migrants carry these definitions with them, reinterpreting later life in Israel</w:t>
      </w:r>
      <w:r w:rsidR="007F55E4" w:rsidRPr="00564F2E">
        <w:rPr>
          <w:rFonts w:asciiTheme="minorBidi" w:hAnsiTheme="minorBidi"/>
        </w:rPr>
        <w:t xml:space="preserve"> and in other migration destinations</w:t>
      </w:r>
      <w:r w:rsidR="007F7229" w:rsidRPr="00564F2E">
        <w:rPr>
          <w:rFonts w:asciiTheme="minorBidi" w:hAnsiTheme="minorBidi"/>
        </w:rPr>
        <w:t xml:space="preserve"> in light of remembered Ethiopian standards</w:t>
      </w:r>
      <w:r w:rsidR="004802D9" w:rsidRPr="00564F2E">
        <w:rPr>
          <w:rFonts w:asciiTheme="minorBidi" w:hAnsiTheme="minorBidi"/>
        </w:rPr>
        <w:t>, where these functional understandings of aging encounter and are negotiated within institutional and social frameworks structured differently from those in Ethiopia.</w:t>
      </w:r>
    </w:p>
    <w:p w14:paraId="0A968903" w14:textId="77777777" w:rsidR="007F7229" w:rsidRPr="00564F2E" w:rsidRDefault="007F7229" w:rsidP="00DF2A56">
      <w:pPr>
        <w:pStyle w:val="ListParagraph"/>
        <w:numPr>
          <w:ilvl w:val="1"/>
          <w:numId w:val="13"/>
        </w:numPr>
        <w:spacing w:before="100" w:beforeAutospacing="1" w:line="360" w:lineRule="auto"/>
        <w:jc w:val="both"/>
        <w:rPr>
          <w:rFonts w:asciiTheme="minorBidi" w:hAnsiTheme="minorBidi"/>
          <w:b/>
          <w:bCs/>
        </w:rPr>
      </w:pPr>
      <w:r w:rsidRPr="00564F2E">
        <w:rPr>
          <w:rFonts w:asciiTheme="minorBidi" w:hAnsiTheme="minorBidi"/>
          <w:b/>
          <w:bCs/>
        </w:rPr>
        <w:t>Gendered Migration and Diasporic Practices</w:t>
      </w:r>
    </w:p>
    <w:p w14:paraId="279165F0" w14:textId="5FF7376B" w:rsidR="004D4C31" w:rsidRPr="00564F2E" w:rsidRDefault="004D4C31" w:rsidP="00B154B3">
      <w:pPr>
        <w:spacing w:before="100" w:beforeAutospacing="1" w:line="360" w:lineRule="auto"/>
        <w:jc w:val="both"/>
        <w:rPr>
          <w:rFonts w:asciiTheme="minorBidi" w:hAnsiTheme="minorBidi"/>
        </w:rPr>
      </w:pPr>
      <w:r w:rsidRPr="00564F2E">
        <w:rPr>
          <w:rFonts w:asciiTheme="minorBidi" w:hAnsiTheme="minorBidi"/>
        </w:rPr>
        <w:t>Research on gendered migration underscores how mobility is structured differently for men and women, with women often central to caregiving and to transmitting traditions across borders (Parreñas, 2001; Hondagneu-Sotelo, 1994; Lutz, 2018). Older women in particular remain underrepresented in these debates, yet they play a central role in organizing caregiving, ritual life, and cultural mediation across family and community contexts. Ethiopian-origin women exemplify this positioning, as they sustain kinship bonds, preside over ritual life, and contribute to the continuity of cultural practices across generations.</w:t>
      </w:r>
    </w:p>
    <w:p w14:paraId="1DDC067F" w14:textId="50D241B9" w:rsidR="004802D9" w:rsidRPr="00564F2E" w:rsidRDefault="004D4C31" w:rsidP="00B154B3">
      <w:pPr>
        <w:spacing w:before="100" w:beforeAutospacing="1" w:line="360" w:lineRule="auto"/>
        <w:jc w:val="both"/>
        <w:rPr>
          <w:rFonts w:asciiTheme="minorBidi" w:hAnsiTheme="minorBidi"/>
        </w:rPr>
      </w:pPr>
      <w:r w:rsidRPr="00564F2E">
        <w:rPr>
          <w:rFonts w:asciiTheme="minorBidi" w:hAnsiTheme="minorBidi"/>
        </w:rPr>
        <w:lastRenderedPageBreak/>
        <w:t>At the same time, this research resonates with diaspora studies, which emphasize how ritual practices, memory, and digital mediation sustain belonging across dispersed communities (Brubaker, 2005; Clifford, 1994; Cohen, 2008). For older women, these practices are not merely symbolic but constitute a lived enactment of social organization and intergenerational coordination, shaping how Ethiopian-origin women in Israel enact belonging, caregiving, and cultural continuity across multiple social arenas</w:t>
      </w:r>
      <w:r w:rsidR="004802D9" w:rsidRPr="00564F2E">
        <w:rPr>
          <w:rFonts w:asciiTheme="minorBidi" w:hAnsiTheme="minorBidi"/>
        </w:rPr>
        <w:t>.</w:t>
      </w:r>
    </w:p>
    <w:p w14:paraId="3FF77F8E" w14:textId="77777777" w:rsidR="007F7229" w:rsidRPr="00564F2E" w:rsidRDefault="007F7229" w:rsidP="00DF2A56">
      <w:pPr>
        <w:pStyle w:val="ListParagraph"/>
        <w:numPr>
          <w:ilvl w:val="1"/>
          <w:numId w:val="13"/>
        </w:numPr>
        <w:spacing w:before="100" w:beforeAutospacing="1" w:line="360" w:lineRule="auto"/>
        <w:jc w:val="both"/>
        <w:rPr>
          <w:rFonts w:asciiTheme="minorBidi" w:hAnsiTheme="minorBidi"/>
          <w:b/>
          <w:bCs/>
        </w:rPr>
      </w:pPr>
      <w:r w:rsidRPr="00564F2E">
        <w:rPr>
          <w:rFonts w:asciiTheme="minorBidi" w:hAnsiTheme="minorBidi"/>
          <w:b/>
          <w:bCs/>
        </w:rPr>
        <w:t>Migration Pathways and Social Locations</w:t>
      </w:r>
    </w:p>
    <w:p w14:paraId="6F6CCA7B" w14:textId="77777777" w:rsidR="007F55E4" w:rsidRPr="00564F2E" w:rsidRDefault="007F55E4" w:rsidP="007F55E4">
      <w:pPr>
        <w:spacing w:before="100" w:beforeAutospacing="1" w:line="360" w:lineRule="auto"/>
        <w:jc w:val="both"/>
        <w:rPr>
          <w:rFonts w:asciiTheme="minorBidi" w:hAnsiTheme="minorBidi"/>
        </w:rPr>
      </w:pPr>
      <w:r w:rsidRPr="00564F2E">
        <w:rPr>
          <w:rFonts w:asciiTheme="minorBidi" w:hAnsiTheme="minorBidi"/>
        </w:rPr>
        <w:t>Ethiopian Jewish migration to Israel has unfolded through several migration waves over the past four decades. While the large-scale operations of the 1980s involved primarily members of the Beta Israel community, migration from the 1990s onward increasingly included descendants of Jews who had converted fully or partially to Christianity. Their migration was often conditioned on formal conversion procedures and prolonged periods of waiting in transit centers (Salamon &amp; Kaplan, 2024; Talmi-Cohn, 2018).</w:t>
      </w:r>
    </w:p>
    <w:p w14:paraId="102F3B0A" w14:textId="77777777" w:rsidR="007F55E4" w:rsidRPr="00564F2E" w:rsidRDefault="007F55E4" w:rsidP="007F55E4">
      <w:pPr>
        <w:spacing w:before="100" w:beforeAutospacing="1" w:line="360" w:lineRule="auto"/>
        <w:jc w:val="both"/>
        <w:rPr>
          <w:rFonts w:asciiTheme="minorBidi" w:hAnsiTheme="minorBidi"/>
        </w:rPr>
      </w:pPr>
      <w:r w:rsidRPr="00564F2E">
        <w:rPr>
          <w:rFonts w:asciiTheme="minorBidi" w:hAnsiTheme="minorBidi"/>
        </w:rPr>
        <w:t>For many women interviewed in this study, the journey to Israel was rarely a straightforward migration but a prolonged process of waiting and uncertainty.</w:t>
      </w:r>
    </w:p>
    <w:p w14:paraId="14E54D45" w14:textId="61AE79FE" w:rsidR="007F7229" w:rsidRPr="00564F2E" w:rsidRDefault="0005126B" w:rsidP="00BA40F1">
      <w:pPr>
        <w:spacing w:before="100" w:beforeAutospacing="1" w:line="360" w:lineRule="auto"/>
        <w:jc w:val="both"/>
        <w:rPr>
          <w:rFonts w:asciiTheme="minorBidi" w:hAnsiTheme="minorBidi"/>
        </w:rPr>
      </w:pPr>
      <w:r w:rsidRPr="00564F2E">
        <w:rPr>
          <w:rFonts w:asciiTheme="minorBidi" w:hAnsiTheme="minorBidi"/>
        </w:rPr>
        <w:t>In this study, we focus on women who migrated in later waves from the late 1990s and early 2000s onward, many of whom first moved from rural areas in northern Ethiopia to urban centers such as Gondar or Addis Ababa.</w:t>
      </w:r>
      <w:r w:rsidR="007F7229" w:rsidRPr="00564F2E">
        <w:rPr>
          <w:rFonts w:asciiTheme="minorBidi" w:hAnsiTheme="minorBidi"/>
        </w:rPr>
        <w:t xml:space="preserve"> Most of the women </w:t>
      </w:r>
      <w:r w:rsidR="00650D9A" w:rsidRPr="00564F2E">
        <w:rPr>
          <w:rFonts w:asciiTheme="minorBidi" w:hAnsiTheme="minorBidi"/>
        </w:rPr>
        <w:t xml:space="preserve">interviewed </w:t>
      </w:r>
      <w:r w:rsidR="007F7229" w:rsidRPr="00564F2E">
        <w:rPr>
          <w:rFonts w:asciiTheme="minorBidi" w:hAnsiTheme="minorBidi"/>
        </w:rPr>
        <w:t xml:space="preserve">spent extended periods in Gondar or Addis Ababa, where bureaucratic delays, fragile livelihoods, and ambiguous recognition of Jewish identity shaped everyday life. </w:t>
      </w:r>
      <w:r w:rsidRPr="00564F2E">
        <w:rPr>
          <w:rFonts w:asciiTheme="minorBidi" w:hAnsiTheme="minorBidi"/>
        </w:rPr>
        <w:t xml:space="preserve">During this time, they waited for migration approval and eligibility recognition before continuing their journey to Israel. </w:t>
      </w:r>
      <w:r w:rsidR="007F7229" w:rsidRPr="00564F2E">
        <w:rPr>
          <w:rFonts w:asciiTheme="minorBidi" w:hAnsiTheme="minorBidi"/>
        </w:rPr>
        <w:t xml:space="preserve">These waiting stations became formative sites of time- and place-making, embedding migration in experiences of suspension and anticipation (Talmi-Cohn, </w:t>
      </w:r>
      <w:r w:rsidR="006A6EC3" w:rsidRPr="00564F2E">
        <w:rPr>
          <w:rFonts w:asciiTheme="minorBidi" w:hAnsiTheme="minorBidi"/>
        </w:rPr>
        <w:t>2020</w:t>
      </w:r>
      <w:r w:rsidR="007F7229" w:rsidRPr="00564F2E">
        <w:rPr>
          <w:rFonts w:asciiTheme="minorBidi" w:hAnsiTheme="minorBidi"/>
        </w:rPr>
        <w:t>; Thubauville &amp; Glück, 2025).</w:t>
      </w:r>
      <w:r w:rsidRPr="00564F2E">
        <w:rPr>
          <w:rFonts w:asciiTheme="minorBidi" w:hAnsiTheme="minorBidi"/>
        </w:rPr>
        <w:t xml:space="preserve"> Such experiences resonate with anthropological analyses of waiting as a socially structured and temporally productive condition, in which uncertainty, anticipation, and suspended futures shape everyday life and social relations (</w:t>
      </w:r>
      <w:r w:rsidR="00BA40F1" w:rsidRPr="00564F2E">
        <w:rPr>
          <w:rFonts w:asciiTheme="minorBidi" w:hAnsiTheme="minorBidi"/>
        </w:rPr>
        <w:t>Hage, 2009; Brun, 2015; Jeffrey, 2010</w:t>
      </w:r>
      <w:r w:rsidR="007F2C81" w:rsidRPr="00564F2E">
        <w:rPr>
          <w:rFonts w:asciiTheme="minorBidi" w:hAnsiTheme="minorBidi"/>
        </w:rPr>
        <w:t>, 2018</w:t>
      </w:r>
      <w:r w:rsidR="00BA40F1" w:rsidRPr="00564F2E">
        <w:rPr>
          <w:rFonts w:asciiTheme="minorBidi" w:hAnsiTheme="minorBidi"/>
        </w:rPr>
        <w:t>; Janeja &amp; Bandak, 2018</w:t>
      </w:r>
      <w:r w:rsidRPr="00564F2E">
        <w:rPr>
          <w:rFonts w:asciiTheme="minorBidi" w:hAnsiTheme="minorBidi"/>
        </w:rPr>
        <w:t>).</w:t>
      </w:r>
    </w:p>
    <w:p w14:paraId="099EE30B" w14:textId="77777777" w:rsidR="00577F45" w:rsidRPr="00564F2E" w:rsidRDefault="00577F45" w:rsidP="00577F45">
      <w:pPr>
        <w:spacing w:before="100" w:beforeAutospacing="1" w:line="360" w:lineRule="auto"/>
        <w:jc w:val="both"/>
        <w:rPr>
          <w:rFonts w:asciiTheme="minorBidi" w:hAnsiTheme="minorBidi"/>
        </w:rPr>
      </w:pPr>
      <w:r w:rsidRPr="00564F2E">
        <w:rPr>
          <w:rFonts w:asciiTheme="minorBidi" w:hAnsiTheme="minorBidi"/>
        </w:rPr>
        <w:lastRenderedPageBreak/>
        <w:t>Such trajectories produced layered social locations. Although participants broadly identified as members of the Zera Beta Israel, they occupied diverse positions shaped by differences in rural and urban origins, varying connections to relatives in Israel, and different forms of religious recognition and affiliation.</w:t>
      </w:r>
    </w:p>
    <w:p w14:paraId="3D655A7F" w14:textId="24673A47" w:rsidR="00577F45" w:rsidRPr="00564F2E" w:rsidRDefault="00577F45" w:rsidP="00577F45">
      <w:pPr>
        <w:spacing w:before="100" w:beforeAutospacing="1" w:line="360" w:lineRule="auto"/>
        <w:jc w:val="both"/>
        <w:rPr>
          <w:rFonts w:asciiTheme="minorBidi" w:hAnsiTheme="minorBidi"/>
        </w:rPr>
      </w:pPr>
      <w:r w:rsidRPr="00564F2E">
        <w:rPr>
          <w:rFonts w:asciiTheme="minorBidi" w:hAnsiTheme="minorBidi"/>
        </w:rPr>
        <w:t>These distinctions were further shaped by experiences of conversion, reconversion, and everyday practices that blended Jewish and Christian repertoires, underscoring the transnational hybridity of the community (Talmi-Cohn, 2023; Seeman, 2009).</w:t>
      </w:r>
    </w:p>
    <w:p w14:paraId="04238E8F" w14:textId="3353AF24" w:rsidR="007F7229" w:rsidRPr="00564F2E" w:rsidRDefault="007F7229" w:rsidP="00B154B3">
      <w:pPr>
        <w:spacing w:before="100" w:beforeAutospacing="1" w:line="360" w:lineRule="auto"/>
        <w:jc w:val="both"/>
        <w:rPr>
          <w:rFonts w:asciiTheme="minorBidi" w:hAnsiTheme="minorBidi"/>
        </w:rPr>
      </w:pPr>
      <w:r w:rsidRPr="00564F2E">
        <w:rPr>
          <w:rFonts w:asciiTheme="minorBidi" w:hAnsiTheme="minorBidi"/>
        </w:rPr>
        <w:t>Importantly, the waiting period did not merely suspend life but generated forms of home- and future-making that continue to resonate in Israel: sustaining kinship, ritual, and moral frameworks across dispersed sites (Thubauville &amp; Glück, 2025). These legacies shape how older women negotiate belonging and authority today, embedding their later-life practices within histories forged in uncertainty, mobility, and diasporic continuity.</w:t>
      </w:r>
    </w:p>
    <w:p w14:paraId="43645825" w14:textId="73304214" w:rsidR="00DB091A" w:rsidRPr="00564F2E" w:rsidRDefault="00DB091A" w:rsidP="00577F45">
      <w:pPr>
        <w:pStyle w:val="ListParagraph"/>
        <w:spacing w:line="360" w:lineRule="auto"/>
        <w:ind w:left="360"/>
        <w:jc w:val="both"/>
        <w:rPr>
          <w:rFonts w:asciiTheme="minorBidi" w:hAnsiTheme="minorBidi"/>
        </w:rPr>
      </w:pPr>
      <w:r w:rsidRPr="00564F2E">
        <w:rPr>
          <w:rFonts w:asciiTheme="minorBidi" w:hAnsiTheme="minorBidi"/>
        </w:rPr>
        <w:t xml:space="preserve">Taken together, the literature shows that aging in migration is a dynamic process organized through circulation, cultural repertoires, and gendered relations. Building on this work, </w:t>
      </w:r>
      <w:r w:rsidR="00577F45" w:rsidRPr="00564F2E">
        <w:rPr>
          <w:rFonts w:asciiTheme="minorBidi" w:hAnsiTheme="minorBidi"/>
        </w:rPr>
        <w:t xml:space="preserve">Building on these insights and focusing on older Ethiopian-origin women in Israel, </w:t>
      </w:r>
      <w:r w:rsidRPr="00564F2E">
        <w:rPr>
          <w:rFonts w:asciiTheme="minorBidi" w:hAnsiTheme="minorBidi"/>
        </w:rPr>
        <w:t xml:space="preserve">our study develops the concept of aging-in-motion to </w:t>
      </w:r>
      <w:r w:rsidR="009941D9" w:rsidRPr="00564F2E">
        <w:rPr>
          <w:rFonts w:asciiTheme="minorBidi" w:hAnsiTheme="minorBidi"/>
        </w:rPr>
        <w:t>examine how later life is actively organized across multiple and interconnected social arenas.</w:t>
      </w:r>
    </w:p>
    <w:p w14:paraId="2D62B316" w14:textId="77777777" w:rsidR="003D6C62" w:rsidRPr="00564F2E" w:rsidRDefault="003D6C62" w:rsidP="00B154B3">
      <w:pPr>
        <w:pStyle w:val="ListParagraph"/>
        <w:spacing w:before="100" w:beforeAutospacing="1" w:line="360" w:lineRule="auto"/>
        <w:ind w:left="360"/>
        <w:jc w:val="both"/>
        <w:rPr>
          <w:rFonts w:asciiTheme="minorBidi" w:hAnsiTheme="minorBidi"/>
        </w:rPr>
      </w:pPr>
    </w:p>
    <w:p w14:paraId="54804711" w14:textId="77777777" w:rsidR="00F44D28" w:rsidRPr="00564F2E" w:rsidRDefault="007F7229" w:rsidP="00F44D28">
      <w:pPr>
        <w:pStyle w:val="ListParagraph"/>
        <w:numPr>
          <w:ilvl w:val="0"/>
          <w:numId w:val="13"/>
        </w:numPr>
        <w:spacing w:before="100" w:beforeAutospacing="1" w:line="360" w:lineRule="auto"/>
        <w:jc w:val="both"/>
        <w:rPr>
          <w:rFonts w:asciiTheme="minorBidi" w:hAnsiTheme="minorBidi"/>
        </w:rPr>
      </w:pPr>
      <w:r w:rsidRPr="00564F2E">
        <w:rPr>
          <w:rFonts w:asciiTheme="minorBidi" w:hAnsiTheme="minorBidi"/>
          <w:b/>
          <w:bCs/>
        </w:rPr>
        <w:t>Methods</w:t>
      </w:r>
    </w:p>
    <w:p w14:paraId="3B70C5E6" w14:textId="77777777" w:rsidR="00577F45" w:rsidRPr="00564F2E" w:rsidRDefault="007F7229" w:rsidP="00577F45">
      <w:pPr>
        <w:spacing w:before="100" w:beforeAutospacing="1" w:line="360" w:lineRule="auto"/>
        <w:ind w:left="0"/>
        <w:jc w:val="both"/>
        <w:rPr>
          <w:rFonts w:asciiTheme="minorBidi" w:hAnsiTheme="minorBidi"/>
        </w:rPr>
      </w:pPr>
      <w:r w:rsidRPr="00564F2E">
        <w:rPr>
          <w:rFonts w:asciiTheme="minorBidi" w:hAnsiTheme="minorBidi"/>
        </w:rPr>
        <w:t xml:space="preserve">This </w:t>
      </w:r>
      <w:r w:rsidR="00F44D28" w:rsidRPr="00564F2E">
        <w:rPr>
          <w:rFonts w:asciiTheme="minorBidi" w:hAnsiTheme="minorBidi"/>
        </w:rPr>
        <w:t xml:space="preserve">qualitative study is based on 15 in-depth interviews with Ethiopian-born women aged approximately 57 to 105 who migrated to Israel during the 2000s. All participants were born in rural villages and belonged to the Zera Beta Israel community, which constituted the majority of migrants in later migration waves (Talmi-Cohn, 2018). Ages are approximate due to delayed birth registration in Ethiopia. </w:t>
      </w:r>
    </w:p>
    <w:p w14:paraId="2E3FBB19" w14:textId="55ED9D72" w:rsidR="00F44D28" w:rsidRPr="00564F2E" w:rsidRDefault="00577F45" w:rsidP="00577F45">
      <w:pPr>
        <w:spacing w:before="100" w:beforeAutospacing="1" w:line="360" w:lineRule="auto"/>
        <w:ind w:left="0"/>
        <w:jc w:val="both"/>
        <w:rPr>
          <w:rFonts w:asciiTheme="minorBidi" w:hAnsiTheme="minorBidi"/>
        </w:rPr>
      </w:pPr>
      <w:r w:rsidRPr="00564F2E">
        <w:rPr>
          <w:rFonts w:asciiTheme="minorBidi" w:hAnsiTheme="minorBidi"/>
        </w:rPr>
        <w:lastRenderedPageBreak/>
        <w:t>Recruitment relied on snowball sampling through community mediators, cultural centers, and the personal networks of the first author and the Amharic-speaking research assistants.</w:t>
      </w:r>
      <w:r w:rsidR="00F44D28" w:rsidRPr="00564F2E">
        <w:rPr>
          <w:rFonts w:asciiTheme="minorBidi" w:hAnsiTheme="minorBidi"/>
        </w:rPr>
        <w:t xml:space="preserve">. At the time of the study, participants resided in central and southern Israel and varied in marital status, family composition, and employment histories. All names are pseudonyms and identifying details have been altered. </w:t>
      </w:r>
      <w:r w:rsidR="0070574D" w:rsidRPr="00564F2E">
        <w:rPr>
          <w:rFonts w:asciiTheme="minorBidi" w:hAnsiTheme="minorBidi"/>
        </w:rPr>
        <w:t>While the sample is relatively small, the combination of in-depth interviews and prolonged engagement provides rich and analytically robust insights into everyday practices of aging in migration. The sample size reflects a qualitative research design aimed at depth of understanding rather than representativeness, allowing close analysis of everyday practices across contexts.</w:t>
      </w:r>
    </w:p>
    <w:p w14:paraId="5DF96DFF" w14:textId="77777777" w:rsidR="00F44D28" w:rsidRPr="00564F2E" w:rsidRDefault="00F44D28" w:rsidP="00F44D28">
      <w:pPr>
        <w:spacing w:line="360" w:lineRule="auto"/>
        <w:ind w:left="0"/>
        <w:jc w:val="both"/>
        <w:rPr>
          <w:rFonts w:asciiTheme="minorBidi" w:hAnsiTheme="minorBidi"/>
        </w:rPr>
      </w:pPr>
      <w:r w:rsidRPr="00564F2E">
        <w:rPr>
          <w:rFonts w:asciiTheme="minorBidi" w:hAnsiTheme="minorBidi"/>
        </w:rPr>
        <w:t>Data collection spanned two years, between [</w:t>
      </w:r>
      <w:r w:rsidRPr="00564F2E">
        <w:rPr>
          <w:rFonts w:asciiTheme="minorBidi" w:hAnsiTheme="minorBidi"/>
          <w:highlight w:val="yellow"/>
        </w:rPr>
        <w:t>years</w:t>
      </w:r>
      <w:r w:rsidRPr="00564F2E">
        <w:rPr>
          <w:rFonts w:asciiTheme="minorBidi" w:hAnsiTheme="minorBidi"/>
        </w:rPr>
        <w:t>], and all ages reported in this article refer to participants’ age at the time of the interview. The study combined semi-structured interviews with ethnographic fieldwork, including long-term participant observation conducted by the first author. Fieldwork involved participation in everyday and ritual practices such as coffee gatherings, community ceremonies, and collective food preparation in local community centers. This prolonged engagement enabled attention not only to narratives, but also to embodied practices, routines, and forms of participation across time, space, and social relations.</w:t>
      </w:r>
    </w:p>
    <w:p w14:paraId="44FDA727" w14:textId="77777777" w:rsidR="00F44D28" w:rsidRPr="00564F2E" w:rsidRDefault="00F44D28" w:rsidP="00F44D28">
      <w:pPr>
        <w:spacing w:line="360" w:lineRule="auto"/>
        <w:ind w:left="0"/>
        <w:jc w:val="both"/>
        <w:rPr>
          <w:rFonts w:asciiTheme="minorBidi" w:hAnsiTheme="minorBidi"/>
        </w:rPr>
      </w:pPr>
      <w:r w:rsidRPr="00564F2E">
        <w:rPr>
          <w:rFonts w:asciiTheme="minorBidi" w:hAnsiTheme="minorBidi"/>
        </w:rPr>
        <w:t>Semi-structured interviews were conducted in Amharic (and when preferred, Hebrew) by three Amharic-speaking women with academic training in the social sciences. Each interview lasted between 60 and 120 minutes and typically took place in participants’ homes. Interviews focused on migration trajectories, daily routines, social relations, and practices of aging. With participants’ consent, interviews were audio-recorded, transcribed verbatim, and translated into Hebrew by Amharic-speaking research assistants. Translations were reviewed in collaboration with the research team, with particular attention to preserving cultural nuance and meaning.</w:t>
      </w:r>
    </w:p>
    <w:p w14:paraId="2A1164E5" w14:textId="77777777" w:rsidR="00DB56F4" w:rsidRPr="00564F2E" w:rsidRDefault="00DB56F4" w:rsidP="00DB56F4">
      <w:pPr>
        <w:spacing w:line="360" w:lineRule="auto"/>
        <w:ind w:left="0"/>
        <w:jc w:val="both"/>
        <w:rPr>
          <w:rFonts w:asciiTheme="minorBidi" w:hAnsiTheme="minorBidi"/>
        </w:rPr>
      </w:pPr>
      <w:r w:rsidRPr="00564F2E">
        <w:rPr>
          <w:rFonts w:asciiTheme="minorBidi" w:hAnsiTheme="minorBidi"/>
        </w:rPr>
        <w:t xml:space="preserve">Analysis combined iterative coding of interview data with an abductive, interpretive approach grounded in ethnographic engagement (Timmermans &amp; Tavory, 2012). Initial coding focused on recurring practices such as caregiving, </w:t>
      </w:r>
      <w:r w:rsidRPr="00564F2E">
        <w:rPr>
          <w:rFonts w:asciiTheme="minorBidi" w:hAnsiTheme="minorBidi"/>
        </w:rPr>
        <w:lastRenderedPageBreak/>
        <w:t>ritual participation, communication, and transnational obligations, rather than on discrete thematic categories. Insights from prolonged fieldwork informed the interpretation of these patterns, allowing movement between empirical material and emerging conceptual understandings. During later stages of analysis, we observed that these recurring practices repeatedly clustered around specific domains of social life (family, community, digital, transnational, and cultural frameworks of aging). These domains were then refined as analytical arenas through iterative comparison between interviews, fieldnotes, and emerging conceptual insights. These arenas do not represent bounded empirical spheres, but serve as analytical tools for tracing how practices intersect across overlapping contexts. This approach allowed us to examine aging as an ongoing, processual phenomenon organized across multiple domains of everyday life.</w:t>
      </w:r>
    </w:p>
    <w:p w14:paraId="5CD924B2" w14:textId="290C81BB" w:rsidR="00F44D28" w:rsidRPr="00564F2E" w:rsidRDefault="00F44D28" w:rsidP="00DB56F4">
      <w:pPr>
        <w:spacing w:line="360" w:lineRule="auto"/>
        <w:ind w:left="0"/>
        <w:jc w:val="both"/>
        <w:rPr>
          <w:rFonts w:asciiTheme="minorBidi" w:hAnsiTheme="minorBidi"/>
        </w:rPr>
      </w:pPr>
      <w:r w:rsidRPr="00564F2E">
        <w:rPr>
          <w:rFonts w:asciiTheme="minorBidi" w:hAnsiTheme="minorBidi"/>
        </w:rPr>
        <w:t>The first author brings long-term ethnographic engagement with Ethiopian migration to Israel, which informed both the design of the study and the interpretation of the data. At the same time, both authors were involved in the analysis of the interview material, engaging in iterative coding, comparison of interpretations, and the development of analytical categories. This collaborative process strengthened the analytical depth and credibility of the findings.</w:t>
      </w:r>
    </w:p>
    <w:p w14:paraId="093370C7" w14:textId="1A4DF4C1" w:rsidR="007F7229" w:rsidRPr="00564F2E" w:rsidRDefault="00F44D28" w:rsidP="00F44D28">
      <w:pPr>
        <w:spacing w:line="360" w:lineRule="auto"/>
        <w:ind w:left="0"/>
        <w:jc w:val="both"/>
        <w:rPr>
          <w:rFonts w:asciiTheme="minorBidi" w:hAnsiTheme="minorBidi"/>
        </w:rPr>
      </w:pPr>
      <w:r w:rsidRPr="00564F2E">
        <w:rPr>
          <w:rFonts w:asciiTheme="minorBidi" w:hAnsiTheme="minorBidi"/>
        </w:rPr>
        <w:t>Reflexivity was maintained through ongoing attention to positionality and the collaborative nature of the research process. Credibility was strengthened through prolonged engagement, triangulation between interviews and ethnographic observations, and peer debriefing. Ethical approval was obtained from the [Blinded] Academic Center. Participants received explanations in Amharic and provided written or, when necessary, verbal consent with audio documentation. Anonymity and confidentiality were strictly maintained.</w:t>
      </w:r>
    </w:p>
    <w:p w14:paraId="4B16E4A3" w14:textId="77777777" w:rsidR="007F7229" w:rsidRPr="00564F2E" w:rsidRDefault="007F7229" w:rsidP="00DF2A56">
      <w:pPr>
        <w:pStyle w:val="ListParagraph"/>
        <w:numPr>
          <w:ilvl w:val="0"/>
          <w:numId w:val="13"/>
        </w:numPr>
        <w:spacing w:before="100" w:beforeAutospacing="1" w:line="360" w:lineRule="auto"/>
        <w:jc w:val="both"/>
        <w:rPr>
          <w:rFonts w:asciiTheme="minorBidi" w:hAnsiTheme="minorBidi"/>
          <w:b/>
          <w:bCs/>
        </w:rPr>
      </w:pPr>
      <w:r w:rsidRPr="00564F2E">
        <w:rPr>
          <w:rFonts w:asciiTheme="minorBidi" w:hAnsiTheme="minorBidi"/>
          <w:b/>
          <w:bCs/>
        </w:rPr>
        <w:t xml:space="preserve">Findings </w:t>
      </w:r>
    </w:p>
    <w:p w14:paraId="7317AA57" w14:textId="77777777" w:rsidR="00A47F7F" w:rsidRPr="00564F2E" w:rsidRDefault="00A47F7F" w:rsidP="00A47F7F">
      <w:pPr>
        <w:spacing w:before="100" w:beforeAutospacing="1" w:line="360" w:lineRule="auto"/>
        <w:jc w:val="both"/>
        <w:rPr>
          <w:rFonts w:asciiTheme="minorBidi" w:hAnsiTheme="minorBidi"/>
        </w:rPr>
      </w:pPr>
      <w:r w:rsidRPr="00564F2E">
        <w:rPr>
          <w:rFonts w:asciiTheme="minorBidi" w:hAnsiTheme="minorBidi"/>
        </w:rPr>
        <w:t xml:space="preserve">The analysis revealed five interrelated arenas through which Ethiopian-origin women in Israel organize and enact later life as an ongoing practice across multiple social contexts: family, community, digital platforms, transnational ties, and comparative models of aging. Across these arenas, participation is </w:t>
      </w:r>
      <w:r w:rsidRPr="00564F2E">
        <w:rPr>
          <w:rFonts w:asciiTheme="minorBidi" w:hAnsiTheme="minorBidi"/>
        </w:rPr>
        <w:lastRenderedPageBreak/>
        <w:t>not only sustained but actively organized in ways that generate forms of integration-from-below, emerging from everyday practices rather than formal institutional frameworks</w:t>
      </w:r>
      <w:r w:rsidRPr="00564F2E">
        <w:rPr>
          <w:rFonts w:asciiTheme="minorBidi" w:hAnsiTheme="minorBidi"/>
          <w:b/>
          <w:bCs/>
        </w:rPr>
        <w:t>.</w:t>
      </w:r>
    </w:p>
    <w:p w14:paraId="484E276B" w14:textId="2D2EAFB6" w:rsidR="007F7229" w:rsidRPr="00564F2E" w:rsidRDefault="008B43A6" w:rsidP="00A47F7F">
      <w:pPr>
        <w:pStyle w:val="ListParagraph"/>
        <w:numPr>
          <w:ilvl w:val="1"/>
          <w:numId w:val="13"/>
        </w:numPr>
        <w:spacing w:before="100" w:beforeAutospacing="1" w:line="360" w:lineRule="auto"/>
        <w:jc w:val="both"/>
        <w:rPr>
          <w:rFonts w:asciiTheme="minorBidi" w:hAnsiTheme="minorBidi"/>
        </w:rPr>
      </w:pPr>
      <w:r w:rsidRPr="00564F2E">
        <w:rPr>
          <w:rFonts w:asciiTheme="minorBidi" w:hAnsiTheme="minorBidi"/>
          <w:b/>
          <w:bCs/>
        </w:rPr>
        <w:t>Family as intergenerational infrastructure</w:t>
      </w:r>
    </w:p>
    <w:p w14:paraId="1F5E128C" w14:textId="66DEAA94" w:rsidR="009E17B1" w:rsidRPr="00564F2E" w:rsidRDefault="009E17B1" w:rsidP="00A47F7F">
      <w:pPr>
        <w:spacing w:before="100" w:beforeAutospacing="1" w:line="360" w:lineRule="auto"/>
        <w:jc w:val="both"/>
        <w:rPr>
          <w:rFonts w:asciiTheme="minorBidi" w:hAnsiTheme="minorBidi"/>
        </w:rPr>
      </w:pPr>
      <w:r w:rsidRPr="00564F2E">
        <w:rPr>
          <w:rFonts w:asciiTheme="minorBidi" w:hAnsiTheme="minorBidi"/>
        </w:rPr>
        <w:t>Family life in later years is organized through ongoing processes of coordination across generations. For older Ethiopian-origin women, the family constitutes a central arena through which everyday life is sustained across time, not as a bounded or static unit, but as an intergenerational infrastructure produced through practices of caregiving, responsibility, and relational alignment.</w:t>
      </w:r>
    </w:p>
    <w:p w14:paraId="76FA58B3" w14:textId="77777777" w:rsidR="009E17B1" w:rsidRPr="00564F2E" w:rsidRDefault="009E17B1" w:rsidP="00A47F7F">
      <w:pPr>
        <w:spacing w:line="360" w:lineRule="auto"/>
        <w:jc w:val="both"/>
        <w:rPr>
          <w:rFonts w:asciiTheme="minorBidi" w:hAnsiTheme="minorBidi"/>
        </w:rPr>
      </w:pPr>
      <w:r w:rsidRPr="00564F2E">
        <w:rPr>
          <w:rFonts w:asciiTheme="minorBidi" w:hAnsiTheme="minorBidi"/>
        </w:rPr>
        <w:t>These practices extend beyond the household and require continuous coordination across multiple social arenas, linking family life with educational institutions, community networks, and broader social obligations. In this sense, aging unfolds not as withdrawal from social life, but as an ongoing process of organizing relationships and responsibilities across interconnected domains.</w:t>
      </w:r>
    </w:p>
    <w:p w14:paraId="538D7D53" w14:textId="7C8A2AAB" w:rsidR="002E01BA" w:rsidRPr="00564F2E" w:rsidRDefault="009E17B1" w:rsidP="00A47F7F">
      <w:pPr>
        <w:spacing w:line="360" w:lineRule="auto"/>
        <w:jc w:val="both"/>
        <w:rPr>
          <w:rFonts w:asciiTheme="minorBidi" w:hAnsiTheme="minorBidi"/>
        </w:rPr>
      </w:pPr>
      <w:r w:rsidRPr="00564F2E">
        <w:rPr>
          <w:rFonts w:asciiTheme="minorBidi" w:hAnsiTheme="minorBidi"/>
        </w:rPr>
        <w:t xml:space="preserve">As </w:t>
      </w:r>
      <w:r w:rsidR="006A6EC3" w:rsidRPr="00564F2E">
        <w:rPr>
          <w:rFonts w:asciiTheme="minorBidi" w:hAnsiTheme="minorBidi"/>
        </w:rPr>
        <w:t xml:space="preserve">Mula </w:t>
      </w:r>
      <w:r w:rsidRPr="00564F2E">
        <w:rPr>
          <w:rFonts w:asciiTheme="minorBidi" w:hAnsiTheme="minorBidi"/>
        </w:rPr>
        <w:t>(65, in Israel since 2005) explained:</w:t>
      </w:r>
    </w:p>
    <w:p w14:paraId="7D29D50B" w14:textId="760DAABF" w:rsidR="009E17B1" w:rsidRPr="00564F2E" w:rsidRDefault="009E17B1" w:rsidP="00A47F7F">
      <w:pPr>
        <w:spacing w:line="360" w:lineRule="auto"/>
        <w:jc w:val="both"/>
        <w:rPr>
          <w:rFonts w:asciiTheme="minorBidi" w:hAnsiTheme="minorBidi"/>
        </w:rPr>
      </w:pPr>
      <w:r w:rsidRPr="00564F2E">
        <w:rPr>
          <w:rFonts w:asciiTheme="minorBidi" w:hAnsiTheme="minorBidi"/>
          <w:i/>
          <w:iCs/>
        </w:rPr>
        <w:t>“In total, I have 10 children… Now, in the house we are seven with my husband and myself… In addition, there are the children of my daughter, and they live with us… During the day I cook, I have the strength for this, I take the grandchildren to school, until they become responsible for themselves… When they come on Shabbat, we sit and play… This is how we pass the time, how we share love, I have love for my children.”</w:t>
      </w:r>
    </w:p>
    <w:p w14:paraId="48DEF750" w14:textId="77777777" w:rsidR="009E17B1" w:rsidRPr="00564F2E" w:rsidRDefault="009E17B1" w:rsidP="00A47F7F">
      <w:pPr>
        <w:spacing w:line="360" w:lineRule="auto"/>
        <w:jc w:val="both"/>
        <w:rPr>
          <w:rFonts w:asciiTheme="minorBidi" w:hAnsiTheme="minorBidi"/>
        </w:rPr>
      </w:pPr>
      <w:r w:rsidRPr="00564F2E">
        <w:rPr>
          <w:rFonts w:asciiTheme="minorBidi" w:hAnsiTheme="minorBidi"/>
        </w:rPr>
        <w:t>Mulu’s account highlights caregiving not as a discrete activity but as an ongoing organization of everyday life across generations. Household arrangements, shared living, and daily routines constitute a coordinated system through which responsibilities are distributed and sustained over time.</w:t>
      </w:r>
    </w:p>
    <w:p w14:paraId="238F003C" w14:textId="1A7F3CDB" w:rsidR="006A6EC3" w:rsidRPr="00564F2E" w:rsidRDefault="009E17B1" w:rsidP="006A6EC3">
      <w:pPr>
        <w:spacing w:line="360" w:lineRule="auto"/>
        <w:jc w:val="both"/>
        <w:rPr>
          <w:rFonts w:asciiTheme="minorBidi" w:hAnsiTheme="minorBidi"/>
        </w:rPr>
      </w:pPr>
      <w:r w:rsidRPr="00564F2E">
        <w:rPr>
          <w:rFonts w:asciiTheme="minorBidi" w:hAnsiTheme="minorBidi"/>
        </w:rPr>
        <w:t xml:space="preserve">At the same time, these practices connect the household to wider social and institutional contexts. Daily routines such as accompanying grandchildren to </w:t>
      </w:r>
      <w:r w:rsidRPr="00564F2E">
        <w:rPr>
          <w:rFonts w:asciiTheme="minorBidi" w:hAnsiTheme="minorBidi"/>
        </w:rPr>
        <w:lastRenderedPageBreak/>
        <w:t xml:space="preserve">school and organizing family gatherings link domestic life with educational systems, temporal schedules, and broader networks of care. In this sense, </w:t>
      </w:r>
      <w:r w:rsidR="006A6EC3" w:rsidRPr="00564F2E">
        <w:rPr>
          <w:rFonts w:asciiTheme="minorBidi" w:hAnsiTheme="minorBidi"/>
        </w:rPr>
        <w:t>caregiving operates as a practice that links multiple domains of social life.</w:t>
      </w:r>
    </w:p>
    <w:p w14:paraId="2CC29CB1" w14:textId="4C5CABE4" w:rsidR="009E17B1" w:rsidRPr="00564F2E" w:rsidRDefault="009E17B1" w:rsidP="00A47F7F">
      <w:pPr>
        <w:spacing w:line="360" w:lineRule="auto"/>
        <w:jc w:val="both"/>
        <w:rPr>
          <w:rFonts w:asciiTheme="minorBidi" w:hAnsiTheme="minorBidi"/>
        </w:rPr>
      </w:pPr>
    </w:p>
    <w:p w14:paraId="7FC35930" w14:textId="77777777" w:rsidR="002E01BA" w:rsidRPr="00564F2E" w:rsidRDefault="009E17B1" w:rsidP="00A47F7F">
      <w:pPr>
        <w:spacing w:line="360" w:lineRule="auto"/>
        <w:jc w:val="both"/>
        <w:rPr>
          <w:rFonts w:asciiTheme="minorBidi" w:hAnsiTheme="minorBidi"/>
        </w:rPr>
      </w:pPr>
      <w:r w:rsidRPr="00564F2E">
        <w:rPr>
          <w:rFonts w:asciiTheme="minorBidi" w:hAnsiTheme="minorBidi"/>
        </w:rPr>
        <w:t>This coordination is not episodic but continuous. As Habtam (57, in Israel since 2006) described:</w:t>
      </w:r>
    </w:p>
    <w:p w14:paraId="410209F8" w14:textId="04418824" w:rsidR="009E17B1" w:rsidRPr="00564F2E" w:rsidRDefault="009E17B1" w:rsidP="00A47F7F">
      <w:pPr>
        <w:spacing w:line="360" w:lineRule="auto"/>
        <w:jc w:val="both"/>
        <w:rPr>
          <w:rFonts w:asciiTheme="minorBidi" w:hAnsiTheme="minorBidi"/>
          <w:i/>
          <w:iCs/>
        </w:rPr>
      </w:pPr>
      <w:r w:rsidRPr="00564F2E">
        <w:rPr>
          <w:rFonts w:asciiTheme="minorBidi" w:hAnsiTheme="minorBidi"/>
          <w:i/>
          <w:iCs/>
        </w:rPr>
        <w:t>“In the morning I take them to kindergarten… I wake up at six thirty, and the kindergarten opens at seven thirty, so I take them to kindergarten and also to school. When they finish, I pick them up and wait with them until their mother comes.”</w:t>
      </w:r>
    </w:p>
    <w:p w14:paraId="06453681" w14:textId="77777777" w:rsidR="009E17B1" w:rsidRPr="00564F2E" w:rsidRDefault="009E17B1" w:rsidP="00A47F7F">
      <w:pPr>
        <w:spacing w:line="360" w:lineRule="auto"/>
        <w:jc w:val="both"/>
        <w:rPr>
          <w:rFonts w:asciiTheme="minorBidi" w:hAnsiTheme="minorBidi"/>
        </w:rPr>
      </w:pPr>
      <w:r w:rsidRPr="00564F2E">
        <w:rPr>
          <w:rFonts w:asciiTheme="minorBidi" w:hAnsiTheme="minorBidi"/>
        </w:rPr>
        <w:t>Her account illustrates how caregiving unfolds through the alignment of time, movement, and responsibility across locations. Daily life is organized through the synchronization of schedules and the navigation between home, school, and extended family obligations.</w:t>
      </w:r>
    </w:p>
    <w:p w14:paraId="2848AA50" w14:textId="77777777" w:rsidR="009E17B1" w:rsidRPr="00564F2E" w:rsidRDefault="009E17B1" w:rsidP="00A47F7F">
      <w:pPr>
        <w:spacing w:line="360" w:lineRule="auto"/>
        <w:jc w:val="both"/>
        <w:rPr>
          <w:rFonts w:asciiTheme="minorBidi" w:hAnsiTheme="minorBidi"/>
          <w:i/>
          <w:iCs/>
        </w:rPr>
      </w:pPr>
      <w:r w:rsidRPr="00564F2E">
        <w:rPr>
          <w:rFonts w:asciiTheme="minorBidi" w:hAnsiTheme="minorBidi"/>
        </w:rPr>
        <w:t>Similarly, Berhan (59, in Israel since 2006) described her weekly routine as a sequence of actions that connect multiple households:</w:t>
      </w:r>
      <w:r w:rsidRPr="00564F2E">
        <w:rPr>
          <w:rFonts w:asciiTheme="minorBidi" w:hAnsiTheme="minorBidi"/>
        </w:rPr>
        <w:br/>
      </w:r>
      <w:r w:rsidRPr="00564F2E">
        <w:rPr>
          <w:rFonts w:asciiTheme="minorBidi" w:hAnsiTheme="minorBidi"/>
          <w:i/>
          <w:iCs/>
        </w:rPr>
        <w:t>“On Thursdays I go… I knead dough for her injera, I clean her house, made her coffee…”</w:t>
      </w:r>
    </w:p>
    <w:p w14:paraId="06BA826D" w14:textId="77777777" w:rsidR="009E17B1" w:rsidRPr="00564F2E" w:rsidRDefault="009E17B1" w:rsidP="00A47F7F">
      <w:pPr>
        <w:spacing w:line="360" w:lineRule="auto"/>
        <w:jc w:val="both"/>
        <w:rPr>
          <w:rFonts w:asciiTheme="minorBidi" w:hAnsiTheme="minorBidi"/>
        </w:rPr>
      </w:pPr>
      <w:r w:rsidRPr="00564F2E">
        <w:rPr>
          <w:rFonts w:asciiTheme="minorBidi" w:hAnsiTheme="minorBidi"/>
        </w:rPr>
        <w:t>This pattern further demonstrates how caregiving extends beyond a single household, embedding women within broader relational networks structured through obligation and reciprocity. Movement between homes becomes a key mechanism through which social ties are maintained and coordinated.</w:t>
      </w:r>
    </w:p>
    <w:p w14:paraId="3C2A4E63" w14:textId="77777777" w:rsidR="009E17B1" w:rsidRPr="00564F2E" w:rsidRDefault="009E17B1" w:rsidP="00A47F7F">
      <w:pPr>
        <w:spacing w:line="360" w:lineRule="auto"/>
        <w:jc w:val="both"/>
        <w:rPr>
          <w:rFonts w:asciiTheme="minorBidi" w:hAnsiTheme="minorBidi"/>
        </w:rPr>
      </w:pPr>
      <w:r w:rsidRPr="00564F2E">
        <w:rPr>
          <w:rFonts w:asciiTheme="minorBidi" w:hAnsiTheme="minorBidi"/>
        </w:rPr>
        <w:t>Taken together, these accounts show that family operates as a central site through which coordination across social arenas is enacted. Through caregiving practices that unfold across time, space, and relational networks, older women actively align responsibilities that span households, institutions, and community ties.</w:t>
      </w:r>
    </w:p>
    <w:p w14:paraId="3E0E0E0C" w14:textId="77777777" w:rsidR="009E17B1" w:rsidRPr="00564F2E" w:rsidRDefault="009E17B1" w:rsidP="00A47F7F">
      <w:pPr>
        <w:spacing w:line="360" w:lineRule="auto"/>
        <w:jc w:val="both"/>
        <w:rPr>
          <w:rFonts w:asciiTheme="minorBidi" w:hAnsiTheme="minorBidi"/>
        </w:rPr>
      </w:pPr>
      <w:r w:rsidRPr="00564F2E">
        <w:rPr>
          <w:rFonts w:asciiTheme="minorBidi" w:hAnsiTheme="minorBidi"/>
        </w:rPr>
        <w:t xml:space="preserve">In doing so, they sustain forms of presence, authority, and participation that extend beyond the household. These practices illustrate how aging-in-motion is enacted in everyday life through coordination, while also </w:t>
      </w:r>
      <w:r w:rsidRPr="00564F2E">
        <w:rPr>
          <w:rFonts w:asciiTheme="minorBidi" w:hAnsiTheme="minorBidi"/>
        </w:rPr>
        <w:lastRenderedPageBreak/>
        <w:t>generating forms of belonging and engagement that remain largely invisible within formal, state-centered frameworks of integration.</w:t>
      </w:r>
    </w:p>
    <w:p w14:paraId="1CA0010E" w14:textId="3C3DB348" w:rsidR="009E17B1" w:rsidRPr="00564F2E" w:rsidRDefault="009E17B1" w:rsidP="009E17B1">
      <w:pPr>
        <w:pStyle w:val="ListParagraph"/>
        <w:spacing w:before="100" w:beforeAutospacing="1" w:line="360" w:lineRule="auto"/>
        <w:ind w:left="792"/>
        <w:jc w:val="both"/>
        <w:rPr>
          <w:rFonts w:asciiTheme="minorBidi" w:hAnsiTheme="minorBidi"/>
          <w:b/>
          <w:bCs/>
        </w:rPr>
      </w:pPr>
    </w:p>
    <w:p w14:paraId="6414A2F2" w14:textId="672D90CC" w:rsidR="007F7229" w:rsidRPr="00564F2E" w:rsidRDefault="00C2157F" w:rsidP="00DF2A56">
      <w:pPr>
        <w:pStyle w:val="ListParagraph"/>
        <w:numPr>
          <w:ilvl w:val="1"/>
          <w:numId w:val="13"/>
        </w:numPr>
        <w:spacing w:before="100" w:beforeAutospacing="1" w:line="360" w:lineRule="auto"/>
        <w:jc w:val="both"/>
        <w:rPr>
          <w:rFonts w:asciiTheme="minorBidi" w:hAnsiTheme="minorBidi"/>
        </w:rPr>
      </w:pPr>
      <w:r w:rsidRPr="00564F2E">
        <w:rPr>
          <w:rFonts w:asciiTheme="minorBidi" w:hAnsiTheme="minorBidi"/>
          <w:b/>
          <w:bCs/>
        </w:rPr>
        <w:t xml:space="preserve">Community as </w:t>
      </w:r>
      <w:r w:rsidR="00DB091A" w:rsidRPr="00564F2E">
        <w:rPr>
          <w:rFonts w:asciiTheme="minorBidi" w:hAnsiTheme="minorBidi"/>
          <w:b/>
          <w:bCs/>
        </w:rPr>
        <w:t xml:space="preserve">a </w:t>
      </w:r>
      <w:r w:rsidRPr="00564F2E">
        <w:rPr>
          <w:rFonts w:asciiTheme="minorBidi" w:hAnsiTheme="minorBidi"/>
          <w:b/>
          <w:bCs/>
        </w:rPr>
        <w:t>ritual field</w:t>
      </w:r>
    </w:p>
    <w:p w14:paraId="7486CDEB" w14:textId="65D89333"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Community life is organized through recurring processes of coordination enacted in collective practices. Beyond the family, community life unfolds through repeated activities that structure participation in both everyday interactions and significant events. Rather than a bounded sphere, community emerges as a field of coordinated activity, through which participation is organized across multiple social arenas. These practices connect households, shared spaces, and broader social networks.</w:t>
      </w:r>
    </w:p>
    <w:p w14:paraId="7296AD20" w14:textId="77777777"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Within this field, older women occupy central positions through which participation is organized and sustained over time.</w:t>
      </w:r>
    </w:p>
    <w:p w14:paraId="197C8F1A" w14:textId="77777777"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During fieldwork, women gathered in a local community center, a semi-formal space used by Ethiopian-origin residents for collective activities, to prepare injera together. These gatherings followed recurring temporal rhythms, typically taking place on Thursdays in preparation for events over the weekend, and at times on Mondays ahead of weddings and other family celebrations. These temporal patterns structured participation and coordinated preparation across participants and events.</w:t>
      </w:r>
    </w:p>
    <w:p w14:paraId="5A8A9044" w14:textId="77777777"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Preparation was organized across different locations and moments. Fermentation typically took place in private homes, while baking occurred in the shared community space. Within this space, cooking stations were distributed across the room, each operated by different women. Some managed the baking process, while others coordinated ingredients, organized turns, and facilitated the flow of participation. Women rotated between stations, stepped in to assist one another, and adjusted their roles as needed.</w:t>
      </w:r>
    </w:p>
    <w:p w14:paraId="4A0C3BD0" w14:textId="77777777" w:rsidR="00C057E9" w:rsidRPr="00564F2E" w:rsidRDefault="00C057E9" w:rsidP="00212020">
      <w:pPr>
        <w:spacing w:before="100" w:beforeAutospacing="1" w:line="360" w:lineRule="auto"/>
        <w:jc w:val="both"/>
        <w:rPr>
          <w:rFonts w:asciiTheme="minorBidi" w:hAnsiTheme="minorBidi"/>
        </w:rPr>
      </w:pPr>
      <w:r w:rsidRPr="00564F2E">
        <w:rPr>
          <w:rFonts w:asciiTheme="minorBidi" w:hAnsiTheme="minorBidi"/>
        </w:rPr>
        <w:lastRenderedPageBreak/>
        <w:t>These movements illustrate how participation is continuously organized through the alignment of roles, tasks, and temporal sequences.</w:t>
      </w:r>
    </w:p>
    <w:p w14:paraId="32F1A2D5" w14:textId="52C77CD1"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Participation extended beyond physical presence. Older women who were unable to attend due to age or mobility constraints contributed in other ways, sending supplies such as paper rolls, water, money, or tella (a traditional Ethiopian alcoholic drink). These practices demonstrate how participation is coordinated across different modes of involvement, linking households, spaces, and forms of contribution.</w:t>
      </w:r>
    </w:p>
    <w:p w14:paraId="7B0082F7" w14:textId="77777777"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This distributed form of participation is further evident in moments when older women remain physically absent yet socially central. During fieldwork, one woman aged 107 stayed at home during her grandson’s wedding. While the event itself took place in the community center, relatives and community members moved between the celebration and her home, visiting her, bringing food and gifts, and acknowledging her presence. Through these movements, the event was not confined to a single location but extended across spaces, with her home functioning as an additional site of participation.</w:t>
      </w:r>
    </w:p>
    <w:p w14:paraId="5DAD49C5" w14:textId="77777777"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This case illustrates how coordination operates across locations and forms of presence, allowing older women to remain central to collective life even when they are not physically present at the main event.</w:t>
      </w:r>
    </w:p>
    <w:p w14:paraId="42FC1C55" w14:textId="77777777" w:rsidR="002E01BA"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As Sualem (77, in Israel since 2004) explained:</w:t>
      </w:r>
    </w:p>
    <w:p w14:paraId="5BF3F723" w14:textId="5CD7B441" w:rsidR="00212020" w:rsidRPr="00564F2E" w:rsidRDefault="00212020" w:rsidP="00212020">
      <w:pPr>
        <w:spacing w:before="100" w:beforeAutospacing="1" w:line="360" w:lineRule="auto"/>
        <w:jc w:val="both"/>
        <w:rPr>
          <w:rFonts w:asciiTheme="minorBidi" w:hAnsiTheme="minorBidi"/>
          <w:i/>
          <w:iCs/>
        </w:rPr>
      </w:pPr>
      <w:r w:rsidRPr="00564F2E">
        <w:rPr>
          <w:rFonts w:asciiTheme="minorBidi" w:hAnsiTheme="minorBidi"/>
        </w:rPr>
        <w:t>“</w:t>
      </w:r>
      <w:r w:rsidRPr="00564F2E">
        <w:rPr>
          <w:rFonts w:asciiTheme="minorBidi" w:hAnsiTheme="minorBidi"/>
          <w:i/>
          <w:iCs/>
        </w:rPr>
        <w:t>When there is a family event for one of my friends, we help each other with the food: injera, boho, tsew. We share her happiness, not only on the wedding day but also throughout the whole process before it. Usually we are partners and help in hosting the relatives at the club, and at the Shabbat Hatan we help with whatever is needed.”</w:t>
      </w:r>
    </w:p>
    <w:p w14:paraId="395CDB1F" w14:textId="77777777"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 xml:space="preserve">These practices constitute coordinated forms of participation through which belonging is enacted collectively. Through shared labor, preparation, and </w:t>
      </w:r>
      <w:r w:rsidRPr="00564F2E">
        <w:rPr>
          <w:rFonts w:asciiTheme="minorBidi" w:hAnsiTheme="minorBidi"/>
        </w:rPr>
        <w:lastRenderedPageBreak/>
        <w:t>hosting, women generate forms of inclusion and recognition that emerge from within community life itself.</w:t>
      </w:r>
    </w:p>
    <w:p w14:paraId="3A4F1332" w14:textId="57A3520F" w:rsidR="00212020" w:rsidRPr="00564F2E" w:rsidRDefault="00212020" w:rsidP="00212020">
      <w:pPr>
        <w:spacing w:before="100" w:beforeAutospacing="1" w:line="360" w:lineRule="auto"/>
        <w:jc w:val="both"/>
        <w:rPr>
          <w:rFonts w:asciiTheme="minorBidi" w:hAnsiTheme="minorBidi"/>
          <w:i/>
          <w:iCs/>
        </w:rPr>
      </w:pPr>
      <w:r w:rsidRPr="00564F2E">
        <w:rPr>
          <w:rFonts w:asciiTheme="minorBidi" w:hAnsiTheme="minorBidi"/>
        </w:rPr>
        <w:t>This collective organization is further evident in the structuring of roles during events. As Yeshitu (74, in Israel since 2005) described:</w:t>
      </w:r>
      <w:r w:rsidRPr="00564F2E">
        <w:rPr>
          <w:rFonts w:asciiTheme="minorBidi" w:hAnsiTheme="minorBidi"/>
        </w:rPr>
        <w:br/>
      </w:r>
      <w:r w:rsidRPr="00564F2E">
        <w:rPr>
          <w:rFonts w:asciiTheme="minorBidi" w:hAnsiTheme="minorBidi"/>
          <w:i/>
          <w:iCs/>
        </w:rPr>
        <w:t>“The women prepare injera… The men buy a cow… Others serve the food… The host does not do much</w:t>
      </w:r>
      <w:r w:rsidR="002E01BA" w:rsidRPr="00564F2E">
        <w:rPr>
          <w:rFonts w:asciiTheme="minorBidi" w:hAnsiTheme="minorBidi"/>
          <w:i/>
          <w:iCs/>
        </w:rPr>
        <w:t>,</w:t>
      </w:r>
      <w:r w:rsidRPr="00564F2E">
        <w:rPr>
          <w:rFonts w:asciiTheme="minorBidi" w:hAnsiTheme="minorBidi"/>
          <w:i/>
          <w:iCs/>
        </w:rPr>
        <w:t xml:space="preserve"> other people do it for him.”</w:t>
      </w:r>
    </w:p>
    <w:p w14:paraId="06A04454" w14:textId="77777777"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This account illustrates how events are produced through distributed and coordinated forms of participation. Tasks are differentiated yet interdependent, and the event itself is enacted through the coordinated involvement of multiple participants.</w:t>
      </w:r>
    </w:p>
    <w:p w14:paraId="4D69F1DA" w14:textId="77777777" w:rsidR="00212020" w:rsidRPr="00564F2E" w:rsidRDefault="00212020" w:rsidP="00212020">
      <w:pPr>
        <w:spacing w:before="100" w:beforeAutospacing="1" w:line="360" w:lineRule="auto"/>
        <w:jc w:val="both"/>
        <w:rPr>
          <w:rFonts w:asciiTheme="minorBidi" w:hAnsiTheme="minorBidi"/>
          <w:i/>
          <w:iCs/>
        </w:rPr>
      </w:pPr>
      <w:r w:rsidRPr="00564F2E">
        <w:rPr>
          <w:rFonts w:asciiTheme="minorBidi" w:hAnsiTheme="minorBidi"/>
        </w:rPr>
        <w:t>Community practices extend in a similar manner to moments of loss. As Haimanot (105, in Israel since 2005) explained:</w:t>
      </w:r>
      <w:r w:rsidRPr="00564F2E">
        <w:rPr>
          <w:rFonts w:asciiTheme="minorBidi" w:hAnsiTheme="minorBidi"/>
        </w:rPr>
        <w:br/>
      </w:r>
      <w:r w:rsidRPr="00564F2E">
        <w:rPr>
          <w:rFonts w:asciiTheme="minorBidi" w:hAnsiTheme="minorBidi"/>
          <w:i/>
          <w:iCs/>
        </w:rPr>
        <w:t>“Many people come from different places… those who live nearby stay with the family, and others who come from far are hosted by neighbors…”</w:t>
      </w:r>
    </w:p>
    <w:p w14:paraId="74701FE5" w14:textId="77777777"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Her account highlights how participation in moments of loss involves the coordination of space, food, and hospitality across households. Participation is distributed across multiple households, linking domestic spaces with wider community networks and requiring ongoing coordination.</w:t>
      </w:r>
    </w:p>
    <w:p w14:paraId="0C847D05" w14:textId="77777777"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Community life is also maintained between events through everyday gatherings. During fieldwork, women met regularly in the afternoons to drink buna (traditional coffee), creating a recurring space of collective presence. Through these interactions, participation is continuously maintained and coordinated over time.</w:t>
      </w:r>
    </w:p>
    <w:p w14:paraId="51BCE0C9" w14:textId="77777777" w:rsidR="00212020" w:rsidRPr="00564F2E" w:rsidRDefault="00212020" w:rsidP="00212020">
      <w:pPr>
        <w:spacing w:before="100" w:beforeAutospacing="1" w:line="360" w:lineRule="auto"/>
        <w:jc w:val="both"/>
        <w:rPr>
          <w:rFonts w:asciiTheme="minorBidi" w:hAnsiTheme="minorBidi"/>
        </w:rPr>
      </w:pPr>
      <w:r w:rsidRPr="00564F2E">
        <w:rPr>
          <w:rFonts w:asciiTheme="minorBidi" w:hAnsiTheme="minorBidi"/>
        </w:rPr>
        <w:t>Taken together, these accounts show that community is not an abstract category but a coordinated field of collective practice enacted through repeated participation. Within this field, older women play a central role in organizing participation, aligning responsibilities, and sustaining collective life across spaces.</w:t>
      </w:r>
    </w:p>
    <w:p w14:paraId="56087328" w14:textId="68628BEB" w:rsidR="00212020" w:rsidRPr="00564F2E" w:rsidRDefault="00C057E9" w:rsidP="00212020">
      <w:pPr>
        <w:spacing w:before="100" w:beforeAutospacing="1" w:line="360" w:lineRule="auto"/>
        <w:jc w:val="both"/>
        <w:rPr>
          <w:rFonts w:asciiTheme="minorBidi" w:hAnsiTheme="minorBidi"/>
        </w:rPr>
      </w:pPr>
      <w:r w:rsidRPr="00564F2E">
        <w:rPr>
          <w:rFonts w:asciiTheme="minorBidi" w:hAnsiTheme="minorBidi"/>
        </w:rPr>
        <w:lastRenderedPageBreak/>
        <w:t>These dynamics illustrate how aging-in-motion is enacted through distributed forms of participation that sustain collective life across spaces, while producing forms of integration-from-below grounded in everyday practice</w:t>
      </w:r>
      <w:r w:rsidR="00212020" w:rsidRPr="00564F2E">
        <w:rPr>
          <w:rFonts w:asciiTheme="minorBidi" w:hAnsiTheme="minorBidi"/>
        </w:rPr>
        <w:t>.</w:t>
      </w:r>
    </w:p>
    <w:p w14:paraId="30D86B60" w14:textId="1D36B434" w:rsidR="00212020" w:rsidRPr="00564F2E" w:rsidRDefault="00212020" w:rsidP="00212020">
      <w:pPr>
        <w:spacing w:before="100" w:beforeAutospacing="1" w:line="360" w:lineRule="auto"/>
        <w:jc w:val="both"/>
        <w:rPr>
          <w:rFonts w:asciiTheme="minorBidi" w:hAnsiTheme="minorBidi"/>
        </w:rPr>
      </w:pPr>
    </w:p>
    <w:p w14:paraId="55D49575" w14:textId="0EDF4447" w:rsidR="007F7229" w:rsidRPr="00564F2E" w:rsidRDefault="00C2157F" w:rsidP="00DB73CB">
      <w:pPr>
        <w:pStyle w:val="ListParagraph"/>
        <w:numPr>
          <w:ilvl w:val="1"/>
          <w:numId w:val="13"/>
        </w:numPr>
        <w:spacing w:before="100" w:beforeAutospacing="1" w:line="360" w:lineRule="auto"/>
        <w:jc w:val="both"/>
        <w:rPr>
          <w:rFonts w:asciiTheme="minorBidi" w:hAnsiTheme="minorBidi"/>
        </w:rPr>
      </w:pPr>
      <w:r w:rsidRPr="00564F2E">
        <w:rPr>
          <w:rFonts w:asciiTheme="minorBidi" w:hAnsiTheme="minorBidi"/>
          <w:b/>
          <w:bCs/>
        </w:rPr>
        <w:t>Digital practices as mediated presence</w:t>
      </w:r>
    </w:p>
    <w:p w14:paraId="4409E0F8" w14:textId="53837637" w:rsidR="00DB73CB" w:rsidRPr="00564F2E" w:rsidRDefault="00C057E9" w:rsidP="00DB73CB">
      <w:pPr>
        <w:spacing w:before="100" w:beforeAutospacing="1" w:line="360" w:lineRule="auto"/>
        <w:jc w:val="both"/>
        <w:rPr>
          <w:rFonts w:asciiTheme="minorBidi" w:hAnsiTheme="minorBidi"/>
        </w:rPr>
      </w:pPr>
      <w:r w:rsidRPr="00564F2E">
        <w:rPr>
          <w:rFonts w:asciiTheme="minorBidi" w:hAnsiTheme="minorBidi"/>
        </w:rPr>
        <w:t xml:space="preserve">Digital communication organizes participation in later life by enabling connection across distance. </w:t>
      </w:r>
      <w:r w:rsidR="00DB73CB" w:rsidRPr="00564F2E">
        <w:rPr>
          <w:rFonts w:asciiTheme="minorBidi" w:hAnsiTheme="minorBidi"/>
        </w:rPr>
        <w:t>It operates as a key mechanism through which coordination across social arenas is sustained, allowing older women to remain involved in family, community, and transnational networks despite spatial separation.</w:t>
      </w:r>
    </w:p>
    <w:p w14:paraId="4A08626F"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During fieldwork, digital communication often unfolded within shared social settings. In one instance, while sitting with an older woman and her neighbor during a buna (coffee) gathering, conversation moved between everyday topics and incoming messages on a smartphone. The woman received a message from a municipal WhatsApp group, where many updates were shared as voice recordings in Amharic, making them more accessible. At times, however, messages were sent in Hebrew. Upon receiving such a message, she turned to those around her, asking about its content. Within minutes, a voice message in Amharic followed, providing an explanation of the same update.</w:t>
      </w:r>
    </w:p>
    <w:p w14:paraId="3EB51C15"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This sequence illustrates how information circulates across languages, formats, and participants, requiring ongoing interpretation and mediation. Digital communication is thus not experienced as an individual practice, but as a coordinated process that unfolds through interaction, translation, and shared understanding.</w:t>
      </w:r>
    </w:p>
    <w:p w14:paraId="075BDDF3" w14:textId="77777777" w:rsidR="002E01BA"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For some women, direct use of digital platforms remains limited. As Bosi (68, in Israel since 2004) explained:</w:t>
      </w:r>
    </w:p>
    <w:p w14:paraId="450330B7" w14:textId="6A5E79C8" w:rsidR="00DB73CB" w:rsidRPr="00564F2E" w:rsidRDefault="00DB73CB" w:rsidP="00DB73CB">
      <w:pPr>
        <w:spacing w:before="100" w:beforeAutospacing="1" w:line="360" w:lineRule="auto"/>
        <w:jc w:val="both"/>
        <w:rPr>
          <w:rFonts w:asciiTheme="minorBidi" w:hAnsiTheme="minorBidi"/>
          <w:i/>
          <w:iCs/>
        </w:rPr>
      </w:pPr>
      <w:r w:rsidRPr="00564F2E">
        <w:rPr>
          <w:rFonts w:asciiTheme="minorBidi" w:hAnsiTheme="minorBidi"/>
          <w:i/>
          <w:iCs/>
        </w:rPr>
        <w:t>“No, I don’t manage. The children tried to teach me but it doesn’t work.”</w:t>
      </w:r>
    </w:p>
    <w:p w14:paraId="2670A337" w14:textId="77777777" w:rsidR="00DB73CB" w:rsidRPr="00564F2E" w:rsidRDefault="00DB73CB" w:rsidP="00DB73CB">
      <w:pPr>
        <w:spacing w:before="100" w:beforeAutospacing="1" w:line="360" w:lineRule="auto"/>
        <w:jc w:val="both"/>
        <w:rPr>
          <w:rFonts w:asciiTheme="minorBidi" w:hAnsiTheme="minorBidi"/>
          <w:i/>
          <w:iCs/>
        </w:rPr>
      </w:pPr>
      <w:r w:rsidRPr="00564F2E">
        <w:rPr>
          <w:rFonts w:asciiTheme="minorBidi" w:hAnsiTheme="minorBidi"/>
        </w:rPr>
        <w:lastRenderedPageBreak/>
        <w:t>Similarly, others described forms of partial engagement shaped by language differences. As Fantanesh (64, in Israel since 2001) noted:</w:t>
      </w:r>
      <w:r w:rsidRPr="00564F2E">
        <w:rPr>
          <w:rFonts w:asciiTheme="minorBidi" w:hAnsiTheme="minorBidi"/>
        </w:rPr>
        <w:br/>
      </w:r>
      <w:r w:rsidRPr="00564F2E">
        <w:rPr>
          <w:rFonts w:asciiTheme="minorBidi" w:hAnsiTheme="minorBidi"/>
          <w:i/>
          <w:iCs/>
        </w:rPr>
        <w:t>“I don’t have WhatsApp. They speak in Hebrew and it is difficult for me. But my children have a siblings’ group.”</w:t>
      </w:r>
    </w:p>
    <w:p w14:paraId="64ABC7A3" w14:textId="77777777" w:rsidR="002E01BA"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These accounts indicate that participation is not absent but reorganized through mediated forms. Even when women do not engage directly with digital platforms, they remain connected through relational mediation. As Mulu (71, in Israel since 2005) explained:</w:t>
      </w:r>
    </w:p>
    <w:p w14:paraId="4A323A70" w14:textId="2D1698E0" w:rsidR="00DB73CB" w:rsidRPr="00564F2E" w:rsidRDefault="00DB73CB" w:rsidP="00DB73CB">
      <w:pPr>
        <w:spacing w:before="100" w:beforeAutospacing="1" w:line="360" w:lineRule="auto"/>
        <w:jc w:val="both"/>
        <w:rPr>
          <w:rFonts w:asciiTheme="minorBidi" w:hAnsiTheme="minorBidi"/>
          <w:i/>
          <w:iCs/>
        </w:rPr>
      </w:pPr>
      <w:r w:rsidRPr="00564F2E">
        <w:rPr>
          <w:rFonts w:asciiTheme="minorBidi" w:hAnsiTheme="minorBidi"/>
          <w:i/>
          <w:iCs/>
        </w:rPr>
        <w:t>“Sometimes I ask my daughter Asres to send a message to all the children on WhatsApp, to tell them to call me, so I don’t disturb them while they are at work.”</w:t>
      </w:r>
    </w:p>
    <w:p w14:paraId="03F8C324"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Here, participation is sustained through intergenerational coordination, as communication flows through relational channels that connect individuals across platforms. In this sense, digital communication enables coordination between actors who are not co-present, linking households, work schedules, and family interactions across different domains.</w:t>
      </w:r>
    </w:p>
    <w:p w14:paraId="7962F77E" w14:textId="77777777" w:rsidR="00DB73CB" w:rsidRPr="00564F2E" w:rsidRDefault="00DB73CB" w:rsidP="00DB73CB">
      <w:pPr>
        <w:spacing w:before="100" w:beforeAutospacing="1" w:line="360" w:lineRule="auto"/>
        <w:jc w:val="both"/>
        <w:rPr>
          <w:rFonts w:asciiTheme="minorBidi" w:hAnsiTheme="minorBidi"/>
          <w:i/>
          <w:iCs/>
        </w:rPr>
      </w:pPr>
      <w:r w:rsidRPr="00564F2E">
        <w:rPr>
          <w:rFonts w:asciiTheme="minorBidi" w:hAnsiTheme="minorBidi"/>
        </w:rPr>
        <w:t>For many others, digital platforms constitute a central arena of everyday participation. As Sualem (77, in Israel since 2004) described:</w:t>
      </w:r>
      <w:r w:rsidRPr="00564F2E">
        <w:rPr>
          <w:rFonts w:asciiTheme="minorBidi" w:hAnsiTheme="minorBidi"/>
        </w:rPr>
        <w:br/>
      </w:r>
      <w:r w:rsidRPr="00564F2E">
        <w:rPr>
          <w:rFonts w:asciiTheme="minorBidi" w:hAnsiTheme="minorBidi"/>
          <w:i/>
          <w:iCs/>
        </w:rPr>
        <w:t>“We communicate through WhatsApp. We send pictures and voice recordings. That’s how we know what kind of event it is and how to prepare. For example, if someone passes away, we cancel work, go to the funeral, help prepare food, and talk with our friend and her family.”</w:t>
      </w:r>
    </w:p>
    <w:p w14:paraId="64BD9E8C"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Sualem’s account highlights how digital communication not only enables awareness, but also facilitates coordination of action. Information shared through digital platforms translates into participation in community events, linking online communication with offline practices such as attending funerals, preparing food, and supporting others.</w:t>
      </w:r>
    </w:p>
    <w:p w14:paraId="597851C6" w14:textId="77777777" w:rsidR="00DB73CB" w:rsidRPr="00564F2E" w:rsidRDefault="00DB73CB" w:rsidP="00DB73CB">
      <w:pPr>
        <w:spacing w:before="100" w:beforeAutospacing="1" w:line="360" w:lineRule="auto"/>
        <w:jc w:val="both"/>
        <w:rPr>
          <w:rFonts w:asciiTheme="minorBidi" w:hAnsiTheme="minorBidi"/>
          <w:i/>
          <w:iCs/>
        </w:rPr>
      </w:pPr>
      <w:r w:rsidRPr="00564F2E">
        <w:rPr>
          <w:rFonts w:asciiTheme="minorBidi" w:hAnsiTheme="minorBidi"/>
        </w:rPr>
        <w:t xml:space="preserve">Through messages, images, and voice recordings, women become aware of events and remain connected to unfolding social life across contexts. </w:t>
      </w:r>
      <w:r w:rsidRPr="00564F2E">
        <w:rPr>
          <w:rFonts w:asciiTheme="minorBidi" w:hAnsiTheme="minorBidi"/>
        </w:rPr>
        <w:lastRenderedPageBreak/>
        <w:t>Digital platforms function as coordinating infrastructures through which information circulates continuously. As Yeshitu (74, in Israel since 2005) explained:</w:t>
      </w:r>
      <w:r w:rsidRPr="00564F2E">
        <w:rPr>
          <w:rFonts w:asciiTheme="minorBidi" w:hAnsiTheme="minorBidi"/>
        </w:rPr>
        <w:br/>
      </w:r>
      <w:r w:rsidRPr="00564F2E">
        <w:rPr>
          <w:rFonts w:asciiTheme="minorBidi" w:hAnsiTheme="minorBidi"/>
          <w:i/>
          <w:iCs/>
        </w:rPr>
        <w:t>“There are groups of the municipality and of the family. I join all of them. If I don’t enter, they ask where I am and call me.”</w:t>
      </w:r>
    </w:p>
    <w:p w14:paraId="77E60EDD"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These dynamics indicate that digital presence is not merely optional but socially expected. Visibility within digital networks becomes a form of participation, where being present, responsive, and reachable constitutes an ongoing social obligation.</w:t>
      </w:r>
    </w:p>
    <w:p w14:paraId="4FD530BE" w14:textId="77777777" w:rsidR="00DB73CB" w:rsidRPr="00564F2E" w:rsidRDefault="00DB73CB" w:rsidP="00DB73CB">
      <w:pPr>
        <w:spacing w:before="100" w:beforeAutospacing="1" w:line="360" w:lineRule="auto"/>
        <w:jc w:val="both"/>
        <w:rPr>
          <w:rFonts w:asciiTheme="minorBidi" w:hAnsiTheme="minorBidi"/>
          <w:i/>
          <w:iCs/>
        </w:rPr>
      </w:pPr>
      <w:r w:rsidRPr="00564F2E">
        <w:rPr>
          <w:rFonts w:asciiTheme="minorBidi" w:hAnsiTheme="minorBidi"/>
        </w:rPr>
        <w:t>In addition, women described actively using digital platforms to maintain ongoing social presence. As Yeshitu further noted:</w:t>
      </w:r>
      <w:r w:rsidRPr="00564F2E">
        <w:rPr>
          <w:rFonts w:asciiTheme="minorBidi" w:hAnsiTheme="minorBidi"/>
        </w:rPr>
        <w:br/>
      </w:r>
      <w:r w:rsidRPr="00564F2E">
        <w:rPr>
          <w:rFonts w:asciiTheme="minorBidi" w:hAnsiTheme="minorBidi"/>
          <w:i/>
          <w:iCs/>
        </w:rPr>
        <w:t>“I remind people not to forget things, tell them where the pickup is, and we go.”</w:t>
      </w:r>
    </w:p>
    <w:p w14:paraId="40BBB7A0"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Here, digital communication enables active coordination, through which older women organize participation, align activities, and contribute to collective action.</w:t>
      </w:r>
    </w:p>
    <w:p w14:paraId="57DB33EA" w14:textId="77777777" w:rsidR="002E01BA"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At the same time, digital and phone-based communication sustain forms of everyday presence that are not tied to specific events. As Sara (65, in Israel since 2008) described:</w:t>
      </w:r>
    </w:p>
    <w:p w14:paraId="7C803D5A" w14:textId="0F638854" w:rsidR="00DB73CB" w:rsidRPr="00564F2E" w:rsidRDefault="00DB73CB" w:rsidP="00DB73CB">
      <w:pPr>
        <w:spacing w:before="100" w:beforeAutospacing="1" w:line="360" w:lineRule="auto"/>
        <w:jc w:val="both"/>
        <w:rPr>
          <w:rFonts w:asciiTheme="minorBidi" w:hAnsiTheme="minorBidi"/>
          <w:i/>
          <w:iCs/>
        </w:rPr>
      </w:pPr>
      <w:r w:rsidRPr="00564F2E">
        <w:rPr>
          <w:rFonts w:asciiTheme="minorBidi" w:hAnsiTheme="minorBidi"/>
          <w:i/>
          <w:iCs/>
        </w:rPr>
        <w:t>“I have a brother who lives in Ramla. There is no way he doesn’t call me every morning when he goes to work, except on Shabbat.”</w:t>
      </w:r>
    </w:p>
    <w:p w14:paraId="5EBEA9CB"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This account highlights how daily communication routines create continuity across distance. Regular calls become part of everyday life, maintaining connection and ongoing participation beyond physical proximity.</w:t>
      </w:r>
    </w:p>
    <w:p w14:paraId="5384B393"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Through ongoing exchanges such as voice messages, photos, and video calls, women maintain connection and remain involved in social life across local and transnational networks. Information about community events, family matters, and everyday life circulates continuously, linking individuals across multiple social domains.</w:t>
      </w:r>
    </w:p>
    <w:p w14:paraId="24E9FEA6"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lastRenderedPageBreak/>
        <w:t>Taken together, these accounts show that digital practices do not simply enable or restrict participation, but reorganize how coordination across social arenas is enacted. Being present no longer requires physical co-location, but is achieved through ongoing visibility, responsiveness, and mediated interaction.</w:t>
      </w:r>
    </w:p>
    <w:p w14:paraId="3FDADD87" w14:textId="6DA71CEE" w:rsidR="00DB73CB" w:rsidRPr="00564F2E" w:rsidRDefault="00DB73CB" w:rsidP="00DB73CB">
      <w:pPr>
        <w:spacing w:before="100" w:beforeAutospacing="1" w:line="360" w:lineRule="auto"/>
        <w:jc w:val="both"/>
        <w:rPr>
          <w:rFonts w:asciiTheme="minorBidi" w:hAnsiTheme="minorBidi"/>
          <w:rtl/>
        </w:rPr>
      </w:pPr>
      <w:r w:rsidRPr="00564F2E">
        <w:rPr>
          <w:rFonts w:asciiTheme="minorBidi" w:hAnsiTheme="minorBidi"/>
        </w:rPr>
        <w:t xml:space="preserve">Through these practices, older women sustain participation and actively coordinate social relations across dispersed networks, generating forms of belonging and recognition that extend beyond formal institutional frameworks. </w:t>
      </w:r>
      <w:r w:rsidR="002D2C65" w:rsidRPr="00564F2E">
        <w:rPr>
          <w:rFonts w:asciiTheme="minorBidi" w:hAnsiTheme="minorBidi"/>
        </w:rPr>
        <w:t>Digital communication thus operates as a key mechanism of aging-in-motion, enabling social participation across multiple arenas of everyday life.</w:t>
      </w:r>
    </w:p>
    <w:p w14:paraId="4F95540E" w14:textId="4A7158DD" w:rsidR="00DB73CB" w:rsidRPr="00564F2E" w:rsidRDefault="00DB73CB" w:rsidP="00DB73CB">
      <w:pPr>
        <w:spacing w:before="100" w:beforeAutospacing="1" w:line="360" w:lineRule="auto"/>
        <w:jc w:val="both"/>
        <w:rPr>
          <w:rFonts w:asciiTheme="minorBidi" w:hAnsiTheme="minorBidi"/>
        </w:rPr>
      </w:pPr>
    </w:p>
    <w:p w14:paraId="6AE06C0F" w14:textId="77777777" w:rsidR="00E31754" w:rsidRPr="00564F2E" w:rsidRDefault="00E31754" w:rsidP="00B154B3">
      <w:pPr>
        <w:pStyle w:val="ListParagraph"/>
        <w:numPr>
          <w:ilvl w:val="1"/>
          <w:numId w:val="13"/>
        </w:numPr>
        <w:spacing w:before="100" w:beforeAutospacing="1" w:line="360" w:lineRule="auto"/>
        <w:jc w:val="both"/>
        <w:rPr>
          <w:rFonts w:asciiTheme="minorBidi" w:hAnsiTheme="minorBidi"/>
          <w:b/>
          <w:bCs/>
        </w:rPr>
      </w:pPr>
      <w:r w:rsidRPr="00564F2E">
        <w:rPr>
          <w:rFonts w:asciiTheme="minorBidi" w:hAnsiTheme="minorBidi"/>
          <w:b/>
          <w:bCs/>
        </w:rPr>
        <w:t>Transnational ties as moral economy</w:t>
      </w:r>
      <w:r w:rsidRPr="00564F2E" w:rsidDel="008B43A6">
        <w:rPr>
          <w:rFonts w:asciiTheme="minorBidi" w:hAnsiTheme="minorBidi"/>
          <w:b/>
          <w:bCs/>
        </w:rPr>
        <w:t xml:space="preserve"> </w:t>
      </w:r>
    </w:p>
    <w:p w14:paraId="40B2A999" w14:textId="046777DD" w:rsidR="00DB73CB" w:rsidRPr="00564F2E" w:rsidRDefault="000867DD" w:rsidP="00DB73CB">
      <w:pPr>
        <w:spacing w:before="100" w:beforeAutospacing="1" w:line="360" w:lineRule="auto"/>
        <w:ind w:left="360"/>
        <w:jc w:val="both"/>
        <w:rPr>
          <w:rFonts w:asciiTheme="minorBidi" w:hAnsiTheme="minorBidi"/>
        </w:rPr>
      </w:pPr>
      <w:r w:rsidRPr="00564F2E">
        <w:rPr>
          <w:rFonts w:asciiTheme="minorBidi" w:hAnsiTheme="minorBidi"/>
        </w:rPr>
        <w:t xml:space="preserve">Aging </w:t>
      </w:r>
      <w:r w:rsidR="00DB73CB" w:rsidRPr="00564F2E">
        <w:rPr>
          <w:rFonts w:asciiTheme="minorBidi" w:hAnsiTheme="minorBidi"/>
        </w:rPr>
        <w:t>among Ethiopian-origin women is not confined to a single national context but unfolds through ongoing ties that extend across borders. These ties are not only maintained but actively coordinated across distance, linking everyday practices, ritual participation, and material obligations across locations. Rather than being located solely in Israel, later life is enacted through the continuous alignment of responsibilities and relationships that connect here and there.</w:t>
      </w:r>
    </w:p>
    <w:p w14:paraId="0F562C8F" w14:textId="7777777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This simultaneous orientation was vividly expressed by Mulu (71, in Israel since 2005):</w:t>
      </w:r>
    </w:p>
    <w:p w14:paraId="77F81CE6" w14:textId="77777777" w:rsidR="00DB73CB" w:rsidRPr="00564F2E" w:rsidRDefault="00DB73CB" w:rsidP="00DB73CB">
      <w:pPr>
        <w:spacing w:before="100" w:beforeAutospacing="1" w:line="360" w:lineRule="auto"/>
        <w:ind w:left="360"/>
        <w:jc w:val="both"/>
        <w:rPr>
          <w:rFonts w:asciiTheme="minorBidi" w:hAnsiTheme="minorBidi"/>
          <w:i/>
          <w:iCs/>
        </w:rPr>
      </w:pPr>
      <w:r w:rsidRPr="00564F2E">
        <w:rPr>
          <w:rFonts w:asciiTheme="minorBidi" w:hAnsiTheme="minorBidi"/>
          <w:i/>
          <w:iCs/>
        </w:rPr>
        <w:t>“Now, even though I am here in Israel, I sleep in my homeland, in Ethiopia. In my dreams I was never here in Israel. Especially during holidays, my heart is there… I prepare buna, I cook, and I bring it to everyone.”</w:t>
      </w:r>
    </w:p>
    <w:p w14:paraId="46C33B4C" w14:textId="7777777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 xml:space="preserve">Mulu’s account highlights how presence is experienced across multiple locations at once, where imagination, memory, and ritual practice are intertwined. Dreams and references to holidays reflect an ongoing orientation toward Ethiopia, particularly through recurring temporal cycles </w:t>
      </w:r>
      <w:r w:rsidRPr="00564F2E">
        <w:rPr>
          <w:rFonts w:asciiTheme="minorBidi" w:hAnsiTheme="minorBidi"/>
        </w:rPr>
        <w:lastRenderedPageBreak/>
        <w:t>that structure participation across distance. In this way, everyday life in Israel is aligned with ritual obligations and forms of engagement oriented toward another place.</w:t>
      </w:r>
    </w:p>
    <w:p w14:paraId="41BBB5FE" w14:textId="7777777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These practices illustrate how aging-in-motion unfolds across borders, as later life is enacted through the coordination of relationships, obligations, and participation across geographically dispersed contexts.</w:t>
      </w:r>
    </w:p>
    <w:p w14:paraId="49A70E2D" w14:textId="7777777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These connections are further maintained through obligations that persist even when participation is mediated through digital means. As Sualem (77, in Israel since 2004) explained:</w:t>
      </w:r>
    </w:p>
    <w:p w14:paraId="28D7C2CB" w14:textId="77777777" w:rsidR="00DB73CB" w:rsidRPr="00564F2E" w:rsidRDefault="00DB73CB" w:rsidP="00DB73CB">
      <w:pPr>
        <w:spacing w:before="100" w:beforeAutospacing="1" w:line="360" w:lineRule="auto"/>
        <w:ind w:left="360"/>
        <w:jc w:val="both"/>
        <w:rPr>
          <w:rFonts w:asciiTheme="minorBidi" w:hAnsiTheme="minorBidi"/>
          <w:i/>
          <w:iCs/>
        </w:rPr>
      </w:pPr>
      <w:r w:rsidRPr="00564F2E">
        <w:rPr>
          <w:rFonts w:asciiTheme="minorBidi" w:hAnsiTheme="minorBidi"/>
          <w:i/>
          <w:iCs/>
        </w:rPr>
        <w:t>“We send them videos and they send to us. We see what happens with the family in Gondar. For example, if there is a funeral, someone films it on WhatsApp. If we do not travel to Ethiopia, then here we make a day of mourning.”</w:t>
      </w:r>
    </w:p>
    <w:p w14:paraId="7E39807D" w14:textId="7777777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Participation is thus extended across borders through mediated coordination, as digital communication enables women to remain involved in collective events and rituals despite physical absence. These practices connect digital, familial, and ritual arenas, allowing engagement in shared social life across distance.</w:t>
      </w:r>
    </w:p>
    <w:p w14:paraId="3C462E6F" w14:textId="7777777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Through these mediated practices, participation is not suspended by distance but reorganized, enabling coordination between digital, ritual, and familial arenas.</w:t>
      </w:r>
    </w:p>
    <w:p w14:paraId="4AEDBF2B" w14:textId="7777777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At the same time, transnational ties are organized through ongoing material commitments. As Yeshitu (74, in Israel since 2005) explained:</w:t>
      </w:r>
    </w:p>
    <w:p w14:paraId="1DCBC371" w14:textId="77777777" w:rsidR="00DB73CB" w:rsidRPr="00564F2E" w:rsidRDefault="00DB73CB" w:rsidP="00DB73CB">
      <w:pPr>
        <w:spacing w:before="100" w:beforeAutospacing="1" w:line="360" w:lineRule="auto"/>
        <w:ind w:left="360"/>
        <w:jc w:val="both"/>
        <w:rPr>
          <w:rFonts w:asciiTheme="minorBidi" w:hAnsiTheme="minorBidi"/>
          <w:i/>
          <w:iCs/>
        </w:rPr>
      </w:pPr>
      <w:r w:rsidRPr="00564F2E">
        <w:rPr>
          <w:rFonts w:asciiTheme="minorBidi" w:hAnsiTheme="minorBidi"/>
          <w:i/>
          <w:iCs/>
        </w:rPr>
        <w:t>“Half of what I receive I send, and half I keep for myself… Before I buy things for myself, I save and send it to them.”</w:t>
      </w:r>
    </w:p>
    <w:p w14:paraId="2F9B76E9" w14:textId="7777777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 xml:space="preserve">In this sense, financial transfers are not merely economic exchanges but part of a broader system of coordination across households and locations. Decisions about spending and saving are organized in relation to obligations </w:t>
      </w:r>
      <w:r w:rsidRPr="00564F2E">
        <w:rPr>
          <w:rFonts w:asciiTheme="minorBidi" w:hAnsiTheme="minorBidi"/>
        </w:rPr>
        <w:lastRenderedPageBreak/>
        <w:t>elsewhere, linking everyday life in Israel with the needs of family members abroad.</w:t>
      </w:r>
    </w:p>
    <w:p w14:paraId="407AC65A" w14:textId="7777777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This sense of responsibility is further shaped by the ongoing nature of family dispersion. As Berhan (59, in Israel since 2006) noted:</w:t>
      </w:r>
    </w:p>
    <w:p w14:paraId="41184E20" w14:textId="77777777" w:rsidR="00DB73CB" w:rsidRPr="00564F2E" w:rsidRDefault="00DB73CB" w:rsidP="00DB73CB">
      <w:pPr>
        <w:spacing w:before="100" w:beforeAutospacing="1" w:line="360" w:lineRule="auto"/>
        <w:ind w:left="360"/>
        <w:jc w:val="both"/>
        <w:rPr>
          <w:rFonts w:asciiTheme="minorBidi" w:hAnsiTheme="minorBidi"/>
          <w:i/>
          <w:iCs/>
        </w:rPr>
      </w:pPr>
      <w:r w:rsidRPr="00564F2E">
        <w:rPr>
          <w:rFonts w:asciiTheme="minorBidi" w:hAnsiTheme="minorBidi"/>
          <w:i/>
          <w:iCs/>
        </w:rPr>
        <w:t>“They arrive little by little… one came recently, I still have one left.”</w:t>
      </w:r>
    </w:p>
    <w:p w14:paraId="4EE77372" w14:textId="7777777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Here, family is not experienced as a completed unit but as an unfolding process, in which relationships continue to be maintained and extended over time.</w:t>
      </w:r>
    </w:p>
    <w:p w14:paraId="6EDCFFEF" w14:textId="3C6A5122" w:rsidR="002D2C65" w:rsidRPr="00564F2E" w:rsidRDefault="002D2C65" w:rsidP="002D2C65">
      <w:pPr>
        <w:spacing w:before="100" w:beforeAutospacing="1" w:line="360" w:lineRule="auto"/>
        <w:ind w:left="360"/>
        <w:jc w:val="both"/>
        <w:rPr>
          <w:rFonts w:asciiTheme="minorBidi" w:hAnsiTheme="minorBidi"/>
        </w:rPr>
      </w:pPr>
      <w:r w:rsidRPr="00564F2E">
        <w:rPr>
          <w:rFonts w:asciiTheme="minorBidi" w:hAnsiTheme="minorBidi"/>
        </w:rPr>
        <w:t>Taken together, these accounts show that transnational ties operate as an interconnected system through which aging-in-motion is sustained across distance.</w:t>
      </w:r>
    </w:p>
    <w:p w14:paraId="23908238" w14:textId="2F536617" w:rsidR="00DB73CB" w:rsidRPr="00564F2E" w:rsidRDefault="00DB73CB" w:rsidP="00DB73CB">
      <w:pPr>
        <w:spacing w:before="100" w:beforeAutospacing="1" w:line="360" w:lineRule="auto"/>
        <w:ind w:left="360"/>
        <w:jc w:val="both"/>
        <w:rPr>
          <w:rFonts w:asciiTheme="minorBidi" w:hAnsiTheme="minorBidi"/>
        </w:rPr>
      </w:pPr>
      <w:r w:rsidRPr="00564F2E">
        <w:rPr>
          <w:rFonts w:asciiTheme="minorBidi" w:hAnsiTheme="minorBidi"/>
        </w:rPr>
        <w:t>. Older women sustain connections by aligning ritual participation, communication practices, and material support across multiple locations, thereby generating forms of participation and belonging that are not captured by state-centered frameworks of integration.</w:t>
      </w:r>
    </w:p>
    <w:p w14:paraId="1FA5916C" w14:textId="77777777" w:rsidR="00DB091A" w:rsidRPr="00564F2E" w:rsidRDefault="00DB091A" w:rsidP="00DB091A">
      <w:pPr>
        <w:pStyle w:val="ListParagraph"/>
        <w:numPr>
          <w:ilvl w:val="1"/>
          <w:numId w:val="13"/>
        </w:numPr>
        <w:spacing w:before="100" w:beforeAutospacing="1" w:line="360" w:lineRule="auto"/>
        <w:jc w:val="both"/>
        <w:rPr>
          <w:rFonts w:asciiTheme="minorBidi" w:hAnsiTheme="minorBidi"/>
        </w:rPr>
      </w:pPr>
      <w:r w:rsidRPr="00564F2E">
        <w:rPr>
          <w:rFonts w:asciiTheme="minorBidi" w:hAnsiTheme="minorBidi"/>
          <w:b/>
          <w:bCs/>
        </w:rPr>
        <w:t>Coordinating between regimes of aging</w:t>
      </w:r>
    </w:p>
    <w:p w14:paraId="77B32A66" w14:textId="714282EC" w:rsidR="00DB73CB" w:rsidRPr="00564F2E" w:rsidRDefault="000867DD" w:rsidP="00DB091A">
      <w:pPr>
        <w:spacing w:before="100" w:beforeAutospacing="1" w:line="360" w:lineRule="auto"/>
        <w:ind w:left="360"/>
        <w:jc w:val="both"/>
        <w:rPr>
          <w:rFonts w:asciiTheme="minorBidi" w:hAnsiTheme="minorBidi"/>
        </w:rPr>
      </w:pPr>
      <w:r w:rsidRPr="00564F2E">
        <w:rPr>
          <w:rFonts w:asciiTheme="minorBidi" w:hAnsiTheme="minorBidi"/>
        </w:rPr>
        <w:t xml:space="preserve">The </w:t>
      </w:r>
      <w:r w:rsidR="00DB73CB" w:rsidRPr="00564F2E">
        <w:rPr>
          <w:rFonts w:asciiTheme="minorBidi" w:hAnsiTheme="minorBidi"/>
        </w:rPr>
        <w:t>interviews reveal that aging is not experienced as a singular or universal process, but as a culturally constructed category shaped by distinct social and institutional frameworks. Importantly, older Ethiopian-origin women actively navigate and coordinate between these different models of aging across contexts.</w:t>
      </w:r>
    </w:p>
    <w:p w14:paraId="2F6E845D" w14:textId="116F859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 xml:space="preserve">Several women emphasized that in Israel, aging is defined primarily as a chronological category tied to institutional recognition. As </w:t>
      </w:r>
      <w:r w:rsidR="006A6EC3" w:rsidRPr="00564F2E">
        <w:rPr>
          <w:rFonts w:asciiTheme="minorBidi" w:hAnsiTheme="minorBidi"/>
        </w:rPr>
        <w:t xml:space="preserve">Mula </w:t>
      </w:r>
      <w:r w:rsidRPr="00564F2E">
        <w:rPr>
          <w:rFonts w:asciiTheme="minorBidi" w:hAnsiTheme="minorBidi"/>
        </w:rPr>
        <w:t>(65) explained:</w:t>
      </w:r>
      <w:r w:rsidRPr="00564F2E">
        <w:rPr>
          <w:rFonts w:asciiTheme="minorBidi" w:hAnsiTheme="minorBidi"/>
        </w:rPr>
        <w:br/>
        <w:t>“</w:t>
      </w:r>
      <w:r w:rsidRPr="00564F2E">
        <w:rPr>
          <w:rFonts w:asciiTheme="minorBidi" w:hAnsiTheme="minorBidi"/>
          <w:i/>
          <w:iCs/>
        </w:rPr>
        <w:t>Now in Israel, someone is considered old according to age. If a person is 62 or 65, they are considered old.”</w:t>
      </w:r>
    </w:p>
    <w:p w14:paraId="3E613C74" w14:textId="77777777" w:rsidR="002E01BA"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lastRenderedPageBreak/>
        <w:t>This stands in contrast to the way aging was understood in Ethiopia, where age was not fixed numerically but assessed through embodied capacity and everyday functioning. As Hirut (80) described:</w:t>
      </w:r>
    </w:p>
    <w:p w14:paraId="3DD8C09F" w14:textId="3358F9BF" w:rsidR="00DB73CB" w:rsidRPr="00564F2E" w:rsidRDefault="00DB73CB" w:rsidP="00DB73CB">
      <w:pPr>
        <w:spacing w:before="100" w:beforeAutospacing="1" w:line="360" w:lineRule="auto"/>
        <w:jc w:val="both"/>
        <w:rPr>
          <w:rFonts w:asciiTheme="minorBidi" w:hAnsiTheme="minorBidi"/>
          <w:i/>
          <w:iCs/>
        </w:rPr>
      </w:pPr>
      <w:r w:rsidRPr="00564F2E">
        <w:rPr>
          <w:rFonts w:asciiTheme="minorBidi" w:hAnsiTheme="minorBidi"/>
          <w:i/>
          <w:iCs/>
        </w:rPr>
        <w:t>“In Israel they measure age by years, very precisely. In Ethiopia it was not the same… when it was hard for a person to go out and come back alone, when he needed help… when he no longer had strength… then he was considered old.”</w:t>
      </w:r>
    </w:p>
    <w:p w14:paraId="64A288B8" w14:textId="77777777" w:rsidR="002E01BA"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This functional model was further illustrated through everyday comparisons. As Busi (86) observed:</w:t>
      </w:r>
    </w:p>
    <w:p w14:paraId="3F626FA0" w14:textId="4A63F50D" w:rsidR="00DB73CB" w:rsidRPr="00564F2E" w:rsidRDefault="00DB73CB" w:rsidP="00DB73CB">
      <w:pPr>
        <w:spacing w:before="100" w:beforeAutospacing="1" w:line="360" w:lineRule="auto"/>
        <w:jc w:val="both"/>
        <w:rPr>
          <w:rFonts w:asciiTheme="minorBidi" w:hAnsiTheme="minorBidi"/>
          <w:i/>
          <w:iCs/>
        </w:rPr>
      </w:pPr>
      <w:r w:rsidRPr="00564F2E">
        <w:rPr>
          <w:rFonts w:asciiTheme="minorBidi" w:hAnsiTheme="minorBidi"/>
          <w:i/>
          <w:iCs/>
        </w:rPr>
        <w:t>“My husband is considered old here, but he feels fine. If we were in Ethiopia, he would still be working in agriculture. There, people can work until their eighties, depending on their strength.”</w:t>
      </w:r>
    </w:p>
    <w:p w14:paraId="3E611B20"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Taken together, these accounts point to two distinct regimes of aging. In Israel, aging is organized through institutional thresholds, bureaucratic categories, and chronological measurement. In Ethiopia, aging is constituted through practice, bodily capacity, and continued participation in social and economic life.</w:t>
      </w:r>
    </w:p>
    <w:p w14:paraId="2E5A77D6"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This comparison highlights that aging is not only culturally defined, but actively coordinated in practice, as women navigate between different regimes of meaning, expectation, and participation.</w:t>
      </w:r>
    </w:p>
    <w:p w14:paraId="5FB42515"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Rather than remaining confined to one model, women actively negotiate between these regimes in their everyday lives. Institutional definitions of aging in Israel coexist with practice-based understandings shaped by experiences in Ethiopia, requiring ongoing coordination between different expectations, values, and forms of participation.</w:t>
      </w:r>
    </w:p>
    <w:p w14:paraId="1CFF7664"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Through this navigation, aging-in-motion is enacted not only across social arenas but also across cultural frameworks of aging.</w:t>
      </w:r>
    </w:p>
    <w:p w14:paraId="0F6D930D"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lastRenderedPageBreak/>
        <w:t>These distinctions highlight that “old age” is not a fixed biological stage but a socially and culturally defined category, shaped by different logics of measurement, value, and participation.</w:t>
      </w:r>
    </w:p>
    <w:p w14:paraId="79AF2074" w14:textId="77777777" w:rsidR="00DB73CB" w:rsidRPr="00564F2E" w:rsidRDefault="00DB73CB" w:rsidP="00DB73CB">
      <w:pPr>
        <w:spacing w:before="100" w:beforeAutospacing="1" w:line="360" w:lineRule="auto"/>
        <w:jc w:val="both"/>
        <w:rPr>
          <w:rFonts w:asciiTheme="minorBidi" w:hAnsiTheme="minorBidi"/>
        </w:rPr>
      </w:pPr>
      <w:r w:rsidRPr="00564F2E">
        <w:rPr>
          <w:rFonts w:asciiTheme="minorBidi" w:hAnsiTheme="minorBidi"/>
        </w:rPr>
        <w:t>Beyond this comparison, the findings as a whole show that aging among Ethiopian-origin women is not a uniform or linear life stage, but an ongoing practice enacted across multiple social arenas and cultural regimes. Rather than withdrawing from social life, older women actively coordinate between different definitions of aging while sustaining relationships, obligations, and forms of participation across family, community, digital, and transnational domains.</w:t>
      </w:r>
    </w:p>
    <w:p w14:paraId="35C4095B" w14:textId="3CE723BA" w:rsidR="00C93DA6" w:rsidRPr="00564F2E" w:rsidRDefault="00D71F39" w:rsidP="00B154B3">
      <w:pPr>
        <w:spacing w:before="100" w:beforeAutospacing="1" w:line="360" w:lineRule="auto"/>
        <w:jc w:val="both"/>
        <w:rPr>
          <w:rFonts w:asciiTheme="minorBidi" w:hAnsiTheme="minorBidi"/>
          <w:b/>
          <w:bCs/>
        </w:rPr>
      </w:pPr>
      <w:r w:rsidRPr="00564F2E">
        <w:rPr>
          <w:rFonts w:asciiTheme="minorBidi" w:hAnsiTheme="minorBidi"/>
        </w:rPr>
        <w:t>In doing so, women generate situated forms of belonging that emerge from everyday practices rather than institutional definitions, reflecting processes of integration-from-below. Across family, community, digital, and transnational arenas, participation is not simply maintained but actively coordinated. Integration-from-below emerges through these coordinated practices, as women create recognition, belonging, and social participation beyond formal institutional measures.</w:t>
      </w:r>
    </w:p>
    <w:p w14:paraId="627E568F" w14:textId="3938B514" w:rsidR="00D871BD" w:rsidRPr="00564F2E" w:rsidRDefault="00D871BD" w:rsidP="00DF2A56">
      <w:pPr>
        <w:pStyle w:val="ListParagraph"/>
        <w:numPr>
          <w:ilvl w:val="0"/>
          <w:numId w:val="13"/>
        </w:numPr>
        <w:spacing w:before="100" w:beforeAutospacing="1" w:line="360" w:lineRule="auto"/>
        <w:jc w:val="both"/>
        <w:rPr>
          <w:rFonts w:asciiTheme="minorBidi" w:hAnsiTheme="minorBidi"/>
          <w:b/>
          <w:bCs/>
        </w:rPr>
      </w:pPr>
      <w:r w:rsidRPr="00564F2E">
        <w:rPr>
          <w:rFonts w:asciiTheme="minorBidi" w:hAnsiTheme="minorBidi"/>
          <w:b/>
          <w:bCs/>
        </w:rPr>
        <w:t>Discussion: From Transnational Aging to Aging-in-Motion</w:t>
      </w:r>
    </w:p>
    <w:p w14:paraId="6CFFE862" w14:textId="5FC4F6CF" w:rsidR="00A90A42" w:rsidRPr="00564F2E" w:rsidRDefault="00A90A42" w:rsidP="00A90A42">
      <w:pPr>
        <w:spacing w:before="100" w:beforeAutospacing="1" w:line="360" w:lineRule="auto"/>
        <w:jc w:val="both"/>
        <w:rPr>
          <w:rFonts w:asciiTheme="minorBidi" w:hAnsiTheme="minorBidi"/>
        </w:rPr>
      </w:pPr>
      <w:r w:rsidRPr="00564F2E">
        <w:rPr>
          <w:rFonts w:asciiTheme="minorBidi" w:hAnsiTheme="minorBidi"/>
        </w:rPr>
        <w:t>Our findings show that later life among Ethiopian-origin women is organized through a relational process that unfolds across multiple domains of everyday life. The five arenas identified in the findings—family, community, digital communication, transnational ties, and cultural regimes of aging—represent the domains in which later life is enacted. Coordination operates as the mechanism through which women align responsibilities, obligations, and forms of participation across these domains. Aging-in-motion captures the broader condition that emerges from this ongoing process, in which later life is continuously organized across interconnected arenas rather than anchored in a single place, institution, or household.</w:t>
      </w:r>
    </w:p>
    <w:p w14:paraId="20F88E66" w14:textId="24FF30CD" w:rsidR="00A47F7F" w:rsidRPr="00564F2E" w:rsidRDefault="00A47F7F" w:rsidP="00A47F7F">
      <w:pPr>
        <w:spacing w:before="100" w:beforeAutospacing="1" w:line="360" w:lineRule="auto"/>
        <w:jc w:val="both"/>
        <w:rPr>
          <w:rFonts w:asciiTheme="minorBidi" w:hAnsiTheme="minorBidi"/>
        </w:rPr>
      </w:pPr>
      <w:r w:rsidRPr="00564F2E">
        <w:rPr>
          <w:rFonts w:asciiTheme="minorBidi" w:hAnsiTheme="minorBidi"/>
        </w:rPr>
        <w:t xml:space="preserve">Building on scholarship on transnational aging, which has emphasized cross-border ties and care circulation (Baldassar &amp; Merla, 2014; Horn &amp; </w:t>
      </w:r>
      <w:r w:rsidRPr="00564F2E">
        <w:rPr>
          <w:rFonts w:asciiTheme="minorBidi" w:hAnsiTheme="minorBidi"/>
        </w:rPr>
        <w:lastRenderedPageBreak/>
        <w:t>Schweppe, 2017), our analysis extends the focus beyond circulation alone to the organization of everyday life across multiple arenas. The contribution of this study thus lies not only in documenting transnational connections, but in demonstrating how aging is enacted through coordinated practices that link otherwise distinct domains of social life.</w:t>
      </w:r>
    </w:p>
    <w:p w14:paraId="7A7BB3B8" w14:textId="46AF5142" w:rsidR="00A47F7F" w:rsidRPr="00564F2E" w:rsidRDefault="00CD0E36" w:rsidP="00CD0E36">
      <w:pPr>
        <w:spacing w:before="100" w:beforeAutospacing="1" w:line="360" w:lineRule="auto"/>
        <w:jc w:val="both"/>
        <w:rPr>
          <w:rFonts w:asciiTheme="minorBidi" w:hAnsiTheme="minorBidi"/>
        </w:rPr>
      </w:pPr>
      <w:r w:rsidRPr="00564F2E">
        <w:rPr>
          <w:rFonts w:asciiTheme="minorBidi" w:hAnsiTheme="minorBidi"/>
        </w:rPr>
        <w:t xml:space="preserve">Importantly, these practices are not only shaped by age but also by gendered positions, as older women play a central role in coordinating care, ritual life, and social participation across arenas. </w:t>
      </w:r>
      <w:r w:rsidR="00A47F7F" w:rsidRPr="00564F2E">
        <w:rPr>
          <w:rFonts w:asciiTheme="minorBidi" w:hAnsiTheme="minorBidi"/>
        </w:rPr>
        <w:t>Caregiving within the household, participation in ritual life, mediated forms of digital presence, and ongoing transnational obligations are not discrete activities, but coordinated practices through which older women sustain presence, authority, and belonging.</w:t>
      </w:r>
    </w:p>
    <w:p w14:paraId="0B5A3F4C" w14:textId="432699E2" w:rsidR="00A47F7F" w:rsidRPr="00564F2E" w:rsidRDefault="00A47F7F" w:rsidP="00A47F7F">
      <w:pPr>
        <w:spacing w:before="100" w:beforeAutospacing="1" w:line="360" w:lineRule="auto"/>
        <w:jc w:val="both"/>
        <w:rPr>
          <w:rFonts w:asciiTheme="minorBidi" w:hAnsiTheme="minorBidi"/>
        </w:rPr>
      </w:pPr>
      <w:r w:rsidRPr="00564F2E">
        <w:rPr>
          <w:rFonts w:asciiTheme="minorBidi" w:hAnsiTheme="minorBidi"/>
        </w:rPr>
        <w:t>Importantly, these practices operate across domains that follow different logics of participation and recognition. Practices that may signal dependency in institutional contexts simultaneously constitute sources of authority in familial and communal life. Digital communication does not simply bridge distance but reorganizes presence, while transnational commitments extend responsibility beyond co-residence. Aging-in-motion thus captures not only movement across places, but the ongoing coordination of participation across domains that are not fully aligned.</w:t>
      </w:r>
    </w:p>
    <w:p w14:paraId="5C56FE8E" w14:textId="77777777" w:rsidR="00A47F7F" w:rsidRPr="00564F2E" w:rsidRDefault="00A47F7F" w:rsidP="00A47F7F">
      <w:pPr>
        <w:spacing w:before="100" w:beforeAutospacing="1" w:line="360" w:lineRule="auto"/>
        <w:jc w:val="both"/>
        <w:rPr>
          <w:rFonts w:asciiTheme="minorBidi" w:hAnsiTheme="minorBidi"/>
        </w:rPr>
      </w:pPr>
      <w:r w:rsidRPr="00564F2E">
        <w:rPr>
          <w:rFonts w:asciiTheme="minorBidi" w:hAnsiTheme="minorBidi"/>
        </w:rPr>
        <w:t>In the family arena, caregiving operates as a coordinating practice that links households, institutions, and intergenerational relations. In community life, participation in ritual and collective labor is organized through distributed and coordinated roles. Digital communication enables coordination across distance, allowing older women to remain present and engaged despite spatial separation. Transnational ties further extend these practices across borders, while comparative engagement with different age regimes reflects coordination across cultural frameworks of aging.</w:t>
      </w:r>
    </w:p>
    <w:p w14:paraId="64F6CC44" w14:textId="77777777" w:rsidR="00A90A42" w:rsidRPr="00564F2E" w:rsidRDefault="00A90A42" w:rsidP="00A90A42">
      <w:pPr>
        <w:spacing w:before="100" w:beforeAutospacing="1" w:line="360" w:lineRule="auto"/>
        <w:jc w:val="both"/>
        <w:rPr>
          <w:rFonts w:asciiTheme="minorBidi" w:hAnsiTheme="minorBidi"/>
        </w:rPr>
      </w:pPr>
      <w:r w:rsidRPr="00564F2E">
        <w:rPr>
          <w:rFonts w:asciiTheme="minorBidi" w:hAnsiTheme="minorBidi"/>
        </w:rPr>
        <w:t>Taken together, these findings demonstrate how coordination links multiple domains of everyday life, allowing later life to remain active, relational, and distributed across contexts.</w:t>
      </w:r>
    </w:p>
    <w:p w14:paraId="0EE95775" w14:textId="77777777" w:rsidR="00A47F7F" w:rsidRPr="00564F2E" w:rsidRDefault="00A47F7F" w:rsidP="00A47F7F">
      <w:pPr>
        <w:spacing w:before="100" w:beforeAutospacing="1" w:line="360" w:lineRule="auto"/>
        <w:jc w:val="both"/>
        <w:rPr>
          <w:rFonts w:asciiTheme="minorBidi" w:hAnsiTheme="minorBidi"/>
          <w:b/>
          <w:bCs/>
        </w:rPr>
      </w:pPr>
      <w:r w:rsidRPr="00564F2E">
        <w:rPr>
          <w:rFonts w:asciiTheme="minorBidi" w:hAnsiTheme="minorBidi"/>
          <w:b/>
          <w:bCs/>
        </w:rPr>
        <w:lastRenderedPageBreak/>
        <w:t>Integration-from-below as an outcome of coordinated practice</w:t>
      </w:r>
    </w:p>
    <w:p w14:paraId="021A4EF6" w14:textId="77777777" w:rsidR="00564F2E" w:rsidRPr="00564F2E" w:rsidRDefault="00564F2E" w:rsidP="00A47F7F">
      <w:pPr>
        <w:spacing w:before="100" w:beforeAutospacing="1" w:line="360" w:lineRule="auto"/>
        <w:jc w:val="both"/>
        <w:rPr>
          <w:rFonts w:asciiTheme="minorBidi" w:hAnsiTheme="minorBidi"/>
        </w:rPr>
      </w:pPr>
      <w:r w:rsidRPr="00564F2E">
        <w:rPr>
          <w:rFonts w:asciiTheme="minorBidi" w:hAnsiTheme="minorBidi"/>
        </w:rPr>
        <w:t>Building on these dynamics, the analysis points to what we conceptualize as integration-from-below. Integration-from-below refers to forms of belonging, recognition, and participation that emerge through coordinated engagement across multiple social arenas rather than through formal institutional frameworks. Unlike state-centered models of integration, which rely on indicators such as language acquisition, employment, or civic participation, integration-from-below is enacted through caregiving, ritual participation, digital communication, and transnational obligations. These practices generate forms of recognition and belonging that are meaningful within social networks, even when they remain invisible within institutional measures. In this sense, integration is not a fixed outcome but an ongoing process produced through coordinated participation across multiple domains of everyday life.</w:t>
      </w:r>
    </w:p>
    <w:p w14:paraId="5771150F" w14:textId="60644790" w:rsidR="00A47F7F" w:rsidRPr="00564F2E" w:rsidRDefault="00A47F7F" w:rsidP="00A47F7F">
      <w:pPr>
        <w:spacing w:before="100" w:beforeAutospacing="1" w:line="360" w:lineRule="auto"/>
        <w:jc w:val="both"/>
        <w:rPr>
          <w:rFonts w:asciiTheme="minorBidi" w:hAnsiTheme="minorBidi"/>
        </w:rPr>
      </w:pPr>
      <w:r w:rsidRPr="00564F2E">
        <w:rPr>
          <w:rFonts w:asciiTheme="minorBidi" w:hAnsiTheme="minorBidi"/>
        </w:rPr>
        <w:t>Unlike state-centered models of integration, which rely on indicators such as language acquisition, employment, or civic participation, integration-from-below is enacted through caregiving, ritual participation, digital communication, and transnational obligations. These practices generate forms of recognition and belonging that are meaningful within social networks, even when they remain invisible within institutional measures.</w:t>
      </w:r>
    </w:p>
    <w:p w14:paraId="7DDC2BCF" w14:textId="0B832447" w:rsidR="00A47F7F" w:rsidRPr="00564F2E" w:rsidRDefault="00A47F7F" w:rsidP="00A47F7F">
      <w:pPr>
        <w:spacing w:before="100" w:beforeAutospacing="1" w:line="360" w:lineRule="auto"/>
        <w:jc w:val="both"/>
        <w:rPr>
          <w:rFonts w:asciiTheme="minorBidi" w:hAnsiTheme="minorBidi"/>
        </w:rPr>
      </w:pPr>
      <w:r w:rsidRPr="00564F2E">
        <w:rPr>
          <w:rFonts w:asciiTheme="minorBidi" w:hAnsiTheme="minorBidi"/>
        </w:rPr>
        <w:t>In this sense, integration is not a fixed outcome but an ongoing process produced through coordinated participation across multiple arenas of everyday life.</w:t>
      </w:r>
    </w:p>
    <w:p w14:paraId="03D10502" w14:textId="77777777" w:rsidR="00577F45" w:rsidRPr="00564F2E" w:rsidRDefault="00577F45" w:rsidP="00577F45">
      <w:pPr>
        <w:spacing w:before="100" w:beforeAutospacing="1" w:line="360" w:lineRule="auto"/>
        <w:jc w:val="both"/>
        <w:rPr>
          <w:rFonts w:asciiTheme="minorBidi" w:hAnsiTheme="minorBidi"/>
          <w:b/>
          <w:bCs/>
        </w:rPr>
      </w:pPr>
      <w:r w:rsidRPr="00564F2E">
        <w:rPr>
          <w:rFonts w:asciiTheme="minorBidi" w:hAnsiTheme="minorBidi"/>
          <w:b/>
          <w:bCs/>
        </w:rPr>
        <w:t>Coordination across multiple domains of social life</w:t>
      </w:r>
    </w:p>
    <w:p w14:paraId="04B9C2D2" w14:textId="77777777" w:rsidR="00577F45" w:rsidRPr="00564F2E" w:rsidRDefault="00577F45" w:rsidP="00577F45">
      <w:pPr>
        <w:spacing w:before="100" w:beforeAutospacing="1" w:line="360" w:lineRule="auto"/>
        <w:jc w:val="both"/>
        <w:rPr>
          <w:rFonts w:asciiTheme="minorBidi" w:hAnsiTheme="minorBidi"/>
        </w:rPr>
      </w:pPr>
      <w:r w:rsidRPr="00564F2E">
        <w:rPr>
          <w:rFonts w:asciiTheme="minorBidi" w:hAnsiTheme="minorBidi"/>
        </w:rPr>
        <w:t xml:space="preserve">Our findings show that coordination is enacted across multiple domains of everyday life, but its significance extends beyond any single arena. Within families, caregiving practices link generations, households, and institutions, demonstrating that dependence and authority are not opposing conditions but mutually constituted. In community life, ritual participation and collective labor reveal how older women actively organize social relations and sustain </w:t>
      </w:r>
      <w:r w:rsidRPr="00564F2E">
        <w:rPr>
          <w:rFonts w:asciiTheme="minorBidi" w:hAnsiTheme="minorBidi"/>
        </w:rPr>
        <w:lastRenderedPageBreak/>
        <w:t>forms of belonging. Together, these domains illustrate how aging-in-motion is maintained through distributed and coordinated participation rather than through a single social setting.</w:t>
      </w:r>
    </w:p>
    <w:p w14:paraId="6573A264" w14:textId="77777777" w:rsidR="00577F45" w:rsidRPr="00564F2E" w:rsidRDefault="00577F45" w:rsidP="00577F45">
      <w:pPr>
        <w:spacing w:before="100" w:beforeAutospacing="1" w:line="360" w:lineRule="auto"/>
        <w:jc w:val="both"/>
        <w:rPr>
          <w:rFonts w:asciiTheme="minorBidi" w:hAnsiTheme="minorBidi"/>
        </w:rPr>
      </w:pPr>
      <w:r w:rsidRPr="00564F2E">
        <w:rPr>
          <w:rFonts w:asciiTheme="minorBidi" w:hAnsiTheme="minorBidi"/>
        </w:rPr>
        <w:t>At the same time, digital communication and transnational ties extend these forms of participation beyond co-presence. Rather than merely bridging geographical distance, digital platforms reorganize presence through visibility, responsiveness, and mediated interaction, while cross-border obligations align communication, ritual participation, and material support across locations. Aging-in-motion therefore unfolds not only across places but through coordinated forms of participation that connect dispersed social worlds.</w:t>
      </w:r>
    </w:p>
    <w:p w14:paraId="2029C7B2" w14:textId="77777777" w:rsidR="00577F45" w:rsidRPr="00564F2E" w:rsidRDefault="00577F45" w:rsidP="00577F45">
      <w:pPr>
        <w:spacing w:before="100" w:beforeAutospacing="1" w:line="360" w:lineRule="auto"/>
        <w:jc w:val="both"/>
        <w:rPr>
          <w:rFonts w:asciiTheme="minorBidi" w:hAnsiTheme="minorBidi"/>
        </w:rPr>
      </w:pPr>
      <w:r w:rsidRPr="00564F2E">
        <w:rPr>
          <w:rFonts w:asciiTheme="minorBidi" w:hAnsiTheme="minorBidi"/>
        </w:rPr>
        <w:t>Finally, the comparison between Ethiopian and Israeli models of aging demonstrates that coordination also operates across different regimes of meaning and recognition. Women actively navigate between cultural frameworks, showing that aging-in-motion involves not only multiple arenas but also multiple understandings of later life. Aging is therefore enacted not simply across social domains but also across different systems of value, expectations, and belonging.</w:t>
      </w:r>
    </w:p>
    <w:p w14:paraId="6AA77237" w14:textId="77777777" w:rsidR="00A47F7F" w:rsidRPr="00564F2E" w:rsidRDefault="00A47F7F" w:rsidP="00A47F7F">
      <w:pPr>
        <w:spacing w:before="100" w:beforeAutospacing="1" w:line="360" w:lineRule="auto"/>
        <w:jc w:val="both"/>
        <w:rPr>
          <w:rFonts w:asciiTheme="minorBidi" w:hAnsiTheme="minorBidi"/>
          <w:b/>
          <w:bCs/>
        </w:rPr>
      </w:pPr>
      <w:r w:rsidRPr="00564F2E">
        <w:rPr>
          <w:rFonts w:asciiTheme="minorBidi" w:hAnsiTheme="minorBidi"/>
          <w:b/>
          <w:bCs/>
        </w:rPr>
        <w:t>Implications</w:t>
      </w:r>
    </w:p>
    <w:p w14:paraId="602B9BEE" w14:textId="2494BB30" w:rsidR="00A47F7F" w:rsidRPr="00564F2E" w:rsidRDefault="00A47F7F" w:rsidP="00A90A42">
      <w:pPr>
        <w:spacing w:before="100" w:beforeAutospacing="1" w:line="360" w:lineRule="auto"/>
        <w:jc w:val="both"/>
        <w:rPr>
          <w:rFonts w:asciiTheme="minorBidi" w:hAnsiTheme="minorBidi"/>
        </w:rPr>
      </w:pPr>
      <w:r w:rsidRPr="00564F2E">
        <w:rPr>
          <w:rFonts w:asciiTheme="minorBidi" w:hAnsiTheme="minorBidi"/>
        </w:rPr>
        <w:t xml:space="preserve">For migration studies, this analysis repositions older migrants as central actors who organize social life across multiple arenas through coordinated practices. </w:t>
      </w:r>
      <w:r w:rsidR="00A90A42" w:rsidRPr="00564F2E">
        <w:rPr>
          <w:rFonts w:asciiTheme="minorBidi" w:hAnsiTheme="minorBidi"/>
        </w:rPr>
        <w:t xml:space="preserve">For gerontology, this study extends existing discussions of aging in place by showing how later life in migration may be organized simultaneously across multiple social arenas that exceed place-based frameworks. </w:t>
      </w:r>
      <w:r w:rsidRPr="00564F2E">
        <w:rPr>
          <w:rFonts w:asciiTheme="minorBidi" w:hAnsiTheme="minorBidi"/>
        </w:rPr>
        <w:t>For integration research, it highlights the importance of recognizing everyday practices as sites of belonging and participation beyond formal indicators, pointing to processes of integration-from-below.</w:t>
      </w:r>
    </w:p>
    <w:p w14:paraId="519C5AC5" w14:textId="77777777" w:rsidR="00A47F7F" w:rsidRPr="00564F2E" w:rsidRDefault="00A47F7F" w:rsidP="00A47F7F">
      <w:pPr>
        <w:spacing w:before="100" w:beforeAutospacing="1" w:line="360" w:lineRule="auto"/>
        <w:jc w:val="both"/>
        <w:rPr>
          <w:rFonts w:asciiTheme="minorBidi" w:hAnsiTheme="minorBidi"/>
          <w:b/>
          <w:bCs/>
        </w:rPr>
      </w:pPr>
      <w:r w:rsidRPr="00564F2E">
        <w:rPr>
          <w:rFonts w:asciiTheme="minorBidi" w:hAnsiTheme="minorBidi"/>
          <w:b/>
          <w:bCs/>
        </w:rPr>
        <w:t>Limitations and transferability</w:t>
      </w:r>
    </w:p>
    <w:p w14:paraId="76532290" w14:textId="77777777" w:rsidR="00A47F7F" w:rsidRPr="00564F2E" w:rsidRDefault="00A47F7F" w:rsidP="00A47F7F">
      <w:pPr>
        <w:spacing w:before="100" w:beforeAutospacing="1" w:line="360" w:lineRule="auto"/>
        <w:jc w:val="both"/>
        <w:rPr>
          <w:rFonts w:asciiTheme="minorBidi" w:hAnsiTheme="minorBidi"/>
        </w:rPr>
      </w:pPr>
      <w:r w:rsidRPr="00564F2E">
        <w:rPr>
          <w:rFonts w:asciiTheme="minorBidi" w:hAnsiTheme="minorBidi"/>
        </w:rPr>
        <w:lastRenderedPageBreak/>
        <w:t>This qualitative study is based on 15 participants and is analytically rather than statistically generalizable. The focus on women highlights gendered dynamics but does not capture men’s experiences. Translation across languages introduces interpretive layers, despite careful attention.</w:t>
      </w:r>
    </w:p>
    <w:p w14:paraId="6E61EDD7" w14:textId="4F493CE8" w:rsidR="00A47F7F" w:rsidRPr="00564F2E" w:rsidRDefault="00A47F7F" w:rsidP="00A47F7F">
      <w:pPr>
        <w:spacing w:before="100" w:beforeAutospacing="1" w:line="360" w:lineRule="auto"/>
        <w:jc w:val="both"/>
        <w:rPr>
          <w:rFonts w:asciiTheme="minorBidi" w:hAnsiTheme="minorBidi"/>
        </w:rPr>
      </w:pPr>
      <w:r w:rsidRPr="00564F2E">
        <w:rPr>
          <w:rFonts w:asciiTheme="minorBidi" w:hAnsiTheme="minorBidi"/>
        </w:rPr>
        <w:t>At the same time, the contribution of this study lies in identifying mechanisms</w:t>
      </w:r>
      <w:r w:rsidR="002D2C65" w:rsidRPr="00564F2E">
        <w:rPr>
          <w:rFonts w:asciiTheme="minorBidi" w:hAnsiTheme="minorBidi"/>
        </w:rPr>
        <w:t xml:space="preserve">, </w:t>
      </w:r>
      <w:r w:rsidRPr="00564F2E">
        <w:rPr>
          <w:rFonts w:asciiTheme="minorBidi" w:hAnsiTheme="minorBidi"/>
        </w:rPr>
        <w:t>coordination across arenas, distributed participation, and the navigation of multiple age regimes—that are analytically transferable to other contexts of migration and aging.</w:t>
      </w:r>
    </w:p>
    <w:p w14:paraId="54598092" w14:textId="77777777" w:rsidR="0037033A" w:rsidRPr="00564F2E" w:rsidRDefault="0037033A" w:rsidP="00DF2A56">
      <w:pPr>
        <w:pStyle w:val="ListParagraph"/>
        <w:numPr>
          <w:ilvl w:val="0"/>
          <w:numId w:val="13"/>
        </w:numPr>
        <w:spacing w:before="100" w:beforeAutospacing="1" w:line="360" w:lineRule="auto"/>
        <w:jc w:val="both"/>
        <w:rPr>
          <w:rFonts w:asciiTheme="minorBidi" w:hAnsiTheme="minorBidi"/>
          <w:b/>
          <w:bCs/>
        </w:rPr>
      </w:pPr>
      <w:r w:rsidRPr="00564F2E">
        <w:rPr>
          <w:rFonts w:asciiTheme="minorBidi" w:hAnsiTheme="minorBidi"/>
          <w:b/>
          <w:bCs/>
        </w:rPr>
        <w:t>Conclusion</w:t>
      </w:r>
    </w:p>
    <w:p w14:paraId="21B4DC28" w14:textId="7DA15B71" w:rsidR="00507A8C" w:rsidRPr="00564F2E" w:rsidRDefault="00351B99" w:rsidP="00507A8C">
      <w:pPr>
        <w:spacing w:before="100" w:beforeAutospacing="1" w:line="360" w:lineRule="auto"/>
        <w:jc w:val="both"/>
        <w:rPr>
          <w:rFonts w:asciiTheme="minorBidi" w:hAnsiTheme="minorBidi"/>
        </w:rPr>
      </w:pPr>
      <w:r w:rsidRPr="00564F2E">
        <w:rPr>
          <w:rFonts w:asciiTheme="minorBidi" w:hAnsiTheme="minorBidi"/>
        </w:rPr>
        <w:t xml:space="preserve">This </w:t>
      </w:r>
      <w:r w:rsidR="00507A8C" w:rsidRPr="00564F2E">
        <w:rPr>
          <w:rFonts w:asciiTheme="minorBidi" w:hAnsiTheme="minorBidi"/>
        </w:rPr>
        <w:t>article examines how aging among Ethiopian-origin women in Israel is enacted as an ongoing practice across multiple domains of everyday life. Far from a passive stage of dependency, later life emerges as an active process of organizing relationships, obligations, and forms of participation across family, community, digital, and transnational arenas.</w:t>
      </w:r>
    </w:p>
    <w:p w14:paraId="06073B28" w14:textId="77777777" w:rsidR="00D71F39" w:rsidRPr="00564F2E" w:rsidRDefault="00D71F39" w:rsidP="00D71F39">
      <w:pPr>
        <w:spacing w:before="100" w:beforeAutospacing="1" w:line="360" w:lineRule="auto"/>
        <w:jc w:val="both"/>
        <w:rPr>
          <w:rFonts w:asciiTheme="minorBidi" w:hAnsiTheme="minorBidi"/>
        </w:rPr>
      </w:pPr>
      <w:r w:rsidRPr="00564F2E">
        <w:rPr>
          <w:rFonts w:asciiTheme="minorBidi" w:hAnsiTheme="minorBidi"/>
        </w:rPr>
        <w:t>The findings demonstrate that aging in migration is not a bounded or uniform life stage, but a distributed and relational process. By developing the concepts of social arenas, coordination, aging-in-motion, and integration-from-below, this study shows how later life is organized through coordinated participation across multiple domains of everyday life. Aging thus emerges not as a stage defined by withdrawal or institutional classification, but as an ongoing social process through which older migrants generate forms of belonging, participation, and integration that often remain invisible within formal frameworks.</w:t>
      </w:r>
    </w:p>
    <w:p w14:paraId="5DB28AB8" w14:textId="77777777" w:rsidR="00507A8C" w:rsidRPr="00564F2E" w:rsidRDefault="00507A8C" w:rsidP="00507A8C">
      <w:pPr>
        <w:spacing w:before="100" w:beforeAutospacing="1" w:line="360" w:lineRule="auto"/>
        <w:jc w:val="both"/>
        <w:rPr>
          <w:rFonts w:asciiTheme="minorBidi" w:hAnsiTheme="minorBidi"/>
        </w:rPr>
      </w:pPr>
      <w:r w:rsidRPr="00564F2E">
        <w:rPr>
          <w:rFonts w:asciiTheme="minorBidi" w:hAnsiTheme="minorBidi"/>
        </w:rPr>
        <w:t>While grounded in the Ethiopian-origin community in Israel, the analysis speaks to broader dynamics of aging in migration. It calls for a reconsideration of later life not as a territorially bounded or universally defined stage, but as an ongoing practice shaped through coordination and negotiation across multiple social domains.</w:t>
      </w:r>
    </w:p>
    <w:p w14:paraId="258091AF" w14:textId="77777777" w:rsidR="00507A8C" w:rsidRPr="00564F2E" w:rsidRDefault="00507A8C" w:rsidP="00507A8C">
      <w:pPr>
        <w:spacing w:before="100" w:beforeAutospacing="1" w:line="360" w:lineRule="auto"/>
        <w:jc w:val="both"/>
        <w:rPr>
          <w:rFonts w:asciiTheme="minorBidi" w:hAnsiTheme="minorBidi"/>
        </w:rPr>
      </w:pPr>
      <w:r w:rsidRPr="00564F2E">
        <w:rPr>
          <w:rFonts w:asciiTheme="minorBidi" w:hAnsiTheme="minorBidi"/>
        </w:rPr>
        <w:lastRenderedPageBreak/>
        <w:t>In this way, the study complements existing work on vulnerability and resilience by shifting attention to the everyday organization of aging across social arenas.</w:t>
      </w:r>
    </w:p>
    <w:p w14:paraId="77C1C9D0" w14:textId="77777777" w:rsidR="005B4E57" w:rsidRPr="00564F2E" w:rsidRDefault="005B4E57" w:rsidP="005B4E57">
      <w:pPr>
        <w:spacing w:before="100" w:beforeAutospacing="1" w:line="360" w:lineRule="auto"/>
        <w:jc w:val="both"/>
        <w:rPr>
          <w:rFonts w:asciiTheme="minorBidi" w:hAnsiTheme="minorBidi"/>
        </w:rPr>
      </w:pPr>
      <w:r w:rsidRPr="00564F2E">
        <w:rPr>
          <w:rFonts w:asciiTheme="minorBidi" w:hAnsiTheme="minorBidi"/>
        </w:rPr>
        <w:t>Ultimately, aging-in-motion captures later life as an ongoing process through which older women actively sustain families, communities, and diasporic social worlds across distance. Through these coordinated practices, they generate forms of integration-from-below that remain largely invisible within institutional frameworks, yet are central to the continuity of social life across borders.</w:t>
      </w:r>
    </w:p>
    <w:p w14:paraId="468F9817" w14:textId="523B85D2" w:rsidR="00F42F2A" w:rsidRPr="00564F2E" w:rsidRDefault="00F42F2A" w:rsidP="00B154B3">
      <w:pPr>
        <w:spacing w:before="100" w:beforeAutospacing="1" w:line="360" w:lineRule="auto"/>
        <w:jc w:val="both"/>
        <w:rPr>
          <w:rFonts w:asciiTheme="minorBidi" w:hAnsiTheme="minorBidi"/>
        </w:rPr>
      </w:pPr>
    </w:p>
    <w:p w14:paraId="2C2B1919" w14:textId="77777777" w:rsidR="003F2821" w:rsidRPr="00564F2E" w:rsidRDefault="003F2821" w:rsidP="00B154B3">
      <w:pPr>
        <w:spacing w:before="100" w:beforeAutospacing="1" w:line="360" w:lineRule="auto"/>
        <w:jc w:val="both"/>
        <w:rPr>
          <w:rFonts w:asciiTheme="minorBidi" w:hAnsiTheme="minorBidi"/>
        </w:rPr>
      </w:pPr>
    </w:p>
    <w:p w14:paraId="0D2CE73F" w14:textId="77777777" w:rsidR="003F2821" w:rsidRPr="00564F2E" w:rsidRDefault="003F2821" w:rsidP="00B154B3">
      <w:pPr>
        <w:spacing w:before="100" w:beforeAutospacing="1" w:line="360" w:lineRule="auto"/>
        <w:jc w:val="both"/>
        <w:rPr>
          <w:rFonts w:asciiTheme="minorBidi" w:hAnsiTheme="minorBidi"/>
        </w:rPr>
      </w:pPr>
    </w:p>
    <w:p w14:paraId="1369D30A" w14:textId="1A38E1F9" w:rsidR="003F2821" w:rsidRPr="00564F2E" w:rsidRDefault="003F2821" w:rsidP="00B154B3">
      <w:pPr>
        <w:spacing w:before="100" w:beforeAutospacing="1" w:line="360" w:lineRule="auto"/>
        <w:jc w:val="both"/>
        <w:rPr>
          <w:rFonts w:asciiTheme="minorBidi" w:hAnsiTheme="minorBidi"/>
          <w:b/>
          <w:bCs/>
        </w:rPr>
      </w:pPr>
      <w:r w:rsidRPr="00564F2E">
        <w:rPr>
          <w:rFonts w:asciiTheme="minorBidi" w:hAnsiTheme="minorBidi"/>
          <w:b/>
          <w:bCs/>
        </w:rPr>
        <w:t>References</w:t>
      </w:r>
    </w:p>
    <w:p w14:paraId="577C5738" w14:textId="128EC58D" w:rsidR="00C84200" w:rsidRPr="00564F2E" w:rsidRDefault="00575347" w:rsidP="00A65998">
      <w:pPr>
        <w:spacing w:before="100" w:beforeAutospacing="1" w:line="360" w:lineRule="auto"/>
        <w:jc w:val="both"/>
        <w:rPr>
          <w:rFonts w:asciiTheme="minorBidi" w:hAnsiTheme="minorBidi"/>
        </w:rPr>
      </w:pPr>
      <w:r w:rsidRPr="00564F2E">
        <w:rPr>
          <w:rFonts w:asciiTheme="minorBidi" w:hAnsiTheme="minorBidi"/>
        </w:rPr>
        <w:t>Ahmed, A. (2015). UK's elderly care and migration regimes. In </w:t>
      </w:r>
      <w:r w:rsidRPr="00564F2E">
        <w:rPr>
          <w:rFonts w:asciiTheme="minorBidi" w:hAnsiTheme="minorBidi"/>
          <w:i/>
          <w:iCs/>
        </w:rPr>
        <w:t>Ageing in contexts of migration</w:t>
      </w:r>
      <w:r w:rsidRPr="00564F2E">
        <w:rPr>
          <w:rFonts w:asciiTheme="minorBidi" w:hAnsiTheme="minorBidi"/>
        </w:rPr>
        <w:t> (pp. 56-66). Routledge.</w:t>
      </w:r>
    </w:p>
    <w:p w14:paraId="17770C0A" w14:textId="475E7469" w:rsidR="00575347" w:rsidRPr="00564F2E" w:rsidRDefault="00575347" w:rsidP="00A65998">
      <w:pPr>
        <w:spacing w:before="100" w:beforeAutospacing="1" w:line="360" w:lineRule="auto"/>
        <w:jc w:val="both"/>
        <w:rPr>
          <w:rFonts w:asciiTheme="minorBidi" w:hAnsiTheme="minorBidi"/>
        </w:rPr>
      </w:pPr>
      <w:r w:rsidRPr="00564F2E">
        <w:rPr>
          <w:rFonts w:asciiTheme="minorBidi" w:hAnsiTheme="minorBidi"/>
        </w:rPr>
        <w:t>Alebel, A. S., Bihonegn, A. A., &amp; Adamek, M. E. (2024). “It’s</w:t>
      </w:r>
      <w:r w:rsidR="009C4A7C" w:rsidRPr="00564F2E">
        <w:rPr>
          <w:rFonts w:asciiTheme="minorBidi" w:hAnsiTheme="minorBidi"/>
        </w:rPr>
        <w:t xml:space="preserve"> </w:t>
      </w:r>
      <w:r w:rsidRPr="00564F2E">
        <w:rPr>
          <w:rFonts w:asciiTheme="minorBidi" w:hAnsiTheme="minorBidi"/>
        </w:rPr>
        <w:t>a Period of Constant Loss”: Perspectives of Aging Among Older Adults in Gondar City, Ethiopia. </w:t>
      </w:r>
      <w:r w:rsidRPr="00564F2E">
        <w:rPr>
          <w:rFonts w:asciiTheme="minorBidi" w:hAnsiTheme="minorBidi"/>
          <w:i/>
          <w:iCs/>
        </w:rPr>
        <w:t>Journal of Human Rights and Social Work</w:t>
      </w:r>
      <w:r w:rsidRPr="00564F2E">
        <w:rPr>
          <w:rFonts w:asciiTheme="minorBidi" w:hAnsiTheme="minorBidi"/>
        </w:rPr>
        <w:t>, </w:t>
      </w:r>
      <w:r w:rsidRPr="00564F2E">
        <w:rPr>
          <w:rFonts w:asciiTheme="minorBidi" w:hAnsiTheme="minorBidi"/>
          <w:i/>
          <w:iCs/>
        </w:rPr>
        <w:t>9</w:t>
      </w:r>
      <w:r w:rsidRPr="00564F2E">
        <w:rPr>
          <w:rFonts w:asciiTheme="minorBidi" w:hAnsiTheme="minorBidi"/>
        </w:rPr>
        <w:t xml:space="preserve">(4), 576-585. </w:t>
      </w:r>
    </w:p>
    <w:p w14:paraId="5AF70F60" w14:textId="5CC86481" w:rsidR="00DB544E" w:rsidRPr="00564F2E" w:rsidRDefault="0056448D" w:rsidP="0056448D">
      <w:pPr>
        <w:spacing w:before="100" w:beforeAutospacing="1" w:line="360" w:lineRule="auto"/>
        <w:jc w:val="both"/>
        <w:rPr>
          <w:rFonts w:asciiTheme="minorBidi" w:hAnsiTheme="minorBidi"/>
        </w:rPr>
      </w:pPr>
      <w:r w:rsidRPr="00564F2E">
        <w:rPr>
          <w:rFonts w:asciiTheme="minorBidi" w:hAnsiTheme="minorBidi"/>
        </w:rPr>
        <w:t>Ayalon, L., Ulitsa, N., AboJabel, H., &amp; Engdau-Vanda, S. (2024). “We used to have four seasons, but now there is only one”: Perceptions concerning the changing climate and environment in a diverse sample of Israeli older persons. </w:t>
      </w:r>
      <w:r w:rsidRPr="00564F2E">
        <w:rPr>
          <w:rFonts w:asciiTheme="minorBidi" w:hAnsiTheme="minorBidi"/>
          <w:i/>
          <w:iCs/>
        </w:rPr>
        <w:t>Journal of Applied Gerontology</w:t>
      </w:r>
      <w:r w:rsidRPr="00564F2E">
        <w:rPr>
          <w:rFonts w:asciiTheme="minorBidi" w:hAnsiTheme="minorBidi"/>
        </w:rPr>
        <w:t>, </w:t>
      </w:r>
      <w:r w:rsidRPr="00564F2E">
        <w:rPr>
          <w:rFonts w:asciiTheme="minorBidi" w:hAnsiTheme="minorBidi"/>
          <w:i/>
          <w:iCs/>
        </w:rPr>
        <w:t>43</w:t>
      </w:r>
      <w:r w:rsidRPr="00564F2E">
        <w:rPr>
          <w:rFonts w:asciiTheme="minorBidi" w:hAnsiTheme="minorBidi"/>
        </w:rPr>
        <w:t>(5), 527-535.</w:t>
      </w:r>
      <w:r w:rsidRPr="00564F2E">
        <w:rPr>
          <w:rFonts w:asciiTheme="minorBidi" w:hAnsiTheme="minorBidi"/>
          <w:rtl/>
        </w:rPr>
        <w:t>‏</w:t>
      </w:r>
    </w:p>
    <w:p w14:paraId="3709208B" w14:textId="221840B4" w:rsidR="00C84200" w:rsidRPr="00564F2E" w:rsidRDefault="00575347" w:rsidP="00A65998">
      <w:pPr>
        <w:spacing w:before="100" w:beforeAutospacing="1" w:line="360" w:lineRule="auto"/>
        <w:jc w:val="both"/>
        <w:rPr>
          <w:rFonts w:asciiTheme="minorBidi" w:hAnsiTheme="minorBidi"/>
        </w:rPr>
      </w:pPr>
      <w:r w:rsidRPr="00564F2E">
        <w:rPr>
          <w:rFonts w:asciiTheme="minorBidi" w:hAnsiTheme="minorBidi"/>
        </w:rPr>
        <w:t>Baldassar, L. (2007). Transnational families and aged care: The mobility of care and the migrancy of ageing. </w:t>
      </w:r>
      <w:r w:rsidRPr="00564F2E">
        <w:rPr>
          <w:rFonts w:asciiTheme="minorBidi" w:hAnsiTheme="minorBidi"/>
          <w:i/>
          <w:iCs/>
        </w:rPr>
        <w:t>Journal of ethnic and migration studies</w:t>
      </w:r>
      <w:r w:rsidRPr="00564F2E">
        <w:rPr>
          <w:rFonts w:asciiTheme="minorBidi" w:hAnsiTheme="minorBidi"/>
        </w:rPr>
        <w:t>, </w:t>
      </w:r>
      <w:r w:rsidRPr="00564F2E">
        <w:rPr>
          <w:rFonts w:asciiTheme="minorBidi" w:hAnsiTheme="minorBidi"/>
          <w:i/>
          <w:iCs/>
        </w:rPr>
        <w:t>33</w:t>
      </w:r>
      <w:r w:rsidRPr="00564F2E">
        <w:rPr>
          <w:rFonts w:asciiTheme="minorBidi" w:hAnsiTheme="minorBidi"/>
        </w:rPr>
        <w:t>(2), 275-297.</w:t>
      </w:r>
    </w:p>
    <w:p w14:paraId="49CA776F" w14:textId="77777777" w:rsidR="00575347" w:rsidRPr="00564F2E" w:rsidRDefault="00575347" w:rsidP="00A65998">
      <w:pPr>
        <w:spacing w:before="100" w:beforeAutospacing="1" w:line="360" w:lineRule="auto"/>
        <w:jc w:val="both"/>
        <w:rPr>
          <w:rFonts w:asciiTheme="minorBidi" w:hAnsiTheme="minorBidi"/>
        </w:rPr>
      </w:pPr>
      <w:r w:rsidRPr="00564F2E">
        <w:rPr>
          <w:rFonts w:asciiTheme="minorBidi" w:hAnsiTheme="minorBidi"/>
        </w:rPr>
        <w:lastRenderedPageBreak/>
        <w:t>Baldassar, L., Kilkey, M., Merla, L., &amp; Wilding, R. (2014). Transnational families. </w:t>
      </w:r>
      <w:r w:rsidRPr="00564F2E">
        <w:rPr>
          <w:rFonts w:asciiTheme="minorBidi" w:hAnsiTheme="minorBidi"/>
          <w:i/>
          <w:iCs/>
        </w:rPr>
        <w:t>The Wiley Blackwell companion to the sociology of families</w:t>
      </w:r>
      <w:r w:rsidRPr="00564F2E">
        <w:rPr>
          <w:rFonts w:asciiTheme="minorBidi" w:hAnsiTheme="minorBidi"/>
        </w:rPr>
        <w:t>, 155-175.</w:t>
      </w:r>
    </w:p>
    <w:p w14:paraId="0DC15FB8" w14:textId="77777777" w:rsidR="00BA40F1" w:rsidRPr="00564F2E" w:rsidRDefault="00BA40F1" w:rsidP="00A65998">
      <w:pPr>
        <w:spacing w:before="100" w:beforeAutospacing="1" w:line="360" w:lineRule="auto"/>
        <w:jc w:val="both"/>
        <w:rPr>
          <w:rFonts w:asciiTheme="minorBidi" w:hAnsiTheme="minorBidi"/>
        </w:rPr>
      </w:pPr>
      <w:r w:rsidRPr="00564F2E">
        <w:rPr>
          <w:rFonts w:asciiTheme="minorBidi" w:hAnsiTheme="minorBidi"/>
        </w:rPr>
        <w:t>Baldassar, L., Nedelcu, M., Merla, L., &amp; Wilding, R. (2016). ICT-based co-presence in transnational families and communities: Challenging the premise of face-to-face proximity in sustaining relationships. </w:t>
      </w:r>
      <w:r w:rsidRPr="00564F2E">
        <w:rPr>
          <w:rFonts w:asciiTheme="minorBidi" w:hAnsiTheme="minorBidi"/>
          <w:i/>
          <w:iCs/>
        </w:rPr>
        <w:t>Global Networks</w:t>
      </w:r>
      <w:r w:rsidRPr="00564F2E">
        <w:rPr>
          <w:rFonts w:asciiTheme="minorBidi" w:hAnsiTheme="minorBidi"/>
        </w:rPr>
        <w:t>, </w:t>
      </w:r>
      <w:r w:rsidRPr="00564F2E">
        <w:rPr>
          <w:rFonts w:asciiTheme="minorBidi" w:hAnsiTheme="minorBidi"/>
          <w:i/>
          <w:iCs/>
        </w:rPr>
        <w:t>16</w:t>
      </w:r>
      <w:r w:rsidRPr="00564F2E">
        <w:rPr>
          <w:rFonts w:asciiTheme="minorBidi" w:hAnsiTheme="minorBidi"/>
        </w:rPr>
        <w:t xml:space="preserve">(2), 133-144. </w:t>
      </w:r>
    </w:p>
    <w:p w14:paraId="299CF092" w14:textId="77777777" w:rsidR="00973F36" w:rsidRPr="00564F2E" w:rsidRDefault="00973F36" w:rsidP="00A65998">
      <w:pPr>
        <w:spacing w:before="100" w:beforeAutospacing="1" w:line="360" w:lineRule="auto"/>
        <w:jc w:val="both"/>
        <w:rPr>
          <w:rFonts w:asciiTheme="minorBidi" w:hAnsiTheme="minorBidi"/>
        </w:rPr>
      </w:pPr>
      <w:r w:rsidRPr="00564F2E">
        <w:rPr>
          <w:rFonts w:asciiTheme="minorBidi" w:hAnsiTheme="minorBidi"/>
        </w:rPr>
        <w:t>Brubaker, R. (2005). The ‘diaspora’ diaspora. </w:t>
      </w:r>
      <w:r w:rsidRPr="00564F2E">
        <w:rPr>
          <w:rFonts w:asciiTheme="minorBidi" w:hAnsiTheme="minorBidi"/>
          <w:i/>
          <w:iCs/>
        </w:rPr>
        <w:t>Ethnic and Racial Studies</w:t>
      </w:r>
      <w:r w:rsidRPr="00564F2E">
        <w:rPr>
          <w:rFonts w:asciiTheme="minorBidi" w:hAnsiTheme="minorBidi"/>
        </w:rPr>
        <w:t>, </w:t>
      </w:r>
      <w:r w:rsidRPr="00564F2E">
        <w:rPr>
          <w:rFonts w:asciiTheme="minorBidi" w:hAnsiTheme="minorBidi"/>
          <w:i/>
          <w:iCs/>
        </w:rPr>
        <w:t>28</w:t>
      </w:r>
      <w:r w:rsidRPr="00564F2E">
        <w:rPr>
          <w:rFonts w:asciiTheme="minorBidi" w:hAnsiTheme="minorBidi"/>
        </w:rPr>
        <w:t>(1), 1–19. https://doi.org/10.1080/0141987042000289997</w:t>
      </w:r>
    </w:p>
    <w:p w14:paraId="3CA7415C" w14:textId="77777777" w:rsidR="00BA40F1" w:rsidRPr="00564F2E" w:rsidRDefault="00BA40F1" w:rsidP="00A65998">
      <w:pPr>
        <w:spacing w:before="100" w:beforeAutospacing="1" w:line="360" w:lineRule="auto"/>
        <w:jc w:val="both"/>
        <w:rPr>
          <w:rFonts w:asciiTheme="minorBidi" w:hAnsiTheme="minorBidi"/>
        </w:rPr>
      </w:pPr>
      <w:r w:rsidRPr="00564F2E">
        <w:rPr>
          <w:rFonts w:asciiTheme="minorBidi" w:hAnsiTheme="minorBidi"/>
        </w:rPr>
        <w:t>Ciobanu, R. O. (2021). Ageing in diverse societies. In </w:t>
      </w:r>
      <w:r w:rsidRPr="00564F2E">
        <w:rPr>
          <w:rFonts w:asciiTheme="minorBidi" w:hAnsiTheme="minorBidi"/>
          <w:i/>
          <w:iCs/>
        </w:rPr>
        <w:t>The future of diversity</w:t>
      </w:r>
      <w:r w:rsidRPr="00564F2E">
        <w:rPr>
          <w:rFonts w:asciiTheme="minorBidi" w:hAnsiTheme="minorBidi"/>
        </w:rPr>
        <w:t> (pp. 135-149). ILO, 2021.</w:t>
      </w:r>
    </w:p>
    <w:p w14:paraId="3649C2D4" w14:textId="2425AD49" w:rsidR="00BA40F1" w:rsidRPr="00564F2E" w:rsidRDefault="00BA40F1" w:rsidP="00A65998">
      <w:pPr>
        <w:spacing w:before="100" w:beforeAutospacing="1" w:line="360" w:lineRule="auto"/>
        <w:jc w:val="both"/>
        <w:rPr>
          <w:rFonts w:asciiTheme="minorBidi" w:hAnsiTheme="minorBidi"/>
        </w:rPr>
      </w:pPr>
      <w:r w:rsidRPr="00564F2E">
        <w:rPr>
          <w:rFonts w:asciiTheme="minorBidi" w:hAnsiTheme="minorBidi"/>
        </w:rPr>
        <w:t xml:space="preserve">Ciobanu, R. O., &amp; Bolzman, C. (2021). Contexts of migration and the use of welfare provisions: The case of </w:t>
      </w:r>
      <w:r w:rsidR="009C4A7C" w:rsidRPr="00564F2E">
        <w:rPr>
          <w:rFonts w:asciiTheme="minorBidi" w:hAnsiTheme="minorBidi"/>
        </w:rPr>
        <w:t>Romanian</w:t>
      </w:r>
      <w:r w:rsidRPr="00564F2E">
        <w:rPr>
          <w:rFonts w:asciiTheme="minorBidi" w:hAnsiTheme="minorBidi"/>
        </w:rPr>
        <w:t xml:space="preserve"> older migrants in </w:t>
      </w:r>
      <w:r w:rsidR="009C4A7C" w:rsidRPr="00564F2E">
        <w:rPr>
          <w:rFonts w:asciiTheme="minorBidi" w:hAnsiTheme="minorBidi"/>
        </w:rPr>
        <w:t>Switzerland</w:t>
      </w:r>
      <w:r w:rsidRPr="00564F2E">
        <w:rPr>
          <w:rFonts w:asciiTheme="minorBidi" w:hAnsiTheme="minorBidi"/>
        </w:rPr>
        <w:t>. In </w:t>
      </w:r>
      <w:r w:rsidRPr="00564F2E">
        <w:rPr>
          <w:rFonts w:asciiTheme="minorBidi" w:hAnsiTheme="minorBidi"/>
          <w:i/>
          <w:iCs/>
        </w:rPr>
        <w:t>Ageing and migration in a global context: challenges for welfare states</w:t>
      </w:r>
      <w:r w:rsidRPr="00564F2E">
        <w:rPr>
          <w:rFonts w:asciiTheme="minorBidi" w:hAnsiTheme="minorBidi"/>
        </w:rPr>
        <w:t> (pp. 81-96). Cham: Springer International Publishing.</w:t>
      </w:r>
    </w:p>
    <w:p w14:paraId="148A9124" w14:textId="23A4D0A6" w:rsidR="00A65998" w:rsidRPr="00564F2E" w:rsidRDefault="00A65998" w:rsidP="00A65998">
      <w:pPr>
        <w:spacing w:before="100" w:beforeAutospacing="1" w:line="360" w:lineRule="auto"/>
        <w:jc w:val="both"/>
        <w:rPr>
          <w:rFonts w:asciiTheme="minorBidi" w:hAnsiTheme="minorBidi"/>
        </w:rPr>
      </w:pPr>
      <w:r w:rsidRPr="00564F2E">
        <w:rPr>
          <w:rFonts w:asciiTheme="minorBidi" w:hAnsiTheme="minorBidi"/>
        </w:rPr>
        <w:t xml:space="preserve">Cohen, R. (2008). </w:t>
      </w:r>
      <w:r w:rsidRPr="00564F2E">
        <w:rPr>
          <w:rFonts w:asciiTheme="minorBidi" w:hAnsiTheme="minorBidi"/>
          <w:i/>
          <w:iCs/>
        </w:rPr>
        <w:t>Global diasporas: An introduction</w:t>
      </w:r>
      <w:r w:rsidRPr="00564F2E">
        <w:rPr>
          <w:rFonts w:asciiTheme="minorBidi" w:hAnsiTheme="minorBidi"/>
        </w:rPr>
        <w:t xml:space="preserve"> (2nd ed.). Routledge.</w:t>
      </w:r>
    </w:p>
    <w:p w14:paraId="28A8E56B" w14:textId="77777777" w:rsidR="00973F36" w:rsidRPr="00564F2E" w:rsidRDefault="00BA40F1" w:rsidP="00A65998">
      <w:pPr>
        <w:spacing w:before="100" w:beforeAutospacing="1" w:line="360" w:lineRule="auto"/>
        <w:jc w:val="both"/>
        <w:rPr>
          <w:rFonts w:asciiTheme="minorBidi" w:hAnsiTheme="minorBidi"/>
        </w:rPr>
      </w:pPr>
      <w:r w:rsidRPr="00564F2E">
        <w:rPr>
          <w:rFonts w:asciiTheme="minorBidi" w:hAnsiTheme="minorBidi"/>
        </w:rPr>
        <w:t>Bolzman, C., Fibbi, R., &amp; Vial, M. (2006). What to do after retirement? Elderly migrants and the question of return. </w:t>
      </w:r>
      <w:r w:rsidRPr="00564F2E">
        <w:rPr>
          <w:rFonts w:asciiTheme="minorBidi" w:hAnsiTheme="minorBidi"/>
          <w:i/>
          <w:iCs/>
        </w:rPr>
        <w:t>Journal of ethnic and migration studies</w:t>
      </w:r>
      <w:r w:rsidRPr="00564F2E">
        <w:rPr>
          <w:rFonts w:asciiTheme="minorBidi" w:hAnsiTheme="minorBidi"/>
        </w:rPr>
        <w:t>, </w:t>
      </w:r>
      <w:r w:rsidRPr="00564F2E">
        <w:rPr>
          <w:rFonts w:asciiTheme="minorBidi" w:hAnsiTheme="minorBidi"/>
          <w:i/>
          <w:iCs/>
        </w:rPr>
        <w:t>32</w:t>
      </w:r>
      <w:r w:rsidRPr="00564F2E">
        <w:rPr>
          <w:rFonts w:asciiTheme="minorBidi" w:hAnsiTheme="minorBidi"/>
        </w:rPr>
        <w:t>(8), 1359-1375.</w:t>
      </w:r>
    </w:p>
    <w:p w14:paraId="792DD02D" w14:textId="77777777" w:rsidR="007F2C81" w:rsidRPr="00564F2E" w:rsidRDefault="007F2C81" w:rsidP="00A65998">
      <w:pPr>
        <w:spacing w:before="100" w:beforeAutospacing="1" w:line="360" w:lineRule="auto"/>
        <w:jc w:val="both"/>
        <w:rPr>
          <w:rFonts w:asciiTheme="minorBidi" w:hAnsiTheme="minorBidi"/>
        </w:rPr>
      </w:pPr>
      <w:r w:rsidRPr="00564F2E">
        <w:rPr>
          <w:rFonts w:asciiTheme="minorBidi" w:hAnsiTheme="minorBidi"/>
        </w:rPr>
        <w:t>Brun, C. (2015). Active waiting and changing hopes: Toward a time perspective on protracted displacement. </w:t>
      </w:r>
      <w:r w:rsidRPr="00564F2E">
        <w:rPr>
          <w:rFonts w:asciiTheme="minorBidi" w:hAnsiTheme="minorBidi"/>
          <w:i/>
          <w:iCs/>
        </w:rPr>
        <w:t>Social analysis</w:t>
      </w:r>
      <w:r w:rsidRPr="00564F2E">
        <w:rPr>
          <w:rFonts w:asciiTheme="minorBidi" w:hAnsiTheme="minorBidi"/>
        </w:rPr>
        <w:t>, </w:t>
      </w:r>
      <w:r w:rsidRPr="00564F2E">
        <w:rPr>
          <w:rFonts w:asciiTheme="minorBidi" w:hAnsiTheme="minorBidi"/>
          <w:i/>
          <w:iCs/>
        </w:rPr>
        <w:t>59</w:t>
      </w:r>
      <w:r w:rsidRPr="00564F2E">
        <w:rPr>
          <w:rFonts w:asciiTheme="minorBidi" w:hAnsiTheme="minorBidi"/>
        </w:rPr>
        <w:t>(1), 19-37.</w:t>
      </w:r>
    </w:p>
    <w:p w14:paraId="69DF0E73" w14:textId="77777777" w:rsidR="007F55E4" w:rsidRPr="00564F2E" w:rsidRDefault="007F55E4" w:rsidP="007F55E4">
      <w:pPr>
        <w:spacing w:before="100" w:beforeAutospacing="1" w:line="360" w:lineRule="auto"/>
        <w:jc w:val="both"/>
        <w:rPr>
          <w:rFonts w:asciiTheme="minorBidi" w:hAnsiTheme="minorBidi"/>
        </w:rPr>
      </w:pPr>
      <w:r w:rsidRPr="00564F2E">
        <w:rPr>
          <w:rFonts w:asciiTheme="minorBidi" w:hAnsiTheme="minorBidi"/>
        </w:rPr>
        <w:t xml:space="preserve">Central Bureau of Statistics (2024). </w:t>
      </w:r>
      <w:r w:rsidRPr="00564F2E">
        <w:rPr>
          <w:rFonts w:asciiTheme="minorBidi" w:hAnsiTheme="minorBidi"/>
          <w:i/>
          <w:iCs/>
        </w:rPr>
        <w:t xml:space="preserve">Press release: The population of Ethiopian origin in Israel: Selected data </w:t>
      </w:r>
      <w:r w:rsidRPr="00564F2E">
        <w:rPr>
          <w:rFonts w:asciiTheme="minorBidi" w:hAnsiTheme="minorBidi"/>
        </w:rPr>
        <w:t xml:space="preserve">[Hebrew]. </w:t>
      </w:r>
      <w:hyperlink r:id="rId12" w:history="1">
        <w:r w:rsidRPr="00564F2E">
          <w:rPr>
            <w:rStyle w:val="Hyperlink"/>
            <w:rFonts w:asciiTheme="minorBidi" w:hAnsiTheme="minorBidi"/>
            <w:color w:val="auto"/>
          </w:rPr>
          <w:t>https://www.cbs.gov.il/he/mediarelease/DocLib/2024/371/11_24_371b.pdf</w:t>
        </w:r>
      </w:hyperlink>
    </w:p>
    <w:p w14:paraId="5341E387" w14:textId="1B9D3603" w:rsidR="00C84200" w:rsidRPr="00564F2E" w:rsidRDefault="00C84200" w:rsidP="00A65998">
      <w:pPr>
        <w:spacing w:before="100" w:beforeAutospacing="1" w:line="360" w:lineRule="auto"/>
        <w:jc w:val="both"/>
        <w:rPr>
          <w:rFonts w:asciiTheme="minorBidi" w:hAnsiTheme="minorBidi"/>
        </w:rPr>
      </w:pPr>
      <w:r w:rsidRPr="00564F2E">
        <w:rPr>
          <w:rFonts w:asciiTheme="minorBidi" w:hAnsiTheme="minorBidi"/>
        </w:rPr>
        <w:t>Ciobanu, R. O., &amp; Fokkema, T. (2021). What protects older Romanians in Switzerland from loneliness? A life-course perspective. European Journal of Ageing, 18(3), 323–331.</w:t>
      </w:r>
    </w:p>
    <w:p w14:paraId="527B75CE" w14:textId="77777777" w:rsidR="00405E88" w:rsidRPr="00564F2E" w:rsidRDefault="007F2C81" w:rsidP="00A65998">
      <w:pPr>
        <w:spacing w:before="100" w:beforeAutospacing="1" w:line="360" w:lineRule="auto"/>
        <w:jc w:val="both"/>
        <w:rPr>
          <w:rFonts w:asciiTheme="minorBidi" w:hAnsiTheme="minorBidi"/>
        </w:rPr>
      </w:pPr>
      <w:r w:rsidRPr="00564F2E">
        <w:rPr>
          <w:rFonts w:asciiTheme="minorBidi" w:hAnsiTheme="minorBidi"/>
        </w:rPr>
        <w:lastRenderedPageBreak/>
        <w:t>Clifford, J. (1994). Diasporas. </w:t>
      </w:r>
      <w:r w:rsidRPr="00564F2E">
        <w:rPr>
          <w:rFonts w:asciiTheme="minorBidi" w:hAnsiTheme="minorBidi"/>
          <w:i/>
          <w:iCs/>
        </w:rPr>
        <w:t>Cultural anthropology</w:t>
      </w:r>
      <w:r w:rsidRPr="00564F2E">
        <w:rPr>
          <w:rFonts w:asciiTheme="minorBidi" w:hAnsiTheme="minorBidi"/>
        </w:rPr>
        <w:t>, </w:t>
      </w:r>
      <w:r w:rsidRPr="00564F2E">
        <w:rPr>
          <w:rFonts w:asciiTheme="minorBidi" w:hAnsiTheme="minorBidi"/>
          <w:i/>
          <w:iCs/>
        </w:rPr>
        <w:t>9</w:t>
      </w:r>
      <w:r w:rsidRPr="00564F2E">
        <w:rPr>
          <w:rFonts w:asciiTheme="minorBidi" w:hAnsiTheme="minorBidi"/>
        </w:rPr>
        <w:t>(3), 302-338.</w:t>
      </w:r>
    </w:p>
    <w:p w14:paraId="4A25D036" w14:textId="69FB4B67" w:rsidR="00E553F7" w:rsidRPr="00564F2E" w:rsidRDefault="00416F07" w:rsidP="00416F07">
      <w:pPr>
        <w:spacing w:before="100" w:beforeAutospacing="1" w:line="360" w:lineRule="auto"/>
        <w:jc w:val="both"/>
        <w:rPr>
          <w:rFonts w:asciiTheme="minorBidi" w:hAnsiTheme="minorBidi"/>
        </w:rPr>
      </w:pPr>
      <w:r w:rsidRPr="00564F2E">
        <w:rPr>
          <w:rFonts w:asciiTheme="minorBidi" w:hAnsiTheme="minorBidi"/>
        </w:rPr>
        <w:t xml:space="preserve">Dolberg, P., Lev, S. (2025). “We try to help each other out”: Older immigrants’ perceptions of their support resources. </w:t>
      </w:r>
      <w:r w:rsidRPr="00564F2E">
        <w:rPr>
          <w:rFonts w:asciiTheme="minorBidi" w:hAnsiTheme="minorBidi"/>
          <w:i/>
          <w:iCs/>
        </w:rPr>
        <w:t>Journal of Aging Studies</w:t>
      </w:r>
      <w:r w:rsidRPr="00564F2E">
        <w:rPr>
          <w:rFonts w:asciiTheme="minorBidi" w:hAnsiTheme="minorBidi"/>
        </w:rPr>
        <w:t>, </w:t>
      </w:r>
      <w:r w:rsidRPr="00564F2E">
        <w:rPr>
          <w:rFonts w:asciiTheme="minorBidi" w:hAnsiTheme="minorBidi"/>
          <w:i/>
          <w:iCs/>
        </w:rPr>
        <w:t>73</w:t>
      </w:r>
      <w:r w:rsidRPr="00564F2E">
        <w:rPr>
          <w:rFonts w:asciiTheme="minorBidi" w:hAnsiTheme="minorBidi"/>
        </w:rPr>
        <w:t xml:space="preserve">. </w:t>
      </w:r>
      <w:hyperlink r:id="rId13" w:history="1">
        <w:r w:rsidRPr="00564F2E">
          <w:rPr>
            <w:rStyle w:val="Hyperlink"/>
            <w:rFonts w:asciiTheme="minorBidi" w:hAnsiTheme="minorBidi"/>
            <w:color w:val="auto"/>
          </w:rPr>
          <w:t>https://doi.org/10.1016/j.jaging.2025.101327</w:t>
        </w:r>
      </w:hyperlink>
    </w:p>
    <w:p w14:paraId="0FAD3BFC" w14:textId="55CD904D" w:rsidR="00E553F7" w:rsidRPr="00564F2E" w:rsidRDefault="00E553F7" w:rsidP="007F55E4">
      <w:pPr>
        <w:spacing w:before="100" w:beforeAutospacing="1" w:line="360" w:lineRule="auto"/>
        <w:jc w:val="both"/>
        <w:rPr>
          <w:rFonts w:asciiTheme="minorBidi" w:hAnsiTheme="minorBidi"/>
        </w:rPr>
      </w:pPr>
      <w:r w:rsidRPr="00564F2E">
        <w:rPr>
          <w:rFonts w:asciiTheme="minorBidi" w:hAnsiTheme="minorBidi"/>
        </w:rPr>
        <w:t>Dolberg, P., Lev, S. (2026). “You should rely on your own strengths”: Experiences and coping resources of older immigrants from the former Soviet Union in Israel during the COVID-19 pandemic.</w:t>
      </w:r>
      <w:r w:rsidRPr="00564F2E">
        <w:rPr>
          <w:rFonts w:asciiTheme="minorBidi" w:hAnsiTheme="minorBidi"/>
          <w:b/>
          <w:bCs/>
        </w:rPr>
        <w:t xml:space="preserve"> </w:t>
      </w:r>
      <w:r w:rsidRPr="00564F2E">
        <w:rPr>
          <w:rFonts w:asciiTheme="minorBidi" w:hAnsiTheme="minorBidi"/>
          <w:i/>
          <w:iCs/>
        </w:rPr>
        <w:t>Journal of International Migration and Integration</w:t>
      </w:r>
      <w:r w:rsidRPr="00564F2E">
        <w:rPr>
          <w:rFonts w:asciiTheme="minorBidi" w:hAnsiTheme="minorBidi"/>
        </w:rPr>
        <w:t>.</w:t>
      </w:r>
      <w:r w:rsidRPr="00564F2E">
        <w:rPr>
          <w:rFonts w:asciiTheme="minorBidi" w:hAnsiTheme="minorBidi"/>
          <w:b/>
          <w:bCs/>
        </w:rPr>
        <w:t xml:space="preserve"> </w:t>
      </w:r>
      <w:hyperlink r:id="rId14" w:tgtFrame="_blank" w:history="1">
        <w:r w:rsidRPr="00564F2E">
          <w:rPr>
            <w:rStyle w:val="Hyperlink"/>
            <w:rFonts w:asciiTheme="minorBidi" w:hAnsiTheme="minorBidi"/>
            <w:color w:val="auto"/>
          </w:rPr>
          <w:t>https://doi.org/10.1007/s12134-026-01374-1</w:t>
        </w:r>
      </w:hyperlink>
    </w:p>
    <w:p w14:paraId="35A4CBB9" w14:textId="77777777" w:rsidR="00344EAE" w:rsidRPr="00564F2E" w:rsidRDefault="00344EAE" w:rsidP="00A65998">
      <w:pPr>
        <w:spacing w:before="100" w:beforeAutospacing="1" w:line="360" w:lineRule="auto"/>
        <w:jc w:val="both"/>
        <w:rPr>
          <w:rFonts w:asciiTheme="minorBidi" w:hAnsiTheme="minorBidi"/>
        </w:rPr>
      </w:pPr>
    </w:p>
    <w:p w14:paraId="1F1CF0A0" w14:textId="4E9E49BB" w:rsidR="00D86718" w:rsidRPr="00564F2E" w:rsidRDefault="00D86718" w:rsidP="00D86718">
      <w:pPr>
        <w:spacing w:before="100" w:beforeAutospacing="1" w:line="360" w:lineRule="auto"/>
        <w:jc w:val="both"/>
        <w:rPr>
          <w:rFonts w:asciiTheme="minorBidi" w:hAnsiTheme="minorBidi"/>
        </w:rPr>
      </w:pPr>
      <w:r w:rsidRPr="00564F2E">
        <w:rPr>
          <w:rFonts w:asciiTheme="minorBidi" w:hAnsiTheme="minorBidi"/>
        </w:rPr>
        <w:t>Elbaz, H., Saphier, Y., Dolberg, P., Kučera, M., &amp; Kearns, P. B. (2026). Depressive Symptoms and Utilization of Mental Health Services among Older Israelis Across Population Groups. </w:t>
      </w:r>
      <w:r w:rsidRPr="00564F2E">
        <w:rPr>
          <w:rFonts w:asciiTheme="minorBidi" w:hAnsiTheme="minorBidi"/>
          <w:i/>
          <w:iCs/>
        </w:rPr>
        <w:t>Transcultural Psychiatry</w:t>
      </w:r>
      <w:r w:rsidRPr="00564F2E">
        <w:rPr>
          <w:rFonts w:asciiTheme="minorBidi" w:hAnsiTheme="minorBidi"/>
        </w:rPr>
        <w:t>, 13634615251409701.</w:t>
      </w:r>
      <w:r w:rsidRPr="00564F2E">
        <w:rPr>
          <w:rFonts w:asciiTheme="minorBidi" w:hAnsiTheme="minorBidi"/>
          <w:rtl/>
        </w:rPr>
        <w:t>‏</w:t>
      </w:r>
    </w:p>
    <w:p w14:paraId="23A87716" w14:textId="4BB5F8F7" w:rsidR="00973F36" w:rsidRPr="00564F2E" w:rsidRDefault="007F2C81" w:rsidP="00A65998">
      <w:pPr>
        <w:spacing w:before="100" w:beforeAutospacing="1" w:line="360" w:lineRule="auto"/>
        <w:jc w:val="both"/>
        <w:rPr>
          <w:rFonts w:asciiTheme="minorBidi" w:hAnsiTheme="minorBidi"/>
        </w:rPr>
      </w:pPr>
      <w:r w:rsidRPr="00564F2E">
        <w:rPr>
          <w:rFonts w:asciiTheme="minorBidi" w:hAnsiTheme="minorBidi"/>
        </w:rPr>
        <w:t>Gardner, K. (2020). </w:t>
      </w:r>
      <w:r w:rsidRPr="00564F2E">
        <w:rPr>
          <w:rFonts w:asciiTheme="minorBidi" w:hAnsiTheme="minorBidi"/>
          <w:i/>
          <w:iCs/>
        </w:rPr>
        <w:t>Age, narrative and migration: The life course and life histories of Bengali elders in London</w:t>
      </w:r>
      <w:r w:rsidRPr="00564F2E">
        <w:rPr>
          <w:rFonts w:asciiTheme="minorBidi" w:hAnsiTheme="minorBidi"/>
        </w:rPr>
        <w:t>. Routledge.</w:t>
      </w:r>
    </w:p>
    <w:p w14:paraId="08A968BA" w14:textId="77777777" w:rsidR="00973F36" w:rsidRPr="00564F2E" w:rsidRDefault="00973F36" w:rsidP="00A65998">
      <w:pPr>
        <w:spacing w:before="100" w:beforeAutospacing="1" w:line="360" w:lineRule="auto"/>
        <w:jc w:val="both"/>
        <w:rPr>
          <w:rFonts w:asciiTheme="minorBidi" w:hAnsiTheme="minorBidi"/>
        </w:rPr>
      </w:pPr>
      <w:r w:rsidRPr="00564F2E">
        <w:rPr>
          <w:rFonts w:asciiTheme="minorBidi" w:hAnsiTheme="minorBidi"/>
        </w:rPr>
        <w:t>Gebeyaw, G., Gashaw, S. D., Kasseye, E., &amp; Adamek, M. E. (2026). “Everything is Awful:” Experiences of Internally Displaced Older Adults During the Armed Conflict in Ethiopia. </w:t>
      </w:r>
      <w:r w:rsidRPr="00564F2E">
        <w:rPr>
          <w:rFonts w:asciiTheme="minorBidi" w:hAnsiTheme="minorBidi"/>
          <w:i/>
          <w:iCs/>
        </w:rPr>
        <w:t>Journal of Aging &amp; Social Policy</w:t>
      </w:r>
      <w:r w:rsidRPr="00564F2E">
        <w:rPr>
          <w:rFonts w:asciiTheme="minorBidi" w:hAnsiTheme="minorBidi"/>
        </w:rPr>
        <w:t>, </w:t>
      </w:r>
      <w:r w:rsidRPr="00564F2E">
        <w:rPr>
          <w:rFonts w:asciiTheme="minorBidi" w:hAnsiTheme="minorBidi"/>
          <w:i/>
          <w:iCs/>
        </w:rPr>
        <w:t>38</w:t>
      </w:r>
      <w:r w:rsidRPr="00564F2E">
        <w:rPr>
          <w:rFonts w:asciiTheme="minorBidi" w:hAnsiTheme="minorBidi"/>
        </w:rPr>
        <w:t xml:space="preserve">(1), 137-157. </w:t>
      </w:r>
    </w:p>
    <w:p w14:paraId="5300F324" w14:textId="3EB03336" w:rsidR="008404DE" w:rsidRPr="00564F2E" w:rsidRDefault="008404DE" w:rsidP="00A65998">
      <w:pPr>
        <w:spacing w:before="100" w:beforeAutospacing="1" w:line="360" w:lineRule="auto"/>
        <w:jc w:val="both"/>
        <w:rPr>
          <w:rFonts w:asciiTheme="minorBidi" w:hAnsiTheme="minorBidi"/>
        </w:rPr>
      </w:pPr>
      <w:r w:rsidRPr="00564F2E">
        <w:rPr>
          <w:rFonts w:asciiTheme="minorBidi" w:hAnsiTheme="minorBidi"/>
        </w:rPr>
        <w:t xml:space="preserve">Gebremichael, A., Teshome, A., Kotecho, M., &amp; Adamek, M. E. (2025). Reframing the image of older adults and advocating for their rights: The role of the older people's association in Ethiopia. </w:t>
      </w:r>
      <w:r w:rsidRPr="00564F2E">
        <w:rPr>
          <w:rFonts w:asciiTheme="minorBidi" w:hAnsiTheme="minorBidi"/>
          <w:i/>
          <w:iCs/>
        </w:rPr>
        <w:t>Working with Older People, 29</w:t>
      </w:r>
      <w:r w:rsidRPr="00564F2E">
        <w:rPr>
          <w:rFonts w:asciiTheme="minorBidi" w:hAnsiTheme="minorBidi"/>
        </w:rPr>
        <w:t xml:space="preserve">(2), 167–180. </w:t>
      </w:r>
    </w:p>
    <w:p w14:paraId="008A333D" w14:textId="77777777" w:rsidR="00405E88" w:rsidRPr="00564F2E" w:rsidRDefault="00405E88" w:rsidP="00A65998">
      <w:pPr>
        <w:spacing w:before="100" w:beforeAutospacing="1" w:line="360" w:lineRule="auto"/>
        <w:jc w:val="both"/>
        <w:rPr>
          <w:rFonts w:asciiTheme="minorBidi" w:hAnsiTheme="minorBidi"/>
        </w:rPr>
      </w:pPr>
      <w:r w:rsidRPr="00564F2E">
        <w:rPr>
          <w:rFonts w:asciiTheme="minorBidi" w:hAnsiTheme="minorBidi"/>
        </w:rPr>
        <w:t>Hage, G. (2009). Waiting out the crisis: On stuckedness and governmentality. </w:t>
      </w:r>
      <w:r w:rsidRPr="00564F2E">
        <w:rPr>
          <w:rFonts w:asciiTheme="minorBidi" w:hAnsiTheme="minorBidi"/>
          <w:i/>
          <w:iCs/>
        </w:rPr>
        <w:t>Anthropological theory</w:t>
      </w:r>
      <w:r w:rsidRPr="00564F2E">
        <w:rPr>
          <w:rFonts w:asciiTheme="minorBidi" w:hAnsiTheme="minorBidi"/>
        </w:rPr>
        <w:t>, </w:t>
      </w:r>
      <w:r w:rsidRPr="00564F2E">
        <w:rPr>
          <w:rFonts w:asciiTheme="minorBidi" w:hAnsiTheme="minorBidi"/>
          <w:i/>
          <w:iCs/>
        </w:rPr>
        <w:t>5</w:t>
      </w:r>
      <w:r w:rsidRPr="00564F2E">
        <w:rPr>
          <w:rFonts w:asciiTheme="minorBidi" w:hAnsiTheme="minorBidi"/>
        </w:rPr>
        <w:t>(1), 463-475.</w:t>
      </w:r>
    </w:p>
    <w:p w14:paraId="42C20C6B" w14:textId="6CE0A0EA" w:rsidR="007F2C81" w:rsidRPr="00564F2E" w:rsidRDefault="007F2C81" w:rsidP="00A65998">
      <w:pPr>
        <w:spacing w:before="100" w:beforeAutospacing="1" w:line="360" w:lineRule="auto"/>
        <w:jc w:val="both"/>
        <w:rPr>
          <w:rFonts w:asciiTheme="minorBidi" w:hAnsiTheme="minorBidi"/>
        </w:rPr>
      </w:pPr>
      <w:r w:rsidRPr="00564F2E">
        <w:rPr>
          <w:rFonts w:asciiTheme="minorBidi" w:hAnsiTheme="minorBidi"/>
        </w:rPr>
        <w:t>Hage, G. (2009). </w:t>
      </w:r>
      <w:r w:rsidRPr="00564F2E">
        <w:rPr>
          <w:rFonts w:asciiTheme="minorBidi" w:hAnsiTheme="minorBidi"/>
          <w:i/>
          <w:iCs/>
        </w:rPr>
        <w:t>Waiting</w:t>
      </w:r>
      <w:r w:rsidRPr="00564F2E">
        <w:rPr>
          <w:rFonts w:asciiTheme="minorBidi" w:hAnsiTheme="minorBidi"/>
        </w:rPr>
        <w:t>. Melbourne Univ. Publishing.</w:t>
      </w:r>
    </w:p>
    <w:p w14:paraId="7323B81B" w14:textId="77777777" w:rsidR="008404DE" w:rsidRPr="00564F2E" w:rsidRDefault="008404DE" w:rsidP="00A65998">
      <w:pPr>
        <w:spacing w:before="100" w:beforeAutospacing="1" w:line="360" w:lineRule="auto"/>
        <w:jc w:val="both"/>
        <w:rPr>
          <w:rFonts w:asciiTheme="minorBidi" w:hAnsiTheme="minorBidi"/>
        </w:rPr>
      </w:pPr>
      <w:r w:rsidRPr="00564F2E">
        <w:rPr>
          <w:rFonts w:asciiTheme="minorBidi" w:hAnsiTheme="minorBidi"/>
        </w:rPr>
        <w:lastRenderedPageBreak/>
        <w:t>Hawkins, M. M., Holliday, D. D., Weinhardt, L. S., Florsheim, P., Ngui, E., &amp; AbuZahra, T. (2022). Barriers and facilitators of health among older adult immigrants in the United States: an integrative review of 20 years of literature. </w:t>
      </w:r>
      <w:r w:rsidRPr="00564F2E">
        <w:rPr>
          <w:rFonts w:asciiTheme="minorBidi" w:hAnsiTheme="minorBidi"/>
          <w:i/>
          <w:iCs/>
        </w:rPr>
        <w:t>BMC Public Health</w:t>
      </w:r>
      <w:r w:rsidRPr="00564F2E">
        <w:rPr>
          <w:rFonts w:asciiTheme="minorBidi" w:hAnsiTheme="minorBidi"/>
        </w:rPr>
        <w:t>, </w:t>
      </w:r>
      <w:r w:rsidRPr="00564F2E">
        <w:rPr>
          <w:rFonts w:asciiTheme="minorBidi" w:hAnsiTheme="minorBidi"/>
          <w:i/>
          <w:iCs/>
        </w:rPr>
        <w:t>22</w:t>
      </w:r>
      <w:r w:rsidRPr="00564F2E">
        <w:rPr>
          <w:rFonts w:asciiTheme="minorBidi" w:hAnsiTheme="minorBidi"/>
        </w:rPr>
        <w:t xml:space="preserve">(1), 755. </w:t>
      </w:r>
    </w:p>
    <w:p w14:paraId="618C67EA" w14:textId="77777777" w:rsidR="00077417" w:rsidRPr="00564F2E" w:rsidRDefault="00077417" w:rsidP="00A65998">
      <w:pPr>
        <w:spacing w:before="100" w:beforeAutospacing="1" w:line="360" w:lineRule="auto"/>
        <w:jc w:val="both"/>
        <w:rPr>
          <w:rFonts w:asciiTheme="minorBidi" w:hAnsiTheme="minorBidi"/>
        </w:rPr>
      </w:pPr>
      <w:r w:rsidRPr="00564F2E">
        <w:rPr>
          <w:rFonts w:asciiTheme="minorBidi" w:hAnsiTheme="minorBidi"/>
        </w:rPr>
        <w:t>Hondagneu-Sotelo, P. (1994). </w:t>
      </w:r>
      <w:r w:rsidRPr="00564F2E">
        <w:rPr>
          <w:rFonts w:asciiTheme="minorBidi" w:hAnsiTheme="minorBidi"/>
          <w:i/>
          <w:iCs/>
        </w:rPr>
        <w:t>Gendered transitions: Mexican experiences of immigration</w:t>
      </w:r>
      <w:r w:rsidRPr="00564F2E">
        <w:rPr>
          <w:rFonts w:asciiTheme="minorBidi" w:hAnsiTheme="minorBidi"/>
        </w:rPr>
        <w:t>. Univ of California Press.</w:t>
      </w:r>
    </w:p>
    <w:p w14:paraId="66BE85A8" w14:textId="77777777" w:rsidR="00077417" w:rsidRPr="00564F2E" w:rsidRDefault="00077417" w:rsidP="00A65998">
      <w:pPr>
        <w:spacing w:before="100" w:beforeAutospacing="1" w:line="360" w:lineRule="auto"/>
        <w:jc w:val="both"/>
        <w:rPr>
          <w:rFonts w:asciiTheme="minorBidi" w:hAnsiTheme="minorBidi"/>
        </w:rPr>
      </w:pPr>
      <w:r w:rsidRPr="00564F2E">
        <w:rPr>
          <w:rFonts w:asciiTheme="minorBidi" w:hAnsiTheme="minorBidi"/>
        </w:rPr>
        <w:t>Horn, V., &amp; Schweppe, C. (2015). Introduction: Transnational aging current insights and future challenges. In </w:t>
      </w:r>
      <w:r w:rsidRPr="00564F2E">
        <w:rPr>
          <w:rFonts w:asciiTheme="minorBidi" w:hAnsiTheme="minorBidi"/>
          <w:i/>
          <w:iCs/>
        </w:rPr>
        <w:t>Transnational Aging</w:t>
      </w:r>
      <w:r w:rsidRPr="00564F2E">
        <w:rPr>
          <w:rFonts w:asciiTheme="minorBidi" w:hAnsiTheme="minorBidi"/>
        </w:rPr>
        <w:t> (pp. 1-16). Routledge.</w:t>
      </w:r>
    </w:p>
    <w:p w14:paraId="22ECFB76" w14:textId="77777777" w:rsidR="00F54C97" w:rsidRPr="00564F2E" w:rsidRDefault="00F54C97" w:rsidP="00A65998">
      <w:pPr>
        <w:spacing w:before="100" w:beforeAutospacing="1" w:line="360" w:lineRule="auto"/>
        <w:jc w:val="both"/>
        <w:rPr>
          <w:rFonts w:asciiTheme="minorBidi" w:hAnsiTheme="minorBidi"/>
        </w:rPr>
      </w:pPr>
      <w:r w:rsidRPr="00564F2E">
        <w:rPr>
          <w:rFonts w:asciiTheme="minorBidi" w:hAnsiTheme="minorBidi"/>
        </w:rPr>
        <w:t>Horn, V., &amp; Schweppe, C. (2017). Transnational aging: Toward a transnational perspective in old age research. </w:t>
      </w:r>
      <w:r w:rsidRPr="00564F2E">
        <w:rPr>
          <w:rFonts w:asciiTheme="minorBidi" w:hAnsiTheme="minorBidi"/>
          <w:i/>
          <w:iCs/>
        </w:rPr>
        <w:t>European Journal of Ageing</w:t>
      </w:r>
      <w:r w:rsidRPr="00564F2E">
        <w:rPr>
          <w:rFonts w:asciiTheme="minorBidi" w:hAnsiTheme="minorBidi"/>
        </w:rPr>
        <w:t>, </w:t>
      </w:r>
      <w:r w:rsidRPr="00564F2E">
        <w:rPr>
          <w:rFonts w:asciiTheme="minorBidi" w:hAnsiTheme="minorBidi"/>
          <w:i/>
          <w:iCs/>
        </w:rPr>
        <w:t>14</w:t>
      </w:r>
      <w:r w:rsidRPr="00564F2E">
        <w:rPr>
          <w:rFonts w:asciiTheme="minorBidi" w:hAnsiTheme="minorBidi"/>
        </w:rPr>
        <w:t>(4), 335-339.</w:t>
      </w:r>
    </w:p>
    <w:p w14:paraId="6C670E1E" w14:textId="77777777" w:rsidR="00405E88" w:rsidRPr="00564F2E" w:rsidRDefault="00405E88" w:rsidP="00A65998">
      <w:pPr>
        <w:spacing w:before="100" w:beforeAutospacing="1" w:line="360" w:lineRule="auto"/>
        <w:jc w:val="both"/>
        <w:rPr>
          <w:rFonts w:asciiTheme="minorBidi" w:hAnsiTheme="minorBidi"/>
        </w:rPr>
      </w:pPr>
      <w:r w:rsidRPr="00564F2E">
        <w:rPr>
          <w:rFonts w:asciiTheme="minorBidi" w:hAnsiTheme="minorBidi"/>
        </w:rPr>
        <w:t xml:space="preserve">Horn, V., &amp; Schweppe, C. (2020). </w:t>
      </w:r>
      <w:r w:rsidRPr="00564F2E">
        <w:rPr>
          <w:rFonts w:asciiTheme="minorBidi" w:hAnsiTheme="minorBidi"/>
          <w:i/>
          <w:iCs/>
        </w:rPr>
        <w:t>Häusliche Altenpflege in Zeiten von Corona: Erste Studienergebnisse</w:t>
      </w:r>
      <w:r w:rsidRPr="00564F2E">
        <w:rPr>
          <w:rFonts w:asciiTheme="minorBidi" w:hAnsiTheme="minorBidi"/>
        </w:rPr>
        <w:t xml:space="preserve">. Mainz: Johannes Gutenberg-Universität Mainz. </w:t>
      </w:r>
    </w:p>
    <w:p w14:paraId="4892ABE3" w14:textId="55EC7C3D" w:rsidR="00C84200" w:rsidRPr="00564F2E" w:rsidRDefault="00C84200" w:rsidP="00A65998">
      <w:pPr>
        <w:spacing w:before="100" w:beforeAutospacing="1" w:line="360" w:lineRule="auto"/>
        <w:jc w:val="both"/>
        <w:rPr>
          <w:rFonts w:asciiTheme="minorBidi" w:hAnsiTheme="minorBidi"/>
        </w:rPr>
      </w:pPr>
      <w:r w:rsidRPr="00564F2E">
        <w:rPr>
          <w:rFonts w:asciiTheme="minorBidi" w:hAnsiTheme="minorBidi"/>
        </w:rPr>
        <w:t xml:space="preserve">Ilgaz, A. (2023). Perceptions of older immigrants about health care in host countries: A narrative review. </w:t>
      </w:r>
      <w:r w:rsidRPr="00564F2E">
        <w:rPr>
          <w:rFonts w:asciiTheme="minorBidi" w:hAnsiTheme="minorBidi"/>
          <w:i/>
          <w:iCs/>
        </w:rPr>
        <w:t>Socialinė teorija, empirija, politika ir praktika, 27</w:t>
      </w:r>
      <w:r w:rsidRPr="00564F2E">
        <w:rPr>
          <w:rFonts w:asciiTheme="minorBidi" w:hAnsiTheme="minorBidi"/>
        </w:rPr>
        <w:t>, 100–120.</w:t>
      </w:r>
    </w:p>
    <w:p w14:paraId="578B9663" w14:textId="2DCCBAA3" w:rsidR="007F2C81" w:rsidRPr="00564F2E" w:rsidRDefault="007F2C81" w:rsidP="00A65998">
      <w:pPr>
        <w:spacing w:before="100" w:beforeAutospacing="1" w:line="360" w:lineRule="auto"/>
        <w:jc w:val="both"/>
        <w:rPr>
          <w:rFonts w:asciiTheme="minorBidi" w:hAnsiTheme="minorBidi"/>
        </w:rPr>
      </w:pPr>
      <w:r w:rsidRPr="00564F2E">
        <w:rPr>
          <w:rFonts w:asciiTheme="minorBidi" w:hAnsiTheme="minorBidi"/>
        </w:rPr>
        <w:t>Jeffrey, C. (2010). </w:t>
      </w:r>
      <w:r w:rsidRPr="00564F2E">
        <w:rPr>
          <w:rFonts w:asciiTheme="minorBidi" w:hAnsiTheme="minorBidi"/>
          <w:i/>
          <w:iCs/>
        </w:rPr>
        <w:t>Timepass: Youth, class, and the politics of waiting in India</w:t>
      </w:r>
      <w:r w:rsidRPr="00564F2E">
        <w:rPr>
          <w:rFonts w:asciiTheme="minorBidi" w:hAnsiTheme="minorBidi"/>
        </w:rPr>
        <w:t>. Stanford University Press.</w:t>
      </w:r>
    </w:p>
    <w:p w14:paraId="4588E0D5" w14:textId="6B7B72C5" w:rsidR="007F2C81" w:rsidRPr="00564F2E" w:rsidRDefault="007F2C81" w:rsidP="00A65998">
      <w:pPr>
        <w:spacing w:before="100" w:beforeAutospacing="1" w:line="360" w:lineRule="auto"/>
        <w:jc w:val="both"/>
        <w:rPr>
          <w:rFonts w:asciiTheme="minorBidi" w:hAnsiTheme="minorBidi"/>
        </w:rPr>
      </w:pPr>
      <w:r w:rsidRPr="00564F2E">
        <w:rPr>
          <w:rFonts w:asciiTheme="minorBidi" w:hAnsiTheme="minorBidi"/>
        </w:rPr>
        <w:t>Janeja, M. K., &amp; Bandak, A. (Eds.). (2018). </w:t>
      </w:r>
      <w:r w:rsidRPr="00564F2E">
        <w:rPr>
          <w:rFonts w:asciiTheme="minorBidi" w:hAnsiTheme="minorBidi"/>
          <w:i/>
          <w:iCs/>
        </w:rPr>
        <w:t>Ethnographies of waiting: Doubt, hope and uncertainty</w:t>
      </w:r>
      <w:r w:rsidRPr="00564F2E">
        <w:rPr>
          <w:rFonts w:asciiTheme="minorBidi" w:hAnsiTheme="minorBidi"/>
        </w:rPr>
        <w:t>. Bloomsbury Publishing.</w:t>
      </w:r>
    </w:p>
    <w:p w14:paraId="20E21F2F" w14:textId="77777777" w:rsidR="00405E88" w:rsidRPr="00564F2E" w:rsidRDefault="00405E88" w:rsidP="00A65998">
      <w:pPr>
        <w:spacing w:before="100" w:beforeAutospacing="1" w:line="360" w:lineRule="auto"/>
        <w:jc w:val="both"/>
        <w:rPr>
          <w:rFonts w:asciiTheme="minorBidi" w:hAnsiTheme="minorBidi"/>
        </w:rPr>
      </w:pPr>
      <w:r w:rsidRPr="00564F2E">
        <w:rPr>
          <w:rFonts w:asciiTheme="minorBidi" w:hAnsiTheme="minorBidi"/>
        </w:rPr>
        <w:t>Kaplan, S., &amp; Salamon, H. (2004). Ethiopian Jews in Israel: A part of the people or apart from the people. </w:t>
      </w:r>
      <w:r w:rsidRPr="00564F2E">
        <w:rPr>
          <w:rFonts w:asciiTheme="minorBidi" w:hAnsiTheme="minorBidi"/>
          <w:i/>
          <w:iCs/>
        </w:rPr>
        <w:t>Jews in Israel: Contemporary social and cultural patterns</w:t>
      </w:r>
      <w:r w:rsidRPr="00564F2E">
        <w:rPr>
          <w:rFonts w:asciiTheme="minorBidi" w:hAnsiTheme="minorBidi"/>
        </w:rPr>
        <w:t>, 118-48.</w:t>
      </w:r>
    </w:p>
    <w:p w14:paraId="55D9C5DD" w14:textId="081175D5" w:rsidR="00F54C97" w:rsidRPr="00564F2E" w:rsidRDefault="00F54C97" w:rsidP="00A65998">
      <w:pPr>
        <w:spacing w:before="100" w:beforeAutospacing="1" w:line="360" w:lineRule="auto"/>
        <w:jc w:val="both"/>
        <w:rPr>
          <w:rFonts w:asciiTheme="minorBidi" w:hAnsiTheme="minorBidi"/>
        </w:rPr>
      </w:pPr>
      <w:r w:rsidRPr="00564F2E">
        <w:rPr>
          <w:rFonts w:asciiTheme="minorBidi" w:hAnsiTheme="minorBidi"/>
        </w:rPr>
        <w:t>Torres, S., &amp; Karl, U. (2015). A migration lens on inquiries into ageing, old age and elderly care: Carving a space while assessing the state of affairs. </w:t>
      </w:r>
      <w:r w:rsidRPr="00564F2E">
        <w:rPr>
          <w:rFonts w:asciiTheme="minorBidi" w:hAnsiTheme="minorBidi"/>
          <w:i/>
          <w:iCs/>
        </w:rPr>
        <w:t>Ageing in contexts of migration</w:t>
      </w:r>
      <w:r w:rsidRPr="00564F2E">
        <w:rPr>
          <w:rFonts w:asciiTheme="minorBidi" w:hAnsiTheme="minorBidi"/>
        </w:rPr>
        <w:t>, 1-12.</w:t>
      </w:r>
    </w:p>
    <w:p w14:paraId="0588233E" w14:textId="0DFA4946" w:rsidR="00C84200" w:rsidRPr="00564F2E" w:rsidRDefault="00C84200" w:rsidP="00A65998">
      <w:pPr>
        <w:spacing w:before="100" w:beforeAutospacing="1" w:line="360" w:lineRule="auto"/>
        <w:jc w:val="both"/>
        <w:rPr>
          <w:rFonts w:asciiTheme="minorBidi" w:hAnsiTheme="minorBidi"/>
        </w:rPr>
      </w:pPr>
      <w:r w:rsidRPr="00564F2E">
        <w:rPr>
          <w:rFonts w:asciiTheme="minorBidi" w:hAnsiTheme="minorBidi"/>
        </w:rPr>
        <w:lastRenderedPageBreak/>
        <w:t>King, R., Cela, E., Fokkema, T., &amp; Vullnetari, J. (2014). The migration and well-being of the zero generation: Transgenerational care, grandparenting, and loneliness amongst Albanian older people. Population, Space and Place, 20, 728–738.</w:t>
      </w:r>
    </w:p>
    <w:p w14:paraId="2B6101D0" w14:textId="77777777" w:rsidR="00F54C97" w:rsidRPr="00564F2E" w:rsidRDefault="00F54C97" w:rsidP="00A65998">
      <w:pPr>
        <w:spacing w:before="100" w:beforeAutospacing="1" w:line="360" w:lineRule="auto"/>
        <w:jc w:val="both"/>
        <w:rPr>
          <w:rFonts w:asciiTheme="minorBidi" w:hAnsiTheme="minorBidi"/>
        </w:rPr>
      </w:pPr>
      <w:r w:rsidRPr="00564F2E">
        <w:rPr>
          <w:rFonts w:asciiTheme="minorBidi" w:hAnsiTheme="minorBidi"/>
        </w:rPr>
        <w:t>King, R., Lulle, A., Sampaio, D., &amp; Vullnetari, J. (2020). Unpacking the ageing–migration nexus and challenging the vulnerability trope. In </w:t>
      </w:r>
      <w:r w:rsidRPr="00564F2E">
        <w:rPr>
          <w:rFonts w:asciiTheme="minorBidi" w:hAnsiTheme="minorBidi"/>
          <w:i/>
          <w:iCs/>
        </w:rPr>
        <w:t>Ageing as a Migrant</w:t>
      </w:r>
      <w:r w:rsidRPr="00564F2E">
        <w:rPr>
          <w:rFonts w:asciiTheme="minorBidi" w:hAnsiTheme="minorBidi"/>
        </w:rPr>
        <w:t xml:space="preserve"> (pp. 19-35). Routledge. </w:t>
      </w:r>
    </w:p>
    <w:p w14:paraId="5B9B4139" w14:textId="77777777" w:rsidR="00F54C97" w:rsidRPr="00564F2E" w:rsidRDefault="00F54C97" w:rsidP="00A65998">
      <w:pPr>
        <w:spacing w:before="100" w:beforeAutospacing="1" w:line="360" w:lineRule="auto"/>
        <w:jc w:val="both"/>
        <w:rPr>
          <w:rFonts w:asciiTheme="minorBidi" w:hAnsiTheme="minorBidi"/>
        </w:rPr>
      </w:pPr>
      <w:r w:rsidRPr="00564F2E">
        <w:rPr>
          <w:rFonts w:asciiTheme="minorBidi" w:hAnsiTheme="minorBidi"/>
        </w:rPr>
        <w:t>King, R., Cela, E., &amp; Fokkema, T. (2021). New frontiers in international retirement migration. </w:t>
      </w:r>
      <w:r w:rsidRPr="00564F2E">
        <w:rPr>
          <w:rFonts w:asciiTheme="minorBidi" w:hAnsiTheme="minorBidi"/>
          <w:i/>
          <w:iCs/>
        </w:rPr>
        <w:t>Ageing &amp; Society</w:t>
      </w:r>
      <w:r w:rsidRPr="00564F2E">
        <w:rPr>
          <w:rFonts w:asciiTheme="minorBidi" w:hAnsiTheme="minorBidi"/>
        </w:rPr>
        <w:t>, </w:t>
      </w:r>
      <w:r w:rsidRPr="00564F2E">
        <w:rPr>
          <w:rFonts w:asciiTheme="minorBidi" w:hAnsiTheme="minorBidi"/>
          <w:i/>
          <w:iCs/>
        </w:rPr>
        <w:t>41</w:t>
      </w:r>
      <w:r w:rsidRPr="00564F2E">
        <w:rPr>
          <w:rFonts w:asciiTheme="minorBidi" w:hAnsiTheme="minorBidi"/>
        </w:rPr>
        <w:t>(6), 1205-1220.</w:t>
      </w:r>
    </w:p>
    <w:p w14:paraId="5A1DAB7F" w14:textId="70CF4BC9" w:rsidR="00C84200" w:rsidRPr="00564F2E" w:rsidRDefault="00C84200" w:rsidP="00A65998">
      <w:pPr>
        <w:spacing w:before="100" w:beforeAutospacing="1" w:line="360" w:lineRule="auto"/>
        <w:jc w:val="both"/>
        <w:rPr>
          <w:rFonts w:asciiTheme="minorBidi" w:hAnsiTheme="minorBidi"/>
        </w:rPr>
      </w:pPr>
      <w:r w:rsidRPr="00564F2E">
        <w:rPr>
          <w:rFonts w:asciiTheme="minorBidi" w:hAnsiTheme="minorBidi"/>
        </w:rPr>
        <w:t>Klokgieters, S. S., Van Tilburg, T. G., Deeg, D. J., &amp; Huisman, M. (2020). The linkage between aging, migration, and resilience: Resilience in the life of older Turkish and Moroccan immigrants. The Journals of Gerontology: Series B, 75(5), 1113–1123.</w:t>
      </w:r>
    </w:p>
    <w:p w14:paraId="02D5C5F8" w14:textId="77777777" w:rsidR="00F54C97" w:rsidRPr="00564F2E" w:rsidRDefault="00F54C97" w:rsidP="00A65998">
      <w:pPr>
        <w:spacing w:before="100" w:beforeAutospacing="1" w:line="360" w:lineRule="auto"/>
        <w:jc w:val="both"/>
        <w:rPr>
          <w:rFonts w:asciiTheme="minorBidi" w:hAnsiTheme="minorBidi"/>
        </w:rPr>
      </w:pPr>
      <w:r w:rsidRPr="00564F2E">
        <w:rPr>
          <w:rFonts w:asciiTheme="minorBidi" w:hAnsiTheme="minorBidi"/>
        </w:rPr>
        <w:t>Lamb, S. E. (Ed.). (2009). </w:t>
      </w:r>
      <w:r w:rsidRPr="00564F2E">
        <w:rPr>
          <w:rFonts w:asciiTheme="minorBidi" w:hAnsiTheme="minorBidi"/>
          <w:i/>
          <w:iCs/>
        </w:rPr>
        <w:t>Aging and the Indian diaspora: Cosmopolitan families in India and abroad</w:t>
      </w:r>
      <w:r w:rsidRPr="00564F2E">
        <w:rPr>
          <w:rFonts w:asciiTheme="minorBidi" w:hAnsiTheme="minorBidi"/>
        </w:rPr>
        <w:t>. Indiana University Press.</w:t>
      </w:r>
    </w:p>
    <w:p w14:paraId="5B4B7C62" w14:textId="77777777" w:rsidR="00F54C97" w:rsidRPr="00564F2E" w:rsidRDefault="00F54C97" w:rsidP="00A65998">
      <w:pPr>
        <w:spacing w:before="100" w:beforeAutospacing="1" w:line="360" w:lineRule="auto"/>
        <w:jc w:val="both"/>
        <w:rPr>
          <w:rFonts w:asciiTheme="minorBidi" w:hAnsiTheme="minorBidi"/>
        </w:rPr>
      </w:pPr>
      <w:r w:rsidRPr="00564F2E">
        <w:rPr>
          <w:rFonts w:asciiTheme="minorBidi" w:hAnsiTheme="minorBidi"/>
        </w:rPr>
        <w:t>Levitt, P., &amp; Schiller, N. G. (2004). Conceptualizing simultaneity: A transnational social field perspective on society. </w:t>
      </w:r>
      <w:r w:rsidRPr="00564F2E">
        <w:rPr>
          <w:rFonts w:asciiTheme="minorBidi" w:hAnsiTheme="minorBidi"/>
          <w:i/>
          <w:iCs/>
        </w:rPr>
        <w:t>International migration review</w:t>
      </w:r>
      <w:r w:rsidRPr="00564F2E">
        <w:rPr>
          <w:rFonts w:asciiTheme="minorBidi" w:hAnsiTheme="minorBidi"/>
        </w:rPr>
        <w:t>, </w:t>
      </w:r>
      <w:r w:rsidRPr="00564F2E">
        <w:rPr>
          <w:rFonts w:asciiTheme="minorBidi" w:hAnsiTheme="minorBidi"/>
          <w:i/>
          <w:iCs/>
        </w:rPr>
        <w:t>38</w:t>
      </w:r>
      <w:r w:rsidRPr="00564F2E">
        <w:rPr>
          <w:rFonts w:asciiTheme="minorBidi" w:hAnsiTheme="minorBidi"/>
        </w:rPr>
        <w:t>(3), 1002-1039.</w:t>
      </w:r>
    </w:p>
    <w:p w14:paraId="4623F4E5" w14:textId="77777777" w:rsidR="00F25A9E" w:rsidRPr="00564F2E" w:rsidRDefault="00F25A9E" w:rsidP="00A65998">
      <w:pPr>
        <w:spacing w:before="100" w:beforeAutospacing="1" w:line="360" w:lineRule="auto"/>
        <w:jc w:val="both"/>
        <w:rPr>
          <w:rFonts w:asciiTheme="minorBidi" w:hAnsiTheme="minorBidi"/>
        </w:rPr>
      </w:pPr>
      <w:r w:rsidRPr="00564F2E">
        <w:rPr>
          <w:rFonts w:asciiTheme="minorBidi" w:hAnsiTheme="minorBidi"/>
        </w:rPr>
        <w:t>Lutz, H. (2018). Care migration: The connectivity between care chains, care circulation and transnational social inequality. </w:t>
      </w:r>
      <w:r w:rsidRPr="00564F2E">
        <w:rPr>
          <w:rFonts w:asciiTheme="minorBidi" w:hAnsiTheme="minorBidi"/>
          <w:i/>
          <w:iCs/>
        </w:rPr>
        <w:t>Current Sociology</w:t>
      </w:r>
      <w:r w:rsidRPr="00564F2E">
        <w:rPr>
          <w:rFonts w:asciiTheme="minorBidi" w:hAnsiTheme="minorBidi"/>
        </w:rPr>
        <w:t>, </w:t>
      </w:r>
      <w:r w:rsidRPr="00564F2E">
        <w:rPr>
          <w:rFonts w:asciiTheme="minorBidi" w:hAnsiTheme="minorBidi"/>
          <w:i/>
          <w:iCs/>
        </w:rPr>
        <w:t>66</w:t>
      </w:r>
      <w:r w:rsidRPr="00564F2E">
        <w:rPr>
          <w:rFonts w:asciiTheme="minorBidi" w:hAnsiTheme="minorBidi"/>
        </w:rPr>
        <w:t>(4), 577-589.</w:t>
      </w:r>
    </w:p>
    <w:p w14:paraId="652E290E" w14:textId="77777777" w:rsidR="00F25A9E" w:rsidRPr="00564F2E" w:rsidRDefault="00F25A9E" w:rsidP="00A65998">
      <w:pPr>
        <w:spacing w:before="100" w:beforeAutospacing="1" w:line="360" w:lineRule="auto"/>
        <w:jc w:val="both"/>
        <w:rPr>
          <w:rFonts w:asciiTheme="minorBidi" w:hAnsiTheme="minorBidi"/>
        </w:rPr>
      </w:pPr>
      <w:r w:rsidRPr="00564F2E">
        <w:rPr>
          <w:rFonts w:asciiTheme="minorBidi" w:hAnsiTheme="minorBidi"/>
        </w:rPr>
        <w:t>Parreñas, R. S. (2001). Mothering from a distance: Emotions, gender, and intergenerational relations in Filipino transnational families. </w:t>
      </w:r>
      <w:r w:rsidRPr="00564F2E">
        <w:rPr>
          <w:rFonts w:asciiTheme="minorBidi" w:hAnsiTheme="minorBidi"/>
          <w:i/>
          <w:iCs/>
        </w:rPr>
        <w:t>Feminist studies</w:t>
      </w:r>
      <w:r w:rsidRPr="00564F2E">
        <w:rPr>
          <w:rFonts w:asciiTheme="minorBidi" w:hAnsiTheme="minorBidi"/>
        </w:rPr>
        <w:t>, </w:t>
      </w:r>
      <w:r w:rsidRPr="00564F2E">
        <w:rPr>
          <w:rFonts w:asciiTheme="minorBidi" w:hAnsiTheme="minorBidi"/>
          <w:i/>
          <w:iCs/>
        </w:rPr>
        <w:t>27</w:t>
      </w:r>
      <w:r w:rsidRPr="00564F2E">
        <w:rPr>
          <w:rFonts w:asciiTheme="minorBidi" w:hAnsiTheme="minorBidi"/>
        </w:rPr>
        <w:t>(2), 361-390.</w:t>
      </w:r>
    </w:p>
    <w:p w14:paraId="783BADEA" w14:textId="77777777" w:rsidR="00405E88" w:rsidRPr="00564F2E" w:rsidRDefault="00F25A9E" w:rsidP="00A65998">
      <w:pPr>
        <w:spacing w:before="100" w:beforeAutospacing="1" w:line="360" w:lineRule="auto"/>
        <w:jc w:val="both"/>
        <w:rPr>
          <w:rFonts w:asciiTheme="minorBidi" w:hAnsiTheme="minorBidi"/>
        </w:rPr>
      </w:pPr>
      <w:r w:rsidRPr="00564F2E">
        <w:rPr>
          <w:rFonts w:asciiTheme="minorBidi" w:hAnsiTheme="minorBidi"/>
        </w:rPr>
        <w:t>Phillipson, C. (2013). </w:t>
      </w:r>
      <w:r w:rsidRPr="00564F2E">
        <w:rPr>
          <w:rFonts w:asciiTheme="minorBidi" w:hAnsiTheme="minorBidi"/>
          <w:i/>
          <w:iCs/>
        </w:rPr>
        <w:t>Ageing</w:t>
      </w:r>
      <w:r w:rsidRPr="00564F2E">
        <w:rPr>
          <w:rFonts w:asciiTheme="minorBidi" w:hAnsiTheme="minorBidi"/>
        </w:rPr>
        <w:t>. John Wiley &amp; Sons.</w:t>
      </w:r>
    </w:p>
    <w:p w14:paraId="11A1DDF4" w14:textId="77777777" w:rsidR="007F55E4" w:rsidRPr="00564F2E" w:rsidRDefault="007F55E4" w:rsidP="007F55E4">
      <w:pPr>
        <w:spacing w:before="100" w:beforeAutospacing="1" w:line="360" w:lineRule="auto"/>
        <w:jc w:val="both"/>
        <w:rPr>
          <w:rFonts w:asciiTheme="minorBidi" w:hAnsiTheme="minorBidi"/>
        </w:rPr>
      </w:pPr>
      <w:r w:rsidRPr="00564F2E">
        <w:rPr>
          <w:rFonts w:asciiTheme="minorBidi" w:hAnsiTheme="minorBidi"/>
        </w:rPr>
        <w:lastRenderedPageBreak/>
        <w:t xml:space="preserve">Salamon, H., &amp; Kaplan, S. (2024). Ethiopian Jews in Israeli society. In P. R. Kumaraswamy (Ed.), </w:t>
      </w:r>
      <w:r w:rsidRPr="00564F2E">
        <w:rPr>
          <w:rFonts w:asciiTheme="minorBidi" w:hAnsiTheme="minorBidi"/>
          <w:i/>
          <w:iCs/>
        </w:rPr>
        <w:t>The Palgrave international handbook of Israel</w:t>
      </w:r>
      <w:r w:rsidRPr="00564F2E">
        <w:rPr>
          <w:rFonts w:asciiTheme="minorBidi" w:hAnsiTheme="minorBidi"/>
        </w:rPr>
        <w:t xml:space="preserve"> (pp. 1–20). Palgrave Macmillan. </w:t>
      </w:r>
      <w:hyperlink r:id="rId15" w:history="1">
        <w:r w:rsidRPr="00564F2E">
          <w:rPr>
            <w:rStyle w:val="Hyperlink"/>
            <w:rFonts w:asciiTheme="minorBidi" w:hAnsiTheme="minorBidi"/>
            <w:color w:val="auto"/>
          </w:rPr>
          <w:t>https://doi.org/10.1007/978-981-16-2717-0_95-1</w:t>
        </w:r>
      </w:hyperlink>
    </w:p>
    <w:p w14:paraId="628FEF19" w14:textId="77777777" w:rsidR="00405E88" w:rsidRPr="00564F2E" w:rsidRDefault="00405E88" w:rsidP="00A65998">
      <w:pPr>
        <w:spacing w:before="100" w:beforeAutospacing="1" w:line="360" w:lineRule="auto"/>
        <w:jc w:val="both"/>
        <w:rPr>
          <w:rFonts w:asciiTheme="minorBidi" w:hAnsiTheme="minorBidi"/>
        </w:rPr>
      </w:pPr>
      <w:r w:rsidRPr="00564F2E">
        <w:rPr>
          <w:rFonts w:asciiTheme="minorBidi" w:hAnsiTheme="minorBidi"/>
        </w:rPr>
        <w:t>Seeman, D. (2009). </w:t>
      </w:r>
      <w:r w:rsidRPr="00564F2E">
        <w:rPr>
          <w:rFonts w:asciiTheme="minorBidi" w:hAnsiTheme="minorBidi"/>
          <w:i/>
          <w:iCs/>
        </w:rPr>
        <w:t>One people, one blood: Ethiopian-Israelis and the return to Judaism</w:t>
      </w:r>
      <w:r w:rsidRPr="00564F2E">
        <w:rPr>
          <w:rFonts w:asciiTheme="minorBidi" w:hAnsiTheme="minorBidi"/>
        </w:rPr>
        <w:t>. Rutgers University Press.</w:t>
      </w:r>
    </w:p>
    <w:p w14:paraId="74595AC2" w14:textId="77777777" w:rsidR="00096F9F" w:rsidRPr="00564F2E" w:rsidRDefault="00F25A9E" w:rsidP="006A6EC3">
      <w:pPr>
        <w:spacing w:before="100" w:beforeAutospacing="1" w:line="360" w:lineRule="auto"/>
        <w:jc w:val="both"/>
        <w:rPr>
          <w:rFonts w:asciiTheme="minorBidi" w:hAnsiTheme="minorBidi"/>
        </w:rPr>
      </w:pPr>
      <w:r w:rsidRPr="00564F2E">
        <w:rPr>
          <w:rFonts w:asciiTheme="minorBidi" w:hAnsiTheme="minorBidi"/>
        </w:rPr>
        <w:t>Talmi</w:t>
      </w:r>
      <w:r w:rsidR="006A6EC3" w:rsidRPr="00564F2E">
        <w:rPr>
          <w:rFonts w:asciiTheme="minorBidi" w:hAnsiTheme="minorBidi"/>
        </w:rPr>
        <w:t>-</w:t>
      </w:r>
      <w:r w:rsidRPr="00564F2E">
        <w:rPr>
          <w:rFonts w:asciiTheme="minorBidi" w:hAnsiTheme="minorBidi"/>
        </w:rPr>
        <w:t>Cohn, R. (2018). Time making and place making: A journey of immigration from Ethiopia to Israel. </w:t>
      </w:r>
      <w:r w:rsidRPr="00564F2E">
        <w:rPr>
          <w:rFonts w:asciiTheme="minorBidi" w:hAnsiTheme="minorBidi"/>
          <w:i/>
          <w:iCs/>
        </w:rPr>
        <w:t>Ethnos</w:t>
      </w:r>
      <w:r w:rsidRPr="00564F2E">
        <w:rPr>
          <w:rFonts w:asciiTheme="minorBidi" w:hAnsiTheme="minorBidi"/>
        </w:rPr>
        <w:t>, </w:t>
      </w:r>
      <w:r w:rsidRPr="00564F2E">
        <w:rPr>
          <w:rFonts w:asciiTheme="minorBidi" w:hAnsiTheme="minorBidi"/>
          <w:i/>
          <w:iCs/>
        </w:rPr>
        <w:t>83</w:t>
      </w:r>
      <w:r w:rsidRPr="00564F2E">
        <w:rPr>
          <w:rFonts w:asciiTheme="minorBidi" w:hAnsiTheme="minorBidi"/>
        </w:rPr>
        <w:t>(2), 335-352.</w:t>
      </w:r>
    </w:p>
    <w:p w14:paraId="6B794688" w14:textId="7C58C3B8" w:rsidR="006A6EC3" w:rsidRPr="00564F2E" w:rsidRDefault="006A6EC3" w:rsidP="006A6EC3">
      <w:pPr>
        <w:spacing w:before="100" w:beforeAutospacing="1" w:line="360" w:lineRule="auto"/>
        <w:jc w:val="both"/>
        <w:rPr>
          <w:rFonts w:asciiTheme="minorBidi" w:hAnsiTheme="minorBidi"/>
        </w:rPr>
      </w:pPr>
      <w:r w:rsidRPr="00564F2E">
        <w:rPr>
          <w:rFonts w:asciiTheme="minorBidi" w:hAnsiTheme="minorBidi"/>
        </w:rPr>
        <w:t>Talmi-Cohn, R. (2020). Waiting on their way: The story of the Zera Beita Israel Aliyah in Ethiopia and</w:t>
      </w:r>
      <w:r w:rsidRPr="00564F2E">
        <w:rPr>
          <w:rFonts w:asciiTheme="minorBidi" w:hAnsiTheme="minorBidi"/>
          <w:rtl/>
        </w:rPr>
        <w:t xml:space="preserve"> </w:t>
      </w:r>
      <w:r w:rsidRPr="00564F2E">
        <w:rPr>
          <w:rFonts w:asciiTheme="minorBidi" w:hAnsiTheme="minorBidi"/>
        </w:rPr>
        <w:t xml:space="preserve">Israel. Goldberg Prizes for Exceptional Academic Manuscripts, The Open University of Israel Press. (Hebrew). (313 pp.) </w:t>
      </w:r>
    </w:p>
    <w:p w14:paraId="110350B9" w14:textId="21EB74E4" w:rsidR="00F25A9E" w:rsidRPr="00564F2E" w:rsidRDefault="00F25A9E" w:rsidP="00A65998">
      <w:pPr>
        <w:spacing w:before="100" w:beforeAutospacing="1" w:line="360" w:lineRule="auto"/>
        <w:jc w:val="both"/>
        <w:rPr>
          <w:rFonts w:asciiTheme="minorBidi" w:hAnsiTheme="minorBidi"/>
        </w:rPr>
      </w:pPr>
      <w:r w:rsidRPr="00564F2E">
        <w:rPr>
          <w:rFonts w:asciiTheme="minorBidi" w:hAnsiTheme="minorBidi"/>
        </w:rPr>
        <w:t>Talmi-Cohn, R. (2022). Transnationalism and hybridity in religious practices during the migration process: The Zera Beta Israel in Ethiopia and Israel. </w:t>
      </w:r>
      <w:r w:rsidRPr="00564F2E">
        <w:rPr>
          <w:rFonts w:asciiTheme="minorBidi" w:hAnsiTheme="minorBidi"/>
          <w:i/>
          <w:iCs/>
        </w:rPr>
        <w:t>Religions</w:t>
      </w:r>
      <w:r w:rsidRPr="00564F2E">
        <w:rPr>
          <w:rFonts w:asciiTheme="minorBidi" w:hAnsiTheme="minorBidi"/>
        </w:rPr>
        <w:t>, </w:t>
      </w:r>
      <w:r w:rsidRPr="00564F2E">
        <w:rPr>
          <w:rFonts w:asciiTheme="minorBidi" w:hAnsiTheme="minorBidi"/>
          <w:i/>
          <w:iCs/>
        </w:rPr>
        <w:t>14</w:t>
      </w:r>
      <w:r w:rsidRPr="00564F2E">
        <w:rPr>
          <w:rFonts w:asciiTheme="minorBidi" w:hAnsiTheme="minorBidi"/>
        </w:rPr>
        <w:t>(1), 34.</w:t>
      </w:r>
    </w:p>
    <w:p w14:paraId="75E6D214" w14:textId="77777777" w:rsidR="00F25A9E" w:rsidRPr="00564F2E" w:rsidRDefault="00F25A9E" w:rsidP="00A65998">
      <w:pPr>
        <w:spacing w:before="100" w:beforeAutospacing="1" w:line="360" w:lineRule="auto"/>
        <w:jc w:val="both"/>
        <w:rPr>
          <w:rFonts w:asciiTheme="minorBidi" w:hAnsiTheme="minorBidi"/>
        </w:rPr>
      </w:pPr>
      <w:r w:rsidRPr="00564F2E">
        <w:rPr>
          <w:rFonts w:asciiTheme="minorBidi" w:hAnsiTheme="minorBidi"/>
        </w:rPr>
        <w:t>Thubauville, S., &amp; Glück, K. (Eds.). (2025). </w:t>
      </w:r>
      <w:r w:rsidRPr="00564F2E">
        <w:rPr>
          <w:rFonts w:asciiTheme="minorBidi" w:hAnsiTheme="minorBidi"/>
          <w:i/>
          <w:iCs/>
        </w:rPr>
        <w:t>Home- and Future- Making in the Ethiopian Diaspora</w:t>
      </w:r>
      <w:r w:rsidRPr="00564F2E">
        <w:rPr>
          <w:rFonts w:asciiTheme="minorBidi" w:hAnsiTheme="minorBidi"/>
        </w:rPr>
        <w:t>. Addis-Abeba: Centre français des études éthiopiennes. https://doi.org/10.4000/145tu</w:t>
      </w:r>
    </w:p>
    <w:p w14:paraId="3E7BF434" w14:textId="77777777" w:rsidR="00F25A9E" w:rsidRPr="00564F2E" w:rsidRDefault="00F25A9E" w:rsidP="00A65998">
      <w:pPr>
        <w:spacing w:before="100" w:beforeAutospacing="1" w:line="360" w:lineRule="auto"/>
        <w:jc w:val="both"/>
        <w:rPr>
          <w:rFonts w:asciiTheme="minorBidi" w:hAnsiTheme="minorBidi"/>
        </w:rPr>
      </w:pPr>
      <w:r w:rsidRPr="00564F2E">
        <w:rPr>
          <w:rFonts w:asciiTheme="minorBidi" w:hAnsiTheme="minorBidi"/>
        </w:rPr>
        <w:t>Timmermans, S., &amp; Tavory, I. (2012). Theory construction in qualitative research: From grounded theory to abductive analysis. </w:t>
      </w:r>
      <w:r w:rsidRPr="00564F2E">
        <w:rPr>
          <w:rFonts w:asciiTheme="minorBidi" w:hAnsiTheme="minorBidi"/>
          <w:i/>
          <w:iCs/>
        </w:rPr>
        <w:t>Sociological theory</w:t>
      </w:r>
      <w:r w:rsidRPr="00564F2E">
        <w:rPr>
          <w:rFonts w:asciiTheme="minorBidi" w:hAnsiTheme="minorBidi"/>
        </w:rPr>
        <w:t>, </w:t>
      </w:r>
      <w:r w:rsidRPr="00564F2E">
        <w:rPr>
          <w:rFonts w:asciiTheme="minorBidi" w:hAnsiTheme="minorBidi"/>
          <w:i/>
          <w:iCs/>
        </w:rPr>
        <w:t>30</w:t>
      </w:r>
      <w:r w:rsidRPr="00564F2E">
        <w:rPr>
          <w:rFonts w:asciiTheme="minorBidi" w:hAnsiTheme="minorBidi"/>
        </w:rPr>
        <w:t xml:space="preserve">(3), 167-186. </w:t>
      </w:r>
    </w:p>
    <w:p w14:paraId="009AD7C7" w14:textId="77777777" w:rsidR="00A21EEE" w:rsidRPr="00564F2E" w:rsidRDefault="00A21EEE" w:rsidP="00A65998">
      <w:pPr>
        <w:spacing w:before="100" w:beforeAutospacing="1" w:line="360" w:lineRule="auto"/>
        <w:jc w:val="both"/>
        <w:rPr>
          <w:rFonts w:asciiTheme="minorBidi" w:hAnsiTheme="minorBidi"/>
        </w:rPr>
      </w:pPr>
      <w:r w:rsidRPr="00564F2E">
        <w:rPr>
          <w:rFonts w:asciiTheme="minorBidi" w:hAnsiTheme="minorBidi"/>
        </w:rPr>
        <w:t>Torres, S. (2006). Elderly immigrants in Sweden:‘Otherness’ under construction. </w:t>
      </w:r>
      <w:r w:rsidRPr="00564F2E">
        <w:rPr>
          <w:rFonts w:asciiTheme="minorBidi" w:hAnsiTheme="minorBidi"/>
          <w:i/>
          <w:iCs/>
        </w:rPr>
        <w:t>Journal of ethnic and migration studies</w:t>
      </w:r>
      <w:r w:rsidRPr="00564F2E">
        <w:rPr>
          <w:rFonts w:asciiTheme="minorBidi" w:hAnsiTheme="minorBidi"/>
        </w:rPr>
        <w:t>, </w:t>
      </w:r>
      <w:r w:rsidRPr="00564F2E">
        <w:rPr>
          <w:rFonts w:asciiTheme="minorBidi" w:hAnsiTheme="minorBidi"/>
          <w:i/>
          <w:iCs/>
        </w:rPr>
        <w:t>32</w:t>
      </w:r>
      <w:r w:rsidRPr="00564F2E">
        <w:rPr>
          <w:rFonts w:asciiTheme="minorBidi" w:hAnsiTheme="minorBidi"/>
        </w:rPr>
        <w:t>(8), 1341-1358.</w:t>
      </w:r>
    </w:p>
    <w:p w14:paraId="2C68DB5D" w14:textId="43DFED2E" w:rsidR="00C84200" w:rsidRPr="00564F2E" w:rsidRDefault="00C84200" w:rsidP="00A65998">
      <w:pPr>
        <w:spacing w:before="100" w:beforeAutospacing="1" w:line="360" w:lineRule="auto"/>
        <w:jc w:val="both"/>
        <w:rPr>
          <w:rFonts w:asciiTheme="minorBidi" w:hAnsiTheme="minorBidi"/>
        </w:rPr>
      </w:pPr>
      <w:r w:rsidRPr="00564F2E">
        <w:rPr>
          <w:rFonts w:asciiTheme="minorBidi" w:hAnsiTheme="minorBidi"/>
        </w:rPr>
        <w:t xml:space="preserve">Torres, S., &amp; Hunter, A. (2023). Migration and ageing: The nexus and its backdrop. In S. Torres &amp; A. Hunter (Eds.), </w:t>
      </w:r>
      <w:r w:rsidRPr="00564F2E">
        <w:rPr>
          <w:rFonts w:asciiTheme="minorBidi" w:hAnsiTheme="minorBidi"/>
          <w:i/>
          <w:iCs/>
        </w:rPr>
        <w:t>Handbook on Migration and Aging</w:t>
      </w:r>
      <w:r w:rsidRPr="00564F2E">
        <w:rPr>
          <w:rFonts w:asciiTheme="minorBidi" w:hAnsiTheme="minorBidi"/>
        </w:rPr>
        <w:t xml:space="preserve"> (pp. 1–12). Edward Elgar Publishing.</w:t>
      </w:r>
    </w:p>
    <w:p w14:paraId="4DA5A53D" w14:textId="77777777" w:rsidR="00A65998" w:rsidRPr="00564F2E" w:rsidRDefault="00A65998" w:rsidP="00A65998">
      <w:pPr>
        <w:spacing w:before="100" w:beforeAutospacing="1" w:line="360" w:lineRule="auto"/>
        <w:jc w:val="both"/>
        <w:rPr>
          <w:rFonts w:asciiTheme="minorBidi" w:hAnsiTheme="minorBidi"/>
        </w:rPr>
      </w:pPr>
      <w:r w:rsidRPr="00564F2E">
        <w:rPr>
          <w:rFonts w:asciiTheme="minorBidi" w:hAnsiTheme="minorBidi"/>
        </w:rPr>
        <w:lastRenderedPageBreak/>
        <w:t>Wilding, R., Baldassar, L., Gamage, S., Worrell, S., &amp; Mohamud, S. (2020). Digital media and the affective economies of transnational families. </w:t>
      </w:r>
      <w:r w:rsidRPr="00564F2E">
        <w:rPr>
          <w:rFonts w:asciiTheme="minorBidi" w:hAnsiTheme="minorBidi"/>
          <w:i/>
          <w:iCs/>
        </w:rPr>
        <w:t>International Journal of Cultural Studies</w:t>
      </w:r>
      <w:r w:rsidRPr="00564F2E">
        <w:rPr>
          <w:rFonts w:asciiTheme="minorBidi" w:hAnsiTheme="minorBidi"/>
        </w:rPr>
        <w:t>, </w:t>
      </w:r>
      <w:r w:rsidRPr="00564F2E">
        <w:rPr>
          <w:rFonts w:asciiTheme="minorBidi" w:hAnsiTheme="minorBidi"/>
          <w:i/>
          <w:iCs/>
        </w:rPr>
        <w:t>23</w:t>
      </w:r>
      <w:r w:rsidRPr="00564F2E">
        <w:rPr>
          <w:rFonts w:asciiTheme="minorBidi" w:hAnsiTheme="minorBidi"/>
        </w:rPr>
        <w:t>(5), 639-655.</w:t>
      </w:r>
    </w:p>
    <w:p w14:paraId="693998E4" w14:textId="21405A09" w:rsidR="000806BC" w:rsidRPr="00564F2E" w:rsidRDefault="000806BC" w:rsidP="000806BC">
      <w:pPr>
        <w:spacing w:before="100" w:beforeAutospacing="1" w:line="360" w:lineRule="auto"/>
        <w:jc w:val="both"/>
        <w:rPr>
          <w:rFonts w:asciiTheme="minorBidi" w:hAnsiTheme="minorBidi"/>
        </w:rPr>
      </w:pPr>
      <w:r w:rsidRPr="00564F2E">
        <w:rPr>
          <w:rFonts w:asciiTheme="minorBidi" w:hAnsiTheme="minorBidi"/>
        </w:rPr>
        <w:t>Wiles, J. L., Leibing, A., Guberman, N., Reeve, J., &amp; Allen, R. E. (2012). The meaning of “aging in place” to older people. </w:t>
      </w:r>
      <w:r w:rsidRPr="00564F2E">
        <w:rPr>
          <w:rFonts w:asciiTheme="minorBidi" w:hAnsiTheme="minorBidi"/>
          <w:i/>
          <w:iCs/>
        </w:rPr>
        <w:t>The gerontologist</w:t>
      </w:r>
      <w:r w:rsidRPr="00564F2E">
        <w:rPr>
          <w:rFonts w:asciiTheme="minorBidi" w:hAnsiTheme="minorBidi"/>
        </w:rPr>
        <w:t>, </w:t>
      </w:r>
      <w:r w:rsidRPr="00564F2E">
        <w:rPr>
          <w:rFonts w:asciiTheme="minorBidi" w:hAnsiTheme="minorBidi"/>
          <w:i/>
          <w:iCs/>
        </w:rPr>
        <w:t>52</w:t>
      </w:r>
      <w:r w:rsidRPr="00564F2E">
        <w:rPr>
          <w:rFonts w:asciiTheme="minorBidi" w:hAnsiTheme="minorBidi"/>
        </w:rPr>
        <w:t>(3), 357-366.</w:t>
      </w:r>
      <w:r w:rsidRPr="00564F2E">
        <w:rPr>
          <w:rFonts w:asciiTheme="minorBidi" w:hAnsiTheme="minorBidi"/>
          <w:rtl/>
        </w:rPr>
        <w:t>‏</w:t>
      </w:r>
    </w:p>
    <w:p w14:paraId="4DE3130B" w14:textId="174EEB1D" w:rsidR="00F13F03" w:rsidRPr="00564F2E" w:rsidRDefault="00C84200" w:rsidP="00A65998">
      <w:pPr>
        <w:spacing w:before="100" w:beforeAutospacing="1" w:line="360" w:lineRule="auto"/>
        <w:jc w:val="both"/>
        <w:rPr>
          <w:rFonts w:asciiTheme="minorBidi" w:hAnsiTheme="minorBidi"/>
        </w:rPr>
      </w:pPr>
      <w:r w:rsidRPr="00564F2E">
        <w:rPr>
          <w:rFonts w:asciiTheme="minorBidi" w:hAnsiTheme="minorBidi"/>
        </w:rPr>
        <w:t xml:space="preserve">Warnes, A. M., &amp; Williams, A. M. (2006). Older migrants in Europe: A new focus for migration studies. </w:t>
      </w:r>
      <w:r w:rsidRPr="00564F2E">
        <w:rPr>
          <w:rFonts w:asciiTheme="minorBidi" w:hAnsiTheme="minorBidi"/>
          <w:i/>
          <w:iCs/>
        </w:rPr>
        <w:t>Journal of Ethnic and Migration Studies, 32</w:t>
      </w:r>
      <w:r w:rsidRPr="00564F2E">
        <w:rPr>
          <w:rFonts w:asciiTheme="minorBidi" w:hAnsiTheme="minorBidi"/>
        </w:rPr>
        <w:t>(8), 1257–1281.</w:t>
      </w:r>
    </w:p>
    <w:sectPr w:rsidR="00F13F03" w:rsidRPr="00564F2E" w:rsidSect="00634FE6">
      <w:footerReference w:type="default" r:id="rId16"/>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nina Dolberg" w:date="2026-06-20T14:11:00Z" w:initials="PD">
    <w:p w14:paraId="76EBCAAF" w14:textId="3369ED74" w:rsidR="00FC1AA6" w:rsidRDefault="00FC1AA6">
      <w:pPr>
        <w:pStyle w:val="CommentText"/>
      </w:pPr>
      <w:r>
        <w:rPr>
          <w:rStyle w:val="CommentReference"/>
        </w:rPr>
        <w:annotationRef/>
      </w:r>
      <w:r>
        <w:rPr>
          <w:rFonts w:hint="cs"/>
          <w:rtl/>
        </w:rPr>
        <w:t>יש הרבה שימוש בביטוי הזה לאורך המאמר, כדאי לשנות חלק לביטוי אחר (או לבקש מהעורכת)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EBCA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11E08" w16cex:dateUtc="2026-06-20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EBCAAF" w16cid:durableId="2DE11E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99CF" w14:textId="77777777" w:rsidR="00F672ED" w:rsidRDefault="00F672ED" w:rsidP="00296073">
      <w:pPr>
        <w:spacing w:after="0" w:line="240" w:lineRule="auto"/>
      </w:pPr>
      <w:r>
        <w:separator/>
      </w:r>
    </w:p>
  </w:endnote>
  <w:endnote w:type="continuationSeparator" w:id="0">
    <w:p w14:paraId="1B1A49A1" w14:textId="77777777" w:rsidR="00F672ED" w:rsidRDefault="00F672ED" w:rsidP="0029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389636"/>
      <w:docPartObj>
        <w:docPartGallery w:val="Page Numbers (Bottom of Page)"/>
        <w:docPartUnique/>
      </w:docPartObj>
    </w:sdtPr>
    <w:sdtContent>
      <w:p w14:paraId="62028225" w14:textId="656CED2E" w:rsidR="003D6C62" w:rsidRDefault="003D6C62">
        <w:pPr>
          <w:pStyle w:val="Footer"/>
          <w:jc w:val="right"/>
        </w:pPr>
        <w:r>
          <w:fldChar w:fldCharType="begin"/>
        </w:r>
        <w:r>
          <w:instrText>PAGE   \* MERGEFORMAT</w:instrText>
        </w:r>
        <w:r>
          <w:fldChar w:fldCharType="separate"/>
        </w:r>
        <w:r>
          <w:rPr>
            <w:rtl/>
            <w:lang w:val="he-IL"/>
          </w:rPr>
          <w:t>2</w:t>
        </w:r>
        <w:r>
          <w:fldChar w:fldCharType="end"/>
        </w:r>
      </w:p>
    </w:sdtContent>
  </w:sdt>
  <w:p w14:paraId="13969C25" w14:textId="77777777" w:rsidR="003D6C62" w:rsidRDefault="003D6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B5CE" w14:textId="77777777" w:rsidR="00F672ED" w:rsidRDefault="00F672ED" w:rsidP="00296073">
      <w:pPr>
        <w:spacing w:after="0" w:line="240" w:lineRule="auto"/>
      </w:pPr>
      <w:r>
        <w:separator/>
      </w:r>
    </w:p>
  </w:footnote>
  <w:footnote w:type="continuationSeparator" w:id="0">
    <w:p w14:paraId="59F5CE6B" w14:textId="77777777" w:rsidR="00F672ED" w:rsidRDefault="00F672ED" w:rsidP="00296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337A"/>
    <w:multiLevelType w:val="multilevel"/>
    <w:tmpl w:val="FA8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D35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616C33"/>
    <w:multiLevelType w:val="hybridMultilevel"/>
    <w:tmpl w:val="508216F6"/>
    <w:lvl w:ilvl="0" w:tplc="B802B450">
      <w:start w:val="1"/>
      <w:numFmt w:val="decimal"/>
      <w:lvlText w:val="%1."/>
      <w:lvlJc w:val="left"/>
      <w:pPr>
        <w:ind w:left="643"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86E34"/>
    <w:multiLevelType w:val="multilevel"/>
    <w:tmpl w:val="3C841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02657"/>
    <w:multiLevelType w:val="hybridMultilevel"/>
    <w:tmpl w:val="6B7A844E"/>
    <w:lvl w:ilvl="0" w:tplc="FEB61E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E1326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A02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144912"/>
    <w:multiLevelType w:val="multilevel"/>
    <w:tmpl w:val="0298D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C74DF"/>
    <w:multiLevelType w:val="hybridMultilevel"/>
    <w:tmpl w:val="E4BCACE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55E751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0B36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863699"/>
    <w:multiLevelType w:val="multilevel"/>
    <w:tmpl w:val="A2D0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6D29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D31480"/>
    <w:multiLevelType w:val="multilevel"/>
    <w:tmpl w:val="67A8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6C7D02"/>
    <w:multiLevelType w:val="hybridMultilevel"/>
    <w:tmpl w:val="EF08B66E"/>
    <w:lvl w:ilvl="0" w:tplc="1C32F4E0">
      <w:start w:val="1"/>
      <w:numFmt w:val="decimal"/>
      <w:lvlText w:val="%1."/>
      <w:lvlJc w:val="left"/>
      <w:pPr>
        <w:ind w:left="720" w:hanging="360"/>
      </w:pPr>
      <w:rPr>
        <w:rFonts w:ascii="David" w:hAnsi="David" w:cs="David"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B1491"/>
    <w:multiLevelType w:val="multilevel"/>
    <w:tmpl w:val="7482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652440">
    <w:abstractNumId w:val="11"/>
  </w:num>
  <w:num w:numId="2" w16cid:durableId="56706821">
    <w:abstractNumId w:val="13"/>
  </w:num>
  <w:num w:numId="3" w16cid:durableId="392898226">
    <w:abstractNumId w:val="15"/>
  </w:num>
  <w:num w:numId="4" w16cid:durableId="599871635">
    <w:abstractNumId w:val="0"/>
  </w:num>
  <w:num w:numId="5" w16cid:durableId="551769704">
    <w:abstractNumId w:val="3"/>
  </w:num>
  <w:num w:numId="6" w16cid:durableId="611329340">
    <w:abstractNumId w:val="7"/>
  </w:num>
  <w:num w:numId="7" w16cid:durableId="1575581497">
    <w:abstractNumId w:val="8"/>
  </w:num>
  <w:num w:numId="8" w16cid:durableId="2094037452">
    <w:abstractNumId w:val="1"/>
  </w:num>
  <w:num w:numId="9" w16cid:durableId="1581795654">
    <w:abstractNumId w:val="5"/>
  </w:num>
  <w:num w:numId="10" w16cid:durableId="1990090913">
    <w:abstractNumId w:val="10"/>
  </w:num>
  <w:num w:numId="11" w16cid:durableId="166985888">
    <w:abstractNumId w:val="12"/>
  </w:num>
  <w:num w:numId="12" w16cid:durableId="1309939637">
    <w:abstractNumId w:val="4"/>
  </w:num>
  <w:num w:numId="13" w16cid:durableId="1608465436">
    <w:abstractNumId w:val="9"/>
  </w:num>
  <w:num w:numId="14" w16cid:durableId="1409383611">
    <w:abstractNumId w:val="6"/>
  </w:num>
  <w:num w:numId="15" w16cid:durableId="2135050653">
    <w:abstractNumId w:val="14"/>
  </w:num>
  <w:num w:numId="16" w16cid:durableId="17323428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nina Dolberg">
    <w15:presenceInfo w15:providerId="AD" w15:userId="S::pninad@ruppin.ac.il::a3288744-cad7-441f-a808-d9928e27d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M1tDA1MzYzszAzMDdV0lEKTi0uzszPAykwrAUAx4r5NCwAAAA="/>
  </w:docVars>
  <w:rsids>
    <w:rsidRoot w:val="006322E9"/>
    <w:rsid w:val="00012044"/>
    <w:rsid w:val="000153A9"/>
    <w:rsid w:val="0002737D"/>
    <w:rsid w:val="00041818"/>
    <w:rsid w:val="0005126B"/>
    <w:rsid w:val="000546DE"/>
    <w:rsid w:val="00060A45"/>
    <w:rsid w:val="00064A73"/>
    <w:rsid w:val="00077417"/>
    <w:rsid w:val="00077ECC"/>
    <w:rsid w:val="000806BC"/>
    <w:rsid w:val="00081341"/>
    <w:rsid w:val="000867DD"/>
    <w:rsid w:val="000918B1"/>
    <w:rsid w:val="00091F61"/>
    <w:rsid w:val="00096F9F"/>
    <w:rsid w:val="00097C97"/>
    <w:rsid w:val="000F4E27"/>
    <w:rsid w:val="00105454"/>
    <w:rsid w:val="001059D7"/>
    <w:rsid w:val="00114C91"/>
    <w:rsid w:val="00121F92"/>
    <w:rsid w:val="00123809"/>
    <w:rsid w:val="0012445D"/>
    <w:rsid w:val="00126510"/>
    <w:rsid w:val="00130D41"/>
    <w:rsid w:val="001660FC"/>
    <w:rsid w:val="00186FBE"/>
    <w:rsid w:val="0019760B"/>
    <w:rsid w:val="001C367A"/>
    <w:rsid w:val="001D0D11"/>
    <w:rsid w:val="00205FC8"/>
    <w:rsid w:val="00210489"/>
    <w:rsid w:val="00212020"/>
    <w:rsid w:val="00214FBC"/>
    <w:rsid w:val="00220B22"/>
    <w:rsid w:val="00225E3C"/>
    <w:rsid w:val="00237385"/>
    <w:rsid w:val="00244C36"/>
    <w:rsid w:val="002623EB"/>
    <w:rsid w:val="00271E56"/>
    <w:rsid w:val="0027795C"/>
    <w:rsid w:val="0028100E"/>
    <w:rsid w:val="002864C3"/>
    <w:rsid w:val="0029081C"/>
    <w:rsid w:val="00296073"/>
    <w:rsid w:val="002A66EB"/>
    <w:rsid w:val="002A7E1C"/>
    <w:rsid w:val="002D2C65"/>
    <w:rsid w:val="002E01BA"/>
    <w:rsid w:val="002E2343"/>
    <w:rsid w:val="003001E5"/>
    <w:rsid w:val="00302A3B"/>
    <w:rsid w:val="00303368"/>
    <w:rsid w:val="00315A0D"/>
    <w:rsid w:val="0031690F"/>
    <w:rsid w:val="00324796"/>
    <w:rsid w:val="00330F82"/>
    <w:rsid w:val="00332C08"/>
    <w:rsid w:val="00344309"/>
    <w:rsid w:val="00344EAE"/>
    <w:rsid w:val="00351B99"/>
    <w:rsid w:val="00363E09"/>
    <w:rsid w:val="003677F8"/>
    <w:rsid w:val="0037033A"/>
    <w:rsid w:val="00373BD4"/>
    <w:rsid w:val="003741A7"/>
    <w:rsid w:val="00377C1D"/>
    <w:rsid w:val="00383964"/>
    <w:rsid w:val="00384643"/>
    <w:rsid w:val="00386951"/>
    <w:rsid w:val="00387F13"/>
    <w:rsid w:val="003A70A6"/>
    <w:rsid w:val="003B36A3"/>
    <w:rsid w:val="003B5C52"/>
    <w:rsid w:val="003D4A76"/>
    <w:rsid w:val="003D549E"/>
    <w:rsid w:val="003D6C62"/>
    <w:rsid w:val="003D7117"/>
    <w:rsid w:val="003E035D"/>
    <w:rsid w:val="003E5DE2"/>
    <w:rsid w:val="003F2821"/>
    <w:rsid w:val="00405E88"/>
    <w:rsid w:val="00414C09"/>
    <w:rsid w:val="00416F07"/>
    <w:rsid w:val="00424CD8"/>
    <w:rsid w:val="00425936"/>
    <w:rsid w:val="00457865"/>
    <w:rsid w:val="00465E06"/>
    <w:rsid w:val="004742A2"/>
    <w:rsid w:val="004802D9"/>
    <w:rsid w:val="00485F48"/>
    <w:rsid w:val="0049342F"/>
    <w:rsid w:val="004B27B6"/>
    <w:rsid w:val="004B2E18"/>
    <w:rsid w:val="004D0778"/>
    <w:rsid w:val="004D43E8"/>
    <w:rsid w:val="004D4406"/>
    <w:rsid w:val="004D4C31"/>
    <w:rsid w:val="004D4FC6"/>
    <w:rsid w:val="004D7BC3"/>
    <w:rsid w:val="004E519C"/>
    <w:rsid w:val="004E7157"/>
    <w:rsid w:val="00507A8C"/>
    <w:rsid w:val="00521649"/>
    <w:rsid w:val="0054435F"/>
    <w:rsid w:val="0056448D"/>
    <w:rsid w:val="00564D3F"/>
    <w:rsid w:val="00564F2E"/>
    <w:rsid w:val="00566501"/>
    <w:rsid w:val="00575347"/>
    <w:rsid w:val="00577F45"/>
    <w:rsid w:val="00590387"/>
    <w:rsid w:val="005B4E57"/>
    <w:rsid w:val="005B73AA"/>
    <w:rsid w:val="005C0EAF"/>
    <w:rsid w:val="005C6EA0"/>
    <w:rsid w:val="005E14CF"/>
    <w:rsid w:val="005E6207"/>
    <w:rsid w:val="005E7A2C"/>
    <w:rsid w:val="006004F9"/>
    <w:rsid w:val="006103F7"/>
    <w:rsid w:val="00627FC6"/>
    <w:rsid w:val="00631C49"/>
    <w:rsid w:val="006322E9"/>
    <w:rsid w:val="00632D5D"/>
    <w:rsid w:val="00634FE6"/>
    <w:rsid w:val="00650D9A"/>
    <w:rsid w:val="00661F9C"/>
    <w:rsid w:val="00680101"/>
    <w:rsid w:val="00680721"/>
    <w:rsid w:val="00683A10"/>
    <w:rsid w:val="00684ABD"/>
    <w:rsid w:val="00692CAF"/>
    <w:rsid w:val="006A6EC3"/>
    <w:rsid w:val="006B4012"/>
    <w:rsid w:val="006B4131"/>
    <w:rsid w:val="006C121C"/>
    <w:rsid w:val="006D1A19"/>
    <w:rsid w:val="006D7B12"/>
    <w:rsid w:val="00701EA9"/>
    <w:rsid w:val="0070574D"/>
    <w:rsid w:val="00714B5C"/>
    <w:rsid w:val="00722107"/>
    <w:rsid w:val="00723DDD"/>
    <w:rsid w:val="00732332"/>
    <w:rsid w:val="007415D3"/>
    <w:rsid w:val="00746CD5"/>
    <w:rsid w:val="007472E4"/>
    <w:rsid w:val="00747FBE"/>
    <w:rsid w:val="00753D2C"/>
    <w:rsid w:val="00771AA2"/>
    <w:rsid w:val="00771DBC"/>
    <w:rsid w:val="0077206E"/>
    <w:rsid w:val="00776A0B"/>
    <w:rsid w:val="007916C6"/>
    <w:rsid w:val="007933AE"/>
    <w:rsid w:val="00795C70"/>
    <w:rsid w:val="007F2C81"/>
    <w:rsid w:val="007F3079"/>
    <w:rsid w:val="007F55E4"/>
    <w:rsid w:val="007F7229"/>
    <w:rsid w:val="008016E3"/>
    <w:rsid w:val="0081164F"/>
    <w:rsid w:val="00813AEB"/>
    <w:rsid w:val="008165E2"/>
    <w:rsid w:val="00821B08"/>
    <w:rsid w:val="00824936"/>
    <w:rsid w:val="0083065D"/>
    <w:rsid w:val="008342A0"/>
    <w:rsid w:val="008371CF"/>
    <w:rsid w:val="008404DE"/>
    <w:rsid w:val="00840635"/>
    <w:rsid w:val="00876711"/>
    <w:rsid w:val="00880EF8"/>
    <w:rsid w:val="008B05F0"/>
    <w:rsid w:val="008B43A6"/>
    <w:rsid w:val="008B6365"/>
    <w:rsid w:val="008C117A"/>
    <w:rsid w:val="008D2B26"/>
    <w:rsid w:val="008E08CA"/>
    <w:rsid w:val="008E6B09"/>
    <w:rsid w:val="008F7A4D"/>
    <w:rsid w:val="00912FE1"/>
    <w:rsid w:val="009172CF"/>
    <w:rsid w:val="00922271"/>
    <w:rsid w:val="00924595"/>
    <w:rsid w:val="009360D6"/>
    <w:rsid w:val="00941A69"/>
    <w:rsid w:val="00957F9A"/>
    <w:rsid w:val="00962484"/>
    <w:rsid w:val="00973F36"/>
    <w:rsid w:val="009941D9"/>
    <w:rsid w:val="009B2177"/>
    <w:rsid w:val="009B3D57"/>
    <w:rsid w:val="009C2CCF"/>
    <w:rsid w:val="009C4A7C"/>
    <w:rsid w:val="009C506F"/>
    <w:rsid w:val="009C511A"/>
    <w:rsid w:val="009E17B1"/>
    <w:rsid w:val="009F0A24"/>
    <w:rsid w:val="009F2402"/>
    <w:rsid w:val="009F4828"/>
    <w:rsid w:val="00A033C6"/>
    <w:rsid w:val="00A21EEE"/>
    <w:rsid w:val="00A26317"/>
    <w:rsid w:val="00A34766"/>
    <w:rsid w:val="00A34919"/>
    <w:rsid w:val="00A47F7F"/>
    <w:rsid w:val="00A55A62"/>
    <w:rsid w:val="00A65998"/>
    <w:rsid w:val="00A706A0"/>
    <w:rsid w:val="00A74A36"/>
    <w:rsid w:val="00A77D0E"/>
    <w:rsid w:val="00A8435D"/>
    <w:rsid w:val="00A846B3"/>
    <w:rsid w:val="00A90A42"/>
    <w:rsid w:val="00AB3A4F"/>
    <w:rsid w:val="00AC21F2"/>
    <w:rsid w:val="00AC4FCD"/>
    <w:rsid w:val="00AC581F"/>
    <w:rsid w:val="00AD62C5"/>
    <w:rsid w:val="00B154B3"/>
    <w:rsid w:val="00B45ED9"/>
    <w:rsid w:val="00B54A3B"/>
    <w:rsid w:val="00B666BE"/>
    <w:rsid w:val="00B73B2B"/>
    <w:rsid w:val="00B80413"/>
    <w:rsid w:val="00B86088"/>
    <w:rsid w:val="00BA40F1"/>
    <w:rsid w:val="00BB0720"/>
    <w:rsid w:val="00BC2D40"/>
    <w:rsid w:val="00BD1921"/>
    <w:rsid w:val="00BD2AED"/>
    <w:rsid w:val="00BE0F42"/>
    <w:rsid w:val="00C01FE6"/>
    <w:rsid w:val="00C0329C"/>
    <w:rsid w:val="00C057E9"/>
    <w:rsid w:val="00C2157F"/>
    <w:rsid w:val="00C251BB"/>
    <w:rsid w:val="00C44219"/>
    <w:rsid w:val="00C56D74"/>
    <w:rsid w:val="00C61E40"/>
    <w:rsid w:val="00C62108"/>
    <w:rsid w:val="00C76957"/>
    <w:rsid w:val="00C82883"/>
    <w:rsid w:val="00C84200"/>
    <w:rsid w:val="00C84314"/>
    <w:rsid w:val="00C91289"/>
    <w:rsid w:val="00C93DA6"/>
    <w:rsid w:val="00C97A5D"/>
    <w:rsid w:val="00CB07F7"/>
    <w:rsid w:val="00CC1914"/>
    <w:rsid w:val="00CD0E36"/>
    <w:rsid w:val="00CD2151"/>
    <w:rsid w:val="00CE4B89"/>
    <w:rsid w:val="00CE6A27"/>
    <w:rsid w:val="00D046C2"/>
    <w:rsid w:val="00D076E5"/>
    <w:rsid w:val="00D10BA4"/>
    <w:rsid w:val="00D1270F"/>
    <w:rsid w:val="00D22ED2"/>
    <w:rsid w:val="00D32BD7"/>
    <w:rsid w:val="00D364BF"/>
    <w:rsid w:val="00D4219A"/>
    <w:rsid w:val="00D52058"/>
    <w:rsid w:val="00D55CC8"/>
    <w:rsid w:val="00D6199D"/>
    <w:rsid w:val="00D6762D"/>
    <w:rsid w:val="00D71F39"/>
    <w:rsid w:val="00D726C3"/>
    <w:rsid w:val="00D86718"/>
    <w:rsid w:val="00D871BD"/>
    <w:rsid w:val="00D91C9D"/>
    <w:rsid w:val="00D956D8"/>
    <w:rsid w:val="00DB066F"/>
    <w:rsid w:val="00DB091A"/>
    <w:rsid w:val="00DB544E"/>
    <w:rsid w:val="00DB56F4"/>
    <w:rsid w:val="00DB73CB"/>
    <w:rsid w:val="00DD325C"/>
    <w:rsid w:val="00DD78CA"/>
    <w:rsid w:val="00DF12E2"/>
    <w:rsid w:val="00DF2A56"/>
    <w:rsid w:val="00DF4462"/>
    <w:rsid w:val="00E02677"/>
    <w:rsid w:val="00E0623C"/>
    <w:rsid w:val="00E06792"/>
    <w:rsid w:val="00E15EF5"/>
    <w:rsid w:val="00E20BEF"/>
    <w:rsid w:val="00E31754"/>
    <w:rsid w:val="00E32E48"/>
    <w:rsid w:val="00E37BCE"/>
    <w:rsid w:val="00E522A6"/>
    <w:rsid w:val="00E553F7"/>
    <w:rsid w:val="00E65BEA"/>
    <w:rsid w:val="00E73F0A"/>
    <w:rsid w:val="00E861A0"/>
    <w:rsid w:val="00EA7546"/>
    <w:rsid w:val="00EB39A1"/>
    <w:rsid w:val="00EE10C8"/>
    <w:rsid w:val="00EE6577"/>
    <w:rsid w:val="00F07D0D"/>
    <w:rsid w:val="00F10AFD"/>
    <w:rsid w:val="00F13F03"/>
    <w:rsid w:val="00F25A9E"/>
    <w:rsid w:val="00F25EE1"/>
    <w:rsid w:val="00F35BB7"/>
    <w:rsid w:val="00F4093D"/>
    <w:rsid w:val="00F42CE3"/>
    <w:rsid w:val="00F42F2A"/>
    <w:rsid w:val="00F44D28"/>
    <w:rsid w:val="00F468E1"/>
    <w:rsid w:val="00F54C97"/>
    <w:rsid w:val="00F658F2"/>
    <w:rsid w:val="00F672ED"/>
    <w:rsid w:val="00F73C01"/>
    <w:rsid w:val="00FA74F9"/>
    <w:rsid w:val="00FA7D48"/>
    <w:rsid w:val="00FB00EA"/>
    <w:rsid w:val="00FC1AA6"/>
    <w:rsid w:val="00FD6011"/>
    <w:rsid w:val="00FE3508"/>
    <w:rsid w:val="00FE5C4A"/>
    <w:rsid w:val="00FE5E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65AE"/>
  <w15:chartTrackingRefBased/>
  <w15:docId w15:val="{EA70BFA9-11C9-428B-8AEA-2CE4DF3E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2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2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2E9"/>
    <w:rPr>
      <w:rFonts w:eastAsiaTheme="majorEastAsia" w:cstheme="majorBidi"/>
      <w:color w:val="272727" w:themeColor="text1" w:themeTint="D8"/>
    </w:rPr>
  </w:style>
  <w:style w:type="paragraph" w:styleId="Title">
    <w:name w:val="Title"/>
    <w:basedOn w:val="Normal"/>
    <w:next w:val="Normal"/>
    <w:link w:val="TitleChar"/>
    <w:uiPriority w:val="10"/>
    <w:qFormat/>
    <w:rsid w:val="00632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2E9"/>
    <w:pPr>
      <w:numPr>
        <w:ilvl w:val="1"/>
      </w:numPr>
      <w:ind w:left="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2E9"/>
    <w:pPr>
      <w:spacing w:before="160"/>
      <w:jc w:val="center"/>
    </w:pPr>
    <w:rPr>
      <w:i/>
      <w:iCs/>
      <w:color w:val="404040" w:themeColor="text1" w:themeTint="BF"/>
    </w:rPr>
  </w:style>
  <w:style w:type="character" w:customStyle="1" w:styleId="QuoteChar">
    <w:name w:val="Quote Char"/>
    <w:basedOn w:val="DefaultParagraphFont"/>
    <w:link w:val="Quote"/>
    <w:uiPriority w:val="29"/>
    <w:rsid w:val="006322E9"/>
    <w:rPr>
      <w:i/>
      <w:iCs/>
      <w:color w:val="404040" w:themeColor="text1" w:themeTint="BF"/>
    </w:rPr>
  </w:style>
  <w:style w:type="paragraph" w:styleId="ListParagraph">
    <w:name w:val="List Paragraph"/>
    <w:basedOn w:val="Normal"/>
    <w:uiPriority w:val="34"/>
    <w:qFormat/>
    <w:rsid w:val="006322E9"/>
    <w:pPr>
      <w:ind w:left="720"/>
      <w:contextualSpacing/>
    </w:pPr>
  </w:style>
  <w:style w:type="character" w:styleId="IntenseEmphasis">
    <w:name w:val="Intense Emphasis"/>
    <w:basedOn w:val="DefaultParagraphFont"/>
    <w:uiPriority w:val="21"/>
    <w:qFormat/>
    <w:rsid w:val="006322E9"/>
    <w:rPr>
      <w:i/>
      <w:iCs/>
      <w:color w:val="0F4761" w:themeColor="accent1" w:themeShade="BF"/>
    </w:rPr>
  </w:style>
  <w:style w:type="paragraph" w:styleId="IntenseQuote">
    <w:name w:val="Intense Quote"/>
    <w:basedOn w:val="Normal"/>
    <w:next w:val="Normal"/>
    <w:link w:val="IntenseQuoteChar"/>
    <w:uiPriority w:val="30"/>
    <w:qFormat/>
    <w:rsid w:val="00632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2E9"/>
    <w:rPr>
      <w:i/>
      <w:iCs/>
      <w:color w:val="0F4761" w:themeColor="accent1" w:themeShade="BF"/>
    </w:rPr>
  </w:style>
  <w:style w:type="character" w:styleId="IntenseReference">
    <w:name w:val="Intense Reference"/>
    <w:basedOn w:val="DefaultParagraphFont"/>
    <w:uiPriority w:val="32"/>
    <w:qFormat/>
    <w:rsid w:val="006322E9"/>
    <w:rPr>
      <w:b/>
      <w:bCs/>
      <w:smallCaps/>
      <w:color w:val="0F4761" w:themeColor="accent1" w:themeShade="BF"/>
      <w:spacing w:val="5"/>
    </w:rPr>
  </w:style>
  <w:style w:type="paragraph" w:styleId="NormalWeb">
    <w:name w:val="Normal (Web)"/>
    <w:basedOn w:val="Normal"/>
    <w:uiPriority w:val="99"/>
    <w:semiHidden/>
    <w:unhideWhenUsed/>
    <w:rsid w:val="00D22ED2"/>
    <w:rPr>
      <w:rFonts w:ascii="Times New Roman" w:hAnsi="Times New Roman" w:cs="Times New Roman"/>
    </w:rPr>
  </w:style>
  <w:style w:type="paragraph" w:styleId="FootnoteText">
    <w:name w:val="footnote text"/>
    <w:basedOn w:val="Normal"/>
    <w:link w:val="FootnoteTextChar"/>
    <w:uiPriority w:val="99"/>
    <w:semiHidden/>
    <w:unhideWhenUsed/>
    <w:rsid w:val="002960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073"/>
    <w:rPr>
      <w:sz w:val="20"/>
      <w:szCs w:val="20"/>
    </w:rPr>
  </w:style>
  <w:style w:type="character" w:styleId="FootnoteReference">
    <w:name w:val="footnote reference"/>
    <w:basedOn w:val="DefaultParagraphFont"/>
    <w:uiPriority w:val="99"/>
    <w:semiHidden/>
    <w:unhideWhenUsed/>
    <w:rsid w:val="00296073"/>
    <w:rPr>
      <w:vertAlign w:val="superscript"/>
    </w:rPr>
  </w:style>
  <w:style w:type="character" w:styleId="CommentReference">
    <w:name w:val="annotation reference"/>
    <w:basedOn w:val="DefaultParagraphFont"/>
    <w:uiPriority w:val="99"/>
    <w:semiHidden/>
    <w:unhideWhenUsed/>
    <w:rsid w:val="00753D2C"/>
    <w:rPr>
      <w:sz w:val="16"/>
      <w:szCs w:val="16"/>
    </w:rPr>
  </w:style>
  <w:style w:type="paragraph" w:styleId="CommentText">
    <w:name w:val="annotation text"/>
    <w:basedOn w:val="Normal"/>
    <w:link w:val="CommentTextChar"/>
    <w:uiPriority w:val="99"/>
    <w:unhideWhenUsed/>
    <w:rsid w:val="00753D2C"/>
    <w:pPr>
      <w:spacing w:line="240" w:lineRule="auto"/>
    </w:pPr>
    <w:rPr>
      <w:sz w:val="20"/>
      <w:szCs w:val="20"/>
    </w:rPr>
  </w:style>
  <w:style w:type="character" w:customStyle="1" w:styleId="CommentTextChar">
    <w:name w:val="Comment Text Char"/>
    <w:basedOn w:val="DefaultParagraphFont"/>
    <w:link w:val="CommentText"/>
    <w:uiPriority w:val="99"/>
    <w:rsid w:val="00753D2C"/>
    <w:rPr>
      <w:sz w:val="20"/>
      <w:szCs w:val="20"/>
    </w:rPr>
  </w:style>
  <w:style w:type="paragraph" w:styleId="CommentSubject">
    <w:name w:val="annotation subject"/>
    <w:basedOn w:val="CommentText"/>
    <w:next w:val="CommentText"/>
    <w:link w:val="CommentSubjectChar"/>
    <w:uiPriority w:val="99"/>
    <w:semiHidden/>
    <w:unhideWhenUsed/>
    <w:rsid w:val="00753D2C"/>
    <w:rPr>
      <w:b/>
      <w:bCs/>
    </w:rPr>
  </w:style>
  <w:style w:type="character" w:customStyle="1" w:styleId="CommentSubjectChar">
    <w:name w:val="Comment Subject Char"/>
    <w:basedOn w:val="CommentTextChar"/>
    <w:link w:val="CommentSubject"/>
    <w:uiPriority w:val="99"/>
    <w:semiHidden/>
    <w:rsid w:val="00753D2C"/>
    <w:rPr>
      <w:b/>
      <w:bCs/>
      <w:sz w:val="20"/>
      <w:szCs w:val="20"/>
    </w:rPr>
  </w:style>
  <w:style w:type="paragraph" w:styleId="Revision">
    <w:name w:val="Revision"/>
    <w:hidden/>
    <w:uiPriority w:val="99"/>
    <w:semiHidden/>
    <w:rsid w:val="008B6365"/>
    <w:pPr>
      <w:spacing w:after="0" w:line="240" w:lineRule="auto"/>
      <w:ind w:left="0"/>
    </w:pPr>
  </w:style>
  <w:style w:type="character" w:styleId="Strong">
    <w:name w:val="Strong"/>
    <w:basedOn w:val="DefaultParagraphFont"/>
    <w:uiPriority w:val="22"/>
    <w:qFormat/>
    <w:rsid w:val="007415D3"/>
    <w:rPr>
      <w:b/>
      <w:bCs/>
    </w:rPr>
  </w:style>
  <w:style w:type="paragraph" w:styleId="Header">
    <w:name w:val="header"/>
    <w:basedOn w:val="Normal"/>
    <w:link w:val="HeaderChar"/>
    <w:uiPriority w:val="99"/>
    <w:unhideWhenUsed/>
    <w:rsid w:val="003D6C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6C62"/>
  </w:style>
  <w:style w:type="paragraph" w:styleId="Footer">
    <w:name w:val="footer"/>
    <w:basedOn w:val="Normal"/>
    <w:link w:val="FooterChar"/>
    <w:uiPriority w:val="99"/>
    <w:unhideWhenUsed/>
    <w:rsid w:val="003D6C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6C62"/>
  </w:style>
  <w:style w:type="character" w:styleId="Hyperlink">
    <w:name w:val="Hyperlink"/>
    <w:basedOn w:val="DefaultParagraphFont"/>
    <w:uiPriority w:val="99"/>
    <w:unhideWhenUsed/>
    <w:rsid w:val="004D0778"/>
    <w:rPr>
      <w:color w:val="467886" w:themeColor="hyperlink"/>
      <w:u w:val="single"/>
    </w:rPr>
  </w:style>
  <w:style w:type="character" w:styleId="UnresolvedMention">
    <w:name w:val="Unresolved Mention"/>
    <w:basedOn w:val="DefaultParagraphFont"/>
    <w:uiPriority w:val="99"/>
    <w:semiHidden/>
    <w:unhideWhenUsed/>
    <w:rsid w:val="004D0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7803">
      <w:bodyDiv w:val="1"/>
      <w:marLeft w:val="0"/>
      <w:marRight w:val="0"/>
      <w:marTop w:val="0"/>
      <w:marBottom w:val="0"/>
      <w:divBdr>
        <w:top w:val="none" w:sz="0" w:space="0" w:color="auto"/>
        <w:left w:val="none" w:sz="0" w:space="0" w:color="auto"/>
        <w:bottom w:val="none" w:sz="0" w:space="0" w:color="auto"/>
        <w:right w:val="none" w:sz="0" w:space="0" w:color="auto"/>
      </w:divBdr>
      <w:divsChild>
        <w:div w:id="2082830788">
          <w:marLeft w:val="0"/>
          <w:marRight w:val="0"/>
          <w:marTop w:val="0"/>
          <w:marBottom w:val="0"/>
          <w:divBdr>
            <w:top w:val="none" w:sz="0" w:space="0" w:color="auto"/>
            <w:left w:val="none" w:sz="0" w:space="0" w:color="auto"/>
            <w:bottom w:val="none" w:sz="0" w:space="0" w:color="auto"/>
            <w:right w:val="none" w:sz="0" w:space="0" w:color="auto"/>
          </w:divBdr>
          <w:divsChild>
            <w:div w:id="1464931503">
              <w:marLeft w:val="0"/>
              <w:marRight w:val="0"/>
              <w:marTop w:val="0"/>
              <w:marBottom w:val="0"/>
              <w:divBdr>
                <w:top w:val="none" w:sz="0" w:space="0" w:color="auto"/>
                <w:left w:val="none" w:sz="0" w:space="0" w:color="auto"/>
                <w:bottom w:val="none" w:sz="0" w:space="0" w:color="auto"/>
                <w:right w:val="none" w:sz="0" w:space="0" w:color="auto"/>
              </w:divBdr>
              <w:divsChild>
                <w:div w:id="1102797272">
                  <w:marLeft w:val="0"/>
                  <w:marRight w:val="0"/>
                  <w:marTop w:val="0"/>
                  <w:marBottom w:val="0"/>
                  <w:divBdr>
                    <w:top w:val="none" w:sz="0" w:space="0" w:color="auto"/>
                    <w:left w:val="none" w:sz="0" w:space="0" w:color="auto"/>
                    <w:bottom w:val="none" w:sz="0" w:space="0" w:color="auto"/>
                    <w:right w:val="none" w:sz="0" w:space="0" w:color="auto"/>
                  </w:divBdr>
                  <w:divsChild>
                    <w:div w:id="1856921388">
                      <w:marLeft w:val="0"/>
                      <w:marRight w:val="0"/>
                      <w:marTop w:val="0"/>
                      <w:marBottom w:val="0"/>
                      <w:divBdr>
                        <w:top w:val="none" w:sz="0" w:space="0" w:color="auto"/>
                        <w:left w:val="none" w:sz="0" w:space="0" w:color="auto"/>
                        <w:bottom w:val="none" w:sz="0" w:space="0" w:color="auto"/>
                        <w:right w:val="none" w:sz="0" w:space="0" w:color="auto"/>
                      </w:divBdr>
                      <w:divsChild>
                        <w:div w:id="661659633">
                          <w:marLeft w:val="0"/>
                          <w:marRight w:val="0"/>
                          <w:marTop w:val="0"/>
                          <w:marBottom w:val="0"/>
                          <w:divBdr>
                            <w:top w:val="none" w:sz="0" w:space="0" w:color="auto"/>
                            <w:left w:val="none" w:sz="0" w:space="0" w:color="auto"/>
                            <w:bottom w:val="none" w:sz="0" w:space="0" w:color="auto"/>
                            <w:right w:val="none" w:sz="0" w:space="0" w:color="auto"/>
                          </w:divBdr>
                          <w:divsChild>
                            <w:div w:id="2038580750">
                              <w:marLeft w:val="0"/>
                              <w:marRight w:val="0"/>
                              <w:marTop w:val="0"/>
                              <w:marBottom w:val="0"/>
                              <w:divBdr>
                                <w:top w:val="none" w:sz="0" w:space="0" w:color="auto"/>
                                <w:left w:val="none" w:sz="0" w:space="0" w:color="auto"/>
                                <w:bottom w:val="none" w:sz="0" w:space="0" w:color="auto"/>
                                <w:right w:val="none" w:sz="0" w:space="0" w:color="auto"/>
                              </w:divBdr>
                              <w:divsChild>
                                <w:div w:id="186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728487">
      <w:bodyDiv w:val="1"/>
      <w:marLeft w:val="0"/>
      <w:marRight w:val="0"/>
      <w:marTop w:val="0"/>
      <w:marBottom w:val="0"/>
      <w:divBdr>
        <w:top w:val="none" w:sz="0" w:space="0" w:color="auto"/>
        <w:left w:val="none" w:sz="0" w:space="0" w:color="auto"/>
        <w:bottom w:val="none" w:sz="0" w:space="0" w:color="auto"/>
        <w:right w:val="none" w:sz="0" w:space="0" w:color="auto"/>
      </w:divBdr>
      <w:divsChild>
        <w:div w:id="191890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802515">
      <w:bodyDiv w:val="1"/>
      <w:marLeft w:val="0"/>
      <w:marRight w:val="0"/>
      <w:marTop w:val="0"/>
      <w:marBottom w:val="0"/>
      <w:divBdr>
        <w:top w:val="none" w:sz="0" w:space="0" w:color="auto"/>
        <w:left w:val="none" w:sz="0" w:space="0" w:color="auto"/>
        <w:bottom w:val="none" w:sz="0" w:space="0" w:color="auto"/>
        <w:right w:val="none" w:sz="0" w:space="0" w:color="auto"/>
      </w:divBdr>
      <w:divsChild>
        <w:div w:id="78316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832597">
      <w:bodyDiv w:val="1"/>
      <w:marLeft w:val="0"/>
      <w:marRight w:val="0"/>
      <w:marTop w:val="0"/>
      <w:marBottom w:val="0"/>
      <w:divBdr>
        <w:top w:val="none" w:sz="0" w:space="0" w:color="auto"/>
        <w:left w:val="none" w:sz="0" w:space="0" w:color="auto"/>
        <w:bottom w:val="none" w:sz="0" w:space="0" w:color="auto"/>
        <w:right w:val="none" w:sz="0" w:space="0" w:color="auto"/>
      </w:divBdr>
      <w:divsChild>
        <w:div w:id="17315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jaging.2025.101327"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s.gov.il/he/mediarelease/DocLib/2024/371/11_24_371b.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07/978-981-16-2717-0_95-1"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2134-026-01374-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9A59A-84D5-4C03-B414-C31C8203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9392</Words>
  <Characters>54571</Characters>
  <Application>Microsoft Office Word</Application>
  <DocSecurity>0</DocSecurity>
  <Lines>957</Lines>
  <Paragraphs>331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 Doron</cp:lastModifiedBy>
  <cp:revision>2</cp:revision>
  <cp:lastPrinted>2025-10-09T10:06:00Z</cp:lastPrinted>
  <dcterms:created xsi:type="dcterms:W3CDTF">2026-06-21T12:55:00Z</dcterms:created>
  <dcterms:modified xsi:type="dcterms:W3CDTF">2026-06-21T12:55:00Z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8889e3d5-0ec2-4192-b0f2-53cfb62c1031</vt:lpwstr>
  </property>
</Properties>
</file>