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023D8C" w14:textId="77777777" w:rsidR="00D661B9" w:rsidRDefault="00D661B9"/>
    <w:p w14:paraId="3BFFF6CE" w14:textId="77777777" w:rsidR="00D661B9" w:rsidRDefault="00000000">
      <w:pPr>
        <w:spacing w:after="0" w:line="480" w:lineRule="auto"/>
        <w:jc w:val="center"/>
        <w:rPr>
          <w:rFonts w:ascii="Times New Roman" w:hAnsi="Times New Roman" w:cs="Times New Roman"/>
          <w:b/>
          <w:sz w:val="24"/>
          <w:szCs w:val="24"/>
        </w:rPr>
      </w:pPr>
      <w:r>
        <w:rPr>
          <w:rFonts w:ascii="Times New Roman" w:eastAsia="Times New Roman" w:hAnsi="Times New Roman" w:cs="Times New Roman"/>
          <w:b/>
          <w:bCs/>
          <w:sz w:val="24"/>
          <w:szCs w:val="24"/>
        </w:rPr>
        <w:t>A compact frequency-domain electromagnetic device for subsurface detection in shallow marine environments</w:t>
      </w:r>
    </w:p>
    <w:p w14:paraId="65AC1998" w14:textId="572FE4FB" w:rsidR="00D661B9" w:rsidRPr="00B63C3E" w:rsidRDefault="00B63C3E" w:rsidP="00B63C3E">
      <w:pPr>
        <w:pStyle w:val="ListParagraph"/>
        <w:numPr>
          <w:ilvl w:val="0"/>
          <w:numId w:val="1"/>
        </w:numPr>
        <w:spacing w:after="0" w:line="480" w:lineRule="auto"/>
        <w:jc w:val="center"/>
        <w:rPr>
          <w:rFonts w:ascii="Times New Roman" w:hAnsi="Times New Roman" w:cs="Times New Roman"/>
          <w:bCs/>
          <w:i/>
          <w:sz w:val="24"/>
          <w:szCs w:val="24"/>
        </w:rPr>
      </w:pPr>
      <w:r>
        <w:rPr>
          <w:rFonts w:ascii="Times New Roman" w:hAnsi="Times New Roman" w:cs="Times New Roman"/>
          <w:bCs/>
          <w:i/>
          <w:sz w:val="24"/>
          <w:szCs w:val="24"/>
        </w:rPr>
        <w:t>Cohen, M. Lazar, and U. Basson</w:t>
      </w:r>
    </w:p>
    <w:p w14:paraId="165ED77B" w14:textId="77777777" w:rsidR="00D661B9" w:rsidRDefault="00000000">
      <w:pPr>
        <w:spacing w:after="0" w:line="480" w:lineRule="auto"/>
        <w:jc w:val="center"/>
        <w:rPr>
          <w:rFonts w:ascii="Times New Roman" w:hAnsi="Times New Roman" w:cs="Times New Roman"/>
          <w:sz w:val="24"/>
          <w:szCs w:val="24"/>
        </w:rPr>
      </w:pPr>
      <w:r>
        <w:rPr>
          <w:rFonts w:ascii="Times New Roman" w:eastAsia="Times New Roman" w:hAnsi="Times New Roman" w:cs="Times New Roman"/>
          <w:sz w:val="24"/>
          <w:szCs w:val="24"/>
        </w:rPr>
        <w:t>Running head: MARINE EM FOR SUBSURFACE DETECTION</w:t>
      </w:r>
    </w:p>
    <w:p w14:paraId="4F7D3571" w14:textId="77777777" w:rsidR="00D661B9" w:rsidRDefault="00D661B9">
      <w:pPr>
        <w:spacing w:after="0" w:line="480" w:lineRule="auto"/>
        <w:jc w:val="both"/>
        <w:rPr>
          <w:rFonts w:ascii="Times New Roman" w:hAnsi="Times New Roman" w:cs="Times New Roman"/>
          <w:sz w:val="24"/>
          <w:szCs w:val="24"/>
        </w:rPr>
      </w:pPr>
    </w:p>
    <w:p w14:paraId="11780CE4" w14:textId="3FBB0A3C" w:rsidR="00D661B9" w:rsidRDefault="00000000">
      <w:pPr>
        <w:spacing w:after="0"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Frequency-domain electromagnetic (FDEM) surveys provide high-resolution subsurface mapping in coastal and terrestrial settings</w:t>
      </w:r>
      <w:r w:rsidR="00843A4A">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00843A4A">
        <w:rPr>
          <w:rFonts w:ascii="Times New Roman" w:eastAsia="Times New Roman" w:hAnsi="Times New Roman" w:cs="Times New Roman"/>
          <w:sz w:val="24"/>
          <w:szCs w:val="24"/>
        </w:rPr>
        <w:t>T</w:t>
      </w:r>
      <w:r>
        <w:rPr>
          <w:rFonts w:ascii="Times New Roman" w:eastAsia="Times New Roman" w:hAnsi="Times New Roman" w:cs="Times New Roman"/>
          <w:sz w:val="24"/>
          <w:szCs w:val="24"/>
        </w:rPr>
        <w:t>heir adaptation for shallow marine environments</w:t>
      </w:r>
      <w:r w:rsidR="00843A4A">
        <w:rPr>
          <w:rFonts w:ascii="Times New Roman" w:eastAsia="Times New Roman" w:hAnsi="Times New Roman" w:cs="Times New Roman"/>
          <w:sz w:val="24"/>
          <w:szCs w:val="24"/>
        </w:rPr>
        <w:t>, however,</w:t>
      </w:r>
      <w:r>
        <w:rPr>
          <w:rFonts w:ascii="Times New Roman" w:eastAsia="Times New Roman" w:hAnsi="Times New Roman" w:cs="Times New Roman"/>
          <w:sz w:val="24"/>
          <w:szCs w:val="24"/>
        </w:rPr>
        <w:t xml:space="preserve"> is technically challenging </w:t>
      </w:r>
      <w:r w:rsidR="00843A4A">
        <w:rPr>
          <w:rFonts w:ascii="Times New Roman" w:eastAsia="Times New Roman" w:hAnsi="Times New Roman" w:cs="Times New Roman"/>
          <w:sz w:val="24"/>
          <w:szCs w:val="24"/>
        </w:rPr>
        <w:t>owing</w:t>
      </w:r>
      <w:r>
        <w:rPr>
          <w:rFonts w:ascii="Times New Roman" w:eastAsia="Times New Roman" w:hAnsi="Times New Roman" w:cs="Times New Roman"/>
          <w:sz w:val="24"/>
          <w:szCs w:val="24"/>
        </w:rPr>
        <w:t xml:space="preserve"> to high seawater conductivity (~4,000 mS/m), which attenuates electromagnetic signals and limits penetration depth. This study presents the development and first field evaluation of a prototype Marine Electromagnetic Device (MED) </w:t>
      </w:r>
      <w:proofErr w:type="gramStart"/>
      <w:r w:rsidR="00843A4A">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a</w:t>
      </w:r>
      <w:proofErr w:type="gramEnd"/>
      <w:r>
        <w:rPr>
          <w:rFonts w:ascii="Times New Roman" w:eastAsia="Times New Roman" w:hAnsi="Times New Roman" w:cs="Times New Roman"/>
          <w:sz w:val="24"/>
          <w:szCs w:val="24"/>
        </w:rPr>
        <w:t xml:space="preserve"> GEM-2-based system adapted for marine deployment with a peak magnetic moment of ~600 Am². Two field surveys were conducted along the Carmel coast, northern Israel. The first survey (January 2024) involved hand-towing the MED along the Carmel Beach tombolo in 0.5–1 m water depth. The second survey (April 2024) was conducted from a boat along an east–west transect offshore Kfar Galim at depths of 2–9 m. The device operated at five simultaneous frequencies (425, 1,425, 4,225, 13,025, and 40,025 Hz). Apparent electrical conductivity (</w:t>
      </w:r>
      <w:proofErr w:type="spellStart"/>
      <w:r>
        <w:rPr>
          <w:rFonts w:ascii="Times New Roman" w:eastAsia="Times New Roman" w:hAnsi="Times New Roman" w:cs="Times New Roman"/>
          <w:sz w:val="24"/>
          <w:szCs w:val="24"/>
        </w:rPr>
        <w:t>ECa</w:t>
      </w:r>
      <w:proofErr w:type="spellEnd"/>
      <w:r>
        <w:rPr>
          <w:rFonts w:ascii="Times New Roman" w:eastAsia="Times New Roman" w:hAnsi="Times New Roman" w:cs="Times New Roman"/>
          <w:sz w:val="24"/>
          <w:szCs w:val="24"/>
        </w:rPr>
        <w:t xml:space="preserve">) maps were produced for each frequency using ordinary kriging in Oasis </w:t>
      </w:r>
      <w:proofErr w:type="spellStart"/>
      <w:r>
        <w:rPr>
          <w:rFonts w:ascii="Times New Roman" w:eastAsia="Times New Roman" w:hAnsi="Times New Roman" w:cs="Times New Roman"/>
          <w:sz w:val="24"/>
          <w:szCs w:val="24"/>
        </w:rPr>
        <w:t>Montaj</w:t>
      </w:r>
      <w:proofErr w:type="spellEnd"/>
      <w:r>
        <w:rPr>
          <w:rFonts w:ascii="Times New Roman" w:eastAsia="Times New Roman" w:hAnsi="Times New Roman" w:cs="Times New Roman"/>
          <w:sz w:val="24"/>
          <w:szCs w:val="24"/>
        </w:rPr>
        <w:t xml:space="preserve">. Estimated investigation depths ranged from ~9.6 m at 425 Hz to ~1.1 m at 40,025 Hz. Multi-frequency </w:t>
      </w:r>
      <w:proofErr w:type="spellStart"/>
      <w:r>
        <w:rPr>
          <w:rFonts w:ascii="Times New Roman" w:eastAsia="Times New Roman" w:hAnsi="Times New Roman" w:cs="Times New Roman"/>
          <w:sz w:val="24"/>
          <w:szCs w:val="24"/>
        </w:rPr>
        <w:t>ECa</w:t>
      </w:r>
      <w:proofErr w:type="spellEnd"/>
      <w:r>
        <w:rPr>
          <w:rFonts w:ascii="Times New Roman" w:eastAsia="Times New Roman" w:hAnsi="Times New Roman" w:cs="Times New Roman"/>
          <w:sz w:val="24"/>
          <w:szCs w:val="24"/>
        </w:rPr>
        <w:t xml:space="preserve"> maps identified two distinct subsurface anomalies: a southern zone of anomalously high conductivity, interpreted as saline fine-grained sediments in a paleo-depression, and a northern low-conductivity zone attributed to a shallow </w:t>
      </w:r>
      <w:proofErr w:type="spellStart"/>
      <w:r>
        <w:rPr>
          <w:rFonts w:ascii="Times New Roman" w:eastAsia="Times New Roman" w:hAnsi="Times New Roman" w:cs="Times New Roman"/>
          <w:sz w:val="24"/>
          <w:szCs w:val="24"/>
        </w:rPr>
        <w:t>kurkar</w:t>
      </w:r>
      <w:proofErr w:type="spellEnd"/>
      <w:r>
        <w:rPr>
          <w:rFonts w:ascii="Times New Roman" w:eastAsia="Times New Roman" w:hAnsi="Times New Roman" w:cs="Times New Roman"/>
          <w:sz w:val="24"/>
          <w:szCs w:val="24"/>
        </w:rPr>
        <w:t xml:space="preserve"> (calcareous sandstone) outcrop. The progressive change in anomaly geometry with frequency confirms depth-stratified subsurface resolution. These results demonstrate the technical feasibility of compact FDEM surveys in shallow marine environments, </w:t>
      </w:r>
      <w:r>
        <w:rPr>
          <w:rFonts w:ascii="Times New Roman" w:eastAsia="Times New Roman" w:hAnsi="Times New Roman" w:cs="Times New Roman"/>
          <w:sz w:val="24"/>
          <w:szCs w:val="24"/>
        </w:rPr>
        <w:lastRenderedPageBreak/>
        <w:t>supporting the use of the MED as a cost-effective non-invasive tool for coastal geological and archaeological prospection.</w:t>
      </w:r>
      <w:r w:rsidR="00843A4A">
        <w:rPr>
          <w:rFonts w:ascii="Times New Roman" w:eastAsia="Times New Roman" w:hAnsi="Times New Roman" w:cs="Times New Roman"/>
          <w:sz w:val="24"/>
          <w:szCs w:val="24"/>
        </w:rPr>
        <w:t xml:space="preserve"> (249 words)</w:t>
      </w:r>
    </w:p>
    <w:p w14:paraId="3203AB3A" w14:textId="77777777" w:rsidR="000872F0" w:rsidRDefault="000872F0">
      <w:pPr>
        <w:spacing w:after="0" w:line="480" w:lineRule="auto"/>
        <w:ind w:firstLine="720"/>
        <w:jc w:val="both"/>
        <w:rPr>
          <w:rFonts w:ascii="Times New Roman" w:hAnsi="Times New Roman" w:cs="Times New Roman"/>
          <w:sz w:val="24"/>
          <w:szCs w:val="24"/>
        </w:rPr>
      </w:pPr>
    </w:p>
    <w:p w14:paraId="45933C54" w14:textId="77777777" w:rsidR="00D661B9" w:rsidRDefault="00000000">
      <w:pPr>
        <w:spacing w:after="0" w:line="480" w:lineRule="auto"/>
        <w:jc w:val="both"/>
        <w:rPr>
          <w:rFonts w:ascii="Times New Roman" w:hAnsi="Times New Roman" w:cs="Times New Roman"/>
          <w:sz w:val="24"/>
          <w:szCs w:val="24"/>
        </w:rPr>
      </w:pPr>
      <w:r w:rsidRPr="000872F0">
        <w:rPr>
          <w:rFonts w:ascii="Times New Roman" w:eastAsia="Times New Roman" w:hAnsi="Times New Roman" w:cs="Times New Roman"/>
          <w:b/>
          <w:bCs/>
          <w:sz w:val="24"/>
          <w:szCs w:val="24"/>
        </w:rPr>
        <w:t>Keywords</w:t>
      </w:r>
      <w:r>
        <w:rPr>
          <w:rFonts w:ascii="Times New Roman" w:eastAsia="Times New Roman" w:hAnsi="Times New Roman" w:cs="Times New Roman"/>
          <w:sz w:val="24"/>
          <w:szCs w:val="24"/>
        </w:rPr>
        <w:t>: frequency-domain electromagnetic (FDEM); marine electromagnetic device (MED); apparent electrical conductivity (</w:t>
      </w:r>
      <w:proofErr w:type="spellStart"/>
      <w:r>
        <w:rPr>
          <w:rFonts w:ascii="Times New Roman" w:eastAsia="Times New Roman" w:hAnsi="Times New Roman" w:cs="Times New Roman"/>
          <w:sz w:val="24"/>
          <w:szCs w:val="24"/>
        </w:rPr>
        <w:t>ECa</w:t>
      </w:r>
      <w:proofErr w:type="spellEnd"/>
      <w:r>
        <w:rPr>
          <w:rFonts w:ascii="Times New Roman" w:eastAsia="Times New Roman" w:hAnsi="Times New Roman" w:cs="Times New Roman"/>
          <w:sz w:val="24"/>
          <w:szCs w:val="24"/>
        </w:rPr>
        <w:t>); GEM-2; shallow marine geophysics; Carmel coast; marine archaeological prospection</w:t>
      </w:r>
    </w:p>
    <w:p w14:paraId="3C7E3084" w14:textId="77777777" w:rsidR="00D661B9" w:rsidRDefault="00000000">
      <w:pPr>
        <w:spacing w:before="240" w:after="0" w:line="480" w:lineRule="auto"/>
        <w:jc w:val="center"/>
        <w:rPr>
          <w:rFonts w:ascii="Times New Roman" w:hAnsi="Times New Roman" w:cs="Times New Roman"/>
          <w:b/>
          <w:sz w:val="24"/>
          <w:szCs w:val="24"/>
        </w:rPr>
      </w:pPr>
      <w:r>
        <w:rPr>
          <w:rFonts w:ascii="Times New Roman" w:eastAsia="Times New Roman" w:hAnsi="Times New Roman" w:cs="Times New Roman"/>
          <w:b/>
          <w:bCs/>
          <w:sz w:val="24"/>
          <w:szCs w:val="24"/>
        </w:rPr>
        <w:t>INTRODUCTION</w:t>
      </w:r>
    </w:p>
    <w:p w14:paraId="5018152A" w14:textId="7DEBDE61" w:rsidR="00D661B9" w:rsidRDefault="00000000">
      <w:pPr>
        <w:spacing w:after="0" w:line="480" w:lineRule="auto"/>
        <w:ind w:firstLine="720"/>
        <w:jc w:val="both"/>
        <w:rPr>
          <w:rFonts w:ascii="Times New Roman" w:hAnsi="Times New Roman" w:cs="Times New Roman"/>
          <w:sz w:val="24"/>
          <w:szCs w:val="24"/>
        </w:rPr>
      </w:pPr>
      <w:r>
        <w:rPr>
          <w:rFonts w:ascii="Times New Roman" w:eastAsia="Times New Roman" w:hAnsi="Times New Roman" w:cs="Times New Roman"/>
          <w:sz w:val="24"/>
          <w:szCs w:val="24"/>
        </w:rPr>
        <w:t xml:space="preserve">The shallow marine environment </w:t>
      </w:r>
      <w:r w:rsidR="00157166">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comprising the nearshore zone from the swash line to water depths of approximately 10 m </w:t>
      </w:r>
      <w:r w:rsidR="00157166">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represents a</w:t>
      </w:r>
      <w:r w:rsidR="00813276">
        <w:rPr>
          <w:rFonts w:ascii="Times New Roman" w:eastAsia="Times New Roman" w:hAnsi="Times New Roman" w:cs="Times New Roman"/>
          <w:sz w:val="24"/>
          <w:szCs w:val="24"/>
        </w:rPr>
        <w:t>n</w:t>
      </w:r>
      <w:r>
        <w:rPr>
          <w:rFonts w:ascii="Times New Roman" w:eastAsia="Times New Roman" w:hAnsi="Times New Roman" w:cs="Times New Roman"/>
          <w:sz w:val="24"/>
          <w:szCs w:val="24"/>
        </w:rPr>
        <w:t xml:space="preserve"> important yet </w:t>
      </w:r>
      <w:proofErr w:type="spellStart"/>
      <w:r>
        <w:rPr>
          <w:rFonts w:ascii="Times New Roman" w:eastAsia="Times New Roman" w:hAnsi="Times New Roman" w:cs="Times New Roman"/>
          <w:sz w:val="24"/>
          <w:szCs w:val="24"/>
        </w:rPr>
        <w:t>geophysically</w:t>
      </w:r>
      <w:proofErr w:type="spellEnd"/>
      <w:r>
        <w:rPr>
          <w:rFonts w:ascii="Times New Roman" w:eastAsia="Times New Roman" w:hAnsi="Times New Roman" w:cs="Times New Roman"/>
          <w:sz w:val="24"/>
          <w:szCs w:val="24"/>
        </w:rPr>
        <w:t xml:space="preserve"> underexplored </w:t>
      </w:r>
      <w:r w:rsidR="00157166">
        <w:rPr>
          <w:rFonts w:ascii="Times New Roman" w:eastAsia="Times New Roman" w:hAnsi="Times New Roman" w:cs="Times New Roman"/>
          <w:sz w:val="24"/>
          <w:szCs w:val="24"/>
        </w:rPr>
        <w:t xml:space="preserve">littoral </w:t>
      </w:r>
      <w:r>
        <w:rPr>
          <w:rFonts w:ascii="Times New Roman" w:eastAsia="Times New Roman" w:hAnsi="Times New Roman" w:cs="Times New Roman"/>
          <w:sz w:val="24"/>
          <w:szCs w:val="24"/>
        </w:rPr>
        <w:t>domain. Subsurface mapping in this</w:t>
      </w:r>
      <w:r w:rsidR="00D92863">
        <w:rPr>
          <w:rFonts w:ascii="Times New Roman" w:eastAsia="Times New Roman" w:hAnsi="Times New Roman" w:cs="Times New Roman"/>
          <w:sz w:val="24"/>
          <w:szCs w:val="24"/>
        </w:rPr>
        <w:t xml:space="preserve"> inshore</w:t>
      </w:r>
      <w:r>
        <w:rPr>
          <w:rFonts w:ascii="Times New Roman" w:eastAsia="Times New Roman" w:hAnsi="Times New Roman" w:cs="Times New Roman"/>
          <w:sz w:val="24"/>
          <w:szCs w:val="24"/>
        </w:rPr>
        <w:t xml:space="preserve"> zone has direct applications </w:t>
      </w:r>
      <w:r w:rsidR="00813276">
        <w:rPr>
          <w:rFonts w:ascii="Times New Roman" w:eastAsia="Times New Roman" w:hAnsi="Times New Roman" w:cs="Times New Roman"/>
          <w:sz w:val="24"/>
          <w:szCs w:val="24"/>
        </w:rPr>
        <w:t>to research in</w:t>
      </w:r>
      <w:r>
        <w:rPr>
          <w:rFonts w:ascii="Times New Roman" w:eastAsia="Times New Roman" w:hAnsi="Times New Roman" w:cs="Times New Roman"/>
          <w:sz w:val="24"/>
          <w:szCs w:val="24"/>
        </w:rPr>
        <w:t xml:space="preserve"> coastal stratigraphy, shallow geoarchaeology, groundwater monitoring, and infrastructure planning. </w:t>
      </w:r>
      <w:r w:rsidR="00D92863">
        <w:rPr>
          <w:rFonts w:ascii="Times New Roman" w:eastAsia="Times New Roman" w:hAnsi="Times New Roman" w:cs="Times New Roman"/>
          <w:sz w:val="24"/>
          <w:szCs w:val="24"/>
        </w:rPr>
        <w:t>Yet, t</w:t>
      </w:r>
      <w:r>
        <w:rPr>
          <w:rFonts w:ascii="Times New Roman" w:eastAsia="Times New Roman" w:hAnsi="Times New Roman" w:cs="Times New Roman"/>
          <w:sz w:val="24"/>
          <w:szCs w:val="24"/>
        </w:rPr>
        <w:t>he range of geophysical methods applicable in water depths of less than ~10 m is limited: conventional offshore surveys require vessels with draft clearance incompatible with very shallow water, while land-based instruments cannot be deployed below the waterline. Methods capable of operating continuously across this beach-to-nearshore transition zone are consequently few, and most yield only 2D cross-sectional data rather than spatial maps of subsurface properties.</w:t>
      </w:r>
    </w:p>
    <w:p w14:paraId="46F0C499" w14:textId="55F88358" w:rsidR="00D661B9" w:rsidRDefault="00000000">
      <w:pPr>
        <w:spacing w:after="0" w:line="480" w:lineRule="auto"/>
        <w:ind w:firstLine="720"/>
        <w:jc w:val="both"/>
        <w:rPr>
          <w:rFonts w:ascii="Times New Roman" w:hAnsi="Times New Roman" w:cs="Times New Roman"/>
          <w:sz w:val="24"/>
          <w:szCs w:val="24"/>
        </w:rPr>
      </w:pPr>
      <w:r>
        <w:rPr>
          <w:rFonts w:ascii="Times New Roman" w:eastAsia="Times New Roman" w:hAnsi="Times New Roman" w:cs="Times New Roman"/>
          <w:sz w:val="24"/>
          <w:szCs w:val="24"/>
        </w:rPr>
        <w:t>Sub-bottom profilers and Chirp systems constitute the standard toolkit for shallow marine surveys, providing 2D acoustic profiles of seabed stratigraphy at centi</w:t>
      </w:r>
      <w:r w:rsidR="00C40013">
        <w:rPr>
          <w:rFonts w:ascii="Times New Roman" w:eastAsia="Times New Roman" w:hAnsi="Times New Roman" w:cs="Times New Roman"/>
          <w:sz w:val="24"/>
          <w:szCs w:val="24"/>
        </w:rPr>
        <w:t>meter</w:t>
      </w:r>
      <w:r>
        <w:rPr>
          <w:rFonts w:ascii="Times New Roman" w:eastAsia="Times New Roman" w:hAnsi="Times New Roman" w:cs="Times New Roman"/>
          <w:sz w:val="24"/>
          <w:szCs w:val="24"/>
        </w:rPr>
        <w:t>-to-deci</w:t>
      </w:r>
      <w:r w:rsidR="00C40013">
        <w:rPr>
          <w:rFonts w:ascii="Times New Roman" w:eastAsia="Times New Roman" w:hAnsi="Times New Roman" w:cs="Times New Roman"/>
          <w:sz w:val="24"/>
          <w:szCs w:val="24"/>
        </w:rPr>
        <w:t>meter</w:t>
      </w:r>
      <w:r>
        <w:rPr>
          <w:rFonts w:ascii="Times New Roman" w:eastAsia="Times New Roman" w:hAnsi="Times New Roman" w:cs="Times New Roman"/>
          <w:sz w:val="24"/>
          <w:szCs w:val="24"/>
        </w:rPr>
        <w:t xml:space="preserve"> vertical resolution (Bull et al., 1998; Quinn et al., 1997, 1998; van Andel &amp; Lianos, 1984). These methods are effective for detecting lithological boundaries, buried channels, and archaeological deposits with strong acoustic contrasts (Holt, 2017; Winton, 2019). </w:t>
      </w:r>
      <w:r w:rsidR="00D92863">
        <w:rPr>
          <w:rFonts w:ascii="Times New Roman" w:eastAsia="Times New Roman" w:hAnsi="Times New Roman" w:cs="Times New Roman"/>
          <w:sz w:val="24"/>
          <w:szCs w:val="24"/>
        </w:rPr>
        <w:t>T</w:t>
      </w:r>
      <w:r>
        <w:rPr>
          <w:rFonts w:ascii="Times New Roman" w:eastAsia="Times New Roman" w:hAnsi="Times New Roman" w:cs="Times New Roman"/>
          <w:sz w:val="24"/>
          <w:szCs w:val="24"/>
        </w:rPr>
        <w:t>heir inherently 2D character</w:t>
      </w:r>
      <w:r w:rsidR="00D92863">
        <w:rPr>
          <w:rFonts w:ascii="Times New Roman" w:eastAsia="Times New Roman" w:hAnsi="Times New Roman" w:cs="Times New Roman"/>
          <w:sz w:val="24"/>
          <w:szCs w:val="24"/>
        </w:rPr>
        <w:t xml:space="preserve">, however, typified by </w:t>
      </w:r>
      <w:r>
        <w:rPr>
          <w:rFonts w:ascii="Times New Roman" w:eastAsia="Times New Roman" w:hAnsi="Times New Roman" w:cs="Times New Roman"/>
          <w:sz w:val="24"/>
          <w:szCs w:val="24"/>
        </w:rPr>
        <w:t>individual transect lines interpreted by trained specialists</w:t>
      </w:r>
      <w:r w:rsidR="00D9286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provides limited areal coverage. Subtle anomalies appearing as thin or diffuse reflectors can be overlooked, particularly </w:t>
      </w:r>
      <w:r>
        <w:rPr>
          <w:rFonts w:ascii="Times New Roman" w:eastAsia="Times New Roman" w:hAnsi="Times New Roman" w:cs="Times New Roman"/>
          <w:sz w:val="24"/>
          <w:szCs w:val="24"/>
        </w:rPr>
        <w:lastRenderedPageBreak/>
        <w:t xml:space="preserve">in exploratory surveys lacking prior site knowledge (Quinn et al., 1997; Papatheodorou et al., 2005). Invasive methods such as seafloor coring provide point-source stratigraphic information but reveal </w:t>
      </w:r>
      <w:r w:rsidR="00972761">
        <w:rPr>
          <w:rFonts w:ascii="Times New Roman" w:eastAsia="Times New Roman" w:hAnsi="Times New Roman" w:cs="Times New Roman"/>
          <w:sz w:val="24"/>
          <w:szCs w:val="24"/>
        </w:rPr>
        <w:t>little direct information</w:t>
      </w:r>
      <w:r>
        <w:rPr>
          <w:rFonts w:ascii="Times New Roman" w:eastAsia="Times New Roman" w:hAnsi="Times New Roman" w:cs="Times New Roman"/>
          <w:sz w:val="24"/>
          <w:szCs w:val="24"/>
        </w:rPr>
        <w:t xml:space="preserve"> about lateral spatial extent</w:t>
      </w:r>
      <w:r w:rsidR="00BA76EC">
        <w:rPr>
          <w:rFonts w:ascii="Times New Roman" w:eastAsia="Times New Roman" w:hAnsi="Times New Roman" w:cs="Times New Roman"/>
          <w:sz w:val="24"/>
          <w:szCs w:val="24"/>
        </w:rPr>
        <w:t xml:space="preserve"> unless many cores are taken</w:t>
      </w:r>
      <w:r>
        <w:rPr>
          <w:rFonts w:ascii="Times New Roman" w:eastAsia="Times New Roman" w:hAnsi="Times New Roman" w:cs="Times New Roman"/>
          <w:sz w:val="24"/>
          <w:szCs w:val="24"/>
        </w:rPr>
        <w:t xml:space="preserve">. </w:t>
      </w:r>
      <w:r w:rsidR="00185934">
        <w:rPr>
          <w:rFonts w:ascii="Times New Roman" w:eastAsia="Times New Roman" w:hAnsi="Times New Roman" w:cs="Times New Roman"/>
          <w:sz w:val="24"/>
          <w:szCs w:val="24"/>
        </w:rPr>
        <w:t xml:space="preserve">It therefore makes sense to </w:t>
      </w:r>
      <w:r w:rsidR="00970D2A">
        <w:rPr>
          <w:rFonts w:ascii="Times New Roman" w:eastAsia="Times New Roman" w:hAnsi="Times New Roman" w:cs="Times New Roman"/>
          <w:sz w:val="24"/>
          <w:szCs w:val="24"/>
        </w:rPr>
        <w:t>develop</w:t>
      </w:r>
      <w:r w:rsidR="00185934">
        <w:rPr>
          <w:rFonts w:ascii="Times New Roman" w:eastAsia="Times New Roman" w:hAnsi="Times New Roman" w:cs="Times New Roman"/>
          <w:sz w:val="24"/>
          <w:szCs w:val="24"/>
        </w:rPr>
        <w:t xml:space="preserve"> a</w:t>
      </w:r>
      <w:r>
        <w:rPr>
          <w:rFonts w:ascii="Times New Roman" w:eastAsia="Times New Roman" w:hAnsi="Times New Roman" w:cs="Times New Roman"/>
          <w:sz w:val="24"/>
          <w:szCs w:val="24"/>
        </w:rPr>
        <w:t xml:space="preserve"> method capable of rapidly generating 3D spatial maps of subsurface properties across the nearshore zone </w:t>
      </w:r>
      <w:r w:rsidR="00185934">
        <w:rPr>
          <w:rFonts w:ascii="Times New Roman" w:eastAsia="Times New Roman" w:hAnsi="Times New Roman" w:cs="Times New Roman"/>
          <w:sz w:val="24"/>
          <w:szCs w:val="24"/>
        </w:rPr>
        <w:t>to</w:t>
      </w:r>
      <w:r>
        <w:rPr>
          <w:rFonts w:ascii="Times New Roman" w:eastAsia="Times New Roman" w:hAnsi="Times New Roman" w:cs="Times New Roman"/>
          <w:sz w:val="24"/>
          <w:szCs w:val="24"/>
        </w:rPr>
        <w:t xml:space="preserve"> complement existing approaches.</w:t>
      </w:r>
    </w:p>
    <w:p w14:paraId="1DB30158" w14:textId="1F157B11" w:rsidR="00D661B9" w:rsidRDefault="00000000">
      <w:pPr>
        <w:spacing w:after="0" w:line="480" w:lineRule="auto"/>
        <w:ind w:firstLine="720"/>
        <w:jc w:val="both"/>
        <w:rPr>
          <w:rFonts w:ascii="Times New Roman" w:hAnsi="Times New Roman" w:cs="Times New Roman"/>
          <w:sz w:val="24"/>
          <w:szCs w:val="24"/>
        </w:rPr>
      </w:pPr>
      <w:r>
        <w:rPr>
          <w:rFonts w:ascii="Times New Roman" w:eastAsia="Times New Roman" w:hAnsi="Times New Roman" w:cs="Times New Roman"/>
          <w:sz w:val="24"/>
          <w:szCs w:val="24"/>
        </w:rPr>
        <w:t xml:space="preserve">Frequency-domain electromagnetic (FDEM) </w:t>
      </w:r>
      <w:r w:rsidR="00D508B8">
        <w:rPr>
          <w:rFonts w:ascii="Times New Roman" w:eastAsia="Times New Roman" w:hAnsi="Times New Roman" w:cs="Times New Roman"/>
          <w:sz w:val="24"/>
          <w:szCs w:val="24"/>
        </w:rPr>
        <w:t>techniques</w:t>
      </w:r>
      <w:r>
        <w:rPr>
          <w:rFonts w:ascii="Times New Roman" w:eastAsia="Times New Roman" w:hAnsi="Times New Roman" w:cs="Times New Roman"/>
          <w:sz w:val="24"/>
          <w:szCs w:val="24"/>
        </w:rPr>
        <w:t xml:space="preserve"> offer such a complementary approach through their sensitivity to electrical conductivity contrasts without requiring direct contact with the seafloor. In coastal settings, FDEM instruments have been used to map soil salinity, delineate buried channels, identify archaeological features, and characterize sediment lithology (Lazar et al., 2018, 2021; Sudduth et al., 2005; </w:t>
      </w:r>
      <w:proofErr w:type="spellStart"/>
      <w:r>
        <w:rPr>
          <w:rFonts w:ascii="Times New Roman" w:eastAsia="Times New Roman" w:hAnsi="Times New Roman" w:cs="Times New Roman"/>
          <w:sz w:val="24"/>
          <w:szCs w:val="24"/>
        </w:rPr>
        <w:t>Yaccup</w:t>
      </w:r>
      <w:proofErr w:type="spellEnd"/>
      <w:r>
        <w:rPr>
          <w:rFonts w:ascii="Times New Roman" w:eastAsia="Times New Roman" w:hAnsi="Times New Roman" w:cs="Times New Roman"/>
          <w:sz w:val="24"/>
          <w:szCs w:val="24"/>
        </w:rPr>
        <w:t xml:space="preserve"> &amp; Brabham, 2012). Extending FDEM methods to the marine environment, however, poses a physical challenge: seawater has an electrical conductivity of approximately 4 S/m (~4,000 mS/m), which attenuates the transmitted EM signal and limits the effective depth of investigation to a few </w:t>
      </w:r>
      <w:r w:rsidR="00C40013">
        <w:rPr>
          <w:rFonts w:ascii="Times New Roman" w:eastAsia="Times New Roman" w:hAnsi="Times New Roman" w:cs="Times New Roman"/>
          <w:sz w:val="24"/>
          <w:szCs w:val="24"/>
        </w:rPr>
        <w:t>meters</w:t>
      </w:r>
      <w:r>
        <w:rPr>
          <w:rFonts w:ascii="Times New Roman" w:eastAsia="Times New Roman" w:hAnsi="Times New Roman" w:cs="Times New Roman"/>
          <w:sz w:val="24"/>
          <w:szCs w:val="24"/>
        </w:rPr>
        <w:t xml:space="preserve"> below the seafloor. Adapting an FDEM instrument for marine use therefore requires substantially greater transmitter power than land-based equivalents, as well as a receiver design capable of </w:t>
      </w:r>
      <w:r w:rsidR="00544CD0">
        <w:rPr>
          <w:rFonts w:ascii="Times New Roman" w:eastAsia="Times New Roman" w:hAnsi="Times New Roman" w:cs="Times New Roman"/>
          <w:sz w:val="24"/>
          <w:szCs w:val="24"/>
        </w:rPr>
        <w:t>discerning</w:t>
      </w:r>
      <w:r w:rsidR="00C40013">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the weak secondary signal from subsurface sediments against the strong inductive background of the seawater column.</w:t>
      </w:r>
    </w:p>
    <w:p w14:paraId="774745B0" w14:textId="0C11F7D9" w:rsidR="00D661B9" w:rsidRDefault="00000000">
      <w:pPr>
        <w:spacing w:after="0" w:line="480" w:lineRule="auto"/>
        <w:ind w:firstLine="720"/>
        <w:jc w:val="both"/>
        <w:rPr>
          <w:rFonts w:ascii="Times New Roman" w:hAnsi="Times New Roman" w:cs="Times New Roman"/>
          <w:sz w:val="24"/>
          <w:szCs w:val="24"/>
        </w:rPr>
      </w:pPr>
      <w:r>
        <w:rPr>
          <w:rFonts w:ascii="Times New Roman" w:eastAsia="Times New Roman" w:hAnsi="Times New Roman" w:cs="Times New Roman"/>
          <w:sz w:val="24"/>
          <w:szCs w:val="24"/>
        </w:rPr>
        <w:t xml:space="preserve">Marine electromagnetic methods have a history in deep-ocean research, where controlled-source EM (CSEM) systems </w:t>
      </w:r>
      <w:r w:rsidR="00CB0BC5">
        <w:rPr>
          <w:rFonts w:ascii="Times New Roman" w:eastAsia="Times New Roman" w:hAnsi="Times New Roman" w:cs="Times New Roman"/>
          <w:sz w:val="24"/>
          <w:szCs w:val="24"/>
        </w:rPr>
        <w:t>were</w:t>
      </w:r>
      <w:r>
        <w:rPr>
          <w:rFonts w:ascii="Times New Roman" w:eastAsia="Times New Roman" w:hAnsi="Times New Roman" w:cs="Times New Roman"/>
          <w:sz w:val="24"/>
          <w:szCs w:val="24"/>
        </w:rPr>
        <w:t xml:space="preserve"> deployed to image resistive hydrocarbon reservoirs and lithospheric structure (Constable, 2020; Cox, 1980; Cox et al., 1980). These systems are optimized for deep-water operation and are not readily applicable in the shallow nearshore zone. Shallow-water FDEM </w:t>
      </w:r>
      <w:r w:rsidR="00CB0BC5">
        <w:rPr>
          <w:rFonts w:ascii="Times New Roman" w:eastAsia="Times New Roman" w:hAnsi="Times New Roman" w:cs="Times New Roman"/>
          <w:sz w:val="24"/>
          <w:szCs w:val="24"/>
        </w:rPr>
        <w:t>was previously</w:t>
      </w:r>
      <w:r>
        <w:rPr>
          <w:rFonts w:ascii="Times New Roman" w:eastAsia="Times New Roman" w:hAnsi="Times New Roman" w:cs="Times New Roman"/>
          <w:sz w:val="24"/>
          <w:szCs w:val="24"/>
        </w:rPr>
        <w:t xml:space="preserve"> explored in </w:t>
      </w:r>
      <w:r w:rsidR="00176CDF">
        <w:rPr>
          <w:rFonts w:ascii="Times New Roman" w:eastAsia="Times New Roman" w:hAnsi="Times New Roman" w:cs="Times New Roman"/>
          <w:sz w:val="24"/>
          <w:szCs w:val="24"/>
        </w:rPr>
        <w:t xml:space="preserve">only </w:t>
      </w:r>
      <w:r>
        <w:rPr>
          <w:rFonts w:ascii="Times New Roman" w:eastAsia="Times New Roman" w:hAnsi="Times New Roman" w:cs="Times New Roman"/>
          <w:sz w:val="24"/>
          <w:szCs w:val="24"/>
        </w:rPr>
        <w:t xml:space="preserve">a limited number of studies: Simon et al. (2021) demonstrated multi-frequency loop EM measurements at a shallow offshore archaeological site in </w:t>
      </w:r>
      <w:r>
        <w:rPr>
          <w:rFonts w:ascii="Times New Roman" w:eastAsia="Times New Roman" w:hAnsi="Times New Roman" w:cs="Times New Roman"/>
          <w:sz w:val="24"/>
          <w:szCs w:val="24"/>
        </w:rPr>
        <w:lastRenderedPageBreak/>
        <w:t>~0.3 m of water, confirming depth-resolved information from multi-frequency data; Müller et al. (2012) used a towed benthic EM profiler to map surficial sediment conductivity at greater depths. A compact, boat- deployable FDEM system capable of operating continuously across a range from ~1 to 10 m water depth has not previously been reported.</w:t>
      </w:r>
    </w:p>
    <w:p w14:paraId="04495E09" w14:textId="7AC6F508" w:rsidR="00D661B9" w:rsidRDefault="00000000">
      <w:pPr>
        <w:spacing w:after="0" w:line="480" w:lineRule="auto"/>
        <w:ind w:firstLine="720"/>
        <w:jc w:val="both"/>
        <w:rPr>
          <w:rFonts w:ascii="Times New Roman" w:hAnsi="Times New Roman" w:cs="Times New Roman"/>
          <w:sz w:val="24"/>
          <w:szCs w:val="24"/>
        </w:rPr>
      </w:pPr>
      <w:r>
        <w:rPr>
          <w:rFonts w:ascii="Times New Roman" w:eastAsia="Times New Roman" w:hAnsi="Times New Roman" w:cs="Times New Roman"/>
          <w:sz w:val="24"/>
          <w:szCs w:val="24"/>
        </w:rPr>
        <w:t xml:space="preserve">This study presents the design, construction, and first field evaluation of the Marine Electromagnetic Device (MED), a GEM-2-based prototype </w:t>
      </w:r>
      <w:r w:rsidR="00285A24">
        <w:rPr>
          <w:rFonts w:ascii="Times New Roman" w:eastAsia="Times New Roman" w:hAnsi="Times New Roman" w:cs="Times New Roman"/>
          <w:sz w:val="24"/>
          <w:szCs w:val="24"/>
        </w:rPr>
        <w:t xml:space="preserve">specifically </w:t>
      </w:r>
      <w:r>
        <w:rPr>
          <w:rFonts w:ascii="Times New Roman" w:eastAsia="Times New Roman" w:hAnsi="Times New Roman" w:cs="Times New Roman"/>
          <w:sz w:val="24"/>
          <w:szCs w:val="24"/>
        </w:rPr>
        <w:t xml:space="preserve">engineered for deployment in shallow coastal water. </w:t>
      </w:r>
      <w:r w:rsidRPr="00544CD0">
        <w:rPr>
          <w:rFonts w:ascii="Times New Roman" w:eastAsia="Times New Roman" w:hAnsi="Times New Roman" w:cs="Times New Roman"/>
          <w:sz w:val="24"/>
          <w:szCs w:val="24"/>
        </w:rPr>
        <w:t>The MED</w:t>
      </w:r>
      <w:r>
        <w:rPr>
          <w:rFonts w:ascii="Times New Roman" w:eastAsia="Times New Roman" w:hAnsi="Times New Roman" w:cs="Times New Roman"/>
          <w:sz w:val="24"/>
          <w:szCs w:val="24"/>
        </w:rPr>
        <w:t xml:space="preserve"> employs a differential bucking-coil architecture to suppress the primary field at the receiver, operating simultaneously at five frequencies (425, 1,425, 4,225, 13,025, and 40,025 Hz) with a peak magnetic moment of ~600 Am². T</w:t>
      </w:r>
      <w:r w:rsidR="00544CD0">
        <w:rPr>
          <w:rFonts w:ascii="Times New Roman" w:eastAsia="Times New Roman" w:hAnsi="Times New Roman" w:cs="Times New Roman"/>
          <w:sz w:val="24"/>
          <w:szCs w:val="24"/>
        </w:rPr>
        <w:t>o test this system, t</w:t>
      </w:r>
      <w:r>
        <w:rPr>
          <w:rFonts w:ascii="Times New Roman" w:eastAsia="Times New Roman" w:hAnsi="Times New Roman" w:cs="Times New Roman"/>
          <w:sz w:val="24"/>
          <w:szCs w:val="24"/>
        </w:rPr>
        <w:t xml:space="preserve">wo field surveys were conducted along the Carmel coast of northern Israel in January and April 2024, </w:t>
      </w:r>
      <w:r w:rsidR="00544CD0">
        <w:rPr>
          <w:rFonts w:ascii="Times New Roman" w:eastAsia="Times New Roman" w:hAnsi="Times New Roman" w:cs="Times New Roman"/>
          <w:sz w:val="24"/>
          <w:szCs w:val="24"/>
        </w:rPr>
        <w:t>deploying</w:t>
      </w:r>
      <w:r>
        <w:rPr>
          <w:rFonts w:ascii="Times New Roman" w:eastAsia="Times New Roman" w:hAnsi="Times New Roman" w:cs="Times New Roman"/>
          <w:sz w:val="24"/>
          <w:szCs w:val="24"/>
        </w:rPr>
        <w:t xml:space="preserve"> the device in hand-towed and boat-towed configurations at depths of 0.5–9 m. Apparent electrical conductivity (</w:t>
      </w:r>
      <w:proofErr w:type="spellStart"/>
      <w:r>
        <w:rPr>
          <w:rFonts w:ascii="Times New Roman" w:eastAsia="Times New Roman" w:hAnsi="Times New Roman" w:cs="Times New Roman"/>
          <w:sz w:val="24"/>
          <w:szCs w:val="24"/>
        </w:rPr>
        <w:t>ECa</w:t>
      </w:r>
      <w:proofErr w:type="spellEnd"/>
      <w:r>
        <w:rPr>
          <w:rFonts w:ascii="Times New Roman" w:eastAsia="Times New Roman" w:hAnsi="Times New Roman" w:cs="Times New Roman"/>
          <w:sz w:val="24"/>
          <w:szCs w:val="24"/>
        </w:rPr>
        <w:t xml:space="preserve">) maps were generated for each frequency using ordinary kriging and compared with theoretical depth-of-investigation estimates. This paper is organized as follows: the Background section reviews FDEM theory, sensor development, depth of investigation, and prior marine EM applications; the Study Area section describes the two field sites; the Methods section details the MED design, field procedures, and data processing; the Results section presents the </w:t>
      </w:r>
      <w:proofErr w:type="spellStart"/>
      <w:r>
        <w:rPr>
          <w:rFonts w:ascii="Times New Roman" w:eastAsia="Times New Roman" w:hAnsi="Times New Roman" w:cs="Times New Roman"/>
          <w:sz w:val="24"/>
          <w:szCs w:val="24"/>
        </w:rPr>
        <w:t>ECa</w:t>
      </w:r>
      <w:proofErr w:type="spellEnd"/>
      <w:r>
        <w:rPr>
          <w:rFonts w:ascii="Times New Roman" w:eastAsia="Times New Roman" w:hAnsi="Times New Roman" w:cs="Times New Roman"/>
          <w:sz w:val="24"/>
          <w:szCs w:val="24"/>
        </w:rPr>
        <w:t xml:space="preserve"> maps and detected anomalies; the Discussion interprets these findings; and the Conclusions summarize the main outcomes.</w:t>
      </w:r>
    </w:p>
    <w:p w14:paraId="0FAD6668" w14:textId="77777777" w:rsidR="00E31875" w:rsidRDefault="00E31875">
      <w:pPr>
        <w:spacing w:before="240" w:after="0" w:line="480" w:lineRule="auto"/>
        <w:jc w:val="center"/>
        <w:rPr>
          <w:rFonts w:ascii="Times New Roman" w:eastAsia="Times New Roman" w:hAnsi="Times New Roman" w:cs="Times New Roman"/>
          <w:b/>
          <w:bCs/>
          <w:sz w:val="24"/>
          <w:szCs w:val="24"/>
        </w:rPr>
      </w:pPr>
    </w:p>
    <w:p w14:paraId="1398284F" w14:textId="77777777" w:rsidR="00E31875" w:rsidRDefault="00E31875">
      <w:pPr>
        <w:spacing w:before="240" w:after="0" w:line="480" w:lineRule="auto"/>
        <w:jc w:val="center"/>
        <w:rPr>
          <w:rFonts w:ascii="Times New Roman" w:eastAsia="Times New Roman" w:hAnsi="Times New Roman" w:cs="Times New Roman"/>
          <w:b/>
          <w:bCs/>
          <w:sz w:val="24"/>
          <w:szCs w:val="24"/>
        </w:rPr>
      </w:pPr>
    </w:p>
    <w:p w14:paraId="2A298B0C" w14:textId="77777777" w:rsidR="00E31875" w:rsidRDefault="00E31875">
      <w:pPr>
        <w:spacing w:before="240" w:after="0" w:line="480" w:lineRule="auto"/>
        <w:jc w:val="center"/>
        <w:rPr>
          <w:rFonts w:ascii="Times New Roman" w:eastAsia="Times New Roman" w:hAnsi="Times New Roman" w:cs="Times New Roman"/>
          <w:b/>
          <w:bCs/>
          <w:sz w:val="24"/>
          <w:szCs w:val="24"/>
        </w:rPr>
      </w:pPr>
    </w:p>
    <w:p w14:paraId="15E6571C" w14:textId="77777777" w:rsidR="00E31875" w:rsidRDefault="00E31875">
      <w:pPr>
        <w:spacing w:before="240" w:after="0" w:line="480" w:lineRule="auto"/>
        <w:jc w:val="center"/>
        <w:rPr>
          <w:rFonts w:ascii="Times New Roman" w:eastAsia="Times New Roman" w:hAnsi="Times New Roman" w:cs="Times New Roman"/>
          <w:b/>
          <w:bCs/>
          <w:sz w:val="24"/>
          <w:szCs w:val="24"/>
        </w:rPr>
      </w:pPr>
    </w:p>
    <w:sectPr w:rsidR="00E31875">
      <w:headerReference w:type="default" r:id="rId7"/>
      <w:footerReference w:type="default" r:id="rId8"/>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F46E80" w14:textId="77777777" w:rsidR="001645E8" w:rsidRDefault="001645E8">
      <w:pPr>
        <w:spacing w:after="0" w:line="240" w:lineRule="auto"/>
      </w:pPr>
      <w:r>
        <w:separator/>
      </w:r>
    </w:p>
  </w:endnote>
  <w:endnote w:type="continuationSeparator" w:id="0">
    <w:p w14:paraId="1B60D48D" w14:textId="77777777" w:rsidR="001645E8" w:rsidRDefault="001645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8807C2" w14:textId="77777777" w:rsidR="00D661B9" w:rsidRDefault="00000000">
    <w:pPr>
      <w:pStyle w:val="Footer"/>
      <w:jc w:val="center"/>
      <w:rPr>
        <w:rFonts w:ascii="Times New Roman" w:hAnsi="Times New Roman" w:cs="Times New Roman"/>
        <w:sz w:val="24"/>
        <w:szCs w:val="24"/>
      </w:rPr>
    </w:pPr>
    <w:r>
      <w:fldChar w:fldCharType="begin"/>
    </w:r>
    <w:r>
      <w:instrText>PAGE \* MERGEFORMAT</w:instrText>
    </w:r>
    <w:r>
      <w:fldChar w:fldCharType="separate"/>
    </w:r>
    <w: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410E11" w14:textId="77777777" w:rsidR="001645E8" w:rsidRDefault="001645E8">
      <w:pPr>
        <w:spacing w:after="0" w:line="240" w:lineRule="auto"/>
      </w:pPr>
      <w:r>
        <w:separator/>
      </w:r>
    </w:p>
  </w:footnote>
  <w:footnote w:type="continuationSeparator" w:id="0">
    <w:p w14:paraId="6E7C8476" w14:textId="77777777" w:rsidR="001645E8" w:rsidRDefault="001645E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CB6A78" w14:textId="08B0BED2" w:rsidR="00D661B9" w:rsidRPr="000872F0" w:rsidRDefault="00754673" w:rsidP="000872F0">
    <w:pPr>
      <w:pStyle w:val="Header"/>
      <w:jc w:val="right"/>
      <w:rPr>
        <w:rFonts w:ascii="Times New Roman" w:hAnsi="Times New Roman" w:cs="Times New Roman"/>
        <w:i/>
        <w:iCs/>
        <w:sz w:val="24"/>
        <w:szCs w:val="24"/>
        <w:lang w:val="en-GB"/>
      </w:rPr>
    </w:pPr>
    <w:r>
      <w:rPr>
        <w:rFonts w:ascii="Times New Roman" w:eastAsia="Times New Roman" w:hAnsi="Times New Roman" w:cs="Times New Roman"/>
        <w:sz w:val="24"/>
        <w:szCs w:val="24"/>
        <w:lang w:val="en-GB"/>
      </w:rPr>
      <w:t xml:space="preserve">formatted </w:t>
    </w:r>
    <w:r w:rsidR="000872F0">
      <w:rPr>
        <w:rFonts w:ascii="Times New Roman" w:eastAsia="Times New Roman" w:hAnsi="Times New Roman" w:cs="Times New Roman"/>
        <w:sz w:val="24"/>
        <w:szCs w:val="24"/>
        <w:lang w:val="en-GB"/>
      </w:rPr>
      <w:t xml:space="preserve">for </w:t>
    </w:r>
    <w:r w:rsidR="000872F0">
      <w:rPr>
        <w:rFonts w:ascii="Times New Roman" w:eastAsia="Times New Roman" w:hAnsi="Times New Roman" w:cs="Times New Roman"/>
        <w:i/>
        <w:iCs/>
        <w:sz w:val="24"/>
        <w:szCs w:val="24"/>
        <w:lang w:val="en-GB"/>
      </w:rPr>
      <w:t>Geophysics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B30AEA"/>
    <w:multiLevelType w:val="hybridMultilevel"/>
    <w:tmpl w:val="180499BC"/>
    <w:lvl w:ilvl="0" w:tplc="20000015">
      <w:start w:val="1"/>
      <w:numFmt w:val="upperLetter"/>
      <w:lvlText w:val="%1."/>
      <w:lvlJc w:val="left"/>
      <w:pPr>
        <w:ind w:left="720" w:hanging="360"/>
      </w:pPr>
      <w:rPr>
        <w:rFonts w:eastAsia="Times New Roman"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16cid:durableId="12189791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2"/>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61B9"/>
    <w:rsid w:val="000872F0"/>
    <w:rsid w:val="00157166"/>
    <w:rsid w:val="001645E8"/>
    <w:rsid w:val="00176CDF"/>
    <w:rsid w:val="00185934"/>
    <w:rsid w:val="00285A24"/>
    <w:rsid w:val="00544CD0"/>
    <w:rsid w:val="00754673"/>
    <w:rsid w:val="00813276"/>
    <w:rsid w:val="00843A4A"/>
    <w:rsid w:val="008B7D5C"/>
    <w:rsid w:val="00970D2A"/>
    <w:rsid w:val="00972761"/>
    <w:rsid w:val="00981444"/>
    <w:rsid w:val="00AE18D7"/>
    <w:rsid w:val="00B63C3E"/>
    <w:rsid w:val="00BA76EC"/>
    <w:rsid w:val="00C40013"/>
    <w:rsid w:val="00CB0BC5"/>
    <w:rsid w:val="00D508B8"/>
    <w:rsid w:val="00D661B9"/>
    <w:rsid w:val="00D92863"/>
    <w:rsid w:val="00E31875"/>
    <w:rsid w:val="00E91544"/>
    <w:rsid w:val="00F003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E585D4"/>
  <w15:docId w15:val="{BA9F5F33-60A6-4A71-8E61-7F8AE3735C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Arial" w:eastAsia="Arial" w:hAnsi="Arial" w:cs="Arial"/>
      <w:color w:val="2E74B5"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Arial" w:eastAsia="Arial" w:hAnsi="Arial" w:cs="Arial"/>
      <w:color w:val="2E74B5"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ascii="Arial" w:eastAsia="Arial" w:hAnsi="Arial" w:cs="Arial"/>
      <w:color w:val="2E74B5"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ascii="Arial" w:eastAsia="Arial" w:hAnsi="Arial" w:cs="Arial"/>
      <w:i/>
      <w:iCs/>
      <w:color w:val="2E74B5"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ascii="Arial" w:eastAsia="Arial" w:hAnsi="Arial" w:cs="Arial"/>
      <w:color w:val="2E74B5"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ascii="Arial" w:eastAsia="Arial" w:hAnsi="Arial" w:cs="Arial"/>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ascii="Arial" w:eastAsia="Arial" w:hAnsi="Arial" w:cs="Arial"/>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ascii="Arial" w:eastAsia="Arial" w:hAnsi="Arial" w:cs="Arial"/>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ascii="Arial" w:eastAsia="Arial" w:hAnsi="Arial" w:cs="Arial"/>
      <w:i/>
      <w:iCs/>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GridLight">
    <w:name w:val="Grid Table Light"/>
    <w:basedOn w:val="TableNorma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PlainTable1">
    <w:name w:val="Plain Table 1"/>
    <w:basedOn w:val="TableNorma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PlainTable2">
    <w:name w:val="Plain Table 2"/>
    <w:basedOn w:val="TableNormal"/>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PlainTable3">
    <w:name w:val="Plain Table 3"/>
    <w:basedOn w:val="TableNormal"/>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PlainTable4">
    <w:name w:val="Plain Table 4"/>
    <w:basedOn w:val="TableNormal"/>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PlainTable5">
    <w:name w:val="Plain Table 5"/>
    <w:basedOn w:val="TableNormal"/>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GridTable1Light">
    <w:name w:val="Grid Table 1 Light"/>
    <w:basedOn w:val="TableNormal"/>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styleId="GridTable1Light-Accent1">
    <w:name w:val="Grid Table 1 Light Accent 1"/>
    <w:basedOn w:val="TableNormal"/>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styleId="GridTable1Light-Accent2">
    <w:name w:val="Grid Table 1 Light Accent 2"/>
    <w:basedOn w:val="TableNormal"/>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styleId="GridTable1Light-Accent3">
    <w:name w:val="Grid Table 1 Light Accent 3"/>
    <w:basedOn w:val="TableNormal"/>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styleId="GridTable1Light-Accent4">
    <w:name w:val="Grid Table 1 Light Accent 4"/>
    <w:basedOn w:val="TableNormal"/>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styleId="GridTable1Light-Accent5">
    <w:name w:val="Grid Table 1 Light Accent 5"/>
    <w:basedOn w:val="TableNormal"/>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styleId="GridTable1Light-Accent6">
    <w:name w:val="Grid Table 1 Light Accent 6"/>
    <w:basedOn w:val="TableNormal"/>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GridTable2">
    <w:name w:val="Grid Table 2"/>
    <w:basedOn w:val="TableNorma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GridTable2-Accent1">
    <w:name w:val="Grid Table 2 Accent 1"/>
    <w:basedOn w:val="TableNormal"/>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styleId="GridTable2-Accent2">
    <w:name w:val="Grid Table 2 Accent 2"/>
    <w:basedOn w:val="TableNormal"/>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styleId="GridTable2-Accent3">
    <w:name w:val="Grid Table 2 Accent 3"/>
    <w:basedOn w:val="TableNormal"/>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styleId="GridTable2-Accent4">
    <w:name w:val="Grid Table 2 Accent 4"/>
    <w:basedOn w:val="TableNormal"/>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styleId="GridTable2-Accent5">
    <w:name w:val="Grid Table 2 Accent 5"/>
    <w:basedOn w:val="TableNormal"/>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styleId="GridTable2-Accent6">
    <w:name w:val="Grid Table 2 Accent 6"/>
    <w:basedOn w:val="TableNormal"/>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ridTable3">
    <w:name w:val="Grid Table 3"/>
    <w:basedOn w:val="TableNorma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GridTable3-Accent1">
    <w:name w:val="Grid Table 3 Accent 1"/>
    <w:basedOn w:val="TableNormal"/>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DDEAF6" w:themeFill="accent1" w:themeFillTint="34"/>
      </w:tcPr>
    </w:tblStylePr>
    <w:tblStylePr w:type="band1Horz">
      <w:rPr>
        <w:rFonts w:ascii="Arial" w:hAnsi="Arial"/>
        <w:color w:val="404040"/>
        <w:sz w:val="22"/>
      </w:rPr>
      <w:tblPr/>
      <w:tcPr>
        <w:shd w:val="clear" w:color="DDEAF6" w:themeColor="accent1" w:themeTint="34" w:fill="DDEAF6" w:themeFill="accent1" w:themeFillTint="34"/>
      </w:tcPr>
    </w:tblStylePr>
  </w:style>
  <w:style w:type="table" w:styleId="GridTable3-Accent2">
    <w:name w:val="Grid Table 3 Accent 2"/>
    <w:basedOn w:val="TableNormal"/>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styleId="GridTable3-Accent3">
    <w:name w:val="Grid Table 3 Accent 3"/>
    <w:basedOn w:val="TableNormal"/>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styleId="GridTable3-Accent4">
    <w:name w:val="Grid Table 3 Accent 4"/>
    <w:basedOn w:val="TableNormal"/>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styleId="GridTable3-Accent5">
    <w:name w:val="Grid Table 3 Accent 5"/>
    <w:basedOn w:val="TableNormal"/>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styleId="GridTable3-Accent6">
    <w:name w:val="Grid Table 3 Accent 6"/>
    <w:basedOn w:val="TableNormal"/>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ridTable4">
    <w:name w:val="Grid Table 4"/>
    <w:basedOn w:val="TableNormal"/>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styleId="GridTable4-Accent1">
    <w:name w:val="Grid Table 4 Accent 1"/>
    <w:basedOn w:val="TableNormal"/>
    <w:uiPriority w:val="5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68A2D8" w:themeFill="accent1" w:themeFillTint="EA"/>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DEEBF6" w:themeFill="accent1" w:themeFillTint="32"/>
      </w:tcPr>
    </w:tblStylePr>
    <w:tblStylePr w:type="band1Horz">
      <w:rPr>
        <w:rFonts w:ascii="Arial" w:hAnsi="Arial"/>
        <w:color w:val="404040"/>
        <w:sz w:val="22"/>
      </w:rPr>
      <w:tblPr/>
      <w:tcPr>
        <w:shd w:val="clear" w:color="DEEBF6" w:themeColor="accent1" w:themeTint="32" w:fill="DEEBF6" w:themeFill="accent1" w:themeFillTint="32"/>
      </w:tcPr>
    </w:tblStylePr>
  </w:style>
  <w:style w:type="table" w:styleId="GridTable4-Accent2">
    <w:name w:val="Grid Table 4 Accent 2"/>
    <w:basedOn w:val="TableNormal"/>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styleId="GridTable4-Accent3">
    <w:name w:val="Grid Table 4 Accent 3"/>
    <w:basedOn w:val="TableNormal"/>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styleId="GridTable4-Accent4">
    <w:name w:val="Grid Table 4 Accent 4"/>
    <w:basedOn w:val="TableNormal"/>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styleId="GridTable4-Accent5">
    <w:name w:val="Grid Table 4 Accent 5"/>
    <w:basedOn w:val="TableNormal"/>
    <w:uiPriority w:val="5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4472C4" w:themeFill="accent5"/>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Pr/>
      <w:tcPr>
        <w:shd w:val="clear" w:color="D8E2F3" w:themeColor="accent5" w:themeTint="34" w:fill="D8E2F3" w:themeFill="accent5" w:themeFillTint="34"/>
      </w:tcPr>
    </w:tblStylePr>
  </w:style>
  <w:style w:type="table" w:styleId="GridTable4-Accent6">
    <w:name w:val="Grid Table 4 Accent 6"/>
    <w:basedOn w:val="TableNormal"/>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GridTable5Dark">
    <w:name w:val="Grid Table 5 Dark"/>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DDEAF6" w:themeFill="accent1" w:themeFillTint="34"/>
    </w:tblPr>
    <w:tblStylePr w:type="firstRow">
      <w:rPr>
        <w:rFonts w:ascii="Arial" w:hAnsi="Arial"/>
        <w:b/>
        <w:color w:val="FFFFFF"/>
        <w:sz w:val="22"/>
      </w:rPr>
      <w:tblPr/>
      <w:tcPr>
        <w:shd w:val="clear" w:color="5B9BD5" w:themeColor="accent1" w:fill="5B9BD5" w:themeFill="accent1"/>
      </w:tcPr>
    </w:tblStylePr>
    <w:tblStylePr w:type="lastRow">
      <w:rPr>
        <w:rFonts w:ascii="Arial" w:hAnsi="Arial"/>
        <w:b/>
        <w:color w:val="FFFFFF"/>
        <w:sz w:val="22"/>
      </w:rPr>
      <w:tblPr/>
      <w:tcPr>
        <w:tcBorders>
          <w:top w:val="single" w:sz="4" w:space="0" w:color="FFFFFF" w:themeColor="light1"/>
        </w:tcBorders>
        <w:shd w:val="clear" w:color="5B9BD5" w:themeColor="accent1" w:fill="5B9BD5" w:themeFill="accent1"/>
      </w:tcPr>
    </w:tblStylePr>
    <w:tblStylePr w:type="firstCol">
      <w:rPr>
        <w:rFonts w:ascii="Arial" w:hAnsi="Arial"/>
        <w:b/>
        <w:color w:val="FFFFFF"/>
        <w:sz w:val="22"/>
      </w:rPr>
      <w:tblPr/>
      <w:tcPr>
        <w:shd w:val="clear" w:color="5B9BD5" w:themeColor="accent1" w:fill="5B9BD5" w:themeFill="accent1"/>
      </w:tcPr>
    </w:tblStylePr>
    <w:tblStylePr w:type="lastCol">
      <w:rPr>
        <w:rFonts w:ascii="Arial" w:hAnsi="Arial"/>
        <w:b/>
        <w:color w:val="FFFFFF"/>
        <w:sz w:val="22"/>
      </w:rPr>
      <w:tblPr/>
      <w:tcPr>
        <w:shd w:val="clear" w:color="5B9BD5" w:themeColor="accent1" w:fill="5B9BD5" w:themeFill="accent1"/>
      </w:tcPr>
    </w:tblStylePr>
    <w:tblStylePr w:type="band1Vert">
      <w:tblPr/>
      <w:tcPr>
        <w:shd w:val="clear" w:color="B3D0EB" w:themeColor="accent1" w:themeTint="75" w:fill="B3D0EB" w:themeFill="accent1" w:themeFillTint="75"/>
      </w:tcPr>
    </w:tblStylePr>
    <w:tblStylePr w:type="band1Horz">
      <w:tblPr/>
      <w:tcPr>
        <w:shd w:val="clear" w:color="B3D0EB" w:themeColor="accent1" w:themeTint="75" w:fill="B3D0EB" w:themeFill="accent1" w:themeFillTint="75"/>
      </w:tcPr>
    </w:tblStylePr>
  </w:style>
  <w:style w:type="table" w:styleId="GridTable5Dark-Accent2">
    <w:name w:val="Grid Table 5 Dark Accent 2"/>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styleId="GridTable5Dark-Accent3">
    <w:name w:val="Grid Table 5 Dark Accent 3"/>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styleId="GridTable5Dark-Accent5">
    <w:name w:val="Grid Table 5 Dark Accent 5"/>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D8E2F3" w:themeFill="accent5" w:themeFillTint="34"/>
    </w:tblPr>
    <w:tblStylePr w:type="firstRow">
      <w:rPr>
        <w:rFonts w:ascii="Arial" w:hAnsi="Arial"/>
        <w:b/>
        <w:color w:val="FFFFFF"/>
        <w:sz w:val="22"/>
      </w:rPr>
      <w:tblPr/>
      <w:tcPr>
        <w:shd w:val="clear" w:color="4472C4" w:themeColor="accent5" w:fill="4472C4" w:themeFill="accent5"/>
      </w:tcPr>
    </w:tblStylePr>
    <w:tblStylePr w:type="lastRow">
      <w:rPr>
        <w:rFonts w:ascii="Arial" w:hAnsi="Arial"/>
        <w:b/>
        <w:color w:val="FFFFFF"/>
        <w:sz w:val="22"/>
      </w:rPr>
      <w:tblPr/>
      <w:tcPr>
        <w:tcBorders>
          <w:top w:val="single" w:sz="4" w:space="0" w:color="FFFFFF" w:themeColor="light1"/>
        </w:tcBorders>
        <w:shd w:val="clear" w:color="4472C4" w:themeColor="accent5" w:fill="4472C4" w:themeFill="accent5"/>
      </w:tcPr>
    </w:tblStylePr>
    <w:tblStylePr w:type="firstCol">
      <w:rPr>
        <w:rFonts w:ascii="Arial" w:hAnsi="Arial"/>
        <w:b/>
        <w:color w:val="FFFFFF"/>
        <w:sz w:val="22"/>
      </w:rPr>
      <w:tblPr/>
      <w:tcPr>
        <w:shd w:val="clear" w:color="4472C4" w:themeColor="accent5" w:fill="4472C4" w:themeFill="accent5"/>
      </w:tcPr>
    </w:tblStylePr>
    <w:tblStylePr w:type="lastCol">
      <w:rPr>
        <w:rFonts w:ascii="Arial" w:hAnsi="Arial"/>
        <w:b/>
        <w:color w:val="FFFFFF"/>
        <w:sz w:val="22"/>
      </w:rPr>
      <w:tblPr/>
      <w:tcPr>
        <w:shd w:val="clear" w:color="4472C4" w:themeColor="accent5" w:fill="4472C4" w:themeFill="accent5"/>
      </w:tcPr>
    </w:tblStylePr>
    <w:tblStylePr w:type="band1Vert">
      <w:tblPr/>
      <w:tcPr>
        <w:shd w:val="clear" w:color="A9BEE4" w:themeColor="accent5" w:themeTint="75" w:fill="A9BEE4" w:themeFill="accent5" w:themeFillTint="75"/>
      </w:tcPr>
    </w:tblStylePr>
    <w:tblStylePr w:type="band1Horz">
      <w:tblPr/>
      <w:tcPr>
        <w:shd w:val="clear" w:color="A9BEE4" w:themeColor="accent5" w:themeTint="75" w:fill="A9BEE4" w:themeFill="accent5" w:themeFillTint="75"/>
      </w:tcPr>
    </w:tblStylePr>
  </w:style>
  <w:style w:type="table" w:styleId="GridTable5Dark-Accent6">
    <w:name w:val="Grid Table 5 Dark Accent 6"/>
    <w:basedOn w:val="Table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GridTable6Colorful">
    <w:name w:val="Grid Table 6 Colorful"/>
    <w:basedOn w:val="TableNormal"/>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styleId="GridTable6Colorful-Accent1">
    <w:name w:val="Grid Table 6 Colorful Accent 1"/>
    <w:basedOn w:val="TableNormal"/>
    <w:uiPriority w:val="99"/>
    <w:pPr>
      <w:spacing w:after="0" w:line="240" w:lineRule="auto"/>
    </w:pPr>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styleId="GridTable6Colorful-Accent2">
    <w:name w:val="Grid Table 6 Colorful Accent 2"/>
    <w:basedOn w:val="TableNormal"/>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styleId="GridTable6Colorful-Accent3">
    <w:name w:val="Grid Table 6 Colorful Accent 3"/>
    <w:basedOn w:val="TableNormal"/>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styleId="GridTable6Colorful-Accent4">
    <w:name w:val="Grid Table 6 Colorful Accent 4"/>
    <w:basedOn w:val="TableNormal"/>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styleId="GridTable6Colorful-Accent5">
    <w:name w:val="Grid Table 6 Colorful Accent 5"/>
    <w:basedOn w:val="TableNormal"/>
    <w:uiPriority w:val="99"/>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styleId="GridTable6Colorful-Accent6">
    <w:name w:val="Grid Table 6 Colorful Accent 6"/>
    <w:basedOn w:val="TableNormal"/>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54175" w:themeColor="accent5" w:themeShade="95"/>
        <w:sz w:val="22"/>
      </w:rPr>
      <w:tblPr/>
      <w:tcPr>
        <w:shd w:val="clear" w:color="E1EFD8" w:themeColor="accent6" w:themeTint="34" w:fill="E1EFD8" w:themeFill="accent6" w:themeFillTint="34"/>
      </w:tcPr>
    </w:tblStylePr>
    <w:tblStylePr w:type="band2Horz">
      <w:rPr>
        <w:rFonts w:ascii="Arial" w:hAnsi="Arial"/>
        <w:color w:val="254175" w:themeColor="accent5" w:themeShade="95"/>
        <w:sz w:val="22"/>
      </w:rPr>
    </w:tblStylePr>
  </w:style>
  <w:style w:type="table" w:styleId="GridTable7Colorful">
    <w:name w:val="Grid Table 7 Colorful"/>
    <w:basedOn w:val="TableNormal"/>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styleId="GridTable7Colorful-Accent1">
    <w:name w:val="Grid Table 7 Colorful Accent 1"/>
    <w:basedOn w:val="TableNormal"/>
    <w:uiPriority w:val="99"/>
    <w:pPr>
      <w:spacing w:after="0" w:line="240" w:lineRule="auto"/>
    </w:pPr>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4" w:space="0" w:color="000000"/>
          <w:left w:val="none" w:sz="4" w:space="0" w:color="000000"/>
          <w:bottom w:val="single" w:sz="4" w:space="0" w:color="ACCCEA" w:themeColor="accent1" w:themeTint="80"/>
          <w:right w:val="none" w:sz="4" w:space="0" w:color="000000"/>
        </w:tcBorders>
        <w:shd w:val="clear" w:color="FFFFFF" w:themeColor="light1" w:fill="FFFFFF" w:themeFill="light1"/>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CCCEA" w:themeColor="accent1" w:themeTint="80" w:themeShade="95"/>
        <w:sz w:val="22"/>
      </w:rPr>
      <w:tblPr/>
      <w:tcPr>
        <w:tcBorders>
          <w:top w:val="none" w:sz="4" w:space="0" w:color="000000"/>
          <w:left w:val="none" w:sz="4" w:space="0" w:color="000000"/>
          <w:bottom w:val="none" w:sz="4" w:space="0" w:color="000000"/>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4" w:space="0" w:color="000000"/>
          <w:left w:val="single" w:sz="4" w:space="0" w:color="ACCCEA" w:themeColor="accent1" w:themeTint="80"/>
          <w:bottom w:val="none" w:sz="4" w:space="0" w:color="000000"/>
          <w:right w:val="none" w:sz="4" w:space="0" w:color="000000"/>
        </w:tcBorders>
        <w:shd w:val="clear" w:color="FFFFFF" w:fill="auto"/>
      </w:tcPr>
    </w:tblStylePr>
    <w:tblStylePr w:type="band1Vert">
      <w:tblPr/>
      <w:tcPr>
        <w:shd w:val="clear" w:color="DDEAF6" w:themeColor="accent1" w:themeTint="34" w:fill="DDEAF6" w:themeFill="accent1" w:themeFillTint="34"/>
      </w:tcPr>
    </w:tblStylePr>
    <w:tblStylePr w:type="band1Horz">
      <w:rPr>
        <w:rFonts w:ascii="Arial" w:hAnsi="Arial"/>
        <w:color w:val="ACCCEA" w:themeColor="accent1" w:themeTint="80" w:themeShade="95"/>
        <w:sz w:val="22"/>
      </w:rPr>
      <w:tblPr/>
      <w:tcPr>
        <w:shd w:val="clear" w:color="DDEAF6" w:themeColor="accent1" w:themeTint="34" w:fill="DDEAF6" w:themeFill="accent1" w:themeFillTint="34"/>
      </w:tcPr>
    </w:tblStylePr>
    <w:tblStylePr w:type="band2Horz">
      <w:rPr>
        <w:rFonts w:ascii="Arial" w:hAnsi="Arial"/>
        <w:color w:val="ACCCEA" w:themeColor="accent1" w:themeTint="80" w:themeShade="95"/>
        <w:sz w:val="22"/>
      </w:rPr>
    </w:tblStylePr>
  </w:style>
  <w:style w:type="table" w:styleId="GridTable7Colorful-Accent2">
    <w:name w:val="Grid Table 7 Colorful Accent 2"/>
    <w:basedOn w:val="TableNormal"/>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styleId="GridTable7Colorful-Accent3">
    <w:name w:val="Grid Table 7 Colorful Accent 3"/>
    <w:basedOn w:val="TableNormal"/>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styleId="GridTable7Colorful-Accent4">
    <w:name w:val="Grid Table 7 Colorful Accent 4"/>
    <w:basedOn w:val="TableNormal"/>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styleId="GridTable7Colorful-Accent5">
    <w:name w:val="Grid Table 7 Colorful Accent 5"/>
    <w:basedOn w:val="TableNormal"/>
    <w:uiPriority w:val="99"/>
    <w:pPr>
      <w:spacing w:after="0" w:line="240" w:lineRule="auto"/>
    </w:pPr>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4" w:space="0" w:color="000000"/>
          <w:left w:val="none" w:sz="4" w:space="0" w:color="000000"/>
          <w:bottom w:val="single" w:sz="4" w:space="0" w:color="95AFDD" w:themeColor="accent5" w:themeTint="90"/>
          <w:right w:val="none" w:sz="4" w:space="0" w:color="000000"/>
        </w:tcBorders>
        <w:shd w:val="clear" w:color="FFFFFF" w:themeColor="light1" w:fill="FFFFFF" w:themeFill="light1"/>
      </w:tcPr>
    </w:tblStylePr>
    <w:tblStylePr w:type="lastRow">
      <w:rPr>
        <w:rFonts w:ascii="Arial" w:hAnsi="Arial"/>
        <w:b/>
        <w:color w:val="254175" w:themeColor="accent5" w:themeShade="95"/>
        <w:sz w:val="22"/>
      </w:rPr>
      <w:tblPr/>
      <w:tcPr>
        <w:tcBorders>
          <w:top w:val="single" w:sz="4" w:space="0" w:color="95AFDD"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54175" w:themeColor="accent5" w:themeShade="95"/>
        <w:sz w:val="22"/>
      </w:rPr>
      <w:tblPr/>
      <w:tcPr>
        <w:tcBorders>
          <w:top w:val="none" w:sz="4" w:space="0" w:color="000000"/>
          <w:left w:val="none" w:sz="4" w:space="0" w:color="000000"/>
          <w:bottom w:val="none" w:sz="4" w:space="0" w:color="000000"/>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4" w:space="0" w:color="000000"/>
          <w:left w:val="single" w:sz="4" w:space="0" w:color="95AFDD" w:themeColor="accent5" w:themeTint="90"/>
          <w:bottom w:val="none" w:sz="4" w:space="0" w:color="000000"/>
          <w:right w:val="none" w:sz="4" w:space="0" w:color="000000"/>
        </w:tcBorders>
        <w:shd w:val="clear" w:color="FFFFFF" w:fill="auto"/>
      </w:tcPr>
    </w:tblStylePr>
    <w:tblStylePr w:type="band1Vert">
      <w:tblPr/>
      <w:tcPr>
        <w:shd w:val="clear" w:color="D8E2F3" w:themeColor="accent5" w:themeTint="34" w:fill="D8E2F3" w:themeFill="accent5" w:themeFillTint="34"/>
      </w:tcPr>
    </w:tblStylePr>
    <w:tblStylePr w:type="band1Horz">
      <w:rPr>
        <w:rFonts w:ascii="Arial" w:hAnsi="Arial"/>
        <w:color w:val="254175" w:themeColor="accent5" w:themeShade="95"/>
        <w:sz w:val="22"/>
      </w:rPr>
      <w:tblPr/>
      <w:tcPr>
        <w:shd w:val="clear" w:color="D8E2F3" w:themeColor="accent5" w:themeTint="34" w:fill="D8E2F3" w:themeFill="accent5" w:themeFillTint="34"/>
      </w:tcPr>
    </w:tblStylePr>
    <w:tblStylePr w:type="band2Horz">
      <w:rPr>
        <w:rFonts w:ascii="Arial" w:hAnsi="Arial"/>
        <w:color w:val="254175" w:themeColor="accent5" w:themeShade="95"/>
        <w:sz w:val="22"/>
      </w:rPr>
    </w:tblStylePr>
  </w:style>
  <w:style w:type="table" w:styleId="GridTable7Colorful-Accent6">
    <w:name w:val="Grid Table 7 Colorful Accent 6"/>
    <w:basedOn w:val="TableNormal"/>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ListTable1Light">
    <w:name w:val="List Table 1 Light"/>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styleId="ListTable1Light-Accent1">
    <w:name w:val="List Table 1 Light Accent 1"/>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D5E5F4" w:themeFill="accent1" w:themeFillTint="40"/>
      </w:tcPr>
    </w:tblStylePr>
    <w:tblStylePr w:type="band1Horz">
      <w:tblPr/>
      <w:tcPr>
        <w:shd w:val="clear" w:color="D5E5F4" w:themeColor="accent1" w:themeTint="40" w:fill="D5E5F4" w:themeFill="accent1" w:themeFillTint="40"/>
      </w:tcPr>
    </w:tblStylePr>
  </w:style>
  <w:style w:type="table" w:styleId="ListTable1Light-Accent2">
    <w:name w:val="List Table 1 Light Accent 2"/>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styleId="ListTable1Light-Accent3">
    <w:name w:val="List Table 1 Light Accent 3"/>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styleId="ListTable1Light-Accent4">
    <w:name w:val="List Table 1 Light Accent 4"/>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styleId="ListTable1Light-Accent5">
    <w:name w:val="List Table 1 Light Accent 5"/>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CFDBF0" w:themeFill="accent5" w:themeFillTint="40"/>
      </w:tcPr>
    </w:tblStylePr>
    <w:tblStylePr w:type="band1Horz">
      <w:tblPr/>
      <w:tcPr>
        <w:shd w:val="clear" w:color="CFDBF0" w:themeColor="accent5" w:themeTint="40" w:fill="CFDBF0" w:themeFill="accent5" w:themeFillTint="40"/>
      </w:tcPr>
    </w:tblStylePr>
  </w:style>
  <w:style w:type="table" w:styleId="ListTable1Light-Accent6">
    <w:name w:val="List Table 1 Light Accent 6"/>
    <w:basedOn w:val="Table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ListTable2">
    <w:name w:val="List Table 2"/>
    <w:basedOn w:val="TableNormal"/>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styleId="ListTable2-Accent1">
    <w:name w:val="List Table 2 Accent 1"/>
    <w:basedOn w:val="TableNormal"/>
    <w:uiPriority w:val="99"/>
    <w:pPr>
      <w:spacing w:after="0" w:line="240" w:lineRule="auto"/>
    </w:pPr>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styleId="ListTable2-Accent2">
    <w:name w:val="List Table 2 Accent 2"/>
    <w:basedOn w:val="TableNormal"/>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styleId="ListTable2-Accent3">
    <w:name w:val="List Table 2 Accent 3"/>
    <w:basedOn w:val="TableNormal"/>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styleId="ListTable2-Accent4">
    <w:name w:val="List Table 2 Accent 4"/>
    <w:basedOn w:val="TableNormal"/>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styleId="ListTable2-Accent5">
    <w:name w:val="List Table 2 Accent 5"/>
    <w:basedOn w:val="TableNormal"/>
    <w:uiPriority w:val="99"/>
    <w:pPr>
      <w:spacing w:after="0" w:line="240" w:lineRule="auto"/>
    </w:pPr>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styleId="ListTable2-Accent6">
    <w:name w:val="List Table 2 Accent 6"/>
    <w:basedOn w:val="TableNormal"/>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ListTable3">
    <w:name w:val="List Table 3"/>
    <w:basedOn w:val="TableNorma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styleId="ListTable3-Accent1">
    <w:name w:val="List Table 3 Accent 1"/>
    <w:basedOn w:val="TableNormal"/>
    <w:uiPriority w:val="99"/>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styleId="ListTable3-Accent2">
    <w:name w:val="List Table 3 Accent 2"/>
    <w:basedOn w:val="TableNormal"/>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styleId="ListTable3-Accent3">
    <w:name w:val="List Table 3 Accent 3"/>
    <w:basedOn w:val="TableNormal"/>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styleId="ListTable3-Accent4">
    <w:name w:val="List Table 3 Accent 4"/>
    <w:basedOn w:val="TableNormal"/>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styleId="ListTable3-Accent5">
    <w:name w:val="List Table 3 Accent 5"/>
    <w:basedOn w:val="TableNormal"/>
    <w:uiPriority w:val="99"/>
    <w:pPr>
      <w:spacing w:after="0" w:line="240" w:lineRule="auto"/>
    </w:pPr>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8DA9DB"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styleId="ListTable3-Accent6">
    <w:name w:val="List Table 3 Accent 6"/>
    <w:basedOn w:val="TableNormal"/>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ListTable4">
    <w:name w:val="List Table 4"/>
    <w:basedOn w:val="TableNorma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styleId="ListTable4-Accent1">
    <w:name w:val="List Table 4 Accent 1"/>
    <w:basedOn w:val="TableNormal"/>
    <w:uiPriority w:val="9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5B9BD5"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D5E5F4" w:themeFill="accent1" w:themeFillTint="40"/>
      </w:tcPr>
    </w:tblStylePr>
    <w:tblStylePr w:type="band1Horz">
      <w:rPr>
        <w:rFonts w:ascii="Arial" w:hAnsi="Arial"/>
        <w:color w:val="404040"/>
        <w:sz w:val="22"/>
      </w:rPr>
      <w:tblPr/>
      <w:tcPr>
        <w:shd w:val="clear" w:color="D5E5F4" w:themeColor="accent1" w:themeTint="40" w:fill="D5E5F4" w:themeFill="accent1" w:themeFillTint="40"/>
      </w:tcPr>
    </w:tblStylePr>
  </w:style>
  <w:style w:type="table" w:styleId="ListTable4-Accent2">
    <w:name w:val="List Table 4 Accent 2"/>
    <w:basedOn w:val="TableNormal"/>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styleId="ListTable4-Accent3">
    <w:name w:val="List Table 4 Accent 3"/>
    <w:basedOn w:val="TableNormal"/>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styleId="ListTable4-Accent4">
    <w:name w:val="List Table 4 Accent 4"/>
    <w:basedOn w:val="TableNormal"/>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styleId="ListTable4-Accent5">
    <w:name w:val="List Table 4 Accent 5"/>
    <w:basedOn w:val="TableNormal"/>
    <w:uiPriority w:val="9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4472C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CFDBF0" w:themeFill="accent5" w:themeFillTint="40"/>
      </w:tcPr>
    </w:tblStylePr>
    <w:tblStylePr w:type="band1Horz">
      <w:rPr>
        <w:rFonts w:ascii="Arial" w:hAnsi="Arial"/>
        <w:color w:val="404040"/>
        <w:sz w:val="22"/>
      </w:rPr>
      <w:tblPr/>
      <w:tcPr>
        <w:shd w:val="clear" w:color="CFDBF0" w:themeColor="accent5" w:themeTint="40" w:fill="CFDBF0" w:themeFill="accent5" w:themeFillTint="40"/>
      </w:tcPr>
    </w:tblStylePr>
  </w:style>
  <w:style w:type="table" w:styleId="ListTable4-Accent6">
    <w:name w:val="List Table 4 Accent 6"/>
    <w:basedOn w:val="TableNormal"/>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ListTable5Dark">
    <w:name w:val="List Table 5 Dark"/>
    <w:basedOn w:val="TableNormal"/>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styleId="ListTable5Dark-Accent1">
    <w:name w:val="List Table 5 Dark Accent 1"/>
    <w:basedOn w:val="TableNormal"/>
    <w:uiPriority w:val="99"/>
    <w:pPr>
      <w:spacing w:after="0" w:line="240" w:lineRule="auto"/>
    </w:pPr>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5B9BD5" w:themeFill="accent1"/>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5B9BD5"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5B9BD5"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5B9BD5" w:themeFill="accent1"/>
      </w:tcPr>
    </w:tblStylePr>
    <w:tblStylePr w:type="band2Horz">
      <w:tblPr/>
      <w:tcPr>
        <w:tcBorders>
          <w:top w:val="single" w:sz="4" w:space="0" w:color="FFFFFF" w:themeColor="light1"/>
          <w:bottom w:val="single" w:sz="4" w:space="0" w:color="FFFFFF" w:themeColor="light1"/>
        </w:tcBorders>
        <w:shd w:val="clear" w:color="5B9BD5" w:themeColor="accent1" w:fill="5B9BD5" w:themeFill="accent1"/>
      </w:tcPr>
    </w:tblStylePr>
  </w:style>
  <w:style w:type="table" w:styleId="ListTable5Dark-Accent2">
    <w:name w:val="List Table 5 Dark Accent 2"/>
    <w:basedOn w:val="TableNormal"/>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styleId="ListTable5Dark-Accent3">
    <w:name w:val="List Table 5 Dark Accent 3"/>
    <w:basedOn w:val="TableNormal"/>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styleId="ListTable5Dark-Accent4">
    <w:name w:val="List Table 5 Dark Accent 4"/>
    <w:basedOn w:val="TableNormal"/>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styleId="ListTable5Dark-Accent5">
    <w:name w:val="List Table 5 Dark Accent 5"/>
    <w:basedOn w:val="TableNormal"/>
    <w:uiPriority w:val="99"/>
    <w:pPr>
      <w:spacing w:after="0" w:line="240" w:lineRule="auto"/>
    </w:pPr>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8DA9DB" w:themeFill="accent5" w:themeFillTint="9A"/>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8DA9DB"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8DA9DB"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tblStylePr w:type="band2Horz">
      <w:tblPr/>
      <w:tcPr>
        <w:tcBorders>
          <w:top w:val="single" w:sz="4" w:space="0" w:color="FFFFFF" w:themeColor="light1"/>
          <w:bottom w:val="single" w:sz="4" w:space="0" w:color="FFFFFF" w:themeColor="light1"/>
        </w:tcBorders>
        <w:shd w:val="clear" w:color="8DA9DB" w:themeColor="accent5" w:themeTint="9A" w:fill="8DA9DB" w:themeFill="accent5" w:themeFillTint="9A"/>
      </w:tcPr>
    </w:tblStylePr>
  </w:style>
  <w:style w:type="table" w:styleId="ListTable5Dark-Accent6">
    <w:name w:val="List Table 5 Dark Accent 6"/>
    <w:basedOn w:val="TableNormal"/>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ListTable6Colorful">
    <w:name w:val="List Table 6 Colorful"/>
    <w:basedOn w:val="TableNormal"/>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styleId="ListTable6Colorful-Accent1">
    <w:name w:val="List Table 6 Colorful Accent 1"/>
    <w:basedOn w:val="TableNormal"/>
    <w:uiPriority w:val="99"/>
    <w:pPr>
      <w:spacing w:after="0" w:line="240" w:lineRule="auto"/>
    </w:pPr>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styleId="ListTable6Colorful-Accent2">
    <w:name w:val="List Table 6 Colorful Accent 2"/>
    <w:basedOn w:val="TableNormal"/>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styleId="ListTable6Colorful-Accent3">
    <w:name w:val="List Table 6 Colorful Accent 3"/>
    <w:basedOn w:val="TableNormal"/>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styleId="ListTable6Colorful-Accent4">
    <w:name w:val="List Table 6 Colorful Accent 4"/>
    <w:basedOn w:val="TableNormal"/>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styleId="ListTable6Colorful-Accent5">
    <w:name w:val="List Table 6 Colorful Accent 5"/>
    <w:basedOn w:val="TableNormal"/>
    <w:uiPriority w:val="99"/>
    <w:pPr>
      <w:spacing w:after="0" w:line="240" w:lineRule="auto"/>
    </w:pPr>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styleId="ListTable6Colorful-Accent6">
    <w:name w:val="List Table 6 Colorful Accent 6"/>
    <w:basedOn w:val="TableNormal"/>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ListTable7Colorful">
    <w:name w:val="List Table 7 Colorful"/>
    <w:basedOn w:val="TableNormal"/>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styleId="ListTable7Colorful-Accent1">
    <w:name w:val="List Table 7 Colorful Accent 1"/>
    <w:basedOn w:val="TableNormal"/>
    <w:uiPriority w:val="99"/>
    <w:pPr>
      <w:spacing w:after="0" w:line="240" w:lineRule="auto"/>
    </w:pPr>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4" w:space="0" w:color="000000"/>
          <w:left w:val="none" w:sz="4" w:space="0" w:color="000000"/>
          <w:bottom w:val="single" w:sz="4" w:space="0" w:color="5B9BD5" w:themeColor="accent1"/>
          <w:right w:val="none" w:sz="4" w:space="0" w:color="000000"/>
        </w:tcBorders>
        <w:shd w:val="clear" w:color="FFFFFF" w:themeColor="light1" w:fill="FFFFFF" w:themeFill="light1"/>
      </w:tcPr>
    </w:tblStylePr>
    <w:tblStylePr w:type="lastRow">
      <w:rPr>
        <w:rFonts w:ascii="Arial" w:hAnsi="Arial"/>
        <w:i/>
        <w:color w:val="245A8D" w:themeColor="accent1" w:themeShade="95"/>
        <w:sz w:val="22"/>
      </w:rPr>
      <w:tblPr/>
      <w:tcPr>
        <w:tcBorders>
          <w:top w:val="single" w:sz="4" w:space="0" w:color="5B9BD5"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45A8D" w:themeColor="accent1" w:themeShade="95"/>
        <w:sz w:val="22"/>
      </w:rPr>
      <w:tblPr/>
      <w:tcPr>
        <w:tcBorders>
          <w:top w:val="none" w:sz="4" w:space="0" w:color="000000"/>
          <w:left w:val="none" w:sz="4" w:space="0" w:color="000000"/>
          <w:bottom w:val="none" w:sz="4" w:space="0" w:color="000000"/>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4" w:space="0" w:color="000000"/>
          <w:left w:val="single" w:sz="4" w:space="0" w:color="5B9BD5" w:themeColor="accent1"/>
          <w:bottom w:val="none" w:sz="4" w:space="0" w:color="000000"/>
          <w:right w:val="none" w:sz="4" w:space="0" w:color="000000"/>
        </w:tcBorders>
        <w:shd w:val="clear" w:color="FFFFFF" w:fill="auto"/>
      </w:tcPr>
    </w:tblStylePr>
    <w:tblStylePr w:type="band1Vert">
      <w:tblPr/>
      <w:tcPr>
        <w:shd w:val="clear" w:color="D5E5F4" w:themeColor="accent1" w:themeTint="40" w:fill="D5E5F4" w:themeFill="accent1" w:themeFillTint="40"/>
      </w:tcPr>
    </w:tblStylePr>
    <w:tblStylePr w:type="band1Horz">
      <w:rPr>
        <w:rFonts w:ascii="Arial" w:hAnsi="Arial"/>
        <w:color w:val="245A8D" w:themeColor="accent1" w:themeShade="95"/>
        <w:sz w:val="22"/>
      </w:rPr>
      <w:tblPr/>
      <w:tcPr>
        <w:shd w:val="clear" w:color="D5E5F4" w:themeColor="accent1" w:themeTint="40" w:fill="D5E5F4" w:themeFill="accent1" w:themeFillTint="40"/>
      </w:tcPr>
    </w:tblStylePr>
    <w:tblStylePr w:type="band2Horz">
      <w:rPr>
        <w:rFonts w:ascii="Arial" w:hAnsi="Arial"/>
        <w:color w:val="245A8D" w:themeColor="accent1" w:themeShade="95"/>
        <w:sz w:val="22"/>
      </w:rPr>
    </w:tblStylePr>
  </w:style>
  <w:style w:type="table" w:styleId="ListTable7Colorful-Accent2">
    <w:name w:val="List Table 7 Colorful Accent 2"/>
    <w:basedOn w:val="TableNormal"/>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styleId="ListTable7Colorful-Accent3">
    <w:name w:val="List Table 7 Colorful Accent 3"/>
    <w:basedOn w:val="TableNormal"/>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styleId="ListTable7Colorful-Accent4">
    <w:name w:val="List Table 7 Colorful Accent 4"/>
    <w:basedOn w:val="TableNormal"/>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styleId="ListTable7Colorful-Accent5">
    <w:name w:val="List Table 7 Colorful Accent 5"/>
    <w:basedOn w:val="TableNormal"/>
    <w:uiPriority w:val="99"/>
    <w:pPr>
      <w:spacing w:after="0" w:line="240" w:lineRule="auto"/>
    </w:pPr>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4" w:space="0" w:color="000000"/>
          <w:left w:val="none" w:sz="4" w:space="0" w:color="000000"/>
          <w:bottom w:val="single" w:sz="4" w:space="0" w:color="8DA9DB" w:themeColor="accent5" w:themeTint="9A"/>
          <w:right w:val="none" w:sz="4" w:space="0" w:color="000000"/>
        </w:tcBorders>
        <w:shd w:val="clear" w:color="FFFFFF" w:themeColor="light1" w:fill="FFFFFF" w:themeFill="light1"/>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8DA9DB" w:themeColor="accent5" w:themeTint="9A" w:themeShade="95"/>
        <w:sz w:val="22"/>
      </w:rPr>
      <w:tblPr/>
      <w:tcPr>
        <w:tcBorders>
          <w:top w:val="none" w:sz="4" w:space="0" w:color="000000"/>
          <w:left w:val="none" w:sz="4" w:space="0" w:color="000000"/>
          <w:bottom w:val="none" w:sz="4" w:space="0" w:color="000000"/>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4" w:space="0" w:color="000000"/>
          <w:left w:val="single" w:sz="4" w:space="0" w:color="8DA9DB" w:themeColor="accent5" w:themeTint="9A"/>
          <w:bottom w:val="none" w:sz="4" w:space="0" w:color="000000"/>
          <w:right w:val="none" w:sz="4" w:space="0" w:color="000000"/>
        </w:tcBorders>
        <w:shd w:val="clear" w:color="FFFFFF" w:fill="auto"/>
      </w:tcPr>
    </w:tblStylePr>
    <w:tblStylePr w:type="band1Vert">
      <w:tblPr/>
      <w:tcPr>
        <w:shd w:val="clear" w:color="CFDBF0" w:themeColor="accent5" w:themeTint="40" w:fill="CFDBF0" w:themeFill="accent5" w:themeFillTint="40"/>
      </w:tcPr>
    </w:tblStylePr>
    <w:tblStylePr w:type="band1Horz">
      <w:rPr>
        <w:rFonts w:ascii="Arial" w:hAnsi="Arial"/>
        <w:color w:val="8DA9DB" w:themeColor="accent5" w:themeTint="9A" w:themeShade="95"/>
        <w:sz w:val="22"/>
      </w:rPr>
      <w:tblPr/>
      <w:tcPr>
        <w:shd w:val="clear" w:color="CFDBF0" w:themeColor="accent5" w:themeTint="40" w:fill="CFDBF0" w:themeFill="accent5" w:themeFillTint="40"/>
      </w:tcPr>
    </w:tblStylePr>
    <w:tblStylePr w:type="band2Horz">
      <w:rPr>
        <w:rFonts w:ascii="Arial" w:hAnsi="Arial"/>
        <w:color w:val="8DA9DB" w:themeColor="accent5" w:themeTint="9A" w:themeShade="95"/>
        <w:sz w:val="22"/>
      </w:rPr>
    </w:tblStylePr>
  </w:style>
  <w:style w:type="table" w:styleId="ListTable7Colorful-Accent6">
    <w:name w:val="List Table 7 Colorful Accent 6"/>
    <w:basedOn w:val="TableNormal"/>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TableNormal"/>
    <w:uiPriority w:val="99"/>
    <w:pPr>
      <w:spacing w:after="0" w:line="240" w:lineRule="auto"/>
    </w:pPr>
    <w:rPr>
      <w:color w:val="404040"/>
      <w:sz w:val="20"/>
      <w:szCs w:val="20"/>
      <w:lang w:val="en-DE" w:eastAsia="en-DE"/>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TableNormal"/>
    <w:uiPriority w:val="99"/>
    <w:pPr>
      <w:spacing w:after="0" w:line="240" w:lineRule="auto"/>
    </w:pPr>
    <w:rPr>
      <w:color w:val="404040"/>
      <w:sz w:val="20"/>
      <w:szCs w:val="20"/>
      <w:lang w:val="en-DE" w:eastAsia="en-DE"/>
    </w:rPr>
    <w:tblPr>
      <w:tblStyleRowBandSize w:val="1"/>
      <w:tblStyleColBandSize w:val="1"/>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Lined-Accent2">
    <w:name w:val="Lined - Accent 2"/>
    <w:basedOn w:val="TableNormal"/>
    <w:uiPriority w:val="99"/>
    <w:pPr>
      <w:spacing w:after="0" w:line="240" w:lineRule="auto"/>
    </w:pPr>
    <w:rPr>
      <w:color w:val="404040"/>
      <w:sz w:val="20"/>
      <w:szCs w:val="20"/>
      <w:lang w:val="en-DE" w:eastAsia="en-DE"/>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TableNormal"/>
    <w:uiPriority w:val="99"/>
    <w:pPr>
      <w:spacing w:after="0" w:line="240" w:lineRule="auto"/>
    </w:pPr>
    <w:rPr>
      <w:color w:val="404040"/>
      <w:sz w:val="20"/>
      <w:szCs w:val="20"/>
      <w:lang w:val="en-DE" w:eastAsia="en-DE"/>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TableNormal"/>
    <w:uiPriority w:val="99"/>
    <w:pPr>
      <w:spacing w:after="0" w:line="240" w:lineRule="auto"/>
    </w:pPr>
    <w:rPr>
      <w:color w:val="404040"/>
      <w:sz w:val="20"/>
      <w:szCs w:val="20"/>
      <w:lang w:val="en-DE" w:eastAsia="en-DE"/>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TableNormal"/>
    <w:uiPriority w:val="99"/>
    <w:pPr>
      <w:spacing w:after="0" w:line="240" w:lineRule="auto"/>
    </w:pPr>
    <w:rPr>
      <w:color w:val="404040"/>
      <w:sz w:val="20"/>
      <w:szCs w:val="20"/>
      <w:lang w:val="en-DE" w:eastAsia="en-DE"/>
    </w:rPr>
    <w:tblPr>
      <w:tblStyleRowBandSize w:val="1"/>
      <w:tblStyleColBandSize w:val="1"/>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Lined-Accent6">
    <w:name w:val="Lined - Accent 6"/>
    <w:basedOn w:val="TableNormal"/>
    <w:uiPriority w:val="99"/>
    <w:pPr>
      <w:spacing w:after="0" w:line="240" w:lineRule="auto"/>
    </w:pPr>
    <w:rPr>
      <w:color w:val="404040"/>
      <w:sz w:val="20"/>
      <w:szCs w:val="20"/>
      <w:lang w:val="en-DE" w:eastAsia="en-DE"/>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TableNormal"/>
    <w:uiPriority w:val="99"/>
    <w:pPr>
      <w:spacing w:after="0" w:line="240" w:lineRule="auto"/>
    </w:pPr>
    <w:rPr>
      <w:color w:val="404040"/>
      <w:sz w:val="20"/>
      <w:szCs w:val="20"/>
      <w:lang w:val="en-DE" w:eastAsia="en-DE"/>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TableNormal"/>
    <w:uiPriority w:val="99"/>
    <w:pPr>
      <w:spacing w:after="0" w:line="240" w:lineRule="auto"/>
    </w:pPr>
    <w:rPr>
      <w:color w:val="404040"/>
      <w:sz w:val="20"/>
      <w:szCs w:val="20"/>
      <w:lang w:val="en-DE" w:eastAsia="en-DE"/>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68A2D8" w:themeFill="accent1" w:themeFillTint="EA"/>
      </w:tcPr>
    </w:tblStylePr>
    <w:tblStylePr w:type="lastRow">
      <w:rPr>
        <w:rFonts w:ascii="Arial" w:hAnsi="Arial"/>
        <w:color w:val="F2F2F2"/>
        <w:sz w:val="22"/>
      </w:rPr>
      <w:tblPr/>
      <w:tcPr>
        <w:shd w:val="clear" w:color="68A2D8" w:themeColor="accent1" w:themeTint="EA" w:fill="68A2D8" w:themeFill="accent1" w:themeFillTint="EA"/>
      </w:tcPr>
    </w:tblStylePr>
    <w:tblStylePr w:type="firstCol">
      <w:rPr>
        <w:rFonts w:ascii="Arial" w:hAnsi="Arial"/>
        <w:color w:val="F2F2F2"/>
        <w:sz w:val="22"/>
      </w:rPr>
      <w:tblPr/>
      <w:tcPr>
        <w:shd w:val="clear" w:color="68A2D8" w:themeColor="accent1" w:themeTint="EA" w:fill="68A2D8" w:themeFill="accent1" w:themeFillTint="EA"/>
      </w:tcPr>
    </w:tblStylePr>
    <w:tblStylePr w:type="lastCol">
      <w:rPr>
        <w:rFonts w:ascii="Arial" w:hAnsi="Arial"/>
        <w:color w:val="F2F2F2"/>
        <w:sz w:val="22"/>
      </w:rPr>
      <w:tblPr/>
      <w:tcPr>
        <w:shd w:val="clear" w:color="68A2D8" w:themeColor="accent1" w:themeTint="EA" w:fill="68A2D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CBDFF1"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CBDFF1" w:themeFill="accent1" w:themeFillTint="50"/>
      </w:tcPr>
    </w:tblStylePr>
  </w:style>
  <w:style w:type="table" w:customStyle="1" w:styleId="BorderedLined-Accent2">
    <w:name w:val="Bordered &amp; Lined - Accent 2"/>
    <w:basedOn w:val="TableNormal"/>
    <w:uiPriority w:val="99"/>
    <w:pPr>
      <w:spacing w:after="0" w:line="240" w:lineRule="auto"/>
    </w:pPr>
    <w:rPr>
      <w:color w:val="404040"/>
      <w:sz w:val="20"/>
      <w:szCs w:val="20"/>
      <w:lang w:val="en-DE" w:eastAsia="en-DE"/>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TableNormal"/>
    <w:uiPriority w:val="99"/>
    <w:pPr>
      <w:spacing w:after="0" w:line="240" w:lineRule="auto"/>
    </w:pPr>
    <w:rPr>
      <w:color w:val="404040"/>
      <w:sz w:val="20"/>
      <w:szCs w:val="20"/>
      <w:lang w:val="en-DE" w:eastAsia="en-DE"/>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TableNormal"/>
    <w:uiPriority w:val="99"/>
    <w:pPr>
      <w:spacing w:after="0" w:line="240" w:lineRule="auto"/>
    </w:pPr>
    <w:rPr>
      <w:color w:val="404040"/>
      <w:sz w:val="20"/>
      <w:szCs w:val="20"/>
      <w:lang w:val="en-DE" w:eastAsia="en-DE"/>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TableNormal"/>
    <w:uiPriority w:val="99"/>
    <w:pPr>
      <w:spacing w:after="0" w:line="240" w:lineRule="auto"/>
    </w:pPr>
    <w:rPr>
      <w:color w:val="404040"/>
      <w:sz w:val="20"/>
      <w:szCs w:val="20"/>
      <w:lang w:val="en-DE" w:eastAsia="en-DE"/>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4472C4" w:themeFill="accent5"/>
      </w:tcPr>
    </w:tblStylePr>
    <w:tblStylePr w:type="lastRow">
      <w:rPr>
        <w:rFonts w:ascii="Arial" w:hAnsi="Arial"/>
        <w:color w:val="F2F2F2"/>
        <w:sz w:val="22"/>
      </w:rPr>
      <w:tblPr/>
      <w:tcPr>
        <w:shd w:val="clear" w:color="4472C4" w:themeColor="accent5" w:fill="4472C4" w:themeFill="accent5"/>
      </w:tcPr>
    </w:tblStylePr>
    <w:tblStylePr w:type="firstCol">
      <w:rPr>
        <w:rFonts w:ascii="Arial" w:hAnsi="Arial"/>
        <w:color w:val="F2F2F2"/>
        <w:sz w:val="22"/>
      </w:rPr>
      <w:tblPr/>
      <w:tcPr>
        <w:shd w:val="clear" w:color="4472C4" w:themeColor="accent5" w:fill="4472C4" w:themeFill="accent5"/>
      </w:tcPr>
    </w:tblStylePr>
    <w:tblStylePr w:type="lastCol">
      <w:rPr>
        <w:rFonts w:ascii="Arial" w:hAnsi="Arial"/>
        <w:color w:val="F2F2F2"/>
        <w:sz w:val="22"/>
      </w:rPr>
      <w:tblPr/>
      <w:tcPr>
        <w:shd w:val="clear" w:color="4472C4" w:themeColor="accent5" w:fill="4472C4"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D8E2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D8E2F3" w:themeFill="accent5" w:themeFillTint="34"/>
      </w:tcPr>
    </w:tblStylePr>
  </w:style>
  <w:style w:type="table" w:customStyle="1" w:styleId="BorderedLined-Accent6">
    <w:name w:val="Bordered &amp; Lined - Accent 6"/>
    <w:basedOn w:val="TableNormal"/>
    <w:uiPriority w:val="99"/>
    <w:pPr>
      <w:spacing w:after="0" w:line="240" w:lineRule="auto"/>
    </w:pPr>
    <w:rPr>
      <w:color w:val="404040"/>
      <w:sz w:val="20"/>
      <w:szCs w:val="20"/>
      <w:lang w:val="en-DE" w:eastAsia="en-DE"/>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TableNormal"/>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leNormal"/>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TableNormal"/>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TableNormal"/>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TableNormal"/>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TableNormal"/>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TableNormal"/>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Heading1Char">
    <w:name w:val="Heading 1 Char"/>
    <w:basedOn w:val="DefaultParagraphFont"/>
    <w:link w:val="Heading1"/>
    <w:uiPriority w:val="9"/>
    <w:rPr>
      <w:rFonts w:ascii="Arial" w:eastAsia="Arial" w:hAnsi="Arial" w:cs="Arial"/>
      <w:color w:val="2E74B5" w:themeColor="accent1" w:themeShade="BF"/>
      <w:sz w:val="40"/>
      <w:szCs w:val="40"/>
    </w:rPr>
  </w:style>
  <w:style w:type="character" w:customStyle="1" w:styleId="Heading2Char">
    <w:name w:val="Heading 2 Char"/>
    <w:basedOn w:val="DefaultParagraphFont"/>
    <w:link w:val="Heading2"/>
    <w:uiPriority w:val="9"/>
    <w:rPr>
      <w:rFonts w:ascii="Arial" w:eastAsia="Arial" w:hAnsi="Arial" w:cs="Arial"/>
      <w:color w:val="2E74B5" w:themeColor="accent1" w:themeShade="BF"/>
      <w:sz w:val="32"/>
      <w:szCs w:val="32"/>
    </w:rPr>
  </w:style>
  <w:style w:type="character" w:customStyle="1" w:styleId="Heading3Char">
    <w:name w:val="Heading 3 Char"/>
    <w:basedOn w:val="DefaultParagraphFont"/>
    <w:link w:val="Heading3"/>
    <w:uiPriority w:val="9"/>
    <w:rPr>
      <w:rFonts w:ascii="Arial" w:eastAsia="Arial" w:hAnsi="Arial" w:cs="Arial"/>
      <w:color w:val="2E74B5" w:themeColor="accent1" w:themeShade="BF"/>
      <w:sz w:val="28"/>
      <w:szCs w:val="28"/>
    </w:rPr>
  </w:style>
  <w:style w:type="character" w:customStyle="1" w:styleId="Heading4Char">
    <w:name w:val="Heading 4 Char"/>
    <w:basedOn w:val="DefaultParagraphFont"/>
    <w:link w:val="Heading4"/>
    <w:uiPriority w:val="9"/>
    <w:rPr>
      <w:rFonts w:ascii="Arial" w:eastAsia="Arial" w:hAnsi="Arial" w:cs="Arial"/>
      <w:i/>
      <w:iCs/>
      <w:color w:val="2E74B5" w:themeColor="accent1" w:themeShade="BF"/>
    </w:rPr>
  </w:style>
  <w:style w:type="character" w:customStyle="1" w:styleId="Heading5Char">
    <w:name w:val="Heading 5 Char"/>
    <w:basedOn w:val="DefaultParagraphFont"/>
    <w:link w:val="Heading5"/>
    <w:uiPriority w:val="9"/>
    <w:rPr>
      <w:rFonts w:ascii="Arial" w:eastAsia="Arial" w:hAnsi="Arial" w:cs="Arial"/>
      <w:color w:val="2E74B5" w:themeColor="accent1" w:themeShade="BF"/>
    </w:rPr>
  </w:style>
  <w:style w:type="character" w:customStyle="1" w:styleId="Heading6Char">
    <w:name w:val="Heading 6 Char"/>
    <w:basedOn w:val="DefaultParagraphFont"/>
    <w:link w:val="Heading6"/>
    <w:uiPriority w:val="9"/>
    <w:rPr>
      <w:rFonts w:ascii="Arial" w:eastAsia="Arial" w:hAnsi="Arial" w:cs="Arial"/>
      <w:i/>
      <w:iCs/>
      <w:color w:val="595959" w:themeColor="text1" w:themeTint="A6"/>
    </w:rPr>
  </w:style>
  <w:style w:type="character" w:customStyle="1" w:styleId="Heading7Char">
    <w:name w:val="Heading 7 Char"/>
    <w:basedOn w:val="DefaultParagraphFont"/>
    <w:link w:val="Heading7"/>
    <w:uiPriority w:val="9"/>
    <w:rPr>
      <w:rFonts w:ascii="Arial" w:eastAsia="Arial" w:hAnsi="Arial" w:cs="Arial"/>
      <w:color w:val="595959" w:themeColor="text1" w:themeTint="A6"/>
    </w:rPr>
  </w:style>
  <w:style w:type="character" w:customStyle="1" w:styleId="Heading8Char">
    <w:name w:val="Heading 8 Char"/>
    <w:basedOn w:val="DefaultParagraphFont"/>
    <w:link w:val="Heading8"/>
    <w:uiPriority w:val="9"/>
    <w:rPr>
      <w:rFonts w:ascii="Arial" w:eastAsia="Arial" w:hAnsi="Arial" w:cs="Arial"/>
      <w:i/>
      <w:iCs/>
      <w:color w:val="272727" w:themeColor="text1" w:themeTint="D8"/>
    </w:rPr>
  </w:style>
  <w:style w:type="character" w:customStyle="1" w:styleId="Heading9Char">
    <w:name w:val="Heading 9 Char"/>
    <w:basedOn w:val="DefaultParagraphFont"/>
    <w:link w:val="Heading9"/>
    <w:uiPriority w:val="9"/>
    <w:rPr>
      <w:rFonts w:ascii="Arial" w:eastAsia="Arial" w:hAnsi="Arial" w:cs="Arial"/>
      <w:i/>
      <w:iCs/>
      <w:color w:val="272727" w:themeColor="text1" w:themeTint="D8"/>
    </w:rPr>
  </w:style>
  <w:style w:type="paragraph" w:styleId="Title">
    <w:name w:val="Title"/>
    <w:basedOn w:val="Normal"/>
    <w:next w:val="Normal"/>
    <w:link w:val="TitleChar"/>
    <w:uiPriority w:val="10"/>
    <w:qFormat/>
    <w:pPr>
      <w:spacing w:after="80" w:line="240" w:lineRule="auto"/>
      <w:contextualSpacing/>
    </w:pPr>
    <w:rPr>
      <w:rFonts w:ascii="Arial" w:eastAsia="Arial" w:hAnsi="Arial" w:cs="Arial"/>
      <w:spacing w:val="-10"/>
      <w:sz w:val="56"/>
      <w:szCs w:val="56"/>
    </w:rPr>
  </w:style>
  <w:style w:type="character" w:customStyle="1" w:styleId="TitleChar">
    <w:name w:val="Title Char"/>
    <w:basedOn w:val="DefaultParagraphFont"/>
    <w:link w:val="Title"/>
    <w:uiPriority w:val="10"/>
    <w:rPr>
      <w:rFonts w:ascii="Arial" w:eastAsia="Arial" w:hAnsi="Arial" w:cs="Arial"/>
      <w:spacing w:val="-10"/>
      <w:sz w:val="56"/>
      <w:szCs w:val="56"/>
    </w:rPr>
  </w:style>
  <w:style w:type="paragraph" w:styleId="Subtitle">
    <w:name w:val="Subtitle"/>
    <w:basedOn w:val="Normal"/>
    <w:next w:val="Normal"/>
    <w:link w:val="SubtitleChar"/>
    <w:uiPriority w:val="11"/>
    <w:qFormat/>
    <w:pPr>
      <w:numPr>
        <w:ilvl w:val="1"/>
      </w:numPr>
    </w:pPr>
    <w:rPr>
      <w:color w:val="595959" w:themeColor="text1" w:themeTint="A6"/>
      <w:spacing w:val="15"/>
      <w:sz w:val="28"/>
      <w:szCs w:val="28"/>
    </w:rPr>
  </w:style>
  <w:style w:type="character" w:customStyle="1" w:styleId="SubtitleChar">
    <w:name w:val="Subtitle Char"/>
    <w:basedOn w:val="DefaultParagraphFont"/>
    <w:link w:val="Subtitle"/>
    <w:uiPriority w:val="11"/>
    <w:rPr>
      <w:color w:val="595959" w:themeColor="text1" w:themeTint="A6"/>
      <w:spacing w:val="15"/>
      <w:sz w:val="28"/>
      <w:szCs w:val="28"/>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character" w:styleId="IntenseEmphasis">
    <w:name w:val="Intense Emphasis"/>
    <w:basedOn w:val="DefaultParagraphFont"/>
    <w:uiPriority w:val="21"/>
    <w:qFormat/>
    <w:rPr>
      <w:i/>
      <w:iCs/>
      <w:color w:val="2E74B5" w:themeColor="accent1" w:themeShade="BF"/>
    </w:rPr>
  </w:style>
  <w:style w:type="paragraph" w:styleId="IntenseQuote">
    <w:name w:val="Intense Quote"/>
    <w:basedOn w:val="Normal"/>
    <w:next w:val="Normal"/>
    <w:link w:val="IntenseQuoteChar"/>
    <w:uiPriority w:val="30"/>
    <w:qFormat/>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Pr>
      <w:i/>
      <w:iCs/>
      <w:color w:val="2E74B5" w:themeColor="accent1" w:themeShade="BF"/>
    </w:rPr>
  </w:style>
  <w:style w:type="character" w:styleId="IntenseReference">
    <w:name w:val="Intense Reference"/>
    <w:basedOn w:val="DefaultParagraphFont"/>
    <w:uiPriority w:val="32"/>
    <w:qFormat/>
    <w:rPr>
      <w:b/>
      <w:bCs/>
      <w:smallCaps/>
      <w:color w:val="2E74B5" w:themeColor="accent1" w:themeShade="BF"/>
      <w:spacing w:val="5"/>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Strong">
    <w:name w:val="Strong"/>
    <w:basedOn w:val="DefaultParagraphFont"/>
    <w:uiPriority w:val="22"/>
    <w:qFormat/>
    <w:rPr>
      <w:b/>
      <w:bCs/>
    </w:rPr>
  </w:style>
  <w:style w:type="character" w:styleId="SubtleReference">
    <w:name w:val="Subtle Reference"/>
    <w:basedOn w:val="DefaultParagraphFont"/>
    <w:uiPriority w:val="31"/>
    <w:qFormat/>
    <w:rPr>
      <w:smallCaps/>
      <w:color w:val="5A5A5A" w:themeColor="text1" w:themeTint="A5"/>
    </w:rPr>
  </w:style>
  <w:style w:type="character" w:styleId="BookTitle">
    <w:name w:val="Book Title"/>
    <w:basedOn w:val="DefaultParagraphFont"/>
    <w:uiPriority w:val="33"/>
    <w:qFormat/>
    <w:rPr>
      <w:b/>
      <w:bCs/>
      <w:i/>
      <w:iCs/>
      <w:spacing w:val="5"/>
    </w:rPr>
  </w:style>
  <w:style w:type="paragraph" w:styleId="Header">
    <w:name w:val="header"/>
    <w:basedOn w:val="Normal"/>
    <w:link w:val="HeaderChar"/>
    <w:uiPriority w:val="99"/>
    <w:unhideWhenUsed/>
    <w:pPr>
      <w:tabs>
        <w:tab w:val="center" w:pos="4844"/>
        <w:tab w:val="right" w:pos="9689"/>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844"/>
        <w:tab w:val="right" w:pos="9689"/>
      </w:tabs>
      <w:spacing w:after="0" w:line="240" w:lineRule="auto"/>
    </w:pPr>
  </w:style>
  <w:style w:type="character" w:customStyle="1" w:styleId="FooterChar">
    <w:name w:val="Footer Char"/>
    <w:basedOn w:val="DefaultParagraphFont"/>
    <w:link w:val="Footer"/>
    <w:uiPriority w:val="99"/>
  </w:style>
  <w:style w:type="paragraph" w:styleId="Caption">
    <w:name w:val="caption"/>
    <w:basedOn w:val="Normal"/>
    <w:next w:val="Normal"/>
    <w:uiPriority w:val="35"/>
    <w:unhideWhenUsed/>
    <w:qFormat/>
    <w:pPr>
      <w:spacing w:line="240" w:lineRule="auto"/>
    </w:pPr>
    <w:rPr>
      <w:i/>
      <w:iCs/>
      <w:color w:val="44546A" w:themeColor="text2"/>
      <w:sz w:val="18"/>
      <w:szCs w:val="18"/>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customStyle="1" w:styleId="FootnoteTextChar">
    <w:name w:val="Footnote Text Char"/>
    <w:basedOn w:val="DefaultParagraphFont"/>
    <w:link w:val="FootnoteText"/>
    <w:uiPriority w:val="99"/>
    <w:semiHidden/>
    <w:rPr>
      <w:sz w:val="20"/>
      <w:szCs w:val="20"/>
    </w:rPr>
  </w:style>
  <w:style w:type="character" w:styleId="FootnoteReference">
    <w:name w:val="foot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customStyle="1" w:styleId="EndnoteTextChar">
    <w:name w:val="Endnote Text Char"/>
    <w:basedOn w:val="DefaultParagraphFont"/>
    <w:link w:val="EndnoteText"/>
    <w:uiPriority w:val="99"/>
    <w:semiHidden/>
    <w:rPr>
      <w:sz w:val="20"/>
      <w:szCs w:val="20"/>
    </w:rPr>
  </w:style>
  <w:style w:type="character" w:styleId="EndnoteReference">
    <w:name w:val="endnote reference"/>
    <w:basedOn w:val="DefaultParagraphFont"/>
    <w:uiPriority w:val="99"/>
    <w:semiHidden/>
    <w:unhideWhenUsed/>
    <w:rPr>
      <w:vertAlign w:val="superscript"/>
    </w:rPr>
  </w:style>
  <w:style w:type="character" w:styleId="Hyperlink">
    <w:name w:val="Hyperlink"/>
    <w:basedOn w:val="DefaultParagraphFont"/>
    <w:uiPriority w:val="99"/>
    <w:unhideWhenUsed/>
    <w:rPr>
      <w:color w:val="0563C1" w:themeColor="hyperlink"/>
      <w:u w:val="single"/>
    </w:rPr>
  </w:style>
  <w:style w:type="character" w:styleId="FollowedHyperlink">
    <w:name w:val="FollowedHyperlink"/>
    <w:basedOn w:val="DefaultParagraphFont"/>
    <w:uiPriority w:val="99"/>
    <w:semiHidden/>
    <w:unhideWhenUsed/>
    <w:rPr>
      <w:color w:val="954F72" w:themeColor="followedHyperlink"/>
      <w:u w:val="single"/>
    </w:rPr>
  </w:style>
  <w:style w:type="paragraph" w:styleId="TOC1">
    <w:name w:val="toc 1"/>
    <w:basedOn w:val="Normal"/>
    <w:next w:val="Normal"/>
    <w:uiPriority w:val="39"/>
    <w:unhideWhenUsed/>
    <w:pPr>
      <w:spacing w:after="100"/>
    </w:pPr>
  </w:style>
  <w:style w:type="paragraph" w:styleId="TOC2">
    <w:name w:val="toc 2"/>
    <w:basedOn w:val="Normal"/>
    <w:next w:val="Normal"/>
    <w:uiPriority w:val="39"/>
    <w:unhideWhenUsed/>
    <w:pPr>
      <w:spacing w:after="100"/>
      <w:ind w:left="220"/>
    </w:pPr>
  </w:style>
  <w:style w:type="paragraph" w:styleId="TOC3">
    <w:name w:val="toc 3"/>
    <w:basedOn w:val="Normal"/>
    <w:next w:val="Normal"/>
    <w:uiPriority w:val="39"/>
    <w:unhideWhenUsed/>
    <w:pPr>
      <w:spacing w:after="100"/>
      <w:ind w:left="440"/>
    </w:pPr>
  </w:style>
  <w:style w:type="paragraph" w:styleId="TOC4">
    <w:name w:val="toc 4"/>
    <w:basedOn w:val="Normal"/>
    <w:next w:val="Normal"/>
    <w:uiPriority w:val="39"/>
    <w:unhideWhenUsed/>
    <w:pPr>
      <w:spacing w:after="100"/>
      <w:ind w:left="660"/>
    </w:pPr>
  </w:style>
  <w:style w:type="paragraph" w:styleId="TOC5">
    <w:name w:val="toc 5"/>
    <w:basedOn w:val="Normal"/>
    <w:next w:val="Normal"/>
    <w:uiPriority w:val="39"/>
    <w:unhideWhenUsed/>
    <w:pPr>
      <w:spacing w:after="100"/>
      <w:ind w:left="880"/>
    </w:pPr>
  </w:style>
  <w:style w:type="paragraph" w:styleId="TOC6">
    <w:name w:val="toc 6"/>
    <w:basedOn w:val="Normal"/>
    <w:next w:val="Normal"/>
    <w:uiPriority w:val="39"/>
    <w:unhideWhenUsed/>
    <w:pPr>
      <w:spacing w:after="100"/>
      <w:ind w:left="1100"/>
    </w:pPr>
  </w:style>
  <w:style w:type="paragraph" w:styleId="TOC7">
    <w:name w:val="toc 7"/>
    <w:basedOn w:val="Normal"/>
    <w:next w:val="Normal"/>
    <w:uiPriority w:val="39"/>
    <w:unhideWhenUsed/>
    <w:pPr>
      <w:spacing w:after="100"/>
      <w:ind w:left="1320"/>
    </w:pPr>
  </w:style>
  <w:style w:type="paragraph" w:styleId="TOC8">
    <w:name w:val="toc 8"/>
    <w:basedOn w:val="Normal"/>
    <w:next w:val="Normal"/>
    <w:uiPriority w:val="39"/>
    <w:unhideWhenUsed/>
    <w:pPr>
      <w:spacing w:after="100"/>
      <w:ind w:left="1540"/>
    </w:pPr>
  </w:style>
  <w:style w:type="paragraph" w:styleId="TOC9">
    <w:name w:val="toc 9"/>
    <w:basedOn w:val="Normal"/>
    <w:next w:val="Normal"/>
    <w:uiPriority w:val="39"/>
    <w:unhideWhenUsed/>
    <w:pPr>
      <w:spacing w:after="100"/>
      <w:ind w:left="1760"/>
    </w:pPr>
  </w:style>
  <w:style w:type="character" w:styleId="PlaceholderText">
    <w:name w:val="Placeholder Text"/>
    <w:basedOn w:val="DefaultParagraphFont"/>
    <w:uiPriority w:val="99"/>
    <w:semiHidden/>
    <w:rPr>
      <w:color w:val="666666"/>
    </w:rPr>
  </w:style>
  <w:style w:type="paragraph" w:styleId="TOCHeading">
    <w:name w:val="TOC Heading"/>
    <w:uiPriority w:val="39"/>
    <w:unhideWhenUsed/>
  </w:style>
  <w:style w:type="paragraph" w:styleId="TableofFigures">
    <w:name w:val="table of figures"/>
    <w:basedOn w:val="Normal"/>
    <w:next w:val="Normal"/>
    <w:uiPriority w:val="99"/>
    <w:unhideWhenUsed/>
    <w:pPr>
      <w:spacing w:after="0"/>
    </w:pPr>
  </w:style>
  <w:style w:type="paragraph" w:styleId="NoSpacing">
    <w:name w:val="No Spacing"/>
    <w:basedOn w:val="Normal"/>
    <w:uiPriority w:val="1"/>
    <w:qFormat/>
    <w:pPr>
      <w:spacing w:after="0" w:line="240" w:lineRule="auto"/>
    </w:pPr>
  </w:style>
  <w:style w:type="paragraph" w:styleId="ListParagraph">
    <w:name w:val="List Paragraph"/>
    <w:basedOn w:val="Normal"/>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New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Classic 2">
      <a:majorFont>
        <a:latin typeface="Arial"/>
        <a:ea typeface="Arial"/>
        <a:cs typeface="Arial"/>
      </a:majorFont>
      <a:minorFont>
        <a:latin typeface="Arial"/>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6350" cap="flat" cmpd="sng" algn="ctr">
          <a:solidFill>
            <a:schemeClr val="phClr">
              <a:shade val="95000"/>
              <a:satMod val="105000"/>
            </a:schemeClr>
          </a:solidFill>
        </a:ln>
        <a:ln w="12700" cap="flat" cmpd="sng" algn="ctr">
          <a:solidFill>
            <a:schemeClr val="phClr"/>
          </a:solidFill>
        </a:ln>
        <a:ln w="19050" cap="flat" cmpd="sng" algn="ctr">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1105</Words>
  <Characters>6302</Characters>
  <Application>Microsoft Office Word</Application>
  <DocSecurity>0</DocSecurity>
  <Lines>52</Lines>
  <Paragraphs>14</Paragraphs>
  <ScaleCrop>false</ScaleCrop>
  <Company/>
  <LinksUpToDate>false</LinksUpToDate>
  <CharactersWithSpaces>7393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Mojzsis, Stephen</dc:creator>
  <cp:lastModifiedBy>Mojzsis, Stephen</cp:lastModifiedBy>
  <cp:revision>2</cp:revision>
  <dcterms:created xsi:type="dcterms:W3CDTF">2026-08-07T07:59:00Z</dcterms:created>
  <dcterms:modified xsi:type="dcterms:W3CDTF">2026-08-07T07:59:00Z</dcterms:modified>
</cp:coreProperties>
</file>