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A309C9" w14:textId="752467FB" w:rsidR="00B7290C" w:rsidRDefault="00000000">
      <w:pPr>
        <w:spacing w:after="80"/>
        <w:jc w:val="center"/>
      </w:pPr>
      <w:r>
        <w:rPr>
          <w:b/>
          <w:bCs/>
          <w:sz w:val="32"/>
          <w:szCs w:val="32"/>
        </w:rPr>
        <w:t xml:space="preserve">FAIRNEGO: </w:t>
      </w:r>
      <w:r w:rsidR="00E92BEB">
        <w:rPr>
          <w:b/>
          <w:bCs/>
          <w:sz w:val="32"/>
          <w:szCs w:val="32"/>
        </w:rPr>
        <w:t>Scaling</w:t>
      </w:r>
      <w:r>
        <w:rPr>
          <w:b/>
          <w:bCs/>
          <w:sz w:val="32"/>
          <w:szCs w:val="32"/>
        </w:rPr>
        <w:t xml:space="preserve"> Facilitative </w:t>
      </w:r>
      <w:r w:rsidR="00E92BEB">
        <w:rPr>
          <w:b/>
          <w:bCs/>
          <w:sz w:val="32"/>
          <w:szCs w:val="32"/>
        </w:rPr>
        <w:t>Justice with AI</w:t>
      </w:r>
    </w:p>
    <w:p w14:paraId="36BB21B0" w14:textId="14A6D3BB" w:rsidR="00B7290C" w:rsidRDefault="00000000">
      <w:pPr>
        <w:spacing w:after="240"/>
        <w:jc w:val="center"/>
      </w:pPr>
      <w:r>
        <w:rPr>
          <w:b/>
          <w:bCs/>
          <w:sz w:val="26"/>
          <w:szCs w:val="26"/>
        </w:rPr>
        <w:t>Automated Facilitation for Fair, Cost-Effective Settlement in Court-Connected and Online Dispute Resolution</w:t>
      </w:r>
    </w:p>
    <w:p w14:paraId="44082338" w14:textId="77777777" w:rsidR="00B7290C" w:rsidRDefault="00000000">
      <w:pPr>
        <w:spacing w:after="40"/>
        <w:jc w:val="center"/>
      </w:pPr>
      <w:r>
        <w:rPr>
          <w:b/>
          <w:bCs/>
          <w:sz w:val="22"/>
          <w:szCs w:val="22"/>
        </w:rPr>
        <w:t>ERC Proof of Concept Lump Sum Grant 2026</w:t>
      </w:r>
    </w:p>
    <w:p w14:paraId="073C03B9" w14:textId="77777777" w:rsidR="00B7290C" w:rsidRDefault="00000000">
      <w:pPr>
        <w:spacing w:after="40"/>
        <w:jc w:val="center"/>
      </w:pPr>
      <w:r>
        <w:rPr>
          <w:b/>
          <w:bCs/>
          <w:sz w:val="22"/>
          <w:szCs w:val="22"/>
        </w:rPr>
        <w:t>(ERC-2026-PoC)</w:t>
      </w:r>
    </w:p>
    <w:p w14:paraId="246784A9" w14:textId="77777777" w:rsidR="00B7290C" w:rsidRDefault="00000000">
      <w:pPr>
        <w:spacing w:after="120"/>
        <w:jc w:val="center"/>
      </w:pPr>
      <w:r>
        <w:rPr>
          <w:b/>
          <w:bCs/>
          <w:sz w:val="22"/>
          <w:szCs w:val="22"/>
        </w:rPr>
        <w:t>Part B</w:t>
      </w:r>
    </w:p>
    <w:p w14:paraId="1B7784DB" w14:textId="77777777" w:rsidR="00B7290C" w:rsidRPr="004A23A8" w:rsidRDefault="00000000">
      <w:pPr>
        <w:spacing w:before="320" w:after="160"/>
        <w:rPr>
          <w:rFonts w:asciiTheme="majorBidi" w:hAnsiTheme="majorBidi" w:cstheme="majorBidi"/>
          <w:sz w:val="22"/>
          <w:szCs w:val="22"/>
        </w:rPr>
      </w:pPr>
      <w:r>
        <w:rPr>
          <w:rFonts w:asciiTheme="majorBidi" w:hAnsiTheme="majorBidi" w:cstheme="majorBidi"/>
          <w:b/>
          <w:bCs/>
          <w:sz w:val="22"/>
          <w:szCs w:val="22"/>
          <w:u w:val="single"/>
        </w:rPr>
        <w:t>Abstract</w:t>
      </w:r>
    </w:p>
    <w:p w14:paraId="1C588E6B" w14:textId="02913BE3" w:rsidR="007662C2" w:rsidRPr="00A73448" w:rsidRDefault="007662C2" w:rsidP="007662C2">
      <w:pPr>
        <w:pStyle w:val="pdq2pgselectionanchorcontainer"/>
        <w:jc w:val="both"/>
        <w:rPr>
          <w:sz w:val="22"/>
          <w:szCs w:val="22"/>
          <w:rtl/>
          <w:lang w:val="en-US"/>
        </w:rPr>
      </w:pPr>
      <w:r>
        <w:rPr>
          <w:sz w:val="22"/>
          <w:szCs w:val="22"/>
        </w:rPr>
        <w:t xml:space="preserve">FAIRNEGO transforms </w:t>
      </w:r>
      <w:commentRangeStart w:id="0"/>
      <w:r>
        <w:rPr>
          <w:sz w:val="22"/>
          <w:szCs w:val="22"/>
        </w:rPr>
        <w:t xml:space="preserve">court-connected </w:t>
      </w:r>
      <w:commentRangeEnd w:id="0"/>
      <w:r w:rsidR="004B0382">
        <w:rPr>
          <w:rStyle w:val="CommentReference"/>
          <w:sz w:val="22"/>
          <w:szCs w:val="22"/>
        </w:rPr>
        <w:commentReference w:id="0"/>
      </w:r>
      <w:r>
        <w:rPr>
          <w:sz w:val="22"/>
          <w:szCs w:val="22"/>
        </w:rPr>
        <w:t>settlement, and settlement on dispute-resolution platforms, by automating procedural mediation skills that, until the emergence of large language models</w:t>
      </w:r>
      <w:r w:rsidR="00A73448">
        <w:rPr>
          <w:sz w:val="22"/>
          <w:szCs w:val="22"/>
        </w:rPr>
        <w:t xml:space="preserve"> (LLMs)</w:t>
      </w:r>
      <w:r>
        <w:rPr>
          <w:sz w:val="22"/>
          <w:szCs w:val="22"/>
        </w:rPr>
        <w:t xml:space="preserve">, were widely regarded as requiring uniquely human conversational and interpersonal expertise. </w:t>
      </w:r>
      <w:r>
        <w:rPr>
          <w:rStyle w:val="Strong"/>
          <w:b w:val="0"/>
          <w:bCs w:val="0"/>
          <w:sz w:val="22"/>
          <w:szCs w:val="22"/>
        </w:rPr>
        <w:t>Rather than helping someone decide a dispute, FAIRNEGO helps parties negotiate</w:t>
      </w:r>
      <w:r>
        <w:rPr>
          <w:sz w:val="22"/>
          <w:szCs w:val="22"/>
        </w:rPr>
        <w:t xml:space="preserve">, turning a scarce and highly variable human service into a scalable capability for delivering fair, accessible and effective dispute resolution. It enables courts and platforms to provide high-quality negotiation assistance by </w:t>
      </w:r>
      <w:r>
        <w:rPr>
          <w:rStyle w:val="Strong"/>
          <w:b w:val="0"/>
          <w:bCs w:val="0"/>
          <w:sz w:val="22"/>
          <w:szCs w:val="22"/>
        </w:rPr>
        <w:t>capturing and scaling the procedural know how</w:t>
      </w:r>
      <w:r>
        <w:rPr>
          <w:sz w:val="22"/>
          <w:szCs w:val="22"/>
        </w:rPr>
        <w:t xml:space="preserve"> of expert mediators while preserving human responsibility for fair outcomes. This addresses a fundamental </w:t>
      </w:r>
      <w:r w:rsidR="00FD4D64">
        <w:rPr>
          <w:sz w:val="22"/>
          <w:szCs w:val="22"/>
        </w:rPr>
        <w:t>challenge</w:t>
      </w:r>
      <w:r>
        <w:rPr>
          <w:sz w:val="22"/>
          <w:szCs w:val="22"/>
        </w:rPr>
        <w:t xml:space="preserve"> in civil justice: although most disputes are resolved through settlement, effective mediation depends on highly skilled professionals whose quality varies considerably and whose expertise cannot easily be scaled. Uneven facilitation not only reduces the likelihood of agreement, but may also detract from perceived </w:t>
      </w:r>
      <w:r>
        <w:rPr>
          <w:sz w:val="22"/>
          <w:szCs w:val="22"/>
        </w:rPr>
        <w:t xml:space="preserve">and actual fairness, undermining confidence in both the settlement process and </w:t>
      </w:r>
      <w:r w:rsidR="004E2FBA">
        <w:rPr>
          <w:sz w:val="22"/>
          <w:szCs w:val="22"/>
        </w:rPr>
        <w:t xml:space="preserve">the </w:t>
      </w:r>
      <w:r>
        <w:rPr>
          <w:sz w:val="22"/>
          <w:szCs w:val="22"/>
        </w:rPr>
        <w:t>courts.</w:t>
      </w:r>
    </w:p>
    <w:p w14:paraId="0C5C6CE0" w14:textId="6A2DD3C8" w:rsidR="007662C2" w:rsidRPr="007662C2" w:rsidRDefault="007662C2" w:rsidP="007662C2">
      <w:pPr>
        <w:pStyle w:val="NormalWeb"/>
        <w:jc w:val="both"/>
        <w:rPr>
          <w:sz w:val="22"/>
          <w:szCs w:val="22"/>
        </w:rPr>
      </w:pPr>
      <w:r>
        <w:rPr>
          <w:sz w:val="22"/>
          <w:szCs w:val="22"/>
        </w:rPr>
        <w:t>Where most legal AI systems help someone decide by predicting litigation outcomes, evaluating legal claims, or recommending settlement terms, FAIRNEGO supports the negotiation process by helping parties articulate their interests, structure discussions, manage emotions, reframe adversarial exchanges, and explore options for agreement. FAIRNEGO deliberately refrains from evaluating legal claims or proposing settlement terms. In mediation scholarship, this is known as a facilitative, rather than evaluative, approach. This design preserves party autonomy while reducing the risks of biased recommendations, hallucinated legal analysis, and undue influence over settlement outcomes. Human professionals retain responsibility for substantive justice through case intake and review of any agreement before it becomes a court disposition. Because facilitation is performed by a specified system rather than by many individual practitioners, it can also be defined, tested, held constant across an entire caseload, and improved for every case at once</w:t>
      </w:r>
      <w:r w:rsidR="00FD4D64">
        <w:rPr>
          <w:sz w:val="22"/>
          <w:szCs w:val="22"/>
        </w:rPr>
        <w:t>,</w:t>
      </w:r>
      <w:r>
        <w:rPr>
          <w:sz w:val="22"/>
          <w:szCs w:val="22"/>
        </w:rPr>
        <w:t xml:space="preserve"> a form of quality assurance that human facilitation cannot offer at scale, and one that remains fully compatible with the confidentiality that underpins effective mediation.</w:t>
      </w:r>
    </w:p>
    <w:p w14:paraId="50C98439" w14:textId="794D58BF" w:rsidR="007662C2" w:rsidRPr="007662C2" w:rsidRDefault="007662C2" w:rsidP="007662C2">
      <w:pPr>
        <w:pStyle w:val="NormalWeb"/>
        <w:jc w:val="both"/>
        <w:rPr>
          <w:sz w:val="22"/>
          <w:szCs w:val="22"/>
        </w:rPr>
      </w:pPr>
      <w:r>
        <w:rPr>
          <w:sz w:val="22"/>
          <w:szCs w:val="22"/>
        </w:rPr>
        <w:t xml:space="preserve">FAIRNEGO builds directly on the ERC Consolidator project </w:t>
      </w:r>
      <w:r>
        <w:rPr>
          <w:rStyle w:val="Emphasis"/>
          <w:sz w:val="22"/>
          <w:szCs w:val="22"/>
        </w:rPr>
        <w:t>The “Vanishing Third Party”: Access to Justice, Procedural Justice and Substantive Justice in the Age of Dispute Resolution Automation</w:t>
      </w:r>
      <w:r>
        <w:rPr>
          <w:sz w:val="22"/>
          <w:szCs w:val="22"/>
        </w:rPr>
        <w:t xml:space="preserve"> (Grant Agreement No. 101044195). Its behavioural architecture is derived from computational analysis of more than </w:t>
      </w:r>
      <w:r>
        <w:rPr>
          <w:rStyle w:val="Strong"/>
          <w:b w:val="0"/>
          <w:bCs w:val="0"/>
          <w:sz w:val="22"/>
          <w:szCs w:val="22"/>
        </w:rPr>
        <w:t>122,795</w:t>
      </w:r>
      <w:r>
        <w:rPr>
          <w:sz w:val="22"/>
          <w:szCs w:val="22"/>
        </w:rPr>
        <w:t xml:space="preserve"> real mediator interventions, creating the first empirical blueprint for automating expert facilitation. This unique evidence base enables FAIRNEGO to translate advances in conversational AI into a deployable architecture grounded in observed mediator behaviour rather than generic language capabilities, a competitive advantage that would be extremely difficult to replicate without comparable access to confidential mediation data.</w:t>
      </w:r>
    </w:p>
    <w:p w14:paraId="533098A7" w14:textId="33285C31" w:rsidR="00B7290C" w:rsidRPr="007662C2" w:rsidRDefault="007662C2" w:rsidP="007662C2">
      <w:pPr>
        <w:pStyle w:val="NormalWeb"/>
        <w:jc w:val="both"/>
        <w:rPr>
          <w:sz w:val="22"/>
          <w:szCs w:val="22"/>
        </w:rPr>
      </w:pPr>
      <w:r>
        <w:rPr>
          <w:sz w:val="22"/>
          <w:szCs w:val="22"/>
        </w:rPr>
        <w:t>FAIRNEGO is designed for two deployment settings that share the same facilitative architecture: established online dispute</w:t>
      </w:r>
      <w:r>
        <w:rPr>
          <w:sz w:val="22"/>
          <w:szCs w:val="22"/>
        </w:rPr>
        <w:t>-resolution platforms, which offer the nearer-term route to a working deployment, and court-connected settlement programmes, which are the principal market. The PoC will develop and validate a functional prototype, experimentally evaluate its effects on negotiation quality, settlement, procedural fairness, and user acceptance, and establish the technical, institutional, regulatory, and commercial foundations for pilot deployment in both.</w:t>
      </w:r>
      <w:r>
        <w:rPr>
          <w:rFonts w:asciiTheme="majorBidi" w:hAnsiTheme="majorBidi" w:cstheme="majorBidi"/>
          <w:sz w:val="22"/>
          <w:szCs w:val="22"/>
        </w:rPr>
        <w:t xml:space="preserve">  </w:t>
      </w:r>
    </w:p>
    <w:p w14:paraId="0A5D295F" w14:textId="2F803644" w:rsidR="00B7290C" w:rsidRPr="004A23A8" w:rsidRDefault="00000000">
      <w:pPr>
        <w:spacing w:before="320" w:after="160"/>
        <w:rPr>
          <w:rFonts w:asciiTheme="majorBidi" w:hAnsiTheme="majorBidi" w:cstheme="majorBidi"/>
          <w:sz w:val="22"/>
          <w:szCs w:val="22"/>
        </w:rPr>
      </w:pPr>
      <w:r>
        <w:rPr>
          <w:rFonts w:asciiTheme="majorBidi" w:hAnsiTheme="majorBidi" w:cstheme="majorBidi"/>
          <w:b/>
          <w:bCs/>
          <w:sz w:val="22"/>
          <w:szCs w:val="22"/>
          <w:u w:val="single"/>
        </w:rPr>
        <w:t>Section 1a: The idea — Breakthrough innovation potential</w:t>
      </w:r>
    </w:p>
    <w:p w14:paraId="3308C7CD" w14:textId="77777777" w:rsidR="00B7290C" w:rsidRPr="004A23A8" w:rsidRDefault="00000000">
      <w:pPr>
        <w:spacing w:before="120" w:after="120"/>
        <w:rPr>
          <w:rFonts w:asciiTheme="majorBidi" w:hAnsiTheme="majorBidi" w:cstheme="majorBidi"/>
          <w:sz w:val="22"/>
          <w:szCs w:val="22"/>
        </w:rPr>
      </w:pPr>
      <w:r>
        <w:rPr>
          <w:rFonts w:asciiTheme="majorBidi" w:hAnsiTheme="majorBidi" w:cstheme="majorBidi"/>
          <w:b/>
          <w:bCs/>
          <w:sz w:val="22"/>
          <w:szCs w:val="22"/>
        </w:rPr>
        <w:t>1a.i. Brief description of the idea to be taken to proof of concept</w:t>
      </w:r>
    </w:p>
    <w:p w14:paraId="72E5D657" w14:textId="77777777" w:rsidR="00B7290C" w:rsidRPr="004A23A8" w:rsidRDefault="00000000">
      <w:pPr>
        <w:spacing w:before="120" w:after="120"/>
        <w:rPr>
          <w:rFonts w:asciiTheme="majorBidi" w:hAnsiTheme="majorBidi" w:cstheme="majorBidi"/>
          <w:sz w:val="22"/>
          <w:szCs w:val="22"/>
        </w:rPr>
      </w:pPr>
      <w:r>
        <w:rPr>
          <w:rFonts w:asciiTheme="majorBidi" w:hAnsiTheme="majorBidi" w:cstheme="majorBidi"/>
          <w:b/>
          <w:bCs/>
          <w:sz w:val="22"/>
          <w:szCs w:val="22"/>
        </w:rPr>
        <w:t>The problem</w:t>
      </w:r>
    </w:p>
    <w:p w14:paraId="2438664A" w14:textId="353F994B" w:rsidR="008A12CD" w:rsidRPr="004A23A8" w:rsidRDefault="008A12CD" w:rsidP="008A12CD">
      <w:pPr>
        <w:spacing w:after="200"/>
        <w:jc w:val="both"/>
        <w:rPr>
          <w:rFonts w:asciiTheme="majorBidi" w:hAnsiTheme="majorBidi" w:cstheme="majorBidi"/>
          <w:sz w:val="22"/>
          <w:szCs w:val="22"/>
        </w:rPr>
      </w:pPr>
      <w:r>
        <w:rPr>
          <w:rFonts w:asciiTheme="majorBidi" w:hAnsiTheme="majorBidi" w:cstheme="majorBidi"/>
          <w:sz w:val="22"/>
          <w:szCs w:val="22"/>
        </w:rPr>
        <w:t xml:space="preserve">The great majority of civil disputes are never adjudicated: they settle (Galanter &amp; Cahill, </w:t>
      </w:r>
      <w:r w:rsidRPr="00A73448">
        <w:rPr>
          <w:rFonts w:asciiTheme="majorBidi" w:hAnsiTheme="majorBidi" w:cstheme="majorBidi"/>
          <w:sz w:val="22"/>
          <w:szCs w:val="22"/>
        </w:rPr>
        <w:t>1994)</w:t>
      </w:r>
      <w:r>
        <w:rPr>
          <w:rFonts w:asciiTheme="majorBidi" w:hAnsiTheme="majorBidi" w:cstheme="majorBidi"/>
          <w:sz w:val="22"/>
          <w:szCs w:val="22"/>
        </w:rPr>
        <w:t xml:space="preserve">. Yet courts face a fundamental dilemma in providing settlement assistance. High-quality mediation depends on </w:t>
      </w:r>
      <w:r>
        <w:rPr>
          <w:rFonts w:asciiTheme="majorBidi" w:hAnsiTheme="majorBidi" w:cstheme="majorBidi"/>
          <w:sz w:val="22"/>
          <w:szCs w:val="22"/>
        </w:rPr>
        <w:lastRenderedPageBreak/>
        <w:t>experienced facilitators who help parties communicate constructively, identify underlying interests, manage emotions, and develop mutually acceptable solutions. These skills are difficult to scale, vary considerably across practitioners, and cannot realistically meet court caseloads.</w:t>
      </w:r>
    </w:p>
    <w:p w14:paraId="22B8F189" w14:textId="6D132FC3" w:rsidR="008A12CD" w:rsidRPr="004A23A8" w:rsidRDefault="008A12CD" w:rsidP="008A12CD">
      <w:pPr>
        <w:spacing w:after="200"/>
        <w:jc w:val="both"/>
        <w:rPr>
          <w:rFonts w:asciiTheme="majorBidi" w:hAnsiTheme="majorBidi" w:cstheme="majorBidi"/>
          <w:sz w:val="22"/>
          <w:szCs w:val="22"/>
        </w:rPr>
      </w:pPr>
      <w:r>
        <w:rPr>
          <w:rFonts w:asciiTheme="majorBidi" w:hAnsiTheme="majorBidi" w:cstheme="majorBidi"/>
          <w:sz w:val="22"/>
          <w:szCs w:val="22"/>
        </w:rPr>
        <w:t>To expand capacity, many court-connected mediation programmes rely on interventions in which mediators express views on the merits of claims or likely settlement outcomes (</w:t>
      </w:r>
      <w:r w:rsidR="004E2FBA">
        <w:rPr>
          <w:rFonts w:asciiTheme="majorBidi" w:hAnsiTheme="majorBidi" w:cstheme="majorBidi"/>
          <w:sz w:val="22"/>
          <w:szCs w:val="22"/>
        </w:rPr>
        <w:t xml:space="preserve">referred to as </w:t>
      </w:r>
      <w:r>
        <w:rPr>
          <w:rFonts w:asciiTheme="majorBidi" w:hAnsiTheme="majorBidi" w:cstheme="majorBidi"/>
          <w:sz w:val="22"/>
          <w:szCs w:val="22"/>
        </w:rPr>
        <w:t>an evaluative</w:t>
      </w:r>
      <w:r w:rsidR="004E2FBA">
        <w:rPr>
          <w:rFonts w:asciiTheme="majorBidi" w:hAnsiTheme="majorBidi" w:cstheme="majorBidi"/>
          <w:sz w:val="22"/>
          <w:szCs w:val="22"/>
        </w:rPr>
        <w:t xml:space="preserve"> – as opposed to a facilitative </w:t>
      </w:r>
      <w:r w:rsidR="00FF562E">
        <w:rPr>
          <w:rFonts w:asciiTheme="majorBidi" w:hAnsiTheme="majorBidi" w:cstheme="majorBidi"/>
          <w:sz w:val="22"/>
          <w:szCs w:val="22"/>
        </w:rPr>
        <w:t>–</w:t>
      </w:r>
      <w:r>
        <w:rPr>
          <w:rFonts w:asciiTheme="majorBidi" w:hAnsiTheme="majorBidi" w:cstheme="majorBidi"/>
          <w:sz w:val="22"/>
          <w:szCs w:val="22"/>
        </w:rPr>
        <w:t xml:space="preserve"> approach in the mediation literature</w:t>
      </w:r>
      <w:r w:rsidR="004E2FBA">
        <w:rPr>
          <w:rFonts w:asciiTheme="majorBidi" w:hAnsiTheme="majorBidi" w:cstheme="majorBidi"/>
          <w:sz w:val="22"/>
          <w:szCs w:val="22"/>
        </w:rPr>
        <w:t xml:space="preserve">, </w:t>
      </w:r>
      <w:r w:rsidR="004E2FBA" w:rsidRPr="004E2FBA">
        <w:rPr>
          <w:rFonts w:asciiTheme="majorBidi" w:hAnsiTheme="majorBidi" w:cstheme="majorBidi"/>
          <w:i/>
          <w:iCs/>
          <w:sz w:val="22"/>
          <w:szCs w:val="22"/>
        </w:rPr>
        <w:t>see</w:t>
      </w:r>
      <w:r w:rsidR="004E2FBA">
        <w:rPr>
          <w:rFonts w:asciiTheme="majorBidi" w:hAnsiTheme="majorBidi" w:cstheme="majorBidi"/>
          <w:sz w:val="22"/>
          <w:szCs w:val="22"/>
        </w:rPr>
        <w:t xml:space="preserve"> </w:t>
      </w:r>
      <w:r w:rsidR="004E2FBA">
        <w:rPr>
          <w:rFonts w:hint="cs"/>
          <w:sz w:val="22"/>
          <w:szCs w:val="22"/>
          <w:rtl/>
        </w:rPr>
        <w:t xml:space="preserve"> </w:t>
      </w:r>
      <w:r w:rsidR="004E2FBA">
        <w:rPr>
          <w:sz w:val="22"/>
          <w:szCs w:val="22"/>
        </w:rPr>
        <w:t>Riskin, 1996</w:t>
      </w:r>
      <w:r>
        <w:rPr>
          <w:rFonts w:asciiTheme="majorBidi" w:hAnsiTheme="majorBidi" w:cstheme="majorBidi"/>
          <w:sz w:val="22"/>
          <w:szCs w:val="22"/>
        </w:rPr>
        <w:t>). While often intended to promote efficiency, such interventions may disadvantage less powerful or less well-represented parties and risk producing settlements that carry the legitimacy of a court-sanctioned process without adequate assurance of procedural or substantive fairness (Fiss, 1984; Grillo, 1991; Delgado et al., 1985). Yet because mediation is confidential and largely unstructured, courts have only limited ability to observe what occurs during mediation, assess the quality and consistency of facilitation, identify problematic practices, or systematically improve performance. Courts are therefore caught between two unsatisfactory alternatives: investing in expert facilitation that cannot scale to demand, or relying on processes that scale but cannot easily be governed and may compromise fairness and public confidence.</w:t>
      </w:r>
    </w:p>
    <w:p w14:paraId="765CC3C2" w14:textId="0F705DB0" w:rsidR="00B7290C" w:rsidRPr="004A23A8" w:rsidRDefault="008A12CD" w:rsidP="008A12CD">
      <w:pPr>
        <w:spacing w:after="200"/>
        <w:jc w:val="both"/>
        <w:rPr>
          <w:rFonts w:asciiTheme="majorBidi" w:hAnsiTheme="majorBidi" w:cstheme="majorBidi"/>
          <w:sz w:val="22"/>
          <w:szCs w:val="22"/>
        </w:rPr>
      </w:pPr>
      <w:r>
        <w:rPr>
          <w:rFonts w:asciiTheme="majorBidi" w:hAnsiTheme="majorBidi" w:cstheme="majorBidi"/>
          <w:sz w:val="22"/>
          <w:szCs w:val="22"/>
        </w:rPr>
        <w:t>FAIRNEGO addresses this dilemma by confining AI to the procedural rather than the substantive dimensions of settlement. Evaluating legal claims or recommending settlement terms requires contextual legal and normative judgments that should remain under human responsibility. By contrast, many of the procedural functions performed by expert mediators</w:t>
      </w:r>
      <w:r w:rsidR="004E2FBA">
        <w:rPr>
          <w:rFonts w:asciiTheme="majorBidi" w:hAnsiTheme="majorBidi" w:cstheme="majorBidi"/>
          <w:sz w:val="22"/>
          <w:szCs w:val="22"/>
        </w:rPr>
        <w:t>, which was found to be effective in our ERC research in producing balanced agreements,</w:t>
      </w:r>
      <w:r>
        <w:rPr>
          <w:rFonts w:asciiTheme="majorBidi" w:hAnsiTheme="majorBidi" w:cstheme="majorBidi"/>
          <w:sz w:val="22"/>
          <w:szCs w:val="22"/>
        </w:rPr>
        <w:t xml:space="preserve"> can now be automated, and conducting them in a structured digital environment makes them reviewable and measurable for the first time. </w:t>
      </w:r>
    </w:p>
    <w:p w14:paraId="5BCA863A" w14:textId="77777777" w:rsidR="00594F6A" w:rsidRPr="003378E6" w:rsidRDefault="00594F6A" w:rsidP="00594F6A">
      <w:pPr>
        <w:pStyle w:val="Heading1"/>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The solution</w:t>
      </w:r>
    </w:p>
    <w:p w14:paraId="22506C74" w14:textId="77777777" w:rsidR="00FF562E" w:rsidRDefault="00594F6A" w:rsidP="003378E6">
      <w:pPr>
        <w:pStyle w:val="NormalWeb"/>
        <w:jc w:val="both"/>
        <w:rPr>
          <w:rFonts w:asciiTheme="majorBidi" w:hAnsiTheme="majorBidi" w:cstheme="majorBidi"/>
          <w:sz w:val="22"/>
          <w:szCs w:val="22"/>
        </w:rPr>
      </w:pPr>
      <w:r>
        <w:rPr>
          <w:rFonts w:asciiTheme="majorBidi" w:hAnsiTheme="majorBidi" w:cstheme="majorBidi"/>
          <w:sz w:val="22"/>
          <w:szCs w:val="22"/>
        </w:rPr>
        <w:t xml:space="preserve">FAIRNEGO’s central innovation is the automation of procedural </w:t>
      </w:r>
      <w:r w:rsidR="004E2FBA">
        <w:rPr>
          <w:rFonts w:asciiTheme="majorBidi" w:hAnsiTheme="majorBidi" w:cstheme="majorBidi"/>
          <w:sz w:val="22"/>
          <w:szCs w:val="22"/>
        </w:rPr>
        <w:t xml:space="preserve">facilitation </w:t>
      </w:r>
      <w:r>
        <w:rPr>
          <w:rFonts w:asciiTheme="majorBidi" w:hAnsiTheme="majorBidi" w:cstheme="majorBidi"/>
          <w:sz w:val="22"/>
          <w:szCs w:val="22"/>
        </w:rPr>
        <w:t>skills</w:t>
      </w:r>
      <w:r w:rsidR="004E2FBA">
        <w:rPr>
          <w:rFonts w:asciiTheme="majorBidi" w:hAnsiTheme="majorBidi" w:cstheme="majorBidi"/>
          <w:sz w:val="22"/>
          <w:szCs w:val="22"/>
        </w:rPr>
        <w:t>, formerly considered requiring unique human expertise</w:t>
      </w:r>
      <w:r>
        <w:rPr>
          <w:rFonts w:asciiTheme="majorBidi" w:hAnsiTheme="majorBidi" w:cstheme="majorBidi"/>
          <w:sz w:val="22"/>
          <w:szCs w:val="22"/>
        </w:rPr>
        <w:t xml:space="preserve">. </w:t>
      </w:r>
      <w:r>
        <w:rPr>
          <w:rStyle w:val="Strong"/>
          <w:rFonts w:asciiTheme="majorBidi" w:hAnsiTheme="majorBidi" w:cstheme="majorBidi"/>
          <w:b w:val="0"/>
          <w:bCs w:val="0"/>
          <w:sz w:val="22"/>
          <w:szCs w:val="22"/>
        </w:rPr>
        <w:t>Rather than helping someone decide a dispute, FAIRNEGO helps parties negotiate.</w:t>
      </w:r>
      <w:r>
        <w:rPr>
          <w:rFonts w:asciiTheme="majorBidi" w:hAnsiTheme="majorBidi" w:cstheme="majorBidi"/>
          <w:sz w:val="22"/>
          <w:szCs w:val="22"/>
        </w:rPr>
        <w:t xml:space="preserve"> Whereas most legal AI systems predict litigation outcomes, recommend settlement terms, or evaluate legal claims, FAIRNEGO instead automates the facilitative functions traditionally performed by skilled mediators. It helps parties articulate and prioritize their interests, identify issues requiring discussion, structure the negotiation, ensure that each party’s concerns receive adequate attention, manage emotions as they arise, reframe adversarial language into terms the other side can engage with, and generate and test settlement options before parties commit to them. In mediation scholarship, this is known as a </w:t>
      </w:r>
      <w:r>
        <w:rPr>
          <w:rStyle w:val="Emphasis"/>
          <w:rFonts w:asciiTheme="majorBidi" w:hAnsiTheme="majorBidi" w:cstheme="majorBidi"/>
          <w:sz w:val="22"/>
          <w:szCs w:val="22"/>
        </w:rPr>
        <w:t>facilitative</w:t>
      </w:r>
      <w:r>
        <w:rPr>
          <w:rFonts w:asciiTheme="majorBidi" w:hAnsiTheme="majorBidi" w:cstheme="majorBidi"/>
          <w:sz w:val="22"/>
          <w:szCs w:val="22"/>
        </w:rPr>
        <w:t xml:space="preserve">, rather than </w:t>
      </w:r>
      <w:r>
        <w:rPr>
          <w:rStyle w:val="Emphasis"/>
          <w:rFonts w:asciiTheme="majorBidi" w:hAnsiTheme="majorBidi" w:cstheme="majorBidi"/>
          <w:sz w:val="22"/>
          <w:szCs w:val="22"/>
        </w:rPr>
        <w:t>evaluative</w:t>
      </w:r>
      <w:r>
        <w:rPr>
          <w:rFonts w:asciiTheme="majorBidi" w:hAnsiTheme="majorBidi" w:cstheme="majorBidi"/>
          <w:sz w:val="22"/>
          <w:szCs w:val="22"/>
        </w:rPr>
        <w:t>, approach: the system supports the process through which parties reach agreement without influencing the substantive content of that agreement.</w:t>
      </w:r>
      <w:r w:rsidR="00FF562E">
        <w:rPr>
          <w:rFonts w:asciiTheme="majorBidi" w:hAnsiTheme="majorBidi" w:cstheme="majorBidi"/>
          <w:sz w:val="22"/>
          <w:szCs w:val="22"/>
        </w:rPr>
        <w:t xml:space="preserve"> </w:t>
      </w:r>
    </w:p>
    <w:p w14:paraId="1202A85E" w14:textId="646BF066" w:rsidR="00594F6A" w:rsidRPr="004A23A8" w:rsidRDefault="00FF562E" w:rsidP="00FF562E">
      <w:pPr>
        <w:pStyle w:val="NormalWeb"/>
        <w:jc w:val="both"/>
        <w:rPr>
          <w:rFonts w:asciiTheme="majorBidi" w:hAnsiTheme="majorBidi" w:cstheme="majorBidi"/>
          <w:sz w:val="22"/>
          <w:szCs w:val="22"/>
        </w:rPr>
      </w:pPr>
      <w:r>
        <w:rPr>
          <w:rFonts w:asciiTheme="majorBidi" w:hAnsiTheme="majorBidi" w:cstheme="majorBidi"/>
          <w:sz w:val="22"/>
          <w:szCs w:val="22"/>
        </w:rPr>
        <w:t xml:space="preserve">While parties generate the substance of their agreement, it is subject to human expert supervision. </w:t>
      </w:r>
      <w:r w:rsidR="00594F6A">
        <w:rPr>
          <w:rFonts w:asciiTheme="majorBidi" w:hAnsiTheme="majorBidi" w:cstheme="majorBidi"/>
          <w:sz w:val="22"/>
          <w:szCs w:val="22"/>
        </w:rPr>
        <w:t>Automation is deliberately partial. Integrated into the court</w:t>
      </w:r>
      <w:r>
        <w:rPr>
          <w:rFonts w:asciiTheme="majorBidi" w:hAnsiTheme="majorBidi" w:cstheme="majorBidi"/>
          <w:sz w:val="22"/>
          <w:szCs w:val="22"/>
        </w:rPr>
        <w:t>’</w:t>
      </w:r>
      <w:r w:rsidR="00594F6A">
        <w:rPr>
          <w:rFonts w:asciiTheme="majorBidi" w:hAnsiTheme="majorBidi" w:cstheme="majorBidi"/>
          <w:sz w:val="22"/>
          <w:szCs w:val="22"/>
        </w:rPr>
        <w:t xml:space="preserve">s online case management environment, parties may negotiate together in a joint session or separately in AI-supported caucus sessions before reconvening (Moore, 1987). Human professionals retain responsibility for the two substantive judgments that define the boundaries of court authority: at intake, whether the dispute is suitable for AI-facilitated negotiation, and at the conclusion, whether any resulting agreement should receive judicial approval. FAIRNEGO therefore automates the conduct of negotiation while deliberately preserving human responsibility for </w:t>
      </w:r>
      <w:r>
        <w:rPr>
          <w:rFonts w:asciiTheme="majorBidi" w:hAnsiTheme="majorBidi" w:cstheme="majorBidi"/>
          <w:sz w:val="22"/>
          <w:szCs w:val="22"/>
        </w:rPr>
        <w:t>the outcomes</w:t>
      </w:r>
      <w:r w:rsidR="00594F6A">
        <w:rPr>
          <w:rFonts w:asciiTheme="majorBidi" w:hAnsiTheme="majorBidi" w:cstheme="majorBidi"/>
          <w:sz w:val="22"/>
          <w:szCs w:val="22"/>
        </w:rPr>
        <w:t>.</w:t>
      </w:r>
    </w:p>
    <w:p w14:paraId="0B01DC1E" w14:textId="77777777" w:rsidR="00594F6A" w:rsidRPr="003378E6" w:rsidRDefault="00594F6A" w:rsidP="00594F6A">
      <w:pPr>
        <w:pStyle w:val="Heading1"/>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How this works in practice</w:t>
      </w:r>
    </w:p>
    <w:p w14:paraId="2960C646" w14:textId="3D483B38" w:rsidR="0087607E" w:rsidRDefault="0087607E" w:rsidP="0087607E">
      <w:pPr>
        <w:pStyle w:val="NormalWeb"/>
        <w:jc w:val="both"/>
        <w:rPr>
          <w:rFonts w:asciiTheme="majorBidi" w:hAnsiTheme="majorBidi" w:cstheme="majorBidi"/>
          <w:sz w:val="22"/>
          <w:szCs w:val="22"/>
          <w:rtl/>
        </w:rPr>
      </w:pPr>
      <w:r>
        <w:rPr>
          <w:noProof/>
        </w:rPr>
        <w:drawing>
          <wp:inline distT="0" distB="0" distL="0" distR="0" wp14:anchorId="04A2DB7C" wp14:editId="76CAE455">
            <wp:extent cx="3206045" cy="1241778"/>
            <wp:effectExtent l="0" t="0" r="0" b="3175"/>
            <wp:docPr id="101" name="Figure 1"/>
            <wp:cNvGraphicFramePr/>
            <a:graphic xmlns:a="http://schemas.openxmlformats.org/drawingml/2006/main">
              <a:graphicData uri="http://schemas.openxmlformats.org/drawingml/2006/picture">
                <pic:pic xmlns:pic="http://schemas.openxmlformats.org/drawingml/2006/picture">
                  <pic:nvPicPr>
                    <pic:cNvPr id="101" name="Figure 1"/>
                    <pic:cNvPicPr/>
                  </pic:nvPicPr>
                  <pic:blipFill>
                    <a:blip r:embed="rId11"/>
                    <a:stretch>
                      <a:fillRect/>
                    </a:stretch>
                  </pic:blipFill>
                  <pic:spPr>
                    <a:xfrm>
                      <a:off x="0" y="0"/>
                      <a:ext cx="3349395" cy="1297301"/>
                    </a:xfrm>
                    <a:prstGeom prst="rect">
                      <a:avLst/>
                    </a:prstGeom>
                  </pic:spPr>
                </pic:pic>
              </a:graphicData>
            </a:graphic>
          </wp:inline>
        </w:drawing>
      </w:r>
    </w:p>
    <w:p w14:paraId="256D57AA" w14:textId="7019D081" w:rsidR="001A2F12" w:rsidRPr="0087607E" w:rsidRDefault="00000000" w:rsidP="0087607E">
      <w:pPr>
        <w:pStyle w:val="NormalWeb"/>
        <w:jc w:val="both"/>
        <w:rPr>
          <w:rFonts w:asciiTheme="majorBidi" w:hAnsiTheme="majorBidi" w:cstheme="majorBidi"/>
          <w:sz w:val="22"/>
          <w:szCs w:val="22"/>
        </w:rPr>
      </w:pPr>
      <w:r>
        <w:rPr>
          <w:sz w:val="18"/>
          <w:szCs w:val="18"/>
        </w:rPr>
        <w:t>Figure 1. The FAIRNEGO party journey. Human professionals retain the two substantive judgments — suitability at intake and approval of any agreement — and remain available whenever the process signals risk. AI conducts the negotiation itself. Process data, not content, is what the court sees.</w:t>
      </w:r>
    </w:p>
    <w:p w14:paraId="16A91D09" w14:textId="4FA0FA03" w:rsidR="00594F6A" w:rsidRPr="004A23A8" w:rsidRDefault="00594F6A" w:rsidP="00594F6A">
      <w:pPr>
        <w:pStyle w:val="Heading1"/>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 xml:space="preserve">Why </w:t>
      </w:r>
      <w:r w:rsidR="00532689">
        <w:rPr>
          <w:rFonts w:asciiTheme="majorBidi" w:hAnsiTheme="majorBidi" w:cstheme="majorBidi"/>
          <w:b/>
          <w:bCs/>
          <w:color w:val="000000" w:themeColor="text1"/>
          <w:sz w:val="22"/>
          <w:szCs w:val="22"/>
        </w:rPr>
        <w:t xml:space="preserve">is </w:t>
      </w:r>
      <w:r>
        <w:rPr>
          <w:rFonts w:asciiTheme="majorBidi" w:hAnsiTheme="majorBidi" w:cstheme="majorBidi"/>
          <w:b/>
          <w:bCs/>
          <w:color w:val="000000" w:themeColor="text1"/>
          <w:sz w:val="22"/>
          <w:szCs w:val="22"/>
        </w:rPr>
        <w:t>this architecture different?</w:t>
      </w:r>
    </w:p>
    <w:p w14:paraId="6A2A89A3" w14:textId="77777777" w:rsidR="004A23A8" w:rsidRPr="004A23A8" w:rsidRDefault="004A23A8" w:rsidP="00594F6A">
      <w:pPr>
        <w:pStyle w:val="Heading1"/>
        <w:rPr>
          <w:rFonts w:asciiTheme="majorBidi" w:hAnsiTheme="majorBidi" w:cstheme="majorBidi"/>
          <w:b/>
          <w:bCs/>
          <w:color w:val="000000" w:themeColor="text1"/>
          <w:sz w:val="22"/>
          <w:szCs w:val="22"/>
        </w:rPr>
      </w:pPr>
    </w:p>
    <w:p w14:paraId="37975102" w14:textId="77777777" w:rsidR="004A23A8" w:rsidRPr="004A23A8" w:rsidRDefault="00594F6A" w:rsidP="004A23A8">
      <w:pPr>
        <w:pStyle w:val="Heading3"/>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Preserving the strengths of mediation</w:t>
      </w:r>
    </w:p>
    <w:p w14:paraId="4691ABF0" w14:textId="77777777" w:rsidR="004A23A8" w:rsidRPr="004A23A8" w:rsidRDefault="004A23A8" w:rsidP="004A23A8">
      <w:pPr>
        <w:pStyle w:val="Heading3"/>
        <w:jc w:val="both"/>
        <w:rPr>
          <w:rFonts w:asciiTheme="majorBidi" w:hAnsiTheme="majorBidi" w:cstheme="majorBidi"/>
          <w:color w:val="000000" w:themeColor="text1"/>
          <w:sz w:val="22"/>
          <w:szCs w:val="22"/>
        </w:rPr>
      </w:pPr>
    </w:p>
    <w:p w14:paraId="4D5950C4" w14:textId="5CB26585" w:rsidR="00594F6A" w:rsidRDefault="00532689" w:rsidP="004A23A8">
      <w:pPr>
        <w:pStyle w:val="Heading3"/>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 xml:space="preserve">Parties </w:t>
      </w:r>
      <w:r w:rsidR="00594F6A">
        <w:rPr>
          <w:rFonts w:asciiTheme="majorBidi" w:hAnsiTheme="majorBidi" w:cstheme="majorBidi"/>
          <w:color w:val="000000" w:themeColor="text1"/>
          <w:sz w:val="22"/>
          <w:szCs w:val="22"/>
        </w:rPr>
        <w:t xml:space="preserve">have been found </w:t>
      </w:r>
      <w:r>
        <w:rPr>
          <w:rFonts w:asciiTheme="majorBidi" w:hAnsiTheme="majorBidi" w:cstheme="majorBidi"/>
          <w:color w:val="000000" w:themeColor="text1"/>
          <w:sz w:val="22"/>
          <w:szCs w:val="22"/>
        </w:rPr>
        <w:t>substantially more</w:t>
      </w:r>
      <w:r w:rsidR="00594F6A">
        <w:rPr>
          <w:rFonts w:asciiTheme="majorBidi" w:hAnsiTheme="majorBidi" w:cstheme="majorBidi"/>
          <w:color w:val="000000" w:themeColor="text1"/>
          <w:sz w:val="22"/>
          <w:szCs w:val="22"/>
        </w:rPr>
        <w:t xml:space="preserve"> likely to comply fully with mediated agreements </w:t>
      </w:r>
      <w:r>
        <w:rPr>
          <w:rFonts w:asciiTheme="majorBidi" w:hAnsiTheme="majorBidi" w:cstheme="majorBidi"/>
          <w:color w:val="000000" w:themeColor="text1"/>
          <w:sz w:val="22"/>
          <w:szCs w:val="22"/>
        </w:rPr>
        <w:t xml:space="preserve">compared to </w:t>
      </w:r>
      <w:r w:rsidR="00594F6A">
        <w:rPr>
          <w:rFonts w:asciiTheme="majorBidi" w:hAnsiTheme="majorBidi" w:cstheme="majorBidi"/>
          <w:color w:val="000000" w:themeColor="text1"/>
          <w:sz w:val="22"/>
          <w:szCs w:val="22"/>
        </w:rPr>
        <w:t>adjudicated judgments, a durability effect widely attributed to parties</w:t>
      </w:r>
      <w:r w:rsidR="00FF562E">
        <w:rPr>
          <w:rFonts w:asciiTheme="majorBidi" w:hAnsiTheme="majorBidi" w:cstheme="majorBidi"/>
          <w:color w:val="000000" w:themeColor="text1"/>
          <w:sz w:val="22"/>
          <w:szCs w:val="22"/>
        </w:rPr>
        <w:t>’</w:t>
      </w:r>
      <w:r w:rsidR="00594F6A">
        <w:rPr>
          <w:rFonts w:asciiTheme="majorBidi" w:hAnsiTheme="majorBidi" w:cstheme="majorBidi"/>
          <w:color w:val="000000" w:themeColor="text1"/>
          <w:sz w:val="22"/>
          <w:szCs w:val="22"/>
        </w:rPr>
        <w:t xml:space="preserve"> ownership of self-generated outcomes (McEwen &amp; Maiman, 1984</w:t>
      </w:r>
      <w:r>
        <w:rPr>
          <w:rFonts w:asciiTheme="majorBidi" w:hAnsiTheme="majorBidi" w:cstheme="majorBidi"/>
          <w:color w:val="000000" w:themeColor="text1"/>
          <w:sz w:val="22"/>
          <w:szCs w:val="22"/>
        </w:rPr>
        <w:t xml:space="preserve">; </w:t>
      </w:r>
      <w:r w:rsidRPr="00532689">
        <w:rPr>
          <w:rFonts w:asciiTheme="majorBidi" w:hAnsiTheme="majorBidi" w:cstheme="majorBidi"/>
          <w:color w:val="000000" w:themeColor="text1"/>
          <w:sz w:val="22"/>
          <w:szCs w:val="22"/>
          <w:highlight w:val="yellow"/>
        </w:rPr>
        <w:t>add</w:t>
      </w:r>
      <w:r w:rsidR="00594F6A">
        <w:rPr>
          <w:rFonts w:asciiTheme="majorBidi" w:hAnsiTheme="majorBidi" w:cstheme="majorBidi"/>
          <w:color w:val="000000" w:themeColor="text1"/>
          <w:sz w:val="22"/>
          <w:szCs w:val="22"/>
        </w:rPr>
        <w:t>). FAIRNEGO is designed to preserve that ownership by operating throughout in a facilitative</w:t>
      </w:r>
      <w:r w:rsidR="00FF562E">
        <w:rPr>
          <w:rFonts w:asciiTheme="majorBidi" w:hAnsiTheme="majorBidi" w:cstheme="majorBidi"/>
          <w:color w:val="000000" w:themeColor="text1"/>
          <w:sz w:val="22"/>
          <w:szCs w:val="22"/>
        </w:rPr>
        <w:t>, helping</w:t>
      </w:r>
      <w:r w:rsidR="00594F6A">
        <w:rPr>
          <w:rFonts w:asciiTheme="majorBidi" w:hAnsiTheme="majorBidi" w:cstheme="majorBidi"/>
          <w:color w:val="000000" w:themeColor="text1"/>
          <w:sz w:val="22"/>
          <w:szCs w:val="22"/>
        </w:rPr>
        <w:t xml:space="preserve"> parties generate, refine, and evaluate their own options. This preserves party autonomy, which is the defining value of mediation (Riskin, 1996), and minimizes the risk of consequential hallucination because the system is never required to be substantively correct about facts or law, only competent at the procedural moves that support productive negotiation.</w:t>
      </w:r>
    </w:p>
    <w:p w14:paraId="3EC65DE5" w14:textId="77777777" w:rsidR="00573C3F" w:rsidRPr="009F37C4" w:rsidRDefault="00573C3F" w:rsidP="009F37C4">
      <w:pPr>
        <w:pStyle w:val="Heading3"/>
        <w:jc w:val="both"/>
        <w:rPr>
          <w:rFonts w:asciiTheme="majorBidi" w:hAnsiTheme="majorBidi" w:cstheme="majorBidi"/>
          <w:color w:val="000000" w:themeColor="text1"/>
          <w:sz w:val="22"/>
          <w:szCs w:val="22"/>
          <w:lang w:val="en-US"/>
        </w:rPr>
      </w:pPr>
    </w:p>
    <w:p w14:paraId="720A716B" w14:textId="3C74A615" w:rsidR="004A23A8" w:rsidRPr="004A23A8" w:rsidRDefault="005259AD" w:rsidP="003C1C5C">
      <w:pPr>
        <w:pStyle w:val="Heading3"/>
        <w:jc w:val="both"/>
        <w:rPr>
          <w:rFonts w:asciiTheme="majorBidi" w:hAnsiTheme="majorBidi" w:cstheme="majorBidi"/>
          <w:color w:val="000000" w:themeColor="text1"/>
          <w:sz w:val="22"/>
          <w:szCs w:val="22"/>
        </w:rPr>
      </w:pPr>
      <w:r>
        <w:rPr>
          <w:color w:val="000000" w:themeColor="text1"/>
          <w:sz w:val="22"/>
          <w:szCs w:val="22"/>
        </w:rPr>
        <w:t>FAIRNEGO expands access to justice by making expert procedural assistance available to parties who might otherwise navigate settlement without meaningful facilitative support</w:t>
      </w:r>
      <w:r w:rsidR="00FF562E">
        <w:rPr>
          <w:color w:val="000000" w:themeColor="text1"/>
          <w:sz w:val="22"/>
          <w:szCs w:val="22"/>
        </w:rPr>
        <w:t xml:space="preserve"> and reach unfair substantive outcomes</w:t>
      </w:r>
      <w:r>
        <w:rPr>
          <w:color w:val="000000" w:themeColor="text1"/>
          <w:sz w:val="22"/>
          <w:szCs w:val="22"/>
        </w:rPr>
        <w:t xml:space="preserve">. FAIRNEGO makes expert facilitation consistently available across entire court caseloads, </w:t>
      </w:r>
      <w:r w:rsidR="003C1C5C">
        <w:rPr>
          <w:rFonts w:asciiTheme="majorBidi" w:hAnsiTheme="majorBidi" w:cstheme="majorBidi"/>
          <w:color w:val="000000" w:themeColor="text1"/>
          <w:sz w:val="22"/>
          <w:szCs w:val="22"/>
        </w:rPr>
        <w:t xml:space="preserve">by </w:t>
      </w:r>
      <w:r w:rsidR="00594F6A">
        <w:rPr>
          <w:rFonts w:asciiTheme="majorBidi" w:hAnsiTheme="majorBidi" w:cstheme="majorBidi"/>
          <w:color w:val="000000" w:themeColor="text1"/>
          <w:sz w:val="22"/>
          <w:szCs w:val="22"/>
        </w:rPr>
        <w:t>allocati</w:t>
      </w:r>
      <w:r w:rsidR="003C1C5C">
        <w:rPr>
          <w:rFonts w:asciiTheme="majorBidi" w:hAnsiTheme="majorBidi" w:cstheme="majorBidi"/>
          <w:color w:val="000000" w:themeColor="text1"/>
          <w:sz w:val="22"/>
          <w:szCs w:val="22"/>
        </w:rPr>
        <w:t>ng</w:t>
      </w:r>
      <w:r>
        <w:rPr>
          <w:rFonts w:asciiTheme="majorBidi" w:hAnsiTheme="majorBidi" w:cstheme="majorBidi"/>
          <w:color w:val="000000" w:themeColor="text1"/>
          <w:sz w:val="22"/>
          <w:szCs w:val="22"/>
        </w:rPr>
        <w:t xml:space="preserve"> responsibilities between AI and human professionals. AI conducts the negotiation process, while humans retain responsibility for substantive justice. Human professionals determine which disputes are appropriate for AI-facilitated </w:t>
      </w:r>
      <w:r>
        <w:rPr>
          <w:rFonts w:asciiTheme="majorBidi" w:hAnsiTheme="majorBidi" w:cstheme="majorBidi"/>
          <w:color w:val="000000" w:themeColor="text1"/>
          <w:sz w:val="22"/>
          <w:szCs w:val="22"/>
        </w:rPr>
        <w:t>negotiation, review any resulting agreement before it receives judicial effect, and remain available whenever the system identifies circumstances requiring intervention.</w:t>
      </w:r>
      <w:r w:rsidR="00FD4D64">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FAIRNEGO therefore extends facilitation capacity without delegating judicial or legal judgment. Automating the facilitator also changes what can be assured about the process. Where facilitation depends on several hundred individual practitioners, its quality is inherently uneven and largely unobservable; where it is performed by a</w:t>
      </w:r>
      <w:r w:rsidR="00FD4D64">
        <w:rPr>
          <w:rFonts w:asciiTheme="majorBidi" w:hAnsiTheme="majorBidi" w:cstheme="majorBidi"/>
          <w:color w:val="000000" w:themeColor="text1"/>
          <w:sz w:val="22"/>
          <w:szCs w:val="22"/>
        </w:rPr>
        <w:t>n</w:t>
      </w:r>
      <w:r>
        <w:rPr>
          <w:rFonts w:asciiTheme="majorBidi" w:hAnsiTheme="majorBidi" w:cstheme="majorBidi"/>
          <w:color w:val="000000" w:themeColor="text1"/>
          <w:sz w:val="22"/>
          <w:szCs w:val="22"/>
        </w:rPr>
        <w:t xml:space="preserve"> </w:t>
      </w:r>
      <w:r w:rsidR="00FD4D64">
        <w:rPr>
          <w:rFonts w:asciiTheme="majorBidi" w:hAnsiTheme="majorBidi" w:cstheme="majorBidi"/>
          <w:color w:val="000000" w:themeColor="text1"/>
          <w:sz w:val="22"/>
          <w:szCs w:val="22"/>
        </w:rPr>
        <w:t>automated</w:t>
      </w:r>
      <w:r>
        <w:rPr>
          <w:rFonts w:asciiTheme="majorBidi" w:hAnsiTheme="majorBidi" w:cstheme="majorBidi"/>
          <w:color w:val="000000" w:themeColor="text1"/>
          <w:sz w:val="22"/>
          <w:szCs w:val="22"/>
        </w:rPr>
        <w:t xml:space="preserve"> system, it can be defined, tested, held constant across an entire caseload, and improved for every case at once. </w:t>
      </w:r>
    </w:p>
    <w:p w14:paraId="389D3729" w14:textId="77777777" w:rsidR="004A23A8" w:rsidRPr="004A23A8" w:rsidRDefault="004A23A8" w:rsidP="004A23A8">
      <w:pPr>
        <w:pStyle w:val="Heading3"/>
        <w:jc w:val="both"/>
        <w:rPr>
          <w:rFonts w:asciiTheme="majorBidi" w:hAnsiTheme="majorBidi" w:cstheme="majorBidi"/>
          <w:color w:val="000000" w:themeColor="text1"/>
          <w:sz w:val="22"/>
          <w:szCs w:val="22"/>
        </w:rPr>
      </w:pPr>
    </w:p>
    <w:p w14:paraId="22B58B80" w14:textId="21FE77C1" w:rsidR="003C1C5C" w:rsidRPr="003C1C5C" w:rsidRDefault="003C1C5C" w:rsidP="004A23A8">
      <w:pPr>
        <w:pStyle w:val="Heading3"/>
        <w:jc w:val="both"/>
        <w:rPr>
          <w:rStyle w:val="Strong"/>
          <w:rFonts w:asciiTheme="majorBidi" w:hAnsiTheme="majorBidi" w:cstheme="majorBidi"/>
          <w:color w:val="000000" w:themeColor="text1"/>
          <w:sz w:val="22"/>
          <w:szCs w:val="22"/>
        </w:rPr>
      </w:pPr>
      <w:r w:rsidRPr="003C1C5C">
        <w:rPr>
          <w:rStyle w:val="Strong"/>
          <w:rFonts w:asciiTheme="majorBidi" w:hAnsiTheme="majorBidi" w:cstheme="majorBidi"/>
          <w:color w:val="000000" w:themeColor="text1"/>
          <w:sz w:val="22"/>
          <w:szCs w:val="22"/>
        </w:rPr>
        <w:t>Trust</w:t>
      </w:r>
      <w:r>
        <w:rPr>
          <w:rStyle w:val="Strong"/>
          <w:rFonts w:asciiTheme="majorBidi" w:hAnsiTheme="majorBidi" w:cstheme="majorBidi"/>
          <w:color w:val="000000" w:themeColor="text1"/>
          <w:sz w:val="22"/>
          <w:szCs w:val="22"/>
        </w:rPr>
        <w:t xml:space="preserve"> and legitimacy</w:t>
      </w:r>
      <w:r w:rsidRPr="003C1C5C">
        <w:rPr>
          <w:rStyle w:val="Strong"/>
          <w:rFonts w:asciiTheme="majorBidi" w:hAnsiTheme="majorBidi" w:cstheme="majorBidi"/>
          <w:color w:val="000000" w:themeColor="text1"/>
          <w:sz w:val="22"/>
          <w:szCs w:val="22"/>
        </w:rPr>
        <w:t xml:space="preserve"> </w:t>
      </w:r>
    </w:p>
    <w:p w14:paraId="0FF2CBB0" w14:textId="77777777" w:rsidR="003C1C5C" w:rsidRDefault="003C1C5C" w:rsidP="004A23A8">
      <w:pPr>
        <w:pStyle w:val="Heading3"/>
        <w:jc w:val="both"/>
        <w:rPr>
          <w:rStyle w:val="Strong"/>
          <w:rFonts w:asciiTheme="majorBidi" w:hAnsiTheme="majorBidi" w:cstheme="majorBidi"/>
          <w:b w:val="0"/>
          <w:bCs w:val="0"/>
          <w:color w:val="000000" w:themeColor="text1"/>
          <w:sz w:val="22"/>
          <w:szCs w:val="22"/>
        </w:rPr>
      </w:pPr>
    </w:p>
    <w:p w14:paraId="27B9AF15" w14:textId="4C5A427F" w:rsidR="004A23A8" w:rsidRPr="004A23A8" w:rsidRDefault="004A23A8" w:rsidP="004A23A8">
      <w:pPr>
        <w:pStyle w:val="Heading3"/>
        <w:jc w:val="both"/>
        <w:rPr>
          <w:rFonts w:asciiTheme="majorBidi" w:hAnsiTheme="majorBidi" w:cstheme="majorBidi"/>
          <w:color w:val="000000" w:themeColor="text1"/>
          <w:sz w:val="22"/>
          <w:szCs w:val="22"/>
        </w:rPr>
      </w:pPr>
      <w:r>
        <w:rPr>
          <w:rStyle w:val="Strong"/>
          <w:rFonts w:asciiTheme="majorBidi" w:hAnsiTheme="majorBidi" w:cstheme="majorBidi"/>
          <w:b w:val="0"/>
          <w:bCs w:val="0"/>
          <w:color w:val="000000" w:themeColor="text1"/>
          <w:sz w:val="22"/>
          <w:szCs w:val="22"/>
        </w:rPr>
        <w:t>One of the principal obstacles to deploying AI that actively shapes negotiation is not technological but institutional: parties</w:t>
      </w:r>
      <w:r w:rsidR="003C1C5C">
        <w:rPr>
          <w:rStyle w:val="Strong"/>
          <w:rFonts w:asciiTheme="majorBidi" w:hAnsiTheme="majorBidi" w:cstheme="majorBidi"/>
          <w:b w:val="0"/>
          <w:bCs w:val="0"/>
          <w:color w:val="000000" w:themeColor="text1"/>
          <w:sz w:val="22"/>
          <w:szCs w:val="22"/>
        </w:rPr>
        <w:t>, legal professionals</w:t>
      </w:r>
      <w:r>
        <w:rPr>
          <w:rStyle w:val="Strong"/>
          <w:rFonts w:asciiTheme="majorBidi" w:hAnsiTheme="majorBidi" w:cstheme="majorBidi"/>
          <w:b w:val="0"/>
          <w:bCs w:val="0"/>
          <w:color w:val="000000" w:themeColor="text1"/>
          <w:sz w:val="22"/>
          <w:szCs w:val="22"/>
        </w:rPr>
        <w:t xml:space="preserve"> and courts must be willing to trust a system that </w:t>
      </w:r>
      <w:r w:rsidR="000E4128">
        <w:rPr>
          <w:rStyle w:val="Strong"/>
          <w:rFonts w:asciiTheme="majorBidi" w:hAnsiTheme="majorBidi" w:cstheme="majorBidi"/>
          <w:b w:val="0"/>
          <w:bCs w:val="0"/>
          <w:color w:val="000000" w:themeColor="text1"/>
          <w:sz w:val="22"/>
          <w:szCs w:val="22"/>
        </w:rPr>
        <w:t>shapes</w:t>
      </w:r>
      <w:r>
        <w:rPr>
          <w:rStyle w:val="Strong"/>
          <w:rFonts w:asciiTheme="majorBidi" w:hAnsiTheme="majorBidi" w:cstheme="majorBidi"/>
          <w:b w:val="0"/>
          <w:bCs w:val="0"/>
          <w:color w:val="000000" w:themeColor="text1"/>
          <w:sz w:val="22"/>
          <w:szCs w:val="22"/>
        </w:rPr>
        <w:t xml:space="preserve"> </w:t>
      </w:r>
      <w:r w:rsidR="000E4128">
        <w:rPr>
          <w:rStyle w:val="Strong"/>
          <w:rFonts w:asciiTheme="majorBidi" w:hAnsiTheme="majorBidi" w:cstheme="majorBidi"/>
          <w:b w:val="0"/>
          <w:bCs w:val="0"/>
          <w:color w:val="000000" w:themeColor="text1"/>
          <w:sz w:val="22"/>
          <w:szCs w:val="22"/>
        </w:rPr>
        <w:t xml:space="preserve">their </w:t>
      </w:r>
      <w:r>
        <w:rPr>
          <w:rStyle w:val="Strong"/>
          <w:rFonts w:asciiTheme="majorBidi" w:hAnsiTheme="majorBidi" w:cstheme="majorBidi"/>
          <w:b w:val="0"/>
          <w:bCs w:val="0"/>
          <w:color w:val="000000" w:themeColor="text1"/>
          <w:sz w:val="22"/>
          <w:szCs w:val="22"/>
        </w:rPr>
        <w:t xml:space="preserve">conversations </w:t>
      </w:r>
      <w:r w:rsidR="000E4128">
        <w:rPr>
          <w:rStyle w:val="Strong"/>
          <w:rFonts w:asciiTheme="majorBidi" w:hAnsiTheme="majorBidi" w:cstheme="majorBidi"/>
          <w:b w:val="0"/>
          <w:bCs w:val="0"/>
          <w:color w:val="000000" w:themeColor="text1"/>
          <w:sz w:val="22"/>
          <w:szCs w:val="22"/>
        </w:rPr>
        <w:t xml:space="preserve">over </w:t>
      </w:r>
      <w:r>
        <w:rPr>
          <w:rStyle w:val="Strong"/>
          <w:rFonts w:asciiTheme="majorBidi" w:hAnsiTheme="majorBidi" w:cstheme="majorBidi"/>
          <w:b w:val="0"/>
          <w:bCs w:val="0"/>
          <w:color w:val="000000" w:themeColor="text1"/>
          <w:sz w:val="22"/>
          <w:szCs w:val="22"/>
        </w:rPr>
        <w:t>disputes with legal and emotional consequences.</w:t>
      </w:r>
      <w:r w:rsidR="003C1C5C">
        <w:rPr>
          <w:rStyle w:val="Strong"/>
          <w:rFonts w:asciiTheme="majorBidi" w:hAnsiTheme="majorBidi" w:cstheme="majorBidi"/>
          <w:b w:val="0"/>
          <w:bCs w:val="0"/>
          <w:color w:val="000000" w:themeColor="text1"/>
          <w:sz w:val="22"/>
          <w:szCs w:val="22"/>
        </w:rPr>
        <w:t xml:space="preserve"> A related concern is ensuring that the adoption of AI in court-related procedures will enhance, rather than curtail, court legitimacy</w:t>
      </w:r>
      <w:r w:rsidR="000E4128">
        <w:rPr>
          <w:rStyle w:val="Strong"/>
          <w:rFonts w:asciiTheme="majorBidi" w:hAnsiTheme="majorBidi" w:cstheme="majorBidi"/>
          <w:b w:val="0"/>
          <w:bCs w:val="0"/>
          <w:color w:val="000000" w:themeColor="text1"/>
          <w:sz w:val="22"/>
          <w:szCs w:val="22"/>
        </w:rPr>
        <w:t xml:space="preserve">. </w:t>
      </w:r>
      <w:r>
        <w:rPr>
          <w:rStyle w:val="Strong"/>
          <w:rFonts w:asciiTheme="majorBidi" w:hAnsiTheme="majorBidi" w:cstheme="majorBidi"/>
          <w:b w:val="0"/>
          <w:bCs w:val="0"/>
          <w:color w:val="000000" w:themeColor="text1"/>
          <w:sz w:val="22"/>
          <w:szCs w:val="22"/>
        </w:rPr>
        <w:t>FAIRNEGO addresses th</w:t>
      </w:r>
      <w:r w:rsidR="003C1C5C">
        <w:rPr>
          <w:rStyle w:val="Strong"/>
          <w:rFonts w:asciiTheme="majorBidi" w:hAnsiTheme="majorBidi" w:cstheme="majorBidi"/>
          <w:b w:val="0"/>
          <w:bCs w:val="0"/>
          <w:color w:val="000000" w:themeColor="text1"/>
          <w:sz w:val="22"/>
          <w:szCs w:val="22"/>
        </w:rPr>
        <w:t>ese</w:t>
      </w:r>
      <w:r>
        <w:rPr>
          <w:rStyle w:val="Strong"/>
          <w:rFonts w:asciiTheme="majorBidi" w:hAnsiTheme="majorBidi" w:cstheme="majorBidi"/>
          <w:b w:val="0"/>
          <w:bCs w:val="0"/>
          <w:color w:val="000000" w:themeColor="text1"/>
          <w:sz w:val="22"/>
          <w:szCs w:val="22"/>
        </w:rPr>
        <w:t xml:space="preserve"> challenge</w:t>
      </w:r>
      <w:r w:rsidR="003C1C5C">
        <w:rPr>
          <w:rStyle w:val="Strong"/>
          <w:rFonts w:asciiTheme="majorBidi" w:hAnsiTheme="majorBidi" w:cstheme="majorBidi"/>
          <w:b w:val="0"/>
          <w:bCs w:val="0"/>
          <w:color w:val="000000" w:themeColor="text1"/>
          <w:sz w:val="22"/>
          <w:szCs w:val="22"/>
        </w:rPr>
        <w:t>s</w:t>
      </w:r>
      <w:r>
        <w:rPr>
          <w:rStyle w:val="Strong"/>
          <w:rFonts w:asciiTheme="majorBidi" w:hAnsiTheme="majorBidi" w:cstheme="majorBidi"/>
          <w:b w:val="0"/>
          <w:bCs w:val="0"/>
          <w:color w:val="000000" w:themeColor="text1"/>
          <w:sz w:val="22"/>
          <w:szCs w:val="22"/>
        </w:rPr>
        <w:t xml:space="preserve"> through </w:t>
      </w:r>
      <w:r w:rsidR="000E4128">
        <w:rPr>
          <w:rStyle w:val="Strong"/>
          <w:rFonts w:asciiTheme="majorBidi" w:hAnsiTheme="majorBidi" w:cstheme="majorBidi"/>
          <w:b w:val="0"/>
          <w:bCs w:val="0"/>
          <w:color w:val="000000" w:themeColor="text1"/>
          <w:sz w:val="22"/>
          <w:szCs w:val="22"/>
        </w:rPr>
        <w:t xml:space="preserve">its focus on procedural functions and its </w:t>
      </w:r>
      <w:r>
        <w:rPr>
          <w:rStyle w:val="Strong"/>
          <w:rFonts w:asciiTheme="majorBidi" w:hAnsiTheme="majorBidi" w:cstheme="majorBidi"/>
          <w:b w:val="0"/>
          <w:bCs w:val="0"/>
          <w:color w:val="000000" w:themeColor="text1"/>
          <w:sz w:val="22"/>
          <w:szCs w:val="22"/>
        </w:rPr>
        <w:t>hybrid architecture.</w:t>
      </w:r>
    </w:p>
    <w:p w14:paraId="65B9FE7B" w14:textId="42E7C621" w:rsidR="004A23A8" w:rsidRPr="004A23A8" w:rsidRDefault="003C1C5C" w:rsidP="00FD4D64">
      <w:pPr>
        <w:pStyle w:val="NormalWeb"/>
        <w:rPr>
          <w:rFonts w:asciiTheme="majorBidi" w:hAnsiTheme="majorBidi" w:cstheme="majorBidi"/>
          <w:color w:val="000000" w:themeColor="text1"/>
          <w:sz w:val="22"/>
          <w:szCs w:val="22"/>
        </w:rPr>
      </w:pPr>
      <w:r>
        <w:rPr>
          <w:rStyle w:val="Strong"/>
          <w:rFonts w:asciiTheme="majorBidi" w:hAnsiTheme="majorBidi" w:cstheme="majorBidi"/>
          <w:b w:val="0"/>
          <w:bCs w:val="0"/>
          <w:sz w:val="22"/>
          <w:szCs w:val="22"/>
        </w:rPr>
        <w:t xml:space="preserve">Research has consistently shown that </w:t>
      </w:r>
      <w:r w:rsidR="000E4128">
        <w:rPr>
          <w:rStyle w:val="Strong"/>
          <w:rFonts w:asciiTheme="majorBidi" w:hAnsiTheme="majorBidi" w:cstheme="majorBidi"/>
          <w:b w:val="0"/>
          <w:bCs w:val="0"/>
          <w:sz w:val="22"/>
          <w:szCs w:val="22"/>
        </w:rPr>
        <w:t xml:space="preserve">parties’ perceptions of the fairness of procedures is the predominant factor shaping the legitimacy of the institutions offering such processes, impacting not only their experiences but also their willingness to comply with outcomes reached (Tyler &amp; Sunshine, ____). Some recent scholarship on AI adoption in courts, </w:t>
      </w:r>
      <w:r w:rsidR="00661039">
        <w:rPr>
          <w:rStyle w:val="Strong"/>
          <w:rFonts w:asciiTheme="majorBidi" w:hAnsiTheme="majorBidi" w:cstheme="majorBidi"/>
          <w:b w:val="0"/>
          <w:bCs w:val="0"/>
          <w:sz w:val="22"/>
          <w:szCs w:val="22"/>
        </w:rPr>
        <w:t>indicates</w:t>
      </w:r>
      <w:r w:rsidR="000E4128">
        <w:rPr>
          <w:rStyle w:val="Strong"/>
          <w:rFonts w:asciiTheme="majorBidi" w:hAnsiTheme="majorBidi" w:cstheme="majorBidi"/>
          <w:b w:val="0"/>
          <w:bCs w:val="0"/>
          <w:sz w:val="22"/>
          <w:szCs w:val="22"/>
        </w:rPr>
        <w:t xml:space="preserve"> that</w:t>
      </w:r>
      <w:r w:rsidR="00661039">
        <w:rPr>
          <w:rStyle w:val="Strong"/>
          <w:rFonts w:asciiTheme="majorBidi" w:hAnsiTheme="majorBidi" w:cstheme="majorBidi"/>
          <w:b w:val="0"/>
          <w:bCs w:val="0"/>
          <w:sz w:val="22"/>
          <w:szCs w:val="22"/>
        </w:rPr>
        <w:t xml:space="preserve"> a hybrid structure involving human experts in oversight over substantive </w:t>
      </w:r>
      <w:r w:rsidR="00661039">
        <w:rPr>
          <w:rStyle w:val="Strong"/>
          <w:rFonts w:asciiTheme="majorBidi" w:hAnsiTheme="majorBidi" w:cstheme="majorBidi"/>
          <w:b w:val="0"/>
          <w:bCs w:val="0"/>
          <w:sz w:val="22"/>
          <w:szCs w:val="22"/>
        </w:rPr>
        <w:t>decisions would generate high levels of trust and legitimacy (________). Furthermore, our own ERC research</w:t>
      </w:r>
      <w:r w:rsidR="004A23A8">
        <w:rPr>
          <w:rStyle w:val="Strong"/>
          <w:rFonts w:asciiTheme="majorBidi" w:hAnsiTheme="majorBidi" w:cstheme="majorBidi"/>
          <w:b w:val="0"/>
          <w:bCs w:val="0"/>
          <w:sz w:val="22"/>
          <w:szCs w:val="22"/>
        </w:rPr>
        <w:t xml:space="preserve"> shows that </w:t>
      </w:r>
      <w:r w:rsidR="00661039">
        <w:rPr>
          <w:rStyle w:val="Strong"/>
          <w:rFonts w:asciiTheme="majorBidi" w:hAnsiTheme="majorBidi" w:cstheme="majorBidi"/>
          <w:b w:val="0"/>
          <w:bCs w:val="0"/>
          <w:sz w:val="22"/>
          <w:szCs w:val="22"/>
        </w:rPr>
        <w:t>both elements are constitutive elements in shaping legitimacy, even where ultimate decision-making rests with the parties (________)</w:t>
      </w:r>
      <w:r w:rsidR="004A23A8">
        <w:rPr>
          <w:rStyle w:val="Strong"/>
          <w:rFonts w:asciiTheme="majorBidi" w:hAnsiTheme="majorBidi" w:cstheme="majorBidi"/>
          <w:b w:val="0"/>
          <w:bCs w:val="0"/>
          <w:sz w:val="22"/>
          <w:szCs w:val="22"/>
        </w:rPr>
        <w:t>. FAIRNEGO is designed accordingly: AI provides procedural facilitation, while humans remain visibly responsible for substantive justice.</w:t>
      </w:r>
    </w:p>
    <w:p w14:paraId="48751386" w14:textId="15915EA5" w:rsidR="00594F6A" w:rsidRPr="009F37C4" w:rsidRDefault="00594F6A" w:rsidP="009F37C4">
      <w:pPr>
        <w:pStyle w:val="NormalWeb"/>
        <w:jc w:val="both"/>
        <w:rPr>
          <w:rFonts w:asciiTheme="majorBidi" w:hAnsiTheme="majorBidi" w:cstheme="majorBidi"/>
          <w:sz w:val="22"/>
          <w:szCs w:val="22"/>
        </w:rPr>
      </w:pPr>
      <w:r>
        <w:rPr>
          <w:sz w:val="22"/>
          <w:szCs w:val="22"/>
        </w:rPr>
        <w:t>The structured environment itself also strengthens fairness. A structural layer manages pacing, encourages disengaged participants to re-engage, moderates dominant participants, and structures participation in line with interactional patterns identified in our ERC research as predictive of successful negotiation. Ensuring that each party receives comparable attention is itself a safeguard against power asymmetries between represented and self-represented, or otherwise unequally resourced, parties. The same layer functions as an escalation mechanism: sustained disengagement, widening participation asymmetry, or interactional patterns associated with poor outcomes trigger review by the case manager while the negotiation is still underway.</w:t>
      </w:r>
    </w:p>
    <w:p w14:paraId="4E7AD7B1" w14:textId="77777777" w:rsidR="00594F6A" w:rsidRPr="004A23A8" w:rsidRDefault="00594F6A" w:rsidP="00594F6A">
      <w:pPr>
        <w:pStyle w:val="Heading1"/>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The origin</w:t>
      </w:r>
    </w:p>
    <w:p w14:paraId="6DA76513" w14:textId="1714AF22" w:rsidR="00594F6A" w:rsidRPr="004A23A8" w:rsidRDefault="00594F6A" w:rsidP="009F37C4">
      <w:pPr>
        <w:pStyle w:val="NormalWeb"/>
        <w:jc w:val="both"/>
        <w:rPr>
          <w:rFonts w:asciiTheme="majorBidi" w:hAnsiTheme="majorBidi" w:cstheme="majorBidi"/>
          <w:sz w:val="22"/>
          <w:szCs w:val="22"/>
        </w:rPr>
      </w:pPr>
      <w:r>
        <w:rPr>
          <w:rFonts w:asciiTheme="majorBidi" w:hAnsiTheme="majorBidi" w:cstheme="majorBidi"/>
          <w:sz w:val="22"/>
          <w:szCs w:val="22"/>
        </w:rPr>
        <w:t xml:space="preserve">The idea </w:t>
      </w:r>
      <w:r>
        <w:rPr>
          <w:rFonts w:asciiTheme="majorBidi" w:hAnsiTheme="majorBidi" w:cstheme="majorBidi"/>
          <w:sz w:val="22"/>
          <w:szCs w:val="22"/>
        </w:rPr>
        <w:t xml:space="preserve">draws directly on the ERC Consolidator project </w:t>
      </w:r>
      <w:r>
        <w:rPr>
          <w:rStyle w:val="Emphasis"/>
          <w:rFonts w:asciiTheme="majorBidi" w:hAnsiTheme="majorBidi" w:cstheme="majorBidi"/>
          <w:sz w:val="22"/>
          <w:szCs w:val="22"/>
        </w:rPr>
        <w:t xml:space="preserve">The </w:t>
      </w:r>
      <w:r w:rsidR="00144C24">
        <w:rPr>
          <w:rStyle w:val="Emphasis"/>
          <w:rFonts w:asciiTheme="majorBidi" w:hAnsiTheme="majorBidi" w:cstheme="majorBidi"/>
          <w:sz w:val="22"/>
          <w:szCs w:val="22"/>
        </w:rPr>
        <w:t>“</w:t>
      </w:r>
      <w:r>
        <w:rPr>
          <w:rStyle w:val="Emphasis"/>
          <w:rFonts w:asciiTheme="majorBidi" w:hAnsiTheme="majorBidi" w:cstheme="majorBidi"/>
          <w:sz w:val="22"/>
          <w:szCs w:val="22"/>
        </w:rPr>
        <w:t>Vanishing Third Party</w:t>
      </w:r>
      <w:r w:rsidR="00144C24">
        <w:rPr>
          <w:rStyle w:val="Emphasis"/>
          <w:rFonts w:asciiTheme="majorBidi" w:hAnsiTheme="majorBidi" w:cstheme="majorBidi"/>
          <w:sz w:val="22"/>
          <w:szCs w:val="22"/>
        </w:rPr>
        <w:t>”</w:t>
      </w:r>
      <w:r>
        <w:rPr>
          <w:rStyle w:val="Emphasis"/>
          <w:rFonts w:asciiTheme="majorBidi" w:hAnsiTheme="majorBidi" w:cstheme="majorBidi"/>
          <w:sz w:val="22"/>
          <w:szCs w:val="22"/>
        </w:rPr>
        <w:t>: Access to Justice, Procedural Justice and Substantive Justice in the Age of Dispute Resolution Automation</w:t>
      </w:r>
      <w:r>
        <w:rPr>
          <w:rFonts w:asciiTheme="majorBidi" w:hAnsiTheme="majorBidi" w:cstheme="majorBidi"/>
          <w:sz w:val="22"/>
          <w:szCs w:val="22"/>
        </w:rPr>
        <w:t xml:space="preserve"> (DRA). Two complementary empirical strands provide the scientific foundation for FAIRNEGO.</w:t>
      </w:r>
      <w:r w:rsidR="009F37C4">
        <w:rPr>
          <w:rFonts w:asciiTheme="majorBidi" w:hAnsiTheme="majorBidi" w:cstheme="majorBidi"/>
          <w:sz w:val="22"/>
          <w:szCs w:val="22"/>
        </w:rPr>
        <w:t xml:space="preserve"> </w:t>
      </w:r>
      <w:r>
        <w:rPr>
          <w:rFonts w:asciiTheme="majorBidi" w:hAnsiTheme="majorBidi" w:cstheme="majorBidi"/>
          <w:sz w:val="22"/>
          <w:szCs w:val="22"/>
        </w:rPr>
        <w:t>First, a computational analysis of a corpus of 122,795 facilitator messages across 2,060 real online divorce negotiations identifies the interactional behaviours that distinguish effective facilitation. Structural features</w:t>
      </w:r>
      <w:r w:rsidR="00144C24">
        <w:rPr>
          <w:rFonts w:asciiTheme="majorBidi" w:hAnsiTheme="majorBidi" w:cstheme="majorBidi"/>
          <w:sz w:val="22"/>
          <w:szCs w:val="22"/>
        </w:rPr>
        <w:t xml:space="preserve">, </w:t>
      </w:r>
      <w:r>
        <w:rPr>
          <w:rFonts w:asciiTheme="majorBidi" w:hAnsiTheme="majorBidi" w:cstheme="majorBidi"/>
          <w:sz w:val="22"/>
          <w:szCs w:val="22"/>
        </w:rPr>
        <w:t>including responsiveness, turn-taking balance, and pacing</w:t>
      </w:r>
      <w:r w:rsidR="00144C24">
        <w:rPr>
          <w:rFonts w:asciiTheme="majorBidi" w:hAnsiTheme="majorBidi" w:cstheme="majorBidi"/>
          <w:sz w:val="22"/>
          <w:szCs w:val="22"/>
        </w:rPr>
        <w:t xml:space="preserve">, were found to </w:t>
      </w:r>
      <w:r>
        <w:rPr>
          <w:rFonts w:asciiTheme="majorBidi" w:hAnsiTheme="majorBidi" w:cstheme="majorBidi"/>
          <w:sz w:val="22"/>
          <w:szCs w:val="22"/>
        </w:rPr>
        <w:t>predict agreement more reliably than message content, providing the behavioural blueprint for FAIRNEGO</w:t>
      </w:r>
      <w:r w:rsidR="00144C24">
        <w:rPr>
          <w:rFonts w:asciiTheme="majorBidi" w:hAnsiTheme="majorBidi" w:cstheme="majorBidi"/>
          <w:sz w:val="22"/>
          <w:szCs w:val="22"/>
        </w:rPr>
        <w:t>’</w:t>
      </w:r>
      <w:r>
        <w:rPr>
          <w:rFonts w:asciiTheme="majorBidi" w:hAnsiTheme="majorBidi" w:cstheme="majorBidi"/>
          <w:sz w:val="22"/>
          <w:szCs w:val="22"/>
        </w:rPr>
        <w:t xml:space="preserve">s structural layer. Second, a mixed-methods study of the same platform (case data, </w:t>
      </w:r>
      <w:r>
        <w:rPr>
          <w:rStyle w:val="Emphasis"/>
          <w:rFonts w:asciiTheme="majorBidi" w:hAnsiTheme="majorBidi" w:cstheme="majorBidi"/>
          <w:sz w:val="22"/>
          <w:szCs w:val="22"/>
        </w:rPr>
        <w:t>N</w:t>
      </w:r>
      <w:r>
        <w:rPr>
          <w:rFonts w:asciiTheme="majorBidi" w:hAnsiTheme="majorBidi" w:cstheme="majorBidi"/>
          <w:sz w:val="22"/>
          <w:szCs w:val="22"/>
        </w:rPr>
        <w:t xml:space="preserve">=2,481; user survey, </w:t>
      </w:r>
      <w:r>
        <w:rPr>
          <w:rStyle w:val="Emphasis"/>
          <w:rFonts w:asciiTheme="majorBidi" w:hAnsiTheme="majorBidi" w:cstheme="majorBidi"/>
          <w:sz w:val="22"/>
          <w:szCs w:val="22"/>
        </w:rPr>
        <w:t>N</w:t>
      </w:r>
      <w:r>
        <w:rPr>
          <w:rFonts w:asciiTheme="majorBidi" w:hAnsiTheme="majorBidi" w:cstheme="majorBidi"/>
          <w:sz w:val="22"/>
          <w:szCs w:val="22"/>
        </w:rPr>
        <w:t xml:space="preserve">=686; interviews with nine professionals) documents how human facilitators currently perform many of the procedural functions that FAIRNEGO automates, including </w:t>
      </w:r>
      <w:r>
        <w:rPr>
          <w:rFonts w:asciiTheme="majorBidi" w:hAnsiTheme="majorBidi" w:cstheme="majorBidi"/>
          <w:sz w:val="22"/>
          <w:szCs w:val="22"/>
        </w:rPr>
        <w:lastRenderedPageBreak/>
        <w:t>monitoring for power imbalances and adapting interventions throughout the negotiation. These findings provide the design principles for FAIRNEGO</w:t>
      </w:r>
      <w:r w:rsidR="00144C24">
        <w:rPr>
          <w:rFonts w:asciiTheme="majorBidi" w:hAnsiTheme="majorBidi" w:cstheme="majorBidi"/>
          <w:sz w:val="22"/>
          <w:szCs w:val="22"/>
        </w:rPr>
        <w:t>’</w:t>
      </w:r>
      <w:r>
        <w:rPr>
          <w:rFonts w:asciiTheme="majorBidi" w:hAnsiTheme="majorBidi" w:cstheme="majorBidi"/>
          <w:sz w:val="22"/>
          <w:szCs w:val="22"/>
        </w:rPr>
        <w:t>s facilitative layer and escalation safeguards.</w:t>
      </w:r>
    </w:p>
    <w:p w14:paraId="4D7B9FB1" w14:textId="47CADBE5" w:rsidR="00B7290C" w:rsidRPr="004A23A8" w:rsidRDefault="00594F6A" w:rsidP="004A23A8">
      <w:pPr>
        <w:pStyle w:val="NormalWeb"/>
        <w:jc w:val="both"/>
        <w:rPr>
          <w:rFonts w:asciiTheme="majorBidi" w:hAnsiTheme="majorBidi" w:cstheme="majorBidi"/>
          <w:sz w:val="22"/>
          <w:szCs w:val="22"/>
        </w:rPr>
      </w:pPr>
      <w:r>
        <w:rPr>
          <w:rFonts w:asciiTheme="majorBidi" w:hAnsiTheme="majorBidi" w:cstheme="majorBidi"/>
          <w:sz w:val="22"/>
          <w:szCs w:val="22"/>
        </w:rPr>
        <w:t>The findings derive from a live private dispute-resolution platform, which is both the first deployment setting for FAIRNEGO and the environment in which its behavioural model was learned. An important objective of the PoC is therefore to test whether these empirically derived mechanisms also transfer to the court-connected environment, where caseloads are substantially larger</w:t>
      </w:r>
      <w:r w:rsidR="00144C24">
        <w:rPr>
          <w:rFonts w:asciiTheme="majorBidi" w:hAnsiTheme="majorBidi" w:cstheme="majorBidi"/>
          <w:sz w:val="22"/>
          <w:szCs w:val="22"/>
        </w:rPr>
        <w:t>, case characteritics more diverse,</w:t>
      </w:r>
      <w:r>
        <w:rPr>
          <w:rFonts w:asciiTheme="majorBidi" w:hAnsiTheme="majorBidi" w:cstheme="majorBidi"/>
          <w:sz w:val="22"/>
          <w:szCs w:val="22"/>
        </w:rPr>
        <w:t xml:space="preserve"> and the institutional stakes of fairness, accountability, and oversight are considerably higher.</w:t>
      </w:r>
    </w:p>
    <w:p w14:paraId="1AAA2F35" w14:textId="77777777" w:rsidR="00B7290C" w:rsidRPr="004A23A8" w:rsidRDefault="00000000">
      <w:pPr>
        <w:spacing w:before="120" w:after="120"/>
        <w:rPr>
          <w:rFonts w:asciiTheme="majorBidi" w:hAnsiTheme="majorBidi" w:cstheme="majorBidi"/>
          <w:sz w:val="22"/>
          <w:szCs w:val="22"/>
        </w:rPr>
      </w:pPr>
      <w:r>
        <w:rPr>
          <w:rFonts w:asciiTheme="majorBidi" w:hAnsiTheme="majorBidi" w:cstheme="majorBidi"/>
          <w:b/>
          <w:bCs/>
          <w:sz w:val="22"/>
          <w:szCs w:val="22"/>
        </w:rPr>
        <w:t>1a.ii. Demonstration of Breakthrough Innovation Potential</w:t>
      </w:r>
    </w:p>
    <w:p w14:paraId="6041B2BC" w14:textId="4D9F4C13" w:rsidR="00594F6A" w:rsidRDefault="00594F6A" w:rsidP="003378E6">
      <w:pPr>
        <w:spacing w:after="200"/>
        <w:jc w:val="both"/>
        <w:rPr>
          <w:rFonts w:asciiTheme="majorBidi" w:hAnsiTheme="majorBidi" w:cstheme="majorBidi"/>
          <w:sz w:val="22"/>
          <w:szCs w:val="22"/>
        </w:rPr>
      </w:pPr>
      <w:r>
        <w:rPr>
          <w:rFonts w:asciiTheme="majorBidi" w:hAnsiTheme="majorBidi" w:cstheme="majorBidi"/>
          <w:sz w:val="22"/>
          <w:szCs w:val="22"/>
        </w:rPr>
        <w:t xml:space="preserve">First, recent advances in large language models have crossed a technological threshold, making it possible for AI to perform sophisticated conversational and procedural tasks that were long regarded as requiring uniquely human interpersonal expertise (Tessler et al., 2024). Second, the ERC-funded DRA project generated the first large-scale empirical blueprint of expert facilitation, identifying the interactional behaviours that distinguish effective mediation. Together, these advances make it possible, for the first time, to automate procedural </w:t>
      </w:r>
      <w:r>
        <w:rPr>
          <w:rFonts w:asciiTheme="majorBidi" w:hAnsiTheme="majorBidi" w:cstheme="majorBidi"/>
          <w:sz w:val="22"/>
          <w:szCs w:val="22"/>
        </w:rPr>
        <w:t>mediation rather than substantive legal judgment.</w:t>
      </w:r>
    </w:p>
    <w:p w14:paraId="0D158DEC" w14:textId="6A523732" w:rsidR="003378E6" w:rsidRPr="004A23A8" w:rsidRDefault="003378E6" w:rsidP="003378E6">
      <w:pPr>
        <w:spacing w:after="200"/>
        <w:jc w:val="both"/>
        <w:rPr>
          <w:rFonts w:asciiTheme="majorBidi" w:hAnsiTheme="majorBidi" w:cstheme="majorBidi"/>
          <w:sz w:val="22"/>
          <w:szCs w:val="22"/>
        </w:rPr>
      </w:pPr>
      <w:r>
        <w:rPr>
          <w:rFonts w:asciiTheme="majorBidi" w:hAnsiTheme="majorBidi" w:cstheme="majorBidi"/>
          <w:sz w:val="22"/>
          <w:szCs w:val="22"/>
        </w:rPr>
        <w:t>FAIRNEGO</w:t>
      </w:r>
      <w:r w:rsidR="0087607E">
        <w:rPr>
          <w:rFonts w:asciiTheme="majorBidi" w:hAnsiTheme="majorBidi" w:cstheme="majorBidi"/>
          <w:sz w:val="22"/>
          <w:szCs w:val="22"/>
        </w:rPr>
        <w:t>’</w:t>
      </w:r>
      <w:r>
        <w:rPr>
          <w:rFonts w:asciiTheme="majorBidi" w:hAnsiTheme="majorBidi" w:cstheme="majorBidi"/>
          <w:sz w:val="22"/>
          <w:szCs w:val="22"/>
        </w:rPr>
        <w:t>s competitive advantage is not the LLM itself but the behavioural architecture that directs it. The facilitative and structural layers are derived from computational analysis of more than 122,795 real facilitator interventions, together with matched case, survey, and interview data, generated through the ERC-funded DRA project, a foundation a competitor without comparable access to real mediation data would find difficult to reproduce. Facilitated negotiation is confidential by design and leaves no systematic record, so what actually makes facilitator intervention effective and fair has never been answerable at scale. The DRA corpus is, to our knowledge, unprecedented, and it is what makes an evidence-based facilitative architecture possible at all.</w:t>
      </w:r>
    </w:p>
    <w:p w14:paraId="009E7BF4" w14:textId="77777777" w:rsidR="00B7290C" w:rsidRPr="004A23A8" w:rsidRDefault="00B7290C">
      <w:pPr>
        <w:spacing w:before="120"/>
        <w:rPr>
          <w:rFonts w:asciiTheme="majorBidi" w:hAnsiTheme="majorBidi" w:cstheme="majorBidi"/>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B7290C" w:rsidRPr="004A23A8" w14:paraId="5CBE9B17" w14:textId="77777777">
        <w:tc>
          <w:tcPr>
            <w:tcW w:w="4819"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5B05ED7F" w14:textId="77777777" w:rsidR="00B7290C" w:rsidRPr="004A23A8" w:rsidRDefault="00000000">
            <w:pPr>
              <w:rPr>
                <w:rFonts w:asciiTheme="majorBidi" w:hAnsiTheme="majorBidi" w:cstheme="majorBidi"/>
                <w:sz w:val="22"/>
                <w:szCs w:val="22"/>
              </w:rPr>
            </w:pPr>
            <w:r>
              <w:rPr>
                <w:rFonts w:asciiTheme="majorBidi" w:hAnsiTheme="majorBidi" w:cstheme="majorBidi"/>
                <w:b/>
                <w:bCs/>
                <w:sz w:val="22"/>
                <w:szCs w:val="22"/>
              </w:rPr>
              <w:t>Existing automated settlement/mediation tools</w:t>
            </w:r>
          </w:p>
        </w:tc>
        <w:tc>
          <w:tcPr>
            <w:tcW w:w="4819"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0D750146" w14:textId="77777777" w:rsidR="00B7290C" w:rsidRPr="004A23A8" w:rsidRDefault="00000000">
            <w:pPr>
              <w:rPr>
                <w:rFonts w:asciiTheme="majorBidi" w:hAnsiTheme="majorBidi" w:cstheme="majorBidi"/>
                <w:sz w:val="22"/>
                <w:szCs w:val="22"/>
              </w:rPr>
            </w:pPr>
            <w:r>
              <w:rPr>
                <w:rFonts w:asciiTheme="majorBidi" w:hAnsiTheme="majorBidi" w:cstheme="majorBidi"/>
                <w:b/>
                <w:bCs/>
                <w:sz w:val="22"/>
                <w:szCs w:val="22"/>
              </w:rPr>
              <w:t>FAIRNEGO</w:t>
            </w:r>
          </w:p>
        </w:tc>
      </w:tr>
      <w:tr w:rsidR="00B7290C" w:rsidRPr="004A23A8" w14:paraId="1F7264D2"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1750B832"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Predicts outcomes or proposes settlement terms</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EB70CCA"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Facilitates dialogue; never proposes settlement terms</w:t>
            </w:r>
          </w:p>
        </w:tc>
      </w:tr>
      <w:tr w:rsidR="00B7290C" w:rsidRPr="004A23A8" w14:paraId="45877F17"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292920D"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Deployed around courts, on private platforms</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BF9B452" w14:textId="4C62CA11" w:rsidR="00B7290C" w:rsidRPr="004A23A8" w:rsidRDefault="00000000">
            <w:pPr>
              <w:rPr>
                <w:rFonts w:asciiTheme="majorBidi" w:hAnsiTheme="majorBidi" w:cstheme="majorBidi"/>
                <w:sz w:val="22"/>
                <w:szCs w:val="22"/>
              </w:rPr>
            </w:pPr>
            <w:r>
              <w:rPr>
                <w:rFonts w:asciiTheme="majorBidi" w:hAnsiTheme="majorBidi" w:cstheme="majorBidi"/>
                <w:sz w:val="22"/>
                <w:szCs w:val="22"/>
              </w:rPr>
              <w:t>Deployed inside court-connected programmes and on established ODR platforms</w:t>
            </w:r>
          </w:p>
        </w:tc>
      </w:tr>
      <w:tr w:rsidR="00B7290C" w:rsidRPr="004A23A8" w14:paraId="2FF0EF10"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7A2362E7"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Confined to disputes reducible to a single monetary figure</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3A96380C"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Extends to disputes beyond the purely monetary</w:t>
            </w:r>
          </w:p>
        </w:tc>
      </w:tr>
      <w:tr w:rsidR="00B7290C" w:rsidRPr="004A23A8" w14:paraId="5A4BC1A3"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9101653"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Evaluative, outcome-oriented (a form of legal/financial reasoning)</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9353C02"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Facilitative, process-oriented (procedural reasoning only)</w:t>
            </w:r>
          </w:p>
        </w:tc>
      </w:tr>
      <w:tr w:rsidR="00B7290C" w:rsidRPr="004A23A8" w14:paraId="3F04AC07"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7506ACD" w14:textId="77777777" w:rsidR="00B7290C" w:rsidRPr="004A23A8" w:rsidRDefault="00000000">
            <w:pPr>
              <w:rPr>
                <w:rFonts w:asciiTheme="majorBidi" w:hAnsiTheme="majorBidi" w:cstheme="majorBidi"/>
                <w:sz w:val="22"/>
                <w:szCs w:val="22"/>
              </w:rPr>
            </w:pPr>
            <w:r>
              <w:rPr>
                <w:rFonts w:asciiTheme="majorBidi" w:hAnsiTheme="majorBidi" w:cstheme="majorBidi"/>
                <w:sz w:val="22"/>
                <w:szCs w:val="22"/>
              </w:rPr>
              <w:t>Single-turn advice tool</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531DF31E" w14:textId="6A4AE41B" w:rsidR="00B7290C" w:rsidRPr="004A23A8" w:rsidRDefault="00000000">
            <w:pPr>
              <w:rPr>
                <w:rFonts w:asciiTheme="majorBidi" w:hAnsiTheme="majorBidi" w:cstheme="majorBidi"/>
                <w:sz w:val="22"/>
                <w:szCs w:val="22"/>
              </w:rPr>
            </w:pPr>
            <w:r>
              <w:rPr>
                <w:rFonts w:asciiTheme="majorBidi" w:hAnsiTheme="majorBidi" w:cstheme="majorBidi"/>
                <w:sz w:val="22"/>
                <w:szCs w:val="22"/>
              </w:rPr>
              <w:t>Structured negotiation architecture with human intake, mid-process escalation, and sign-off</w:t>
            </w:r>
          </w:p>
        </w:tc>
      </w:tr>
    </w:tbl>
    <w:p w14:paraId="694379B2" w14:textId="77777777" w:rsidR="00830264" w:rsidRDefault="00000000">
      <w:pPr>
        <w:spacing w:before="200" w:after="60"/>
        <w:rPr>
          <w:sz w:val="22"/>
          <w:szCs w:val="22"/>
        </w:rPr>
      </w:pPr>
      <w:r>
        <w:rPr>
          <w:b/>
          <w:bCs/>
          <w:sz w:val="22"/>
          <w:szCs w:val="22"/>
        </w:rPr>
        <w:t>1a.iii. Demonstration of the high-risk/high-gain idea</w:t>
      </w:r>
    </w:p>
    <w:p w14:paraId="5CA08E9C" w14:textId="3EDB02F9" w:rsidR="00830264" w:rsidRDefault="00000000" w:rsidP="009F37C4">
      <w:pPr>
        <w:spacing w:after="60"/>
        <w:jc w:val="both"/>
        <w:rPr>
          <w:sz w:val="22"/>
          <w:szCs w:val="22"/>
        </w:rPr>
      </w:pPr>
      <w:r>
        <w:rPr>
          <w:rStyle w:val="Strong"/>
          <w:sz w:val="22"/>
          <w:szCs w:val="22"/>
        </w:rPr>
        <w:t xml:space="preserve">The gain. </w:t>
      </w:r>
      <w:r>
        <w:rPr>
          <w:sz w:val="22"/>
          <w:szCs w:val="22"/>
        </w:rPr>
        <w:t>If FAIRNEGO succeeds, expert procedural facilitation stops being a scarce, artisanal and unevenly distributed service. Every party in a referred negotiation</w:t>
      </w:r>
      <w:r w:rsidR="009F37C4">
        <w:rPr>
          <w:sz w:val="22"/>
          <w:szCs w:val="22"/>
        </w:rPr>
        <w:t>, whether</w:t>
      </w:r>
      <w:r>
        <w:rPr>
          <w:sz w:val="22"/>
          <w:szCs w:val="22"/>
        </w:rPr>
        <w:t xml:space="preserve"> on a platform or in a court programme</w:t>
      </w:r>
      <w:r w:rsidR="009F37C4">
        <w:rPr>
          <w:sz w:val="22"/>
          <w:szCs w:val="22"/>
        </w:rPr>
        <w:t>,</w:t>
      </w:r>
      <w:r>
        <w:rPr>
          <w:sz w:val="22"/>
          <w:szCs w:val="22"/>
        </w:rPr>
        <w:t xml:space="preserve"> receives the quality of process support that today depends on drawing a highly skilled mediator. Courts acquire, for the first time, the ability to observe, assure and systematically improve the quality of settlement assistance they already sponsor but cannot currently see. And a distinct category of legal AI is established: systems that improve how disputes are resolved without </w:t>
      </w:r>
      <w:r w:rsidR="009F37C4">
        <w:rPr>
          <w:sz w:val="22"/>
          <w:szCs w:val="22"/>
        </w:rPr>
        <w:t>sacrificing party autonomy and human expert supervision</w:t>
      </w:r>
      <w:r>
        <w:rPr>
          <w:sz w:val="22"/>
          <w:szCs w:val="22"/>
        </w:rPr>
        <w:t>.</w:t>
      </w:r>
    </w:p>
    <w:p w14:paraId="168BEB90" w14:textId="6691FD81" w:rsidR="00830264" w:rsidRDefault="00000000">
      <w:pPr>
        <w:spacing w:after="60"/>
        <w:jc w:val="both"/>
        <w:rPr>
          <w:sz w:val="22"/>
          <w:szCs w:val="22"/>
        </w:rPr>
      </w:pPr>
      <w:r>
        <w:rPr>
          <w:rStyle w:val="Strong"/>
          <w:sz w:val="22"/>
          <w:szCs w:val="22"/>
        </w:rPr>
        <w:t xml:space="preserve">The risk. </w:t>
      </w:r>
      <w:r>
        <w:rPr>
          <w:sz w:val="22"/>
          <w:szCs w:val="22"/>
        </w:rPr>
        <w:t xml:space="preserve">Three things could defeat it, and each requires an approach that does not yet exist. </w:t>
      </w:r>
      <w:r>
        <w:rPr>
          <w:rStyle w:val="Strong"/>
          <w:sz w:val="22"/>
          <w:szCs w:val="22"/>
        </w:rPr>
        <w:t>First, scientifically</w:t>
      </w:r>
      <w:r>
        <w:rPr>
          <w:sz w:val="22"/>
          <w:szCs w:val="22"/>
        </w:rPr>
        <w:t xml:space="preserve">, FAIRNEGO rests on correlational findings: structural features of facilitation predict agreement in our data. Whether managing those features causally improves outcomes is unproven, and whether behaviour learned in online divorce negotiation transfers to </w:t>
      </w:r>
      <w:r w:rsidR="009F37C4">
        <w:rPr>
          <w:sz w:val="22"/>
          <w:szCs w:val="22"/>
        </w:rPr>
        <w:t>other disputes in the court/tribunal setting</w:t>
      </w:r>
      <w:r>
        <w:rPr>
          <w:sz w:val="22"/>
          <w:szCs w:val="22"/>
        </w:rPr>
        <w:t xml:space="preserve"> is unknown. WP3 is designed to answer both early and to permit rejection: milestone M3.1 is explicitly framed as core mechanisms established </w:t>
      </w:r>
      <w:r>
        <w:rPr>
          <w:rStyle w:val="Strong"/>
          <w:sz w:val="22"/>
          <w:szCs w:val="22"/>
        </w:rPr>
        <w:t>or rejected</w:t>
      </w:r>
      <w:r>
        <w:rPr>
          <w:sz w:val="22"/>
          <w:szCs w:val="22"/>
        </w:rPr>
        <w:t xml:space="preserve">. </w:t>
      </w:r>
      <w:r>
        <w:rPr>
          <w:rStyle w:val="Strong"/>
          <w:sz w:val="22"/>
          <w:szCs w:val="22"/>
        </w:rPr>
        <w:t>Second, institutionally</w:t>
      </w:r>
      <w:r>
        <w:rPr>
          <w:sz w:val="22"/>
          <w:szCs w:val="22"/>
        </w:rPr>
        <w:t xml:space="preserve">, the innovation is not merely technical. It requires parties to negotiate consequential disputes with an AI present, mediators and lawyers to accept a system occupying part of their professional territory, and courts to give procedural effect to a process they do not directly conduct. No amount of technical performance substitutes for this, which is why adoption is treated as a validation objective in WP5 rather than as a deployment afterthought. </w:t>
      </w:r>
      <w:r>
        <w:rPr>
          <w:rStyle w:val="Strong"/>
          <w:sz w:val="22"/>
          <w:szCs w:val="22"/>
        </w:rPr>
        <w:t>Third, in governance</w:t>
      </w:r>
      <w:r>
        <w:rPr>
          <w:sz w:val="22"/>
          <w:szCs w:val="22"/>
        </w:rPr>
        <w:t xml:space="preserve">, the feature that makes FAIRNEGO supervisable is the same one that threatens what makes mediation work. Generating </w:t>
      </w:r>
      <w:r>
        <w:rPr>
          <w:sz w:val="22"/>
          <w:szCs w:val="22"/>
        </w:rPr>
        <w:lastRenderedPageBreak/>
        <w:t>audit-grade evidence about how a negotiation was conducted, while disclosing nothing about what was said, is an unsolved design problem rather than an implementation detail; it is addressed in WP1 with dedicated security and privacy expertise on the advisory board.</w:t>
      </w:r>
    </w:p>
    <w:p w14:paraId="10D8B494" w14:textId="77777777" w:rsidR="00830264" w:rsidRDefault="00000000">
      <w:pPr>
        <w:spacing w:after="60"/>
        <w:jc w:val="both"/>
        <w:rPr>
          <w:sz w:val="22"/>
          <w:szCs w:val="22"/>
        </w:rPr>
      </w:pPr>
      <w:r>
        <w:rPr>
          <w:sz w:val="22"/>
          <w:szCs w:val="22"/>
        </w:rPr>
        <w:t>Overcoming these risks is what converts a validated research finding into a deployable product, and the reason the PoC is structured to test the institutional and governance questions in parallel with the technical one rather than after it. The full set of scientific, institutional, regulatory and operational risks, with mitigation measures, is set out in the risk mitigation table below.</w:t>
      </w:r>
    </w:p>
    <w:p w14:paraId="2C27624D" w14:textId="77777777" w:rsidR="00B7290C" w:rsidRDefault="00000000">
      <w:pPr>
        <w:spacing w:before="320" w:after="160"/>
      </w:pPr>
      <w:r>
        <w:rPr>
          <w:b/>
          <w:bCs/>
          <w:sz w:val="22"/>
          <w:szCs w:val="22"/>
          <w:u w:val="single"/>
        </w:rPr>
        <w:t>Section 1b: Approach and Methodology</w:t>
      </w:r>
    </w:p>
    <w:p w14:paraId="24CABCA6" w14:textId="509C3FFC" w:rsidR="00D76F13" w:rsidRPr="00D76F13" w:rsidRDefault="00D76F13" w:rsidP="009F37C4">
      <w:pPr>
        <w:spacing w:after="200"/>
        <w:jc w:val="both"/>
        <w:rPr>
          <w:sz w:val="22"/>
          <w:szCs w:val="22"/>
        </w:rPr>
      </w:pPr>
      <w:r>
        <w:rPr>
          <w:sz w:val="22"/>
          <w:szCs w:val="22"/>
        </w:rPr>
        <w:t>FAIRNEGO represents the transition from ERC-funded empirical research on automated dispute resolution to a deployable system for settlement, in both online dispute-resolution platforms and court-connected programmes. The PoC will pursue two parallel and mutually informing tracks: technological and empirical validation of the FAIRNEGO prototype, and institutional validation of its pathway to court deployment. The first will translate the facilitative and structural mechanisms identified in the ERC DRA project into a functional AI-supported negotiation environment and test whether they improve negotiation quality, procedural fairness, agreement, and user acceptance. The second will work with court, legal, and mediation stakeholders to establish the conditions under which such a system can be responsibly integrated into existing court-connected settlement processes.</w:t>
      </w:r>
    </w:p>
    <w:p w14:paraId="5FAC9127" w14:textId="1731815C" w:rsidR="00061149" w:rsidRDefault="00000000">
      <w:pPr>
        <w:pStyle w:val="NormalWeb"/>
        <w:jc w:val="both"/>
        <w:rPr>
          <w:sz w:val="22"/>
          <w:szCs w:val="22"/>
        </w:rPr>
      </w:pPr>
      <w:r>
        <w:rPr>
          <w:sz w:val="22"/>
          <w:szCs w:val="22"/>
        </w:rPr>
        <w:t>The project begins from an unusually advanced empirical foundation: the behavioural data underlying FAIRNEGO</w:t>
      </w:r>
      <w:r w:rsidR="0087607E">
        <w:rPr>
          <w:sz w:val="22"/>
          <w:szCs w:val="22"/>
        </w:rPr>
        <w:t>’</w:t>
      </w:r>
      <w:r>
        <w:rPr>
          <w:sz w:val="22"/>
          <w:szCs w:val="22"/>
        </w:rPr>
        <w:t xml:space="preserve">s design already exist. The PoC therefore does not need to discover what effective facilitation looks like, but to build it, test whether it works causally, and establish whether courts and professionals will adopt it. </w:t>
      </w:r>
      <w:r>
        <w:rPr>
          <w:rStyle w:val="Strong"/>
          <w:sz w:val="22"/>
          <w:szCs w:val="22"/>
        </w:rPr>
        <w:t>The technological track</w:t>
      </w:r>
      <w:r>
        <w:rPr>
          <w:sz w:val="22"/>
          <w:szCs w:val="22"/>
        </w:rPr>
        <w:t xml:space="preserve"> converts the ERC findings into a functional prototype implementing the facilitative and structural layers, tested iteratively against structured negotiation scenarios and then experimentally, to establish that the mechanisms identified in the DRA data causally improve negotiation rather than merely correlating with good outcomes. </w:t>
      </w:r>
      <w:r>
        <w:rPr>
          <w:rStyle w:val="Strong"/>
          <w:sz w:val="22"/>
          <w:szCs w:val="22"/>
        </w:rPr>
        <w:t>The institutional track</w:t>
      </w:r>
      <w:r>
        <w:rPr>
          <w:sz w:val="22"/>
          <w:szCs w:val="22"/>
        </w:rPr>
        <w:t xml:space="preserve"> runs in parallel and covers regulatory position, ethics and data governance, acceptance among parties, lawyers, mediators, judges and court administrators, and the requirements for a supervised deployment with a platform or court partner.</w:t>
      </w:r>
    </w:p>
    <w:p w14:paraId="7A496BD1" w14:textId="0694454D" w:rsidR="00061149" w:rsidRDefault="00000000">
      <w:pPr>
        <w:pStyle w:val="NormalWeb"/>
        <w:jc w:val="both"/>
        <w:rPr>
          <w:sz w:val="22"/>
          <w:szCs w:val="22"/>
        </w:rPr>
      </w:pPr>
      <w:r>
        <w:rPr>
          <w:sz w:val="22"/>
          <w:szCs w:val="22"/>
        </w:rPr>
        <w:t>The tracks are deliberately parallel rather than sequential, because FAIRNEGO cannot be validated as a court innovation in isolation from the environment in which it will operate: stakeholder feedback refines the prototype, experimental findings set escalation thresholds, and institutional requirements shape the architecture. The result is therefore more than a working prototype</w:t>
      </w:r>
      <w:r w:rsidR="00A84B3B">
        <w:rPr>
          <w:sz w:val="22"/>
          <w:szCs w:val="22"/>
        </w:rPr>
        <w:t>, which rests on</w:t>
      </w:r>
      <w:r>
        <w:rPr>
          <w:sz w:val="22"/>
          <w:szCs w:val="22"/>
        </w:rPr>
        <w:t xml:space="preserve"> a validated facilitative architecture, evidence on effectiveness and acceptance, a governance and human-oversight model, and a defined pathway to deployment.</w:t>
      </w:r>
    </w:p>
    <w:p w14:paraId="1D1BF648" w14:textId="68CE6B1F" w:rsidR="00B7290C" w:rsidRPr="00D76F13" w:rsidRDefault="00000000">
      <w:pPr>
        <w:spacing w:before="120" w:after="120"/>
        <w:rPr>
          <w:b/>
          <w:bCs/>
          <w:sz w:val="22"/>
          <w:szCs w:val="22"/>
        </w:rPr>
      </w:pPr>
      <w:r>
        <w:rPr>
          <w:b/>
          <w:bCs/>
          <w:sz w:val="22"/>
          <w:szCs w:val="22"/>
        </w:rPr>
        <w:t>1b.ii. Activities exploring the pathway from ground-breaking research to innovation</w:t>
      </w:r>
    </w:p>
    <w:p w14:paraId="6DBA2B48" w14:textId="77777777" w:rsidR="00061149" w:rsidRDefault="00000000">
      <w:pPr>
        <w:spacing w:before="120" w:after="120"/>
        <w:rPr>
          <w:sz w:val="22"/>
          <w:szCs w:val="22"/>
        </w:rPr>
      </w:pPr>
      <w:r>
        <w:rPr>
          <w:b/>
          <w:bCs/>
          <w:sz w:val="22"/>
          <w:szCs w:val="22"/>
        </w:rPr>
        <w:t>IPR position and knowledge-transfer strategy (with Carmel — University of Haifa Economic Corp. Ltd.)</w:t>
      </w:r>
    </w:p>
    <w:p w14:paraId="1A1B5AD3" w14:textId="789EE537" w:rsidR="00061149" w:rsidRDefault="00000000">
      <w:pPr>
        <w:pStyle w:val="NormalWeb"/>
        <w:jc w:val="both"/>
        <w:rPr>
          <w:sz w:val="22"/>
          <w:szCs w:val="22"/>
        </w:rPr>
      </w:pPr>
      <w:r>
        <w:rPr>
          <w:sz w:val="22"/>
          <w:szCs w:val="22"/>
        </w:rPr>
        <w:t xml:space="preserve">FAIRNEGO’s protectable value is not the language model, which is a commodity, but the behavioural architecture that directs it. Three assets will be secured. </w:t>
      </w:r>
      <w:r>
        <w:rPr>
          <w:rStyle w:val="Strong"/>
          <w:sz w:val="22"/>
          <w:szCs w:val="22"/>
        </w:rPr>
        <w:t>(a) The DRA corpus</w:t>
      </w:r>
      <w:r>
        <w:rPr>
          <w:sz w:val="22"/>
          <w:szCs w:val="22"/>
        </w:rPr>
        <w:t xml:space="preserve"> </w:t>
      </w:r>
      <w:r w:rsidR="00A84B3B">
        <w:rPr>
          <w:sz w:val="22"/>
          <w:szCs w:val="22"/>
        </w:rPr>
        <w:t>-</w:t>
      </w:r>
      <w:r>
        <w:rPr>
          <w:sz w:val="22"/>
          <w:szCs w:val="22"/>
        </w:rPr>
        <w:t xml:space="preserve"> 122,795 facilitator messages across 2,060 real negotiations, with matched case, survey and interview data </w:t>
      </w:r>
      <w:r w:rsidR="00A84B3B">
        <w:rPr>
          <w:sz w:val="22"/>
          <w:szCs w:val="22"/>
        </w:rPr>
        <w:t>-</w:t>
      </w:r>
      <w:r>
        <w:rPr>
          <w:sz w:val="22"/>
          <w:szCs w:val="22"/>
        </w:rPr>
        <w:t xml:space="preserve"> is protected as a trade secret and, within the EU, by the sui generis database right (Directive 96/9/EC). It cannot be reconstructed without equivalent access to confidential mediation data. </w:t>
      </w:r>
      <w:r>
        <w:rPr>
          <w:rStyle w:val="Strong"/>
          <w:sz w:val="22"/>
          <w:szCs w:val="22"/>
        </w:rPr>
        <w:t>(b) The facilitative and structural layer specifications</w:t>
      </w:r>
      <w:r>
        <w:rPr>
          <w:sz w:val="22"/>
          <w:szCs w:val="22"/>
        </w:rPr>
        <w:t xml:space="preserve"> </w:t>
      </w:r>
      <w:r w:rsidR="00A84B3B">
        <w:rPr>
          <w:sz w:val="22"/>
          <w:szCs w:val="22"/>
        </w:rPr>
        <w:t>-</w:t>
      </w:r>
      <w:r>
        <w:rPr>
          <w:sz w:val="22"/>
          <w:szCs w:val="22"/>
        </w:rPr>
        <w:t xml:space="preserve"> the mapping from observed mediator behaviour to machine-executable procedural moves and escalation triggers </w:t>
      </w:r>
      <w:r w:rsidR="00A84B3B">
        <w:rPr>
          <w:sz w:val="22"/>
          <w:szCs w:val="22"/>
        </w:rPr>
        <w:t>-</w:t>
      </w:r>
      <w:r>
        <w:rPr>
          <w:sz w:val="22"/>
          <w:szCs w:val="22"/>
        </w:rPr>
        <w:t xml:space="preserve"> constitute the core know-how, protected by trade secret together with copyright in the orchestration and prompt layer. With Carmel we will conduct a patentability and freedom-to-operate review in WP4, focused on the escalation-triggering method, the most plausibly patentable component. </w:t>
      </w:r>
      <w:r>
        <w:rPr>
          <w:rStyle w:val="Strong"/>
          <w:sz w:val="22"/>
          <w:szCs w:val="22"/>
        </w:rPr>
        <w:t>(c) The court-integration and audit layer</w:t>
      </w:r>
      <w:r>
        <w:rPr>
          <w:sz w:val="22"/>
          <w:szCs w:val="22"/>
        </w:rPr>
        <w:t>, including the process-data schema that makes facilitation reviewable without exposing content.</w:t>
      </w:r>
    </w:p>
    <w:p w14:paraId="26781942" w14:textId="77777777" w:rsidR="00061149" w:rsidRDefault="00000000">
      <w:pPr>
        <w:pStyle w:val="NormalWeb"/>
        <w:jc w:val="both"/>
        <w:rPr>
          <w:sz w:val="22"/>
          <w:szCs w:val="22"/>
        </w:rPr>
      </w:pPr>
      <w:r>
        <w:rPr>
          <w:sz w:val="22"/>
          <w:szCs w:val="22"/>
        </w:rPr>
        <w:t>Because software patents are narrow and slow in this domain, the exploitation route is licensing rather than patent enforcement. During the PoC, Carmel will: file any identified patentable component; negotiate a licence with the DRA data provider covering models derived from the corpus [</w:t>
      </w:r>
      <w:r w:rsidRPr="00A84B3B">
        <w:rPr>
          <w:sz w:val="22"/>
          <w:szCs w:val="22"/>
          <w:highlight w:val="yellow"/>
        </w:rPr>
        <w:t>confirm status of existing data agreement</w:t>
      </w:r>
      <w:r>
        <w:rPr>
          <w:sz w:val="22"/>
          <w:szCs w:val="22"/>
        </w:rPr>
        <w:t>]; and prepare term sheets for the two routes below.</w:t>
      </w:r>
    </w:p>
    <w:p w14:paraId="686DD330" w14:textId="77777777" w:rsidR="00061149" w:rsidRDefault="00000000">
      <w:pPr>
        <w:spacing w:before="120" w:after="120"/>
        <w:rPr>
          <w:sz w:val="22"/>
          <w:szCs w:val="22"/>
        </w:rPr>
      </w:pPr>
      <w:r>
        <w:rPr>
          <w:b/>
          <w:bCs/>
          <w:sz w:val="22"/>
          <w:szCs w:val="22"/>
        </w:rPr>
        <w:t>Regulatory position — a designed commercial advantage</w:t>
      </w:r>
    </w:p>
    <w:p w14:paraId="584BCCF3" w14:textId="154F7E11" w:rsidR="00061149" w:rsidRDefault="00000000">
      <w:pPr>
        <w:pStyle w:val="NormalWeb"/>
        <w:jc w:val="both"/>
        <w:rPr>
          <w:sz w:val="22"/>
          <w:szCs w:val="22"/>
        </w:rPr>
      </w:pPr>
      <w:r>
        <w:rPr>
          <w:sz w:val="22"/>
          <w:szCs w:val="22"/>
        </w:rPr>
        <w:lastRenderedPageBreak/>
        <w:t>The project adopts the EU AI Act as its regulatory benchmark by choice rather than by obligation. Israel is not subject to the Act, and the Israeli pilot would not require compliance; but the European market is the principal commercial opportunity, the first platform deployment would be in the Netherlands, and the Act is becoming the de facto international reference standard for AI in legal processes. Designing and documenting to it from the outset therefore costs little now and avoids a costly retrofit later. Under the Act, AI used in alternative dispute resolution could be deemed high-risk under Annex III(8)(a), and Recital 61 confirms this applies where the outcomes of the proceedings produce legal effects for the parties. FAIRNEGO is deliberately designed on the other side of that line: it never evaluates claims, predicts outcomes or proposes terms, and no agreement acquires legal effect without approval by a human judicial officer. Establishing and documenting this classification is itself a commercial asset</w:t>
      </w:r>
      <w:r w:rsidR="00A84B3B">
        <w:rPr>
          <w:sz w:val="22"/>
          <w:szCs w:val="22"/>
        </w:rPr>
        <w:t>,</w:t>
      </w:r>
      <w:r>
        <w:rPr>
          <w:sz w:val="22"/>
          <w:szCs w:val="22"/>
        </w:rPr>
        <w:t xml:space="preserve"> it is the difference between a system a court can procure within an ordinary approval cycle and one requiring full high-risk conformity assessment. It is also a barrier competitors built around outcome prediction cannot cross, because their function is precisely the one Annex III captures.</w:t>
      </w:r>
    </w:p>
    <w:p w14:paraId="6F02716C" w14:textId="77777777" w:rsidR="00061149" w:rsidRDefault="00000000">
      <w:pPr>
        <w:pStyle w:val="NormalWeb"/>
        <w:jc w:val="both"/>
        <w:rPr>
          <w:sz w:val="22"/>
          <w:szCs w:val="22"/>
        </w:rPr>
      </w:pPr>
      <w:r>
        <w:rPr>
          <w:sz w:val="22"/>
          <w:szCs w:val="22"/>
        </w:rPr>
        <w:t>WP1 will produce a written regulatory opinion, with the compliance roadmap maintained and updated through WP4, covering: AI Act classification and, if applicable, transparency obligations under Article 50; GDPR and the Israeli Privacy Protection Law as applied to negotiation process data; and the interaction between the audit layer and mediation confidentiality privilege in target jurisdictions.</w:t>
      </w:r>
    </w:p>
    <w:p w14:paraId="4BC632B2" w14:textId="77777777" w:rsidR="00061149" w:rsidRDefault="00000000">
      <w:pPr>
        <w:spacing w:before="120" w:after="120"/>
        <w:rPr>
          <w:sz w:val="22"/>
          <w:szCs w:val="22"/>
        </w:rPr>
      </w:pPr>
      <w:r>
        <w:rPr>
          <w:b/>
          <w:bCs/>
          <w:sz w:val="22"/>
          <w:szCs w:val="22"/>
        </w:rPr>
        <w:t>Competitive landscape</w:t>
      </w:r>
    </w:p>
    <w:p w14:paraId="0D93B740" w14:textId="25A40BA6" w:rsidR="00061149" w:rsidRDefault="00000000">
      <w:pPr>
        <w:pStyle w:val="NormalWeb"/>
        <w:jc w:val="both"/>
        <w:rPr>
          <w:sz w:val="22"/>
          <w:szCs w:val="22"/>
        </w:rPr>
      </w:pPr>
      <w:r>
        <w:rPr>
          <w:sz w:val="22"/>
          <w:szCs w:val="22"/>
        </w:rPr>
        <w:t xml:space="preserve">No product on the market today does what FAIRNEGO does, and the one research prototype that shares its facilitative premise rests on small qualitative samples rather than an empirical behavioural model. The category is forming now, and every entrant is moving toward proposing outcomes </w:t>
      </w:r>
      <w:r w:rsidR="00A84B3B">
        <w:rPr>
          <w:sz w:val="22"/>
          <w:szCs w:val="22"/>
        </w:rPr>
        <w:t>-</w:t>
      </w:r>
      <w:r>
        <w:rPr>
          <w:sz w:val="22"/>
          <w:szCs w:val="22"/>
        </w:rPr>
        <w:t xml:space="preserve"> the one function that is both legally hardest in Europe and least compatible with what makes mediated agreements durable.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600"/>
        <w:gridCol w:w="4838"/>
      </w:tblGrid>
      <w:tr w:rsidR="00061149" w14:paraId="5F19E618" w14:textId="77777777">
        <w:tc>
          <w:tcPr>
            <w:tcW w:w="2200" w:type="dxa"/>
            <w:shd w:val="clear" w:color="auto" w:fill="D9D9D9"/>
            <w:tcMar>
              <w:top w:w="60" w:type="dxa"/>
              <w:left w:w="100" w:type="dxa"/>
              <w:bottom w:w="60" w:type="dxa"/>
              <w:right w:w="100" w:type="dxa"/>
            </w:tcMar>
          </w:tcPr>
          <w:p w14:paraId="76E9CAE5" w14:textId="77777777" w:rsidR="00061149" w:rsidRDefault="00000000">
            <w:r>
              <w:rPr>
                <w:b/>
                <w:bCs/>
              </w:rPr>
              <w:t>Category</w:t>
            </w:r>
          </w:p>
        </w:tc>
        <w:tc>
          <w:tcPr>
            <w:tcW w:w="2600" w:type="dxa"/>
            <w:shd w:val="clear" w:color="auto" w:fill="D9D9D9"/>
            <w:tcMar>
              <w:top w:w="60" w:type="dxa"/>
              <w:left w:w="100" w:type="dxa"/>
              <w:bottom w:w="60" w:type="dxa"/>
              <w:right w:w="100" w:type="dxa"/>
            </w:tcMar>
          </w:tcPr>
          <w:p w14:paraId="02199953" w14:textId="77777777" w:rsidR="00061149" w:rsidRDefault="00000000">
            <w:r>
              <w:rPr>
                <w:b/>
                <w:bCs/>
              </w:rPr>
              <w:t>Examples</w:t>
            </w:r>
          </w:p>
        </w:tc>
        <w:tc>
          <w:tcPr>
            <w:tcW w:w="4838" w:type="dxa"/>
            <w:shd w:val="clear" w:color="auto" w:fill="D9D9D9"/>
            <w:tcMar>
              <w:top w:w="60" w:type="dxa"/>
              <w:left w:w="100" w:type="dxa"/>
              <w:bottom w:w="60" w:type="dxa"/>
              <w:right w:w="100" w:type="dxa"/>
            </w:tcMar>
          </w:tcPr>
          <w:p w14:paraId="2B1BA872" w14:textId="77777777" w:rsidR="00061149" w:rsidRDefault="00000000">
            <w:r>
              <w:rPr>
                <w:b/>
                <w:bCs/>
              </w:rPr>
              <w:t>Position relative to FAIRNEGO</w:t>
            </w:r>
          </w:p>
        </w:tc>
      </w:tr>
      <w:tr w:rsidR="00061149" w14:paraId="5E48B862" w14:textId="77777777">
        <w:tc>
          <w:tcPr>
            <w:tcW w:w="2200" w:type="dxa"/>
            <w:tcMar>
              <w:top w:w="60" w:type="dxa"/>
              <w:left w:w="100" w:type="dxa"/>
              <w:bottom w:w="60" w:type="dxa"/>
              <w:right w:w="100" w:type="dxa"/>
            </w:tcMar>
          </w:tcPr>
          <w:p w14:paraId="7F9D1EE6" w14:textId="77777777" w:rsidR="00061149" w:rsidRDefault="00000000">
            <w:r>
              <w:t>LLM-based AI mediation</w:t>
            </w:r>
          </w:p>
        </w:tc>
        <w:tc>
          <w:tcPr>
            <w:tcW w:w="2600" w:type="dxa"/>
            <w:tcMar>
              <w:top w:w="60" w:type="dxa"/>
              <w:left w:w="100" w:type="dxa"/>
              <w:bottom w:w="60" w:type="dxa"/>
              <w:right w:w="100" w:type="dxa"/>
            </w:tcMar>
          </w:tcPr>
          <w:p w14:paraId="49B76B3E" w14:textId="77777777" w:rsidR="00061149" w:rsidRDefault="00000000">
            <w:r>
              <w:t>Adri v2 (Dyspute.ai, launched January 2026)</w:t>
            </w:r>
          </w:p>
        </w:tc>
        <w:tc>
          <w:tcPr>
            <w:tcW w:w="4838" w:type="dxa"/>
            <w:tcMar>
              <w:top w:w="60" w:type="dxa"/>
              <w:left w:w="100" w:type="dxa"/>
              <w:bottom w:w="60" w:type="dxa"/>
              <w:right w:w="100" w:type="dxa"/>
            </w:tcMar>
          </w:tcPr>
          <w:p w14:paraId="1C9A15F2" w14:textId="77777777" w:rsidR="00061149" w:rsidRDefault="00000000">
            <w:r>
              <w:t>Evaluative by design: it opens mediation by generating the first settlement proposal from intake responses. Confirms the category is real and commercially live, while occupying the opposite design position. In the EU this function falls squarely within Annex III(8)(a).</w:t>
            </w:r>
          </w:p>
        </w:tc>
      </w:tr>
      <w:tr w:rsidR="00061149" w14:paraId="7BB02EE5" w14:textId="77777777">
        <w:tc>
          <w:tcPr>
            <w:tcW w:w="2200" w:type="dxa"/>
            <w:tcMar>
              <w:top w:w="60" w:type="dxa"/>
              <w:left w:w="100" w:type="dxa"/>
              <w:bottom w:w="60" w:type="dxa"/>
              <w:right w:w="100" w:type="dxa"/>
            </w:tcMar>
          </w:tcPr>
          <w:p w14:paraId="26D66EC8" w14:textId="77777777" w:rsidR="00061149" w:rsidRDefault="00000000">
            <w:r>
              <w:t>Blind-bidding / algorithmic settlement</w:t>
            </w:r>
          </w:p>
        </w:tc>
        <w:tc>
          <w:tcPr>
            <w:tcW w:w="2600" w:type="dxa"/>
            <w:tcMar>
              <w:top w:w="60" w:type="dxa"/>
              <w:left w:w="100" w:type="dxa"/>
              <w:bottom w:w="60" w:type="dxa"/>
              <w:right w:w="100" w:type="dxa"/>
            </w:tcMar>
          </w:tcPr>
          <w:p w14:paraId="0B64A6B5" w14:textId="77777777" w:rsidR="00061149" w:rsidRDefault="00000000">
            <w:r>
              <w:t>Smartsettle One</w:t>
            </w:r>
          </w:p>
        </w:tc>
        <w:tc>
          <w:tcPr>
            <w:tcW w:w="4838" w:type="dxa"/>
            <w:tcMar>
              <w:top w:w="60" w:type="dxa"/>
              <w:left w:w="100" w:type="dxa"/>
              <w:bottom w:w="60" w:type="dxa"/>
              <w:right w:w="100" w:type="dxa"/>
            </w:tcMar>
          </w:tcPr>
          <w:p w14:paraId="2F5C1C23" w14:textId="77777777" w:rsidR="00061149" w:rsidRDefault="00000000">
            <w:r>
              <w:t>Not LLM-based. Confined to single-issue, purely numerical disputes over a fixed sum. No facilitation, no multi-issue negotiation, and limited accessibility for self-represented parties.</w:t>
            </w:r>
          </w:p>
        </w:tc>
      </w:tr>
      <w:tr w:rsidR="00061149" w14:paraId="2244B0E1" w14:textId="77777777">
        <w:tc>
          <w:tcPr>
            <w:tcW w:w="2200" w:type="dxa"/>
            <w:tcMar>
              <w:top w:w="60" w:type="dxa"/>
              <w:left w:w="100" w:type="dxa"/>
              <w:bottom w:w="60" w:type="dxa"/>
              <w:right w:w="100" w:type="dxa"/>
            </w:tcMar>
          </w:tcPr>
          <w:p w14:paraId="310412A2" w14:textId="77777777" w:rsidR="00061149" w:rsidRDefault="00000000">
            <w:r>
              <w:t>Outcome prediction / claim evaluation</w:t>
            </w:r>
          </w:p>
        </w:tc>
        <w:tc>
          <w:tcPr>
            <w:tcW w:w="2600" w:type="dxa"/>
            <w:tcMar>
              <w:top w:w="60" w:type="dxa"/>
              <w:left w:w="100" w:type="dxa"/>
              <w:bottom w:w="60" w:type="dxa"/>
              <w:right w:w="100" w:type="dxa"/>
            </w:tcMar>
          </w:tcPr>
          <w:p w14:paraId="044BAC0B" w14:textId="77777777" w:rsidR="00061149" w:rsidRDefault="00000000">
            <w:r>
              <w:t>Predictice, Luminance and comparable legal-analytics tools</w:t>
            </w:r>
          </w:p>
        </w:tc>
        <w:tc>
          <w:tcPr>
            <w:tcW w:w="4838" w:type="dxa"/>
            <w:tcMar>
              <w:top w:w="60" w:type="dxa"/>
              <w:left w:w="100" w:type="dxa"/>
              <w:bottom w:w="60" w:type="dxa"/>
              <w:right w:w="100" w:type="dxa"/>
            </w:tcMar>
          </w:tcPr>
          <w:p w14:paraId="6613D7A5" w14:textId="77777777" w:rsidR="00061149" w:rsidRDefault="00000000">
            <w:r>
              <w:t>Predict or evaluate; never facilitate. Serve lawyers, not disputing parties.</w:t>
            </w:r>
          </w:p>
        </w:tc>
      </w:tr>
      <w:tr w:rsidR="00061149" w14:paraId="7351064F" w14:textId="77777777">
        <w:tc>
          <w:tcPr>
            <w:tcW w:w="2200" w:type="dxa"/>
            <w:tcMar>
              <w:top w:w="60" w:type="dxa"/>
              <w:left w:w="100" w:type="dxa"/>
              <w:bottom w:w="60" w:type="dxa"/>
              <w:right w:w="100" w:type="dxa"/>
            </w:tcMar>
          </w:tcPr>
          <w:p w14:paraId="40427CB5" w14:textId="77777777" w:rsidR="00061149" w:rsidRDefault="00000000">
            <w:r>
              <w:t>Court ODR infrastructure</w:t>
            </w:r>
          </w:p>
        </w:tc>
        <w:tc>
          <w:tcPr>
            <w:tcW w:w="2600" w:type="dxa"/>
            <w:tcMar>
              <w:top w:w="60" w:type="dxa"/>
              <w:left w:w="100" w:type="dxa"/>
              <w:bottom w:w="60" w:type="dxa"/>
              <w:right w:w="100" w:type="dxa"/>
            </w:tcMar>
          </w:tcPr>
          <w:p w14:paraId="51B704D8" w14:textId="77777777" w:rsidR="00061149" w:rsidRDefault="00000000">
            <w:r>
              <w:t>Modria / Tyler Technologies, Matterhorn</w:t>
            </w:r>
          </w:p>
        </w:tc>
        <w:tc>
          <w:tcPr>
            <w:tcW w:w="4838" w:type="dxa"/>
            <w:tcMar>
              <w:top w:w="60" w:type="dxa"/>
              <w:left w:w="100" w:type="dxa"/>
              <w:bottom w:w="60" w:type="dxa"/>
              <w:right w:w="100" w:type="dxa"/>
            </w:tcMar>
          </w:tcPr>
          <w:p w14:paraId="7541AB2E" w14:textId="77777777" w:rsidR="00061149" w:rsidRDefault="00000000">
            <w:r>
              <w:t>Provide case flow, forms and scheduling — the environment, not the facilitation. Channel partners rather than competitors.</w:t>
            </w:r>
          </w:p>
        </w:tc>
      </w:tr>
      <w:tr w:rsidR="00830264" w14:paraId="7E2A8B81" w14:textId="77777777">
        <w:tc>
          <w:tcPr>
            <w:tcW w:w="2200" w:type="dxa"/>
            <w:tcMar>
              <w:top w:w="60" w:type="dxa"/>
              <w:left w:w="100" w:type="dxa"/>
              <w:bottom w:w="60" w:type="dxa"/>
              <w:right w:w="100" w:type="dxa"/>
            </w:tcMar>
          </w:tcPr>
          <w:p w14:paraId="64944D42" w14:textId="77777777" w:rsidR="00830264" w:rsidRDefault="00000000">
            <w:r>
              <w:t>Research prototypes</w:t>
            </w:r>
          </w:p>
        </w:tc>
        <w:tc>
          <w:tcPr>
            <w:tcW w:w="2600" w:type="dxa"/>
            <w:tcMar>
              <w:top w:w="60" w:type="dxa"/>
              <w:left w:w="100" w:type="dxa"/>
              <w:bottom w:w="60" w:type="dxa"/>
              <w:right w:w="100" w:type="dxa"/>
            </w:tcMar>
          </w:tcPr>
          <w:p w14:paraId="2864BF5C" w14:textId="77777777" w:rsidR="00830264" w:rsidRDefault="00000000">
            <w:r>
              <w:t>LLMediator (Westermann, Savelka &amp; Benyekhlef, Cyberjustice Laboratory, 2023)</w:t>
            </w:r>
          </w:p>
        </w:tc>
        <w:tc>
          <w:tcPr>
            <w:tcW w:w="4838" w:type="dxa"/>
            <w:tcMar>
              <w:top w:w="60" w:type="dxa"/>
              <w:left w:w="100" w:type="dxa"/>
              <w:bottom w:w="60" w:type="dxa"/>
              <w:right w:w="100" w:type="dxa"/>
            </w:tcMar>
          </w:tcPr>
          <w:p w14:paraId="3C0DF2DB" w14:textId="77777777" w:rsidR="00830264" w:rsidRDefault="00000000">
            <w:r>
              <w:t>The closest work in spirit, and facilitative rather than evaluative: GPT-4 is used to reformulate messages and draft mediator interventions. It is a research prototype evaluated qualitatively on small samples, not a product, and it has no behavioural model derived from real facilitation at scale. It demonstrates feasibility; FAIRNEGO supplies the evidence base and the deployment pathway it lacks.</w:t>
            </w:r>
          </w:p>
        </w:tc>
      </w:tr>
    </w:tbl>
    <w:p w14:paraId="066BF59F" w14:textId="6A039915" w:rsidR="00061149" w:rsidRDefault="00000000">
      <w:pPr>
        <w:pStyle w:val="NormalWeb"/>
        <w:jc w:val="both"/>
        <w:rPr>
          <w:sz w:val="22"/>
          <w:szCs w:val="22"/>
        </w:rPr>
      </w:pPr>
      <w:r>
        <w:rPr>
          <w:rStyle w:val="Strong"/>
          <w:sz w:val="22"/>
          <w:szCs w:val="22"/>
        </w:rPr>
        <w:t xml:space="preserve">The gap. </w:t>
      </w:r>
      <w:r>
        <w:rPr>
          <w:sz w:val="22"/>
          <w:szCs w:val="22"/>
        </w:rPr>
        <w:t>No existing product offers LLM-based, multi-issue, genuinely facilitative negotiation support deployable in either an online platform or a court pathway. That gap has persisted because the behavioural evidence needed to build one has never existed at scale</w:t>
      </w:r>
      <w:r w:rsidR="0087607E">
        <w:rPr>
          <w:sz w:val="22"/>
          <w:szCs w:val="22"/>
          <w:lang w:val="en-US"/>
        </w:rPr>
        <w:t>,</w:t>
      </w:r>
      <w:r>
        <w:rPr>
          <w:sz w:val="22"/>
          <w:szCs w:val="22"/>
        </w:rPr>
        <w:t xml:space="preserve"> facilitation is confidential and leaves no systematic record. The DRA corpus is what closes it.</w:t>
      </w:r>
    </w:p>
    <w:p w14:paraId="76BA7E0B" w14:textId="77777777" w:rsidR="00061149" w:rsidRDefault="00000000">
      <w:pPr>
        <w:spacing w:before="120" w:after="120"/>
        <w:rPr>
          <w:sz w:val="22"/>
          <w:szCs w:val="22"/>
        </w:rPr>
      </w:pPr>
      <w:r>
        <w:rPr>
          <w:b/>
          <w:bCs/>
          <w:sz w:val="22"/>
          <w:szCs w:val="22"/>
        </w:rPr>
        <w:t>Industrial partner: Justice42 / Uitelkaar.nl</w:t>
      </w:r>
    </w:p>
    <w:p w14:paraId="6B826F6B" w14:textId="62C5D639" w:rsidR="00061149" w:rsidRDefault="00000000">
      <w:pPr>
        <w:pStyle w:val="NormalWeb"/>
        <w:jc w:val="both"/>
        <w:rPr>
          <w:sz w:val="22"/>
          <w:szCs w:val="22"/>
        </w:rPr>
      </w:pPr>
      <w:r>
        <w:rPr>
          <w:sz w:val="22"/>
          <w:szCs w:val="22"/>
        </w:rPr>
        <w:lastRenderedPageBreak/>
        <w:t xml:space="preserve">FAIRNEGO’s evidence base comes from Uitelkaar.nl, operated by the Dutch social enterprise Justice42 — the platform that emerged from Rechtwijzer, </w:t>
      </w:r>
      <w:r w:rsidR="00A84B3B">
        <w:rPr>
          <w:sz w:val="22"/>
          <w:szCs w:val="22"/>
        </w:rPr>
        <w:t xml:space="preserve">one of </w:t>
      </w:r>
      <w:r>
        <w:rPr>
          <w:sz w:val="22"/>
          <w:szCs w:val="22"/>
        </w:rPr>
        <w:t>the most extensively studied online dispute resolution experiment ever undertaken. Rechtwijzer was rebuilt and relaunched in 2017 on sustainable footing and has operated since. The corpus is therefore drawn from a functioning service with real users and real outcomes rather than a research prototype, which gives the behavioural findings an external validity that laboratory data cannot match. The platform’s own history also isolates the variable that matters commercially: what constrained the original was the funding and institutional model, not the technology or party demand.</w:t>
      </w:r>
      <w:r w:rsidR="00A84B3B">
        <w:rPr>
          <w:sz w:val="22"/>
          <w:szCs w:val="22"/>
        </w:rPr>
        <w:t xml:space="preserve"> Furthermore, the prevalence and acceptance of technology in general and of AI specifically, both in the court and dispute resolution context and more generally, have dramatically increased.</w:t>
      </w:r>
    </w:p>
    <w:p w14:paraId="05F94CA4" w14:textId="7D02BFFB" w:rsidR="00061149" w:rsidRDefault="00000000">
      <w:pPr>
        <w:pStyle w:val="NormalWeb"/>
        <w:jc w:val="both"/>
        <w:rPr>
          <w:sz w:val="22"/>
          <w:szCs w:val="22"/>
        </w:rPr>
      </w:pPr>
      <w:r>
        <w:rPr>
          <w:rStyle w:val="Strong"/>
          <w:sz w:val="22"/>
          <w:szCs w:val="22"/>
        </w:rPr>
        <w:t xml:space="preserve">A partner with a stated need. </w:t>
      </w:r>
      <w:r>
        <w:rPr>
          <w:sz w:val="22"/>
          <w:szCs w:val="22"/>
        </w:rPr>
        <w:t>Uitelkaar.nl was architected before large language models and delivers structured guidance rather than adaptive facilitation. Justice42 has expressed interest in collaborating on the evolution of the platform toward LLM-based facilitation [</w:t>
      </w:r>
      <w:r w:rsidRPr="00A84B3B">
        <w:rPr>
          <w:sz w:val="22"/>
          <w:szCs w:val="22"/>
          <w:highlight w:val="yellow"/>
        </w:rPr>
        <w:t xml:space="preserve">confirm </w:t>
      </w:r>
      <w:r w:rsidR="00A84B3B" w:rsidRPr="00A84B3B">
        <w:rPr>
          <w:sz w:val="22"/>
          <w:szCs w:val="22"/>
          <w:highlight w:val="yellow"/>
        </w:rPr>
        <w:t>-</w:t>
      </w:r>
      <w:r w:rsidRPr="00A84B3B">
        <w:rPr>
          <w:sz w:val="22"/>
          <w:szCs w:val="22"/>
          <w:highlight w:val="yellow"/>
        </w:rPr>
        <w:t xml:space="preserve"> letter of support to be obtained</w:t>
      </w:r>
      <w:r>
        <w:rPr>
          <w:sz w:val="22"/>
          <w:szCs w:val="22"/>
        </w:rPr>
        <w:t>]. This is an unusually favourable starting position for a PoC: an established operator with real caseload, an existing data relationship, and an articulated commercial motive to adopt precisely what FAIRNEGO builds. It also converts the principal legal risk</w:t>
      </w:r>
      <w:r w:rsidR="00A84B3B">
        <w:rPr>
          <w:sz w:val="22"/>
          <w:szCs w:val="22"/>
        </w:rPr>
        <w:t xml:space="preserve"> of</w:t>
      </w:r>
      <w:r>
        <w:rPr>
          <w:sz w:val="22"/>
          <w:szCs w:val="22"/>
        </w:rPr>
        <w:t xml:space="preserve"> whether models derived from the corpus may be commercially exploited</w:t>
      </w:r>
      <w:r w:rsidR="00A84B3B">
        <w:rPr>
          <w:sz w:val="22"/>
          <w:szCs w:val="22"/>
        </w:rPr>
        <w:t>,</w:t>
      </w:r>
      <w:r>
        <w:rPr>
          <w:sz w:val="22"/>
          <w:szCs w:val="22"/>
        </w:rPr>
        <w:t xml:space="preserve"> from a licensing obstacle into a joint-development question, and provides the WP6 deployment route described below.</w:t>
      </w:r>
    </w:p>
    <w:p w14:paraId="47FDF14A" w14:textId="77777777" w:rsidR="00061149" w:rsidRDefault="00000000">
      <w:pPr>
        <w:spacing w:before="120" w:after="120"/>
        <w:rPr>
          <w:sz w:val="22"/>
          <w:szCs w:val="22"/>
        </w:rPr>
      </w:pPr>
      <w:r>
        <w:rPr>
          <w:b/>
          <w:bCs/>
          <w:sz w:val="22"/>
          <w:szCs w:val="22"/>
        </w:rPr>
        <w:t>Advisory board, expert consultancy and declared interests</w:t>
      </w:r>
    </w:p>
    <w:p w14:paraId="741E892F" w14:textId="77777777" w:rsidR="00061149" w:rsidRDefault="00000000">
      <w:pPr>
        <w:pStyle w:val="NormalWeb"/>
        <w:jc w:val="both"/>
        <w:rPr>
          <w:sz w:val="22"/>
          <w:szCs w:val="22"/>
        </w:rPr>
      </w:pPr>
      <w:r>
        <w:rPr>
          <w:rStyle w:val="Strong"/>
          <w:sz w:val="22"/>
          <w:szCs w:val="22"/>
        </w:rPr>
        <w:t xml:space="preserve">Advisory board. </w:t>
      </w:r>
      <w:r>
        <w:rPr>
          <w:sz w:val="22"/>
          <w:szCs w:val="22"/>
        </w:rPr>
        <w:t>The four-member advisory board described in Section 1c advises on technical, market and regulatory decisions and covers the three capabilities not held in-house: engineering and security architecture, market and deployment experience, and institutional access.</w:t>
      </w:r>
    </w:p>
    <w:p w14:paraId="5281C017" w14:textId="77777777" w:rsidR="00061149" w:rsidRDefault="00000000">
      <w:pPr>
        <w:pStyle w:val="NormalWeb"/>
        <w:jc w:val="both"/>
        <w:rPr>
          <w:sz w:val="22"/>
          <w:szCs w:val="22"/>
        </w:rPr>
      </w:pPr>
      <w:r>
        <w:rPr>
          <w:rStyle w:val="Strong"/>
          <w:sz w:val="22"/>
          <w:szCs w:val="22"/>
        </w:rPr>
        <w:t xml:space="preserve">Ethics and regulatory consultancy. </w:t>
      </w:r>
      <w:r>
        <w:rPr>
          <w:sz w:val="22"/>
          <w:szCs w:val="22"/>
        </w:rPr>
        <w:t>Adv. Rotem Perelman-Farhi, Ethics Consultant to the ERC DRA project, is retained as a paid consultant rather than a board member, providing continuity with the underlying research and delivering two named outputs in WP1: the AI Act classification opinion described above, and an ethics and data-protection review of the demonstrator and pilot protocols.</w:t>
      </w:r>
    </w:p>
    <w:p w14:paraId="56B32179" w14:textId="77777777" w:rsidR="00061149" w:rsidRDefault="00000000">
      <w:pPr>
        <w:pStyle w:val="NormalWeb"/>
        <w:jc w:val="both"/>
        <w:rPr>
          <w:sz w:val="22"/>
          <w:szCs w:val="22"/>
        </w:rPr>
      </w:pPr>
      <w:r>
        <w:rPr>
          <w:rStyle w:val="Strong"/>
          <w:sz w:val="22"/>
          <w:szCs w:val="22"/>
        </w:rPr>
        <w:t xml:space="preserve">Declared interests. </w:t>
      </w:r>
      <w:r>
        <w:rPr>
          <w:sz w:val="22"/>
          <w:szCs w:val="22"/>
        </w:rPr>
        <w:t>Justice42 participates as an industrial partner rather than as an advisory board member, since it is simultaneously the source of the underlying data and a prospective licensee; this keeps commercial negotiation separate from project advice. Colin Rule’s commercial affiliation with ODR.com will be declared, with recusal from any discussion bearing on licensing terms or channel selection. All board members will be engaged under non-disclosure agreements executed through Carmel and will receive strategic and market material rather than the behavioural specification, which remains restricted to the project team.</w:t>
      </w:r>
    </w:p>
    <w:p w14:paraId="3118071C" w14:textId="77777777" w:rsidR="00061149" w:rsidRDefault="00000000">
      <w:pPr>
        <w:spacing w:before="120" w:after="120"/>
        <w:rPr>
          <w:sz w:val="22"/>
          <w:szCs w:val="22"/>
        </w:rPr>
      </w:pPr>
      <w:r>
        <w:rPr>
          <w:b/>
          <w:bCs/>
          <w:sz w:val="22"/>
          <w:szCs w:val="22"/>
        </w:rPr>
        <w:t>Target customers, business model and market</w:t>
      </w:r>
    </w:p>
    <w:p w14:paraId="01D58316" w14:textId="77777777" w:rsidR="00061149" w:rsidRDefault="00000000">
      <w:pPr>
        <w:pStyle w:val="NormalWeb"/>
        <w:jc w:val="both"/>
        <w:rPr>
          <w:sz w:val="22"/>
          <w:szCs w:val="22"/>
        </w:rPr>
      </w:pPr>
      <w:r>
        <w:rPr>
          <w:rStyle w:val="Strong"/>
          <w:sz w:val="22"/>
          <w:szCs w:val="22"/>
        </w:rPr>
        <w:t xml:space="preserve">Channel 1 — established dispute-resolution platforms (near term). </w:t>
      </w:r>
      <w:r>
        <w:rPr>
          <w:sz w:val="22"/>
          <w:szCs w:val="22"/>
        </w:rPr>
        <w:t>Operators such as Justice42 run live caseloads and face an immediate competitive need to move from scripted guidance to adaptive facilitation. Sales cycles are short, integration is straightforward because the behavioural model was derived from this environment, and a deployment here produces performance evidence in months rather than years. Revenue: development and integration fee plus a per-case licence. This channel is the route to a reference deployment and to first revenue.</w:t>
      </w:r>
    </w:p>
    <w:p w14:paraId="77128229" w14:textId="08D2BD21" w:rsidR="00061149" w:rsidRDefault="00000000">
      <w:pPr>
        <w:pStyle w:val="NormalWeb"/>
        <w:jc w:val="both"/>
        <w:rPr>
          <w:sz w:val="22"/>
          <w:szCs w:val="22"/>
        </w:rPr>
      </w:pPr>
      <w:r>
        <w:rPr>
          <w:rStyle w:val="Strong"/>
          <w:sz w:val="22"/>
          <w:szCs w:val="22"/>
        </w:rPr>
        <w:t xml:space="preserve">Channel 2 — ministries of justice and court administrations (principal market). </w:t>
      </w:r>
      <w:r>
        <w:rPr>
          <w:sz w:val="22"/>
          <w:szCs w:val="22"/>
        </w:rPr>
        <w:t>The larger opportunity, procuring on behalf of court-connected and tribunal-connected settlement programmes. Sales cycles are long and procurement is conservative, which is why a working reference deployment from Channel 1 materially de-risks it. Revenue: annual site licence per system scaled to caseload, plus configuration and integration services, optionally with a per-case fee on high-volume tracks. Beachhead: the Israeli Ministry of Justice, which administers tribunal-based dispute resolution and leads court and tribunal digitisation programmes, with the Courts Administration engaged in parallel. Tribunal and small-claims tracks are the natural first setting: high volume, moderate value, genuinely multi-issue disputes, and in many cases an existing requirement to attempt settlement before proceeding. [</w:t>
      </w:r>
      <w:r>
        <w:rPr>
          <w:sz w:val="22"/>
          <w:szCs w:val="22"/>
          <w:highlight w:val="yellow"/>
        </w:rPr>
        <w:t>Letter of intent to be obtained from the Ministry of Justice</w:t>
      </w:r>
      <w:r>
        <w:rPr>
          <w:sz w:val="22"/>
          <w:szCs w:val="22"/>
        </w:rPr>
        <w:t>.]</w:t>
      </w:r>
    </w:p>
    <w:p w14:paraId="1C184E51" w14:textId="77777777" w:rsidR="00061149" w:rsidRDefault="00000000">
      <w:pPr>
        <w:pStyle w:val="NormalWeb"/>
        <w:jc w:val="both"/>
        <w:rPr>
          <w:sz w:val="22"/>
          <w:szCs w:val="22"/>
        </w:rPr>
      </w:pPr>
      <w:r>
        <w:rPr>
          <w:rStyle w:val="Strong"/>
          <w:sz w:val="22"/>
          <w:szCs w:val="22"/>
        </w:rPr>
        <w:t xml:space="preserve">Channel 3 — court-technology vendors. </w:t>
      </w:r>
      <w:r>
        <w:rPr>
          <w:sz w:val="22"/>
          <w:szCs w:val="22"/>
        </w:rPr>
        <w:t>Licensing the facilitative layer as an embedded module to providers of court ODR infrastructure, who supply the case-flow environment but not the facilitation.</w:t>
      </w:r>
    </w:p>
    <w:p w14:paraId="6B8147B9" w14:textId="77777777" w:rsidR="00061149" w:rsidRDefault="00000000">
      <w:pPr>
        <w:pStyle w:val="NormalWeb"/>
        <w:jc w:val="both"/>
        <w:rPr>
          <w:sz w:val="22"/>
          <w:szCs w:val="22"/>
        </w:rPr>
      </w:pPr>
      <w:r>
        <w:rPr>
          <w:rStyle w:val="Strong"/>
          <w:sz w:val="22"/>
          <w:szCs w:val="22"/>
        </w:rPr>
        <w:lastRenderedPageBreak/>
        <w:t xml:space="preserve">Market size. </w:t>
      </w:r>
      <w:r>
        <w:rPr>
          <w:sz w:val="22"/>
          <w:szCs w:val="22"/>
        </w:rPr>
        <w:t>[Insert CEPEJ figures: incoming civil and commercial litigious cases per year across EU member states, and the share entering court-connected settlement or mediation programmes. Give the addressable slice, not the total caseload.] In Israel, [insert annual civil filings and the proportion subject to preliminary settlement requirements]. For Channel 1, [insert the number of European online divorce and civil settlement platforms of comparable scale].</w:t>
      </w:r>
    </w:p>
    <w:p w14:paraId="59A97D4A" w14:textId="65AD0AA6" w:rsidR="00061149" w:rsidRDefault="00000000">
      <w:pPr>
        <w:pStyle w:val="NormalWeb"/>
        <w:jc w:val="both"/>
        <w:rPr>
          <w:sz w:val="22"/>
          <w:szCs w:val="22"/>
        </w:rPr>
      </w:pPr>
      <w:r>
        <w:rPr>
          <w:rStyle w:val="Strong"/>
          <w:sz w:val="22"/>
          <w:szCs w:val="22"/>
        </w:rPr>
        <w:t xml:space="preserve">Route to first deployment. </w:t>
      </w:r>
      <w:r>
        <w:rPr>
          <w:sz w:val="22"/>
          <w:szCs w:val="22"/>
        </w:rPr>
        <w:t xml:space="preserve">PoC validation and regulatory opinion (WP1, WP3) → IP filings and joint-development agreement with Justice42 (WP4) → supervised deployment on a live platform or court caseload (WP6) → published performance data → EU expansion through CEPEJ and European Judicial Network channels (WP7). A spin-out or licensing decision will be taken at the close of the PoC on the basis of deployment results. Sustainability beyond the project period is provided by the deployment model rather than by continued grant funding: FAIRNEGO is maintained and operated by the licensee </w:t>
      </w:r>
      <w:r w:rsidR="009F37C4">
        <w:rPr>
          <w:sz w:val="22"/>
          <w:szCs w:val="22"/>
        </w:rPr>
        <w:t>(</w:t>
      </w:r>
      <w:r>
        <w:rPr>
          <w:sz w:val="22"/>
          <w:szCs w:val="22"/>
        </w:rPr>
        <w:t>the platform operator or court administration</w:t>
      </w:r>
      <w:r w:rsidR="009F37C4">
        <w:rPr>
          <w:sz w:val="22"/>
          <w:szCs w:val="22"/>
        </w:rPr>
        <w:t>)</w:t>
      </w:r>
      <w:r>
        <w:rPr>
          <w:sz w:val="22"/>
          <w:szCs w:val="22"/>
        </w:rPr>
        <w:t xml:space="preserve"> under a licence that includes configuration, updates and model maintenance, with Carmel holding the underlying rights on behalf of the University. Where further development capital is required before that point, it will be pursued through EIC Transition (for which ERC PoC holders are a recognised pipeline), the Israel Innovation Authority, and Carmel</w:t>
      </w:r>
      <w:r w:rsidR="009F37C4">
        <w:rPr>
          <w:sz w:val="22"/>
          <w:szCs w:val="22"/>
        </w:rPr>
        <w:t>’</w:t>
      </w:r>
      <w:r>
        <w:rPr>
          <w:sz w:val="22"/>
          <w:szCs w:val="22"/>
        </w:rPr>
        <w:t>s investor network.</w:t>
      </w:r>
    </w:p>
    <w:p w14:paraId="6508051C" w14:textId="37E7EF77" w:rsidR="00B7290C" w:rsidRDefault="00000000">
      <w:pPr>
        <w:spacing w:before="120" w:after="120"/>
      </w:pPr>
      <w:r>
        <w:rPr>
          <w:b/>
          <w:bCs/>
          <w:sz w:val="22"/>
          <w:szCs w:val="22"/>
        </w:rPr>
        <w:t xml:space="preserve">1b.iii. Plan of the proof of concept — Description of the Action </w:t>
      </w:r>
    </w:p>
    <w:p w14:paraId="7B384C8E" w14:textId="77777777" w:rsidR="007F2D46" w:rsidRPr="007F2D46" w:rsidRDefault="007F2D46" w:rsidP="007F2D46">
      <w:pPr>
        <w:spacing w:after="200"/>
        <w:jc w:val="both"/>
        <w:rPr>
          <w:sz w:val="22"/>
          <w:szCs w:val="22"/>
        </w:rPr>
      </w:pPr>
      <w:r>
        <w:rPr>
          <w:sz w:val="22"/>
          <w:szCs w:val="22"/>
        </w:rPr>
        <w:t>The PoC is organized around a single development pathway: translating the empirical findings of the ERC DRA project into FAIRNEGO, a functional AI-facilitated negotiation product; validating the mechanisms and design choices on which it relies; establishing its acceptability to intended users, professionals, and institutional adopters; and testing the resulting system in a limited court-connected pilot. The project therefore combines product development, empirical validation, stakeholder co-development, market and adoption analysis, and institutional preparation in an iterative sequence leading to real-world demonstration.</w:t>
      </w:r>
    </w:p>
    <w:p w14:paraId="39DDCB5D" w14:textId="77777777" w:rsidR="007F2D46" w:rsidRPr="007F2D46" w:rsidRDefault="007F2D46" w:rsidP="007F2D46">
      <w:pPr>
        <w:spacing w:after="200"/>
        <w:jc w:val="both"/>
        <w:rPr>
          <w:sz w:val="22"/>
          <w:szCs w:val="22"/>
        </w:rPr>
      </w:pPr>
      <w:r>
        <w:rPr>
          <w:sz w:val="22"/>
          <w:szCs w:val="22"/>
        </w:rPr>
        <w:t>The central technological deliverable is a functional FAIRNEGO prototype (WP2) implementing the facilitative dialogue engine, structural pacing module, intake and escalation workflow, and human-reviewer interface specified in WP1. The prototype will be sufficiently developed for controlled validation and subsequent deployment in a limited, supervised court-connected pilot (WP6). The engineering task is tractable within the PoC because FAIRNEGO does not require development of a new foundation model or predictive technology. Rather, it uses existing conversational AI to perform a novel and tightly specified function: the intricate procedural work of facilitative mediation, operationalized through the mediator-function taxonomy, structural findings, and safeguards derived from the ERC DRA research.</w:t>
      </w:r>
    </w:p>
    <w:p w14:paraId="0CCF784B" w14:textId="77777777" w:rsidR="007F2D46" w:rsidRPr="007F2D46" w:rsidRDefault="007F2D46" w:rsidP="007F2D46">
      <w:pPr>
        <w:spacing w:after="200"/>
        <w:jc w:val="both"/>
        <w:rPr>
          <w:sz w:val="22"/>
          <w:szCs w:val="22"/>
        </w:rPr>
      </w:pPr>
      <w:r>
        <w:rPr>
          <w:sz w:val="22"/>
          <w:szCs w:val="22"/>
        </w:rPr>
        <w:t>Stakeholder involvement is embedded throughout this development pathway rather than reserved for end-stage validation. Judges and court administrators, mediators, lawyers, and potential users will contribute at successive stages of specification, prototype testing, refinement, and pilot deployment. Their input will feed back into product design at defined development gates, ensuring that FAIRNEGO is shaped not only by empirical evidence about effective facilitation but also by the requirements of those expected to use, implement, and oversee it. This approach also provides an important means of mitigating adoption risk: concerns about trust, professional roles, human oversight, workflow, and institutional legitimacy can be identified and addressed through product design rather than discovered only after the system has been built.</w:t>
      </w:r>
    </w:p>
    <w:p w14:paraId="0E468FFE" w14:textId="77777777" w:rsidR="007F2D46" w:rsidRPr="007F2D46" w:rsidRDefault="007F2D46" w:rsidP="007F2D46">
      <w:pPr>
        <w:spacing w:after="200"/>
        <w:jc w:val="both"/>
        <w:rPr>
          <w:sz w:val="22"/>
          <w:szCs w:val="22"/>
        </w:rPr>
      </w:pPr>
      <w:r>
        <w:rPr>
          <w:sz w:val="22"/>
          <w:szCs w:val="22"/>
        </w:rPr>
        <w:t>Development and validation are deliberately iterative. WP3 tests whether the mechanisms identified in the ERC data causally improve negotiation and resolves principal design configurations before deployment. Its findings determine the configuration taken forward for further stakeholder refinement and adoption testing in WP5. In parallel, WP4 establishes the market, procurement, business-model, and IP pathway. The validated and institutionally refined prototype is then deployed in a limited court-connected pilot in WP6, while knowledge transfer and stakeholder engagement run throughout WP7. Regulatory, ethical, and data-governance requirements are addressed from the outset in WP1 and refined as FAIRNEGO progresses toward deployment rather than being left to a later commercialization stage.</w:t>
      </w:r>
    </w:p>
    <w:p w14:paraId="7FB8E540" w14:textId="6DB60795" w:rsidR="00B7290C" w:rsidRPr="000364B6" w:rsidRDefault="007F2D46" w:rsidP="007F2D46">
      <w:pPr>
        <w:spacing w:after="200"/>
        <w:jc w:val="both"/>
        <w:rPr>
          <w:sz w:val="22"/>
          <w:szCs w:val="22"/>
        </w:rPr>
      </w:pPr>
      <w:r>
        <w:rPr>
          <w:sz w:val="22"/>
          <w:szCs w:val="22"/>
        </w:rPr>
        <w:t>FAIRNEGO enters the PoC at TRL 2–3: its underlying facilitative and structural mechanisms have already been formulated and empirically evidenced using real negotiation data but have not yet been integrated into a functional system. The PoC will advance FAIRNEGO to a validated prototype demonstrated in a relevant court-connected environment, generating the technological, empirical, institutional, and commercial evidence required for subsequent product development and scaling. Production-grade court IT integration, security certification, and procurement implementation fall beyond the PoC and will form part of the subsequent commercialization stage.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200"/>
        <w:gridCol w:w="1400"/>
        <w:gridCol w:w="1838"/>
      </w:tblGrid>
      <w:tr w:rsidR="00B7290C" w14:paraId="6312CE53" w14:textId="77777777">
        <w:tc>
          <w:tcPr>
            <w:tcW w:w="2200"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733FBF88" w14:textId="77777777" w:rsidR="00B7290C" w:rsidRDefault="00000000">
            <w:r>
              <w:rPr>
                <w:b/>
                <w:bCs/>
              </w:rPr>
              <w:lastRenderedPageBreak/>
              <w:t>Work Package</w:t>
            </w:r>
          </w:p>
        </w:tc>
        <w:tc>
          <w:tcPr>
            <w:tcW w:w="4200"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6FA3CB33" w14:textId="77777777" w:rsidR="00B7290C" w:rsidRDefault="00000000">
            <w:r>
              <w:rPr>
                <w:b/>
                <w:bCs/>
              </w:rPr>
              <w:t>Key Activities</w:t>
            </w:r>
          </w:p>
        </w:tc>
        <w:tc>
          <w:tcPr>
            <w:tcW w:w="1400"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79B75B09" w14:textId="77777777" w:rsidR="00B7290C" w:rsidRDefault="00000000">
            <w:r>
              <w:rPr>
                <w:b/>
                <w:bCs/>
              </w:rPr>
              <w:t>Timeframe (months)</w:t>
            </w:r>
          </w:p>
        </w:tc>
        <w:tc>
          <w:tcPr>
            <w:tcW w:w="1838"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0A2C5DB0" w14:textId="77777777" w:rsidR="00B7290C" w:rsidRDefault="00000000">
            <w:r>
              <w:rPr>
                <w:b/>
                <w:bCs/>
              </w:rPr>
              <w:t>Milestone</w:t>
            </w:r>
          </w:p>
        </w:tc>
      </w:tr>
      <w:tr w:rsidR="00945D19" w14:paraId="3351C100" w14:textId="77777777">
        <w:tc>
          <w:tcPr>
            <w:tcW w:w="2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3FCFDDD4" w14:textId="613125B8" w:rsidR="00945D19" w:rsidRDefault="007F2D46" w:rsidP="007F2D46">
            <w:r>
              <w:rPr>
                <w:sz w:val="18"/>
                <w:szCs w:val="18"/>
              </w:rPr>
              <w:t>Design specification, stakeholder input, governance, regulatory and ethics groundwork</w:t>
            </w:r>
          </w:p>
        </w:tc>
        <w:tc>
          <w:tcPr>
            <w:tcW w:w="4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47DF5F1" w14:textId="6D8BF4FF" w:rsidR="00945D19" w:rsidRDefault="007F2D46" w:rsidP="007F2D46">
            <w:r>
              <w:rPr>
                <w:sz w:val="18"/>
                <w:szCs w:val="18"/>
              </w:rPr>
              <w:t>Translate the mediator-function taxonomy and DRA structural findings into a formal intervention architecture; consult mediators, lawyers, judges and potential users on workflow, acceptable boundaries of AI intervention and oversight expectations; specify intake, escalation and final review; map regulatory, data-protection, confidentiality and professional-regulation requirements; obtain ethics/IRB clearance.</w:t>
            </w:r>
          </w:p>
        </w:tc>
        <w:tc>
          <w:tcPr>
            <w:tcW w:w="14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F50F5EC" w14:textId="77777777" w:rsidR="00945D19" w:rsidRDefault="00000000">
            <w:r>
              <w:rPr>
                <w:sz w:val="18"/>
                <w:szCs w:val="18"/>
              </w:rPr>
              <w:t>M1–4</w:t>
            </w:r>
          </w:p>
        </w:tc>
        <w:tc>
          <w:tcPr>
            <w:tcW w:w="1838"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FF70A45" w14:textId="0596859B" w:rsidR="00945D19" w:rsidRDefault="0016180B" w:rsidP="0016180B">
            <w:r>
              <w:rPr>
                <w:b/>
                <w:bCs/>
                <w:sz w:val="18"/>
                <w:szCs w:val="18"/>
              </w:rPr>
              <w:t>D1.1</w:t>
            </w:r>
            <w:r>
              <w:rPr>
                <w:sz w:val="18"/>
                <w:szCs w:val="18"/>
              </w:rPr>
              <w:t xml:space="preserve"> Product design specification (M3); </w:t>
            </w:r>
            <w:r>
              <w:rPr>
                <w:b/>
                <w:bCs/>
                <w:sz w:val="18"/>
                <w:szCs w:val="18"/>
              </w:rPr>
              <w:t>D1.2</w:t>
            </w:r>
            <w:r>
              <w:rPr>
                <w:sz w:val="18"/>
                <w:szCs w:val="18"/>
              </w:rPr>
              <w:t xml:space="preserve"> Regulatory and compliance roadmap (M4); </w:t>
            </w:r>
            <w:r>
              <w:rPr>
                <w:b/>
                <w:bCs/>
                <w:sz w:val="18"/>
                <w:szCs w:val="18"/>
              </w:rPr>
              <w:t>M1.1</w:t>
            </w:r>
            <w:r>
              <w:rPr>
                <w:sz w:val="18"/>
                <w:szCs w:val="18"/>
              </w:rPr>
              <w:t xml:space="preserve"> Ethics clearance obtained (M4)</w:t>
            </w:r>
          </w:p>
        </w:tc>
      </w:tr>
      <w:tr w:rsidR="00945D19" w14:paraId="2138FF05" w14:textId="77777777">
        <w:tc>
          <w:tcPr>
            <w:tcW w:w="2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6265DEDC" w14:textId="0A8133F6" w:rsidR="00945D19" w:rsidRDefault="0016180B" w:rsidP="0016180B">
            <w:r>
              <w:rPr>
                <w:sz w:val="18"/>
                <w:szCs w:val="18"/>
              </w:rPr>
              <w:t>WP2: FAIRNEGO prototype development</w:t>
            </w:r>
          </w:p>
        </w:tc>
        <w:tc>
          <w:tcPr>
            <w:tcW w:w="4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79239129" w14:textId="43F1ADBA" w:rsidR="00945D19" w:rsidRDefault="0016180B" w:rsidP="007F2D46">
            <w:r>
              <w:rPr>
                <w:sz w:val="18"/>
                <w:szCs w:val="18"/>
              </w:rPr>
              <w:t>Implement the facilitative dialogue engine, structural pacing module, escalation logic and case-manager/reviewer workflow by orchestrating existing conversational AI within the WP1 architecture. Early versions undergo walkthroughs and usability testing with intended users and professionals, feeding successive iterations.</w:t>
            </w:r>
          </w:p>
        </w:tc>
        <w:tc>
          <w:tcPr>
            <w:tcW w:w="14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6484B9AB" w14:textId="77777777" w:rsidR="00945D19" w:rsidRDefault="00000000">
            <w:r>
              <w:rPr>
                <w:sz w:val="18"/>
                <w:szCs w:val="18"/>
              </w:rPr>
              <w:t>M2–8</w:t>
            </w:r>
          </w:p>
        </w:tc>
        <w:tc>
          <w:tcPr>
            <w:tcW w:w="1838"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52D3C4FD" w14:textId="4723F69A" w:rsidR="00945D19" w:rsidRDefault="0016180B" w:rsidP="0016180B">
            <w:r>
              <w:rPr>
                <w:b/>
                <w:bCs/>
                <w:sz w:val="18"/>
                <w:szCs w:val="18"/>
              </w:rPr>
              <w:t>D2.1</w:t>
            </w:r>
            <w:r>
              <w:rPr>
                <w:sz w:val="18"/>
                <w:szCs w:val="18"/>
              </w:rPr>
              <w:t xml:space="preserve"> Functional FAIRNEGO prototype (M8); </w:t>
            </w:r>
            <w:r>
              <w:rPr>
                <w:b/>
                <w:bCs/>
                <w:sz w:val="18"/>
                <w:szCs w:val="18"/>
              </w:rPr>
              <w:t>M2.1</w:t>
            </w:r>
            <w:r>
              <w:rPr>
                <w:sz w:val="18"/>
                <w:szCs w:val="18"/>
              </w:rPr>
              <w:t xml:space="preserve"> Internal end-to-end test passed (M7)</w:t>
            </w:r>
          </w:p>
        </w:tc>
      </w:tr>
      <w:tr w:rsidR="00945D19" w14:paraId="0849ABAF" w14:textId="77777777">
        <w:tc>
          <w:tcPr>
            <w:tcW w:w="2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29C25E1" w14:textId="5C9D1BBF" w:rsidR="00945D19" w:rsidRDefault="0016180B" w:rsidP="0016180B">
            <w:r>
              <w:rPr>
                <w:sz w:val="18"/>
                <w:szCs w:val="18"/>
              </w:rPr>
              <w:t>WP3: Mechanism and design validation</w:t>
            </w:r>
          </w:p>
        </w:tc>
        <w:tc>
          <w:tcPr>
            <w:tcW w:w="4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5B65F204" w14:textId="7A6E8FF7" w:rsidR="00945D19" w:rsidRDefault="0016180B" w:rsidP="0016180B">
            <w:r>
              <w:rPr>
                <w:sz w:val="18"/>
                <w:szCs w:val="18"/>
              </w:rPr>
              <w:t>Controlled online negotiation-simulation experiments testing whether FAIRNEGO</w:t>
            </w:r>
            <w:r w:rsidR="0087607E">
              <w:rPr>
                <w:sz w:val="18"/>
                <w:szCs w:val="18"/>
              </w:rPr>
              <w:t>’</w:t>
            </w:r>
            <w:r>
              <w:rPr>
                <w:sz w:val="18"/>
                <w:szCs w:val="18"/>
              </w:rPr>
              <w:t>s structural and facilitative mechanisms causally improve negotiation, distinguishing active AI facilitation from the online environment itself and benchmarking where feasible against human-facilitated negotiation. Resolve key product configurations: structural pacing, facilitative versus evaluative register, human bookends, and joint versus caucus interaction.</w:t>
            </w:r>
          </w:p>
        </w:tc>
        <w:tc>
          <w:tcPr>
            <w:tcW w:w="14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71027604" w14:textId="77777777" w:rsidR="00945D19" w:rsidRDefault="00000000">
            <w:r>
              <w:rPr>
                <w:sz w:val="18"/>
                <w:szCs w:val="18"/>
              </w:rPr>
              <w:t>M4–11</w:t>
            </w:r>
          </w:p>
        </w:tc>
        <w:tc>
          <w:tcPr>
            <w:tcW w:w="1838"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6766D3F" w14:textId="5A8D4453" w:rsidR="00945D19" w:rsidRDefault="0016180B" w:rsidP="0016180B">
            <w:r>
              <w:rPr>
                <w:b/>
                <w:bCs/>
                <w:sz w:val="18"/>
                <w:szCs w:val="18"/>
              </w:rPr>
              <w:t>D3.1</w:t>
            </w:r>
            <w:r>
              <w:rPr>
                <w:sz w:val="18"/>
                <w:szCs w:val="18"/>
              </w:rPr>
              <w:t xml:space="preserve"> Validation report and product-configuration decision (M11); </w:t>
            </w:r>
            <w:r>
              <w:rPr>
                <w:b/>
                <w:bCs/>
                <w:sz w:val="18"/>
                <w:szCs w:val="18"/>
              </w:rPr>
              <w:t>M3.1</w:t>
            </w:r>
            <w:r>
              <w:rPr>
                <w:sz w:val="18"/>
                <w:szCs w:val="18"/>
              </w:rPr>
              <w:t xml:space="preserve"> Core mechanism(s) established or rejected (M9)</w:t>
            </w:r>
          </w:p>
        </w:tc>
      </w:tr>
      <w:tr w:rsidR="00945D19" w14:paraId="44A0E22F" w14:textId="77777777">
        <w:tc>
          <w:tcPr>
            <w:tcW w:w="2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D4C08FB" w14:textId="3BCD97EE" w:rsidR="00945D19" w:rsidRDefault="0016180B" w:rsidP="0016180B">
            <w:r>
              <w:rPr>
                <w:sz w:val="18"/>
                <w:szCs w:val="18"/>
              </w:rPr>
              <w:t>WP4: Market analysis, business model and IP strategy</w:t>
            </w:r>
          </w:p>
        </w:tc>
        <w:tc>
          <w:tcPr>
            <w:tcW w:w="4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390145B3" w14:textId="5CA0FA46" w:rsidR="00945D19" w:rsidRDefault="0016180B" w:rsidP="0016180B">
            <w:r>
              <w:rPr>
                <w:sz w:val="18"/>
                <w:szCs w:val="18"/>
              </w:rPr>
              <w:t>Size the addressable caseload and current expenditure; assess cost and scalability against human facilitation; define and cost the three routes to market (platforms; ministries and courts; court-technology vendors); map procurement pathways; maintain the competitive scan; conduct the freedom-to-operate review and IP strategy with Carmel; prepare licensing and joint-development term sheets.</w:t>
            </w:r>
          </w:p>
        </w:tc>
        <w:tc>
          <w:tcPr>
            <w:tcW w:w="14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0DBA691" w14:textId="77777777" w:rsidR="00945D19" w:rsidRDefault="00000000">
            <w:r>
              <w:rPr>
                <w:sz w:val="18"/>
                <w:szCs w:val="18"/>
              </w:rPr>
              <w:t>M1–18</w:t>
            </w:r>
          </w:p>
        </w:tc>
        <w:tc>
          <w:tcPr>
            <w:tcW w:w="1838"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591C78B" w14:textId="58E91F2F" w:rsidR="00945D19" w:rsidRDefault="0016180B" w:rsidP="0016180B">
            <w:r>
              <w:rPr>
                <w:b/>
                <w:bCs/>
                <w:sz w:val="18"/>
                <w:szCs w:val="18"/>
              </w:rPr>
              <w:t>D4.1</w:t>
            </w:r>
            <w:r>
              <w:rPr>
                <w:sz w:val="18"/>
                <w:szCs w:val="18"/>
              </w:rPr>
              <w:t xml:space="preserve"> Market and business-model report (M9); </w:t>
            </w:r>
            <w:r>
              <w:rPr>
                <w:b/>
                <w:bCs/>
                <w:sz w:val="18"/>
                <w:szCs w:val="18"/>
              </w:rPr>
              <w:t>D4.2</w:t>
            </w:r>
            <w:r>
              <w:rPr>
                <w:sz w:val="18"/>
                <w:szCs w:val="18"/>
              </w:rPr>
              <w:t xml:space="preserve"> IP and freedom-to-operate strategy (M12); </w:t>
            </w:r>
            <w:r>
              <w:rPr>
                <w:b/>
                <w:bCs/>
                <w:sz w:val="18"/>
                <w:szCs w:val="18"/>
              </w:rPr>
              <w:t>M4.1</w:t>
            </w:r>
            <w:r>
              <w:rPr>
                <w:sz w:val="18"/>
                <w:szCs w:val="18"/>
              </w:rPr>
              <w:t xml:space="preserve"> Licensing route selected (M16)</w:t>
            </w:r>
          </w:p>
        </w:tc>
      </w:tr>
      <w:tr w:rsidR="00945D19" w14:paraId="439A7AC6" w14:textId="77777777">
        <w:tc>
          <w:tcPr>
            <w:tcW w:w="2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6B11FD60" w14:textId="6E0113E8" w:rsidR="00945D19" w:rsidRDefault="007F2D46" w:rsidP="007F2D46">
            <w:r>
              <w:rPr>
                <w:sz w:val="18"/>
                <w:szCs w:val="18"/>
              </w:rPr>
              <w:t>WP5: Stakeholder refinement and adoption readiness</w:t>
            </w:r>
          </w:p>
        </w:tc>
        <w:tc>
          <w:tcPr>
            <w:tcW w:w="4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C323B5F" w14:textId="029D2BCD" w:rsidR="00945D19" w:rsidRDefault="007F2D46" w:rsidP="007F2D46">
            <w:r>
              <w:rPr>
                <w:sz w:val="18"/>
                <w:szCs w:val="18"/>
              </w:rPr>
              <w:t>Structured testing of the prototype with court administrators, judges, lawyers, mediators and past users, as a final co-development cycle and an adoption-readiness assessment: willingness to use, refer or procure; legitimacy, fairness and trust; displacement concerns; liability and oversight expectations. Findings translate into documented product and governance changes before WP6.</w:t>
            </w:r>
          </w:p>
        </w:tc>
        <w:tc>
          <w:tcPr>
            <w:tcW w:w="14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1E1C69C8" w14:textId="77777777" w:rsidR="00945D19" w:rsidRDefault="00000000">
            <w:r>
              <w:rPr>
                <w:sz w:val="18"/>
                <w:szCs w:val="18"/>
              </w:rPr>
              <w:t>M6–12</w:t>
            </w:r>
          </w:p>
        </w:tc>
        <w:tc>
          <w:tcPr>
            <w:tcW w:w="1838"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312CEF6" w14:textId="49DC5579" w:rsidR="00945D19" w:rsidRDefault="0016180B" w:rsidP="0016180B">
            <w:r>
              <w:rPr>
                <w:b/>
                <w:bCs/>
                <w:sz w:val="18"/>
                <w:szCs w:val="18"/>
              </w:rPr>
              <w:t>D5.1</w:t>
            </w:r>
            <w:r>
              <w:rPr>
                <w:sz w:val="18"/>
                <w:szCs w:val="18"/>
              </w:rPr>
              <w:t xml:space="preserve"> Adoption-readiness and barriers report (M12); </w:t>
            </w:r>
            <w:r>
              <w:rPr>
                <w:b/>
                <w:bCs/>
                <w:sz w:val="18"/>
                <w:szCs w:val="18"/>
              </w:rPr>
              <w:t>M5.1</w:t>
            </w:r>
            <w:r>
              <w:rPr>
                <w:sz w:val="18"/>
                <w:szCs w:val="18"/>
              </w:rPr>
              <w:t xml:space="preserve"> Partner commitment to pilot confirmed (M10)</w:t>
            </w:r>
          </w:p>
        </w:tc>
      </w:tr>
      <w:tr w:rsidR="00945D19" w14:paraId="4FE55016" w14:textId="77777777">
        <w:tc>
          <w:tcPr>
            <w:tcW w:w="2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1864DBBE" w14:textId="3A7E6CEE" w:rsidR="00945D19" w:rsidRDefault="0016180B" w:rsidP="0016180B">
            <w:r>
              <w:rPr>
                <w:sz w:val="18"/>
                <w:szCs w:val="18"/>
              </w:rPr>
              <w:t>WP6: Limited supervised demonstration pilot (platform or court)</w:t>
            </w:r>
          </w:p>
        </w:tc>
        <w:tc>
          <w:tcPr>
            <w:tcW w:w="4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704ECB62" w14:textId="1929A4FF" w:rsidR="00945D19" w:rsidRDefault="0016180B" w:rsidP="0016180B">
            <w:r>
              <w:t>Supervised pilot in a partner programme identified with the Ministry of Justice — a tribunal- or court-connected settlement process, venue selected jointly on caseload and readiness. Alternatively, or as a preceding step, on the live caseload of the Justice42/Uitelkaar platform. Evidence collected on performance, uptake, user experience, procedural fairness, escalation and workflow under real conditions.</w:t>
            </w:r>
          </w:p>
        </w:tc>
        <w:tc>
          <w:tcPr>
            <w:tcW w:w="14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19DD53C2" w14:textId="77777777" w:rsidR="00945D19" w:rsidRDefault="00000000">
            <w:r>
              <w:rPr>
                <w:sz w:val="18"/>
                <w:szCs w:val="18"/>
              </w:rPr>
              <w:t>M10–16</w:t>
            </w:r>
          </w:p>
        </w:tc>
        <w:tc>
          <w:tcPr>
            <w:tcW w:w="1838"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5AE2F531" w14:textId="61D70366" w:rsidR="00945D19" w:rsidRDefault="0016180B" w:rsidP="0016180B">
            <w:r>
              <w:rPr>
                <w:b/>
                <w:bCs/>
                <w:sz w:val="18"/>
                <w:szCs w:val="18"/>
              </w:rPr>
              <w:t>D6.1</w:t>
            </w:r>
            <w:r>
              <w:rPr>
                <w:sz w:val="18"/>
                <w:szCs w:val="18"/>
              </w:rPr>
              <w:t xml:space="preserve"> Pilot report with operational evidence (M16); </w:t>
            </w:r>
            <w:r>
              <w:rPr>
                <w:b/>
                <w:bCs/>
                <w:sz w:val="18"/>
                <w:szCs w:val="18"/>
              </w:rPr>
              <w:t>M6.1</w:t>
            </w:r>
            <w:r>
              <w:rPr>
                <w:sz w:val="18"/>
                <w:szCs w:val="18"/>
              </w:rPr>
              <w:t xml:space="preserve"> First live FAIRNEGO-facilitated negotiation completed (M12)</w:t>
            </w:r>
          </w:p>
        </w:tc>
      </w:tr>
      <w:tr w:rsidR="00945D19" w14:paraId="5A30FD10" w14:textId="77777777">
        <w:tc>
          <w:tcPr>
            <w:tcW w:w="2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B3E3C6D" w14:textId="5F92FBFA" w:rsidR="00945D19" w:rsidRDefault="0016180B" w:rsidP="0016180B">
            <w:r>
              <w:rPr>
                <w:sz w:val="18"/>
                <w:szCs w:val="18"/>
              </w:rPr>
              <w:t>WP7: Knowledge transfer, stakeholder engagement and exploitation</w:t>
            </w:r>
          </w:p>
        </w:tc>
        <w:tc>
          <w:tcPr>
            <w:tcW w:w="42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DA0F2AC" w14:textId="663D39C6" w:rsidR="00945D19" w:rsidRDefault="0016180B" w:rsidP="0016180B">
            <w:r>
              <w:t>Engagement with the Ministry of Justice, court and tribunal administrations and professional stakeholders; IP management with Carmel; convening the advisory board; securing letters of intent; synthesis of validation, market and pilot evidence into the route to further development, funding and licensing; and definition of the post-project maintenance model and follow-on funding route.</w:t>
            </w:r>
          </w:p>
        </w:tc>
        <w:tc>
          <w:tcPr>
            <w:tcW w:w="1400"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728A787D" w14:textId="77777777" w:rsidR="00945D19" w:rsidRDefault="00000000">
            <w:r>
              <w:rPr>
                <w:sz w:val="18"/>
                <w:szCs w:val="18"/>
              </w:rPr>
              <w:t>M1–18</w:t>
            </w:r>
          </w:p>
        </w:tc>
        <w:tc>
          <w:tcPr>
            <w:tcW w:w="1838"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53D429B" w14:textId="4650810C" w:rsidR="00945D19" w:rsidRDefault="0016180B" w:rsidP="0016180B">
            <w:r>
              <w:rPr>
                <w:b/>
                <w:bCs/>
                <w:sz w:val="18"/>
                <w:szCs w:val="18"/>
              </w:rPr>
              <w:t>D7.1</w:t>
            </w:r>
            <w:r>
              <w:rPr>
                <w:sz w:val="18"/>
                <w:szCs w:val="18"/>
              </w:rPr>
              <w:t xml:space="preserve"> Exploitation and adoption plan (M18); </w:t>
            </w:r>
            <w:r>
              <w:rPr>
                <w:b/>
                <w:bCs/>
                <w:sz w:val="18"/>
                <w:szCs w:val="18"/>
              </w:rPr>
              <w:t>M7.1</w:t>
            </w:r>
            <w:r>
              <w:rPr>
                <w:sz w:val="18"/>
                <w:szCs w:val="18"/>
              </w:rPr>
              <w:t xml:space="preserve"> Letter of intent, pilot-continuation commitment, or licence term sheet with a public partner (M18)</w:t>
            </w:r>
          </w:p>
        </w:tc>
      </w:tr>
    </w:tbl>
    <w:p w14:paraId="365FB316" w14:textId="77777777" w:rsidR="00B7290C" w:rsidRDefault="00000000">
      <w:pPr>
        <w:spacing w:before="120" w:after="120"/>
      </w:pPr>
      <w:r>
        <w:rPr>
          <w:b/>
          <w:bCs/>
          <w:sz w:val="22"/>
          <w:szCs w:val="22"/>
        </w:rPr>
        <w:t>Description of the resources</w:t>
      </w:r>
    </w:p>
    <w:p w14:paraId="10662F75" w14:textId="77777777" w:rsidR="00B7290C" w:rsidRDefault="00000000">
      <w:pPr>
        <w:spacing w:after="200"/>
        <w:jc w:val="both"/>
      </w:pPr>
      <w:r>
        <w:rPr>
          <w:sz w:val="22"/>
          <w:szCs w:val="22"/>
        </w:rPr>
        <w:t>Consistent with the lump-sum nature of this grant, no cost figures are presented; resources are described narratively by type and estimated effort, as required.</w:t>
      </w:r>
    </w:p>
    <w:p w14:paraId="3B375486" w14:textId="77777777" w:rsidR="00B7290C" w:rsidRDefault="00000000">
      <w:pPr>
        <w:pStyle w:val="ListParagraph"/>
        <w:numPr>
          <w:ilvl w:val="0"/>
          <w:numId w:val="2"/>
        </w:numPr>
        <w:spacing w:after="140"/>
        <w:jc w:val="both"/>
      </w:pPr>
      <w:r>
        <w:rPr>
          <w:b/>
          <w:bCs/>
          <w:sz w:val="22"/>
          <w:szCs w:val="22"/>
        </w:rPr>
        <w:lastRenderedPageBreak/>
        <w:t xml:space="preserve">Personnel. </w:t>
      </w:r>
      <w:r>
        <w:rPr>
          <w:sz w:val="22"/>
          <w:szCs w:val="22"/>
        </w:rPr>
        <w:t>Principal Investigator: an estimated 3–4 person-months across the full 18 months, concentrated in WP1, WP6, and WP7. Data/experimental methodologist: an estimated 9–10 person-months, leading WP3 and WP4. Mediation and dispute-resolution domain expert: an estimated 6–8 person-months, leading WP1 and supporting WP5. Software developer: an estimated 6 person-months (employed or subcontracted), building the WP2 prototype. Knowledge-transfer/business-development liaison: an estimated 2–3 person-months, supporting WP7 together with Carmel. Project administrator: an estimated 8–9 person-months, part-time across all work packages, covering recruitment, ethics submissions, and coordination.</w:t>
      </w:r>
    </w:p>
    <w:p w14:paraId="54B27B49" w14:textId="77777777" w:rsidR="00B7290C" w:rsidRDefault="00000000">
      <w:pPr>
        <w:pStyle w:val="ListParagraph"/>
        <w:numPr>
          <w:ilvl w:val="0"/>
          <w:numId w:val="2"/>
        </w:numPr>
        <w:spacing w:after="140"/>
      </w:pPr>
      <w:r>
        <w:rPr>
          <w:i/>
          <w:iCs/>
          <w:color w:val="8A8A8A"/>
          <w:sz w:val="22"/>
          <w:szCs w:val="22"/>
        </w:rPr>
        <w:t>[NEED FROM ORNA: Confirm or adjust the proposed person-month estimates above once the team is finalized.]</w:t>
      </w:r>
    </w:p>
    <w:p w14:paraId="5E307ADB" w14:textId="77777777" w:rsidR="00B7290C" w:rsidRDefault="00000000">
      <w:pPr>
        <w:pStyle w:val="ListParagraph"/>
        <w:numPr>
          <w:ilvl w:val="0"/>
          <w:numId w:val="2"/>
        </w:numPr>
        <w:spacing w:after="140"/>
        <w:jc w:val="both"/>
      </w:pPr>
      <w:r>
        <w:rPr>
          <w:b/>
          <w:bCs/>
          <w:sz w:val="22"/>
          <w:szCs w:val="22"/>
        </w:rPr>
        <w:t xml:space="preserve">Mediation Clinic and Law and Technology Clinic. </w:t>
      </w:r>
      <w:r>
        <w:rPr>
          <w:sz w:val="22"/>
          <w:szCs w:val="22"/>
        </w:rPr>
        <w:t>Supervised clinic-student participation, coordinated by the domain expert (Mediation Clinic; WP1, WP5) and the knowledge-transfer liaison (Law and Technology Clinic; WP2, WP7), engaged either as an in-kind contribution of supervised coursework or as a small stipend/part-time RA appointment through the University for hours specifically devoted to PoC tasks. Because both clinics are units of the Host Institution, this participation is internal personnel rather than third-party or subcontracted involvement.</w:t>
      </w:r>
    </w:p>
    <w:p w14:paraId="04E60D83" w14:textId="77777777" w:rsidR="00B7290C" w:rsidRDefault="00000000">
      <w:pPr>
        <w:pStyle w:val="ListParagraph"/>
        <w:numPr>
          <w:ilvl w:val="0"/>
          <w:numId w:val="2"/>
        </w:numPr>
        <w:spacing w:after="140"/>
      </w:pPr>
      <w:r>
        <w:rPr>
          <w:i/>
          <w:iCs/>
          <w:color w:val="8A8A8A"/>
          <w:sz w:val="22"/>
          <w:szCs w:val="22"/>
        </w:rPr>
        <w:t>[NEED FROM ORNA: Confirm with the University of Haifa research office whether clinic-student involvement will be structured as in-kind coursework, a stipend, or a part-time RA appointment, and the applicable person-month or cost implications.]</w:t>
      </w:r>
    </w:p>
    <w:p w14:paraId="08A107ED" w14:textId="77777777" w:rsidR="00B7290C" w:rsidRDefault="00000000">
      <w:pPr>
        <w:pStyle w:val="ListParagraph"/>
        <w:numPr>
          <w:ilvl w:val="0"/>
          <w:numId w:val="2"/>
        </w:numPr>
        <w:spacing w:after="140"/>
        <w:jc w:val="both"/>
      </w:pPr>
      <w:r>
        <w:rPr>
          <w:b/>
          <w:bCs/>
          <w:sz w:val="22"/>
          <w:szCs w:val="22"/>
        </w:rPr>
        <w:t xml:space="preserve">Equipment and consumables. </w:t>
      </w:r>
      <w:r>
        <w:rPr>
          <w:sz w:val="22"/>
          <w:szCs w:val="22"/>
        </w:rPr>
        <w:t>Computing and API/model-access resources for WP2 prototype development and the WP3 experimental study; participant recruitment and survey-panel access for WP3–WP5.</w:t>
      </w:r>
    </w:p>
    <w:p w14:paraId="24B9BE74" w14:textId="77777777" w:rsidR="00B7290C" w:rsidRDefault="00000000">
      <w:pPr>
        <w:pStyle w:val="ListParagraph"/>
        <w:numPr>
          <w:ilvl w:val="0"/>
          <w:numId w:val="2"/>
        </w:numPr>
        <w:spacing w:after="140"/>
        <w:jc w:val="both"/>
      </w:pPr>
      <w:r>
        <w:rPr>
          <w:b/>
          <w:bCs/>
          <w:sz w:val="22"/>
          <w:szCs w:val="22"/>
        </w:rPr>
        <w:t xml:space="preserve">Subcontracting. </w:t>
      </w:r>
      <w:r>
        <w:rPr>
          <w:sz w:val="22"/>
          <w:szCs w:val="22"/>
        </w:rPr>
        <w:t>Software development (WP2) may be subcontracted rather than staffed directly, consistent with the approach taken in comparable prior PoC projects in this field; any subcontract will comply with the requirements of best value for money and no conflict of interest.</w:t>
      </w:r>
    </w:p>
    <w:p w14:paraId="04CC3A31" w14:textId="217791EA" w:rsidR="00B7290C" w:rsidRDefault="00000000">
      <w:pPr>
        <w:pStyle w:val="ListParagraph"/>
        <w:numPr>
          <w:ilvl w:val="0"/>
          <w:numId w:val="2"/>
        </w:numPr>
        <w:spacing w:after="140"/>
        <w:jc w:val="both"/>
      </w:pPr>
      <w:r>
        <w:rPr>
          <w:b/>
          <w:bCs/>
          <w:sz w:val="22"/>
          <w:szCs w:val="22"/>
        </w:rPr>
        <w:t xml:space="preserve">Staff travel. </w:t>
      </w:r>
      <w:r>
        <w:rPr>
          <w:sz w:val="22"/>
          <w:szCs w:val="22"/>
        </w:rPr>
        <w:t>Meetings with the Ministry of Justice and court/tribunal partners, and with the Justice42/Uitelkaar technical partner in the Netherlands (WP6, WP7), and dissemination at relevant academic or policy venues.</w:t>
      </w:r>
    </w:p>
    <w:p w14:paraId="29E1194F" w14:textId="77777777" w:rsidR="00B7290C" w:rsidRDefault="00000000">
      <w:pPr>
        <w:pStyle w:val="ListParagraph"/>
        <w:numPr>
          <w:ilvl w:val="0"/>
          <w:numId w:val="2"/>
        </w:numPr>
        <w:spacing w:after="140"/>
        <w:jc w:val="both"/>
      </w:pPr>
      <w:r>
        <w:rPr>
          <w:b/>
          <w:bCs/>
          <w:sz w:val="22"/>
          <w:szCs w:val="22"/>
        </w:rPr>
        <w:t xml:space="preserve">Open access and indirect costs. </w:t>
      </w:r>
      <w:r>
        <w:rPr>
          <w:sz w:val="22"/>
          <w:szCs w:val="22"/>
        </w:rPr>
        <w:t>Open-access publishing costs for any resulting peer-reviewed output are covered by the lump sum, as required; indirect costs are covered as part of the lump-sum design and are not separately itemised.</w:t>
      </w:r>
    </w:p>
    <w:p w14:paraId="6D8AC41C" w14:textId="77777777" w:rsidR="00945D19" w:rsidRDefault="00000000">
      <w:pPr>
        <w:spacing w:before="120" w:after="120"/>
      </w:pPr>
      <w:r>
        <w:rPr>
          <w:b/>
          <w:bCs/>
          <w:sz w:val="22"/>
          <w:szCs w:val="22"/>
        </w:rPr>
        <w:t>Section 1c: Principal Investigator — strategic lead and project management</w:t>
      </w:r>
    </w:p>
    <w:p w14:paraId="3B94A552" w14:textId="77777777" w:rsidR="00B7290C" w:rsidRDefault="00000000">
      <w:pPr>
        <w:spacing w:before="120" w:after="120"/>
      </w:pPr>
      <w:r>
        <w:rPr>
          <w:b/>
          <w:bCs/>
          <w:sz w:val="22"/>
          <w:szCs w:val="22"/>
        </w:rPr>
        <w:t>Description of the team (including the PI)</w:t>
      </w:r>
    </w:p>
    <w:p w14:paraId="5097086A" w14:textId="1972FFD0" w:rsidR="00B7290C" w:rsidRDefault="00000000">
      <w:pPr>
        <w:pStyle w:val="ListParagraph"/>
        <w:numPr>
          <w:ilvl w:val="0"/>
          <w:numId w:val="2"/>
        </w:numPr>
        <w:spacing w:after="140"/>
        <w:jc w:val="both"/>
      </w:pPr>
      <w:r>
        <w:rPr>
          <w:b/>
          <w:bCs/>
          <w:sz w:val="22"/>
          <w:szCs w:val="22"/>
        </w:rPr>
        <w:t xml:space="preserve">Principal Investigator: </w:t>
      </w:r>
      <w:r>
        <w:rPr>
          <w:sz w:val="22"/>
          <w:szCs w:val="22"/>
        </w:rPr>
        <w:t>Prof. Orna Rabinovich-Einy, Faculty of Law, University of Haifa, is the Principal Investigator of the ERC Consolidator project DRA, from which this idea is drawn, and has published extensively on online dispute resolution, procedural justice, and dispute system design, including the empirical studies underlying FAIRNEGO</w:t>
      </w:r>
      <w:r w:rsidR="0087607E">
        <w:rPr>
          <w:sz w:val="22"/>
          <w:szCs w:val="22"/>
        </w:rPr>
        <w:t>’</w:t>
      </w:r>
      <w:r>
        <w:rPr>
          <w:sz w:val="22"/>
          <w:szCs w:val="22"/>
        </w:rPr>
        <w:t>s structural and facilitative layers. She previously served on the advisory board of a comparable ERC PoC project in the dispute-resolution field (MultiDoor, Bar-Ilan University), giving her direct exposure to the design and management of a PoC in this same domain.</w:t>
      </w:r>
    </w:p>
    <w:p w14:paraId="39B4902D" w14:textId="641C77E7" w:rsidR="00B7290C" w:rsidRDefault="007B5806">
      <w:pPr>
        <w:pStyle w:val="ListParagraph"/>
        <w:numPr>
          <w:ilvl w:val="0"/>
          <w:numId w:val="2"/>
        </w:numPr>
        <w:spacing w:after="140"/>
      </w:pPr>
      <w:r>
        <w:rPr>
          <w:i/>
          <w:iCs/>
          <w:color w:val="8A8A8A"/>
          <w:sz w:val="22"/>
          <w:szCs w:val="22"/>
        </w:rPr>
        <w:t>[Name and describe, in one line each: Data/Experimental Methodologist (WP3–WP4, ideally a current DRA collaborator); Mediation and Dispute-Resolution Domain Expert (WP1, WP5); Software Developer (WP2 — DRA member, hire or subcontractor); Knowledge-Transfer Liaison and Carmel contact (WP7); Project Administrator.]</w:t>
      </w:r>
    </w:p>
    <w:p w14:paraId="4DE4BCB4" w14:textId="0CDBB787" w:rsidR="00061149" w:rsidRDefault="00061149">
      <w:pPr>
        <w:spacing w:after="60"/>
        <w:jc w:val="both"/>
        <w:rPr>
          <w:sz w:val="22"/>
          <w:szCs w:val="22"/>
        </w:rPr>
      </w:pPr>
    </w:p>
    <w:p w14:paraId="5B281663" w14:textId="1086293A" w:rsidR="00061149" w:rsidRDefault="00000000">
      <w:pPr>
        <w:spacing w:after="60"/>
        <w:jc w:val="both"/>
        <w:rPr>
          <w:sz w:val="22"/>
          <w:szCs w:val="22"/>
        </w:rPr>
      </w:pPr>
      <w:r>
        <w:rPr>
          <w:rStyle w:val="Strong"/>
          <w:sz w:val="22"/>
          <w:szCs w:val="22"/>
        </w:rPr>
        <w:t xml:space="preserve">Strengths and weaknesses. </w:t>
      </w:r>
      <w:r>
        <w:rPr>
          <w:sz w:val="22"/>
          <w:szCs w:val="22"/>
        </w:rPr>
        <w:t>The team</w:t>
      </w:r>
      <w:r w:rsidR="0087607E">
        <w:rPr>
          <w:sz w:val="22"/>
          <w:szCs w:val="22"/>
        </w:rPr>
        <w:t>’</w:t>
      </w:r>
      <w:r>
        <w:rPr>
          <w:sz w:val="22"/>
          <w:szCs w:val="22"/>
        </w:rPr>
        <w:t>s principal strength is direct continuity with the DRA project: the data, methods and institutional relationships underlying FAIRNEGO</w:t>
      </w:r>
      <w:r w:rsidR="007B5806">
        <w:rPr>
          <w:sz w:val="22"/>
          <w:szCs w:val="22"/>
        </w:rPr>
        <w:t>’</w:t>
      </w:r>
      <w:r>
        <w:rPr>
          <w:sz w:val="22"/>
          <w:szCs w:val="22"/>
        </w:rPr>
        <w:t>s design are already held by the team. The main weakness is limited in-house software engineering, offset by subcontracting for WP2 and by technical input from the advisory board.</w:t>
      </w:r>
    </w:p>
    <w:p w14:paraId="6783C359" w14:textId="77777777" w:rsidR="00B7290C" w:rsidRDefault="00000000">
      <w:pPr>
        <w:spacing w:before="120" w:after="120"/>
      </w:pPr>
      <w:r>
        <w:rPr>
          <w:b/>
          <w:bCs/>
          <w:sz w:val="22"/>
          <w:szCs w:val="22"/>
        </w:rPr>
        <w:t>Advisory Board</w:t>
      </w:r>
    </w:p>
    <w:p w14:paraId="26F3D21A" w14:textId="77777777" w:rsidR="00061149" w:rsidRDefault="00000000">
      <w:pPr>
        <w:spacing w:after="60"/>
        <w:jc w:val="both"/>
        <w:rPr>
          <w:sz w:val="22"/>
          <w:szCs w:val="22"/>
        </w:rPr>
      </w:pPr>
      <w:r>
        <w:rPr>
          <w:sz w:val="22"/>
          <w:szCs w:val="22"/>
        </w:rPr>
        <w:t>A four-member advisory board combines local seats, which provide professional and institutional legitimacy, with international seats providing domain and technical expertise.</w:t>
      </w:r>
    </w:p>
    <w:p w14:paraId="72CFF7D3" w14:textId="77777777" w:rsidR="00061149" w:rsidRDefault="00000000">
      <w:pPr>
        <w:spacing w:after="60"/>
        <w:jc w:val="both"/>
        <w:rPr>
          <w:sz w:val="22"/>
          <w:szCs w:val="22"/>
        </w:rPr>
      </w:pPr>
      <w:r>
        <w:rPr>
          <w:rStyle w:val="Strong"/>
          <w:sz w:val="22"/>
          <w:szCs w:val="22"/>
        </w:rPr>
        <w:lastRenderedPageBreak/>
        <w:t>Colin Rule</w:t>
      </w:r>
      <w:r>
        <w:rPr>
          <w:sz w:val="22"/>
          <w:szCs w:val="22"/>
        </w:rPr>
        <w:t xml:space="preserve"> (international) — President and CEO of ODR.com (an American Arbitration Association subsidiary); co-founder of Modria, acquired by Tyler Technologies; formerly Director of ODR at eBay and PayPal. Advises on facilitative design and route to market (WP1, WP4, WP7). His ODR.com affiliation is declared, with recusal on licensing and channel decisions.</w:t>
      </w:r>
    </w:p>
    <w:p w14:paraId="2F634553" w14:textId="77777777" w:rsidR="00061149" w:rsidRDefault="00000000">
      <w:pPr>
        <w:spacing w:after="60"/>
        <w:jc w:val="both"/>
        <w:rPr>
          <w:sz w:val="22"/>
          <w:szCs w:val="22"/>
        </w:rPr>
      </w:pPr>
      <w:r>
        <w:rPr>
          <w:rStyle w:val="Strong"/>
          <w:sz w:val="22"/>
          <w:szCs w:val="22"/>
        </w:rPr>
        <w:t>Prof. Orr Dunkelman</w:t>
      </w:r>
      <w:r>
        <w:rPr>
          <w:sz w:val="22"/>
          <w:szCs w:val="22"/>
        </w:rPr>
        <w:t xml:space="preserve"> (local) — Computer Science, University of Haifa; co-director, Center for Cyber Law and Privacy. Advises on security and privacy architecture, and on generating audit-grade process data without exposing negotiation content (WP1, WP2).</w:t>
      </w:r>
    </w:p>
    <w:p w14:paraId="0E675BBE" w14:textId="4E5455A8" w:rsidR="00061149" w:rsidRDefault="00000000">
      <w:pPr>
        <w:spacing w:after="60"/>
        <w:jc w:val="both"/>
        <w:rPr>
          <w:sz w:val="22"/>
          <w:szCs w:val="22"/>
        </w:rPr>
      </w:pPr>
      <w:r>
        <w:rPr>
          <w:i/>
          <w:iCs/>
          <w:color w:val="8A8A8A"/>
          <w:sz w:val="22"/>
          <w:szCs w:val="22"/>
        </w:rPr>
        <w:t>[</w:t>
      </w:r>
      <w:r w:rsidRPr="000C4C41">
        <w:rPr>
          <w:i/>
          <w:iCs/>
          <w:color w:val="8A8A8A"/>
          <w:sz w:val="22"/>
          <w:szCs w:val="22"/>
          <w:highlight w:val="yellow"/>
        </w:rPr>
        <w:t>NEED: a judicial, tribunal or court-administration advisor (local) for the institutional and procurement pathway (WP5, WP6) — ideally nominated by, rather than being, the Ministry official providing the letter of intent, so that the advisory role does not complicate any later procurement; and a senior mediation practitioner or professional-association representative (local) for WP5 recruitment and adoption legitimacy — a practitioner sceptical of automation should be sought deliberately</w:t>
      </w:r>
      <w:r>
        <w:rPr>
          <w:i/>
          <w:iCs/>
          <w:color w:val="8A8A8A"/>
          <w:sz w:val="22"/>
          <w:szCs w:val="22"/>
        </w:rPr>
        <w:t>.]</w:t>
      </w:r>
    </w:p>
    <w:p w14:paraId="2E3752A7" w14:textId="77777777" w:rsidR="00061149" w:rsidRDefault="00000000">
      <w:pPr>
        <w:spacing w:after="60"/>
        <w:jc w:val="both"/>
        <w:rPr>
          <w:sz w:val="22"/>
          <w:szCs w:val="22"/>
        </w:rPr>
      </w:pPr>
      <w:r>
        <w:rPr>
          <w:rStyle w:val="Strong"/>
          <w:sz w:val="22"/>
          <w:szCs w:val="22"/>
        </w:rPr>
        <w:t xml:space="preserve">Expert consultancy. </w:t>
      </w:r>
      <w:r>
        <w:rPr>
          <w:sz w:val="22"/>
          <w:szCs w:val="22"/>
        </w:rPr>
        <w:t>Adv. Rotem Perelman-Farhi, Ethics Consultant to the DRA project, is retained as a paid consultant rather than a board member, delivering two WP1 outputs: the AI Act classification opinion and an ethics and data-protection review. Board members are engaged under NDAs through Carmel and receive strategic and market material only.</w:t>
      </w:r>
    </w:p>
    <w:p w14:paraId="691086D0" w14:textId="77777777" w:rsidR="007B5806" w:rsidRDefault="007B5806">
      <w:pPr>
        <w:spacing w:after="60"/>
        <w:jc w:val="both"/>
        <w:rPr>
          <w:rStyle w:val="Strong"/>
          <w:sz w:val="22"/>
          <w:szCs w:val="22"/>
        </w:rPr>
      </w:pPr>
    </w:p>
    <w:p w14:paraId="1B6AA736" w14:textId="2B9C52F1" w:rsidR="00061149" w:rsidRDefault="00000000">
      <w:pPr>
        <w:spacing w:after="60"/>
        <w:jc w:val="both"/>
        <w:rPr>
          <w:sz w:val="22"/>
          <w:szCs w:val="22"/>
        </w:rPr>
      </w:pPr>
      <w:r>
        <w:rPr>
          <w:rStyle w:val="Strong"/>
          <w:sz w:val="22"/>
          <w:szCs w:val="22"/>
        </w:rPr>
        <w:t xml:space="preserve">Strategic lead and project management. </w:t>
      </w:r>
      <w:r>
        <w:rPr>
          <w:sz w:val="22"/>
          <w:szCs w:val="22"/>
        </w:rPr>
        <w:t>As PI of the underlying ERC project, Prof. Rabinovich-Einy defines FAIRNEGO</w:t>
      </w:r>
      <w:r w:rsidR="0087607E">
        <w:rPr>
          <w:sz w:val="22"/>
          <w:szCs w:val="22"/>
        </w:rPr>
        <w:t>’</w:t>
      </w:r>
      <w:r>
        <w:rPr>
          <w:sz w:val="22"/>
          <w:szCs w:val="22"/>
        </w:rPr>
        <w:t>s design priorities, supervises all work packages, holds final decision-making authority, and leads engagement with court, ministry and platform partners. Each team member owns a defined work package or pair (design and prototype; experimental and survey studies; stakeholder and business development; administration), reporting at a regular management meeting. The structure is proportioned to a PoC of this scale: small enough to coordinate directly through the PI rather than through a separate management layer, while assigning individual ownership of the studies carrying the principal scientific risk.</w:t>
      </w:r>
    </w:p>
    <w:p w14:paraId="659D9496" w14:textId="3A10C456" w:rsidR="00061149" w:rsidRDefault="00000000">
      <w:pPr>
        <w:spacing w:after="60"/>
        <w:jc w:val="both"/>
        <w:rPr>
          <w:sz w:val="22"/>
          <w:szCs w:val="22"/>
        </w:rPr>
      </w:pPr>
      <w:r>
        <w:rPr>
          <w:i/>
          <w:iCs/>
          <w:color w:val="8A8A8A"/>
          <w:sz w:val="22"/>
          <w:szCs w:val="22"/>
        </w:rPr>
        <w:t>[Confirm meeting cadence, the organisational structure, and how conflicts between WP3–WP5 findings and the WP1–WP2 design are resolved.]</w:t>
      </w:r>
    </w:p>
    <w:p w14:paraId="47696C9E" w14:textId="7866EF08" w:rsidR="00B7290C" w:rsidRPr="00DC6A8D" w:rsidRDefault="00B7290C" w:rsidP="00DC6A8D">
      <w:pPr>
        <w:spacing w:after="200"/>
        <w:jc w:val="both"/>
        <w:rPr>
          <w:sz w:val="22"/>
          <w:szCs w:val="22"/>
        </w:rPr>
      </w:pPr>
    </w:p>
    <w:p w14:paraId="695A33C1" w14:textId="43EC85F5" w:rsidR="00061149" w:rsidRDefault="00000000" w:rsidP="0087607E">
      <w:pPr>
        <w:spacing w:after="60"/>
        <w:jc w:val="both"/>
        <w:rPr>
          <w:sz w:val="22"/>
          <w:szCs w:val="22"/>
        </w:rPr>
      </w:pPr>
      <w:r>
        <w:rPr>
          <w:sz w:val="22"/>
          <w:szCs w:val="22"/>
        </w:rPr>
        <w:t>FAIRNEGO</w:t>
      </w:r>
      <w:r w:rsidR="0087607E">
        <w:rPr>
          <w:sz w:val="22"/>
          <w:szCs w:val="22"/>
        </w:rPr>
        <w:t>’</w:t>
      </w:r>
      <w:r>
        <w:rPr>
          <w:sz w:val="22"/>
          <w:szCs w:val="22"/>
        </w:rPr>
        <w:t>s principal risks concern translating a technically feasible innovation into a system that parties will use, professionals will support, and courts can responsibly integrate. Adoption risk is addressed throughout the PoC rather than after development: parties, mediators, lawyers, judges and court administrators are involved in specification, testing, refinement and pilot evaluation (WP1–WP7). Principal risks and mitigations are summarised below.</w:t>
      </w:r>
    </w:p>
    <w:p w14:paraId="6283582E" w14:textId="77777777" w:rsidR="007B5806" w:rsidRDefault="007B5806">
      <w:pPr>
        <w:spacing w:after="60"/>
        <w:jc w:val="both"/>
        <w:rPr>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B7290C" w14:paraId="25B8F491" w14:textId="77777777">
        <w:tc>
          <w:tcPr>
            <w:tcW w:w="4819"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3278BF44" w14:textId="77777777" w:rsidR="00B7290C" w:rsidRDefault="00000000">
            <w:r>
              <w:rPr>
                <w:b/>
                <w:bCs/>
              </w:rPr>
              <w:t>Description of the risk</w:t>
            </w:r>
          </w:p>
        </w:tc>
        <w:tc>
          <w:tcPr>
            <w:tcW w:w="4819" w:type="dxa"/>
            <w:tcBorders>
              <w:top w:val="single" w:sz="2" w:space="0" w:color="999999"/>
              <w:left w:val="single" w:sz="2" w:space="0" w:color="999999"/>
              <w:bottom w:val="single" w:sz="2" w:space="0" w:color="999999"/>
              <w:right w:val="single" w:sz="2" w:space="0" w:color="999999"/>
            </w:tcBorders>
            <w:shd w:val="clear" w:color="auto" w:fill="D9D9D9"/>
            <w:tcMar>
              <w:top w:w="60" w:type="dxa"/>
              <w:left w:w="100" w:type="dxa"/>
              <w:bottom w:w="60" w:type="dxa"/>
              <w:right w:w="100" w:type="dxa"/>
            </w:tcMar>
            <w:vAlign w:val="center"/>
          </w:tcPr>
          <w:p w14:paraId="5D4E73AF" w14:textId="77777777" w:rsidR="00B7290C" w:rsidRDefault="00000000">
            <w:r>
              <w:rPr>
                <w:b/>
                <w:bCs/>
              </w:rPr>
              <w:t>Proposed risk-mitigation measures</w:t>
            </w:r>
          </w:p>
        </w:tc>
      </w:tr>
      <w:tr w:rsidR="001A2F12" w14:paraId="13953A45"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8E729C3" w14:textId="77777777" w:rsidR="001A2F12" w:rsidRDefault="00000000">
            <w:pPr>
              <w:jc w:val="both"/>
            </w:pPr>
            <w:r>
              <w:rPr>
                <w:b/>
                <w:bCs/>
              </w:rPr>
              <w:t>The DRA mechanisms may not prove causal, or may not transfer to court and tribunal disputes.</w:t>
            </w:r>
            <w:r>
              <w:t xml:space="preserve"> The behavioural architecture rests on correlational findings drawn from online divorce negotiation.</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739E865" w14:textId="6960510A" w:rsidR="001A2F12" w:rsidRDefault="00000000">
            <w:pPr>
              <w:jc w:val="both"/>
            </w:pPr>
            <w:r>
              <w:rPr>
                <w:b/>
                <w:bCs/>
              </w:rPr>
              <w:t>WP3 tests causality directly and early.</w:t>
            </w:r>
            <w:r>
              <w:t xml:space="preserve"> Milestone M3.1 (M9) is deliberately framed as core mechanisms established or rejected, before pilot. Transfer is tested by running WP3 scenarios on </w:t>
            </w:r>
            <w:r w:rsidR="0087607E">
              <w:t>additional dispute types</w:t>
            </w:r>
            <w:r>
              <w:t>. If the structural mechanisms do not replicate, the facilitative layer is retained on its independent evidence base, the structural layer is descoped, and the market, IP and regulatory work in WP4 remains valid.</w:t>
            </w:r>
          </w:p>
        </w:tc>
      </w:tr>
      <w:tr w:rsidR="00B7290C" w14:paraId="79D3A66F"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38B190C" w14:textId="67A9003C" w:rsidR="00B7290C" w:rsidRDefault="00DC6A8D" w:rsidP="00DC6A8D">
            <w:pPr>
              <w:jc w:val="both"/>
            </w:pPr>
            <w:r>
              <w:rPr>
                <w:b/>
                <w:bCs/>
              </w:rPr>
              <w:t>Parties may be reluctant to trust or use AI-facilitated negotiation.</w:t>
            </w:r>
            <w:r>
              <w:t xml:space="preserve"> Earlier voluntary technological dispute-resolution processes have experienced limited uptake, and availability alone therefore does not guarantee use.</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A4CA7F1" w14:textId="2554A565" w:rsidR="00B7290C" w:rsidRDefault="00DC6A8D" w:rsidP="00DC6A8D">
            <w:pPr>
              <w:jc w:val="both"/>
            </w:pPr>
            <w:r>
              <w:t>FAIRNEGO is embedded in existing court, tribunal and platform pathways rather than offered as a stand-alone service.</w:t>
            </w:r>
            <w:r w:rsidR="0087607E">
              <w:t xml:space="preserve"> </w:t>
            </w:r>
            <w:r>
              <w:t>WP4–WP5 test how human oversight, endorsement and process design affect use.</w:t>
            </w:r>
          </w:p>
        </w:tc>
      </w:tr>
      <w:tr w:rsidR="00B7290C" w14:paraId="48B27281"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47A4E104" w14:textId="4BCE1C30" w:rsidR="00B7290C" w:rsidRDefault="00DC6A8D" w:rsidP="00DC6A8D">
            <w:pPr>
              <w:jc w:val="both"/>
            </w:pPr>
            <w:r>
              <w:t>Lawyers or mediators may perceive FAIRNEGO as threatening their professional roles and resist its adoption.</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1B59377D" w14:textId="4262A301" w:rsidR="00B7290C" w:rsidRDefault="00DC6A8D" w:rsidP="00DC6A8D">
            <w:pPr>
              <w:jc w:val="both"/>
            </w:pPr>
            <w:r>
              <w:t>Professionals are involved from specification onward. FAIRNEGO</w:t>
            </w:r>
            <w:r w:rsidR="0087607E">
              <w:t>’</w:t>
            </w:r>
            <w:r>
              <w:t>s boundaries are clear: it facilitates process but gives no legal advice, evaluates no claims and approves no settlement. WP5 examines displacement concerns and identifies the safeguards required for professional support, building on existing DRA evidence on mediator and lawyer attitudes.</w:t>
            </w:r>
          </w:p>
        </w:tc>
      </w:tr>
      <w:tr w:rsidR="00B7290C" w14:paraId="09C3AC5B"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0DF8C45" w14:textId="56727ED7" w:rsidR="00B7290C" w:rsidRDefault="00DC6A8D" w:rsidP="00DC6A8D">
            <w:pPr>
              <w:jc w:val="both"/>
            </w:pPr>
            <w:r>
              <w:t>Courts or judges may be unwilling to integrate AI into court-connected settlement.</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1B14D888" w14:textId="5D142871" w:rsidR="00B7290C" w:rsidRDefault="00DC6A8D" w:rsidP="00DC6A8D">
            <w:pPr>
              <w:jc w:val="both"/>
            </w:pPr>
            <w:r>
              <w:t xml:space="preserve">Comparatively manageable: FAIRNEGO neither decides cases nor evaluates merits, and courts have strong incentives to improve early settlement capacity. Judges </w:t>
            </w:r>
            <w:r>
              <w:lastRenderedPageBreak/>
              <w:t>and administrators participate from specification onward,. WP5 tests institutional acceptance before WP6.</w:t>
            </w:r>
          </w:p>
        </w:tc>
      </w:tr>
      <w:tr w:rsidR="00B7290C" w14:paraId="0BC19F65"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32B7E0F6" w14:textId="141AF8F1" w:rsidR="00B7290C" w:rsidRDefault="00DC6A8D" w:rsidP="00DC6A8D">
            <w:pPr>
              <w:jc w:val="both"/>
            </w:pPr>
            <w:r>
              <w:lastRenderedPageBreak/>
              <w:t>Liability, accountability, confidentiality, or data-governance concerns may impede deployment.</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533DFA8C" w14:textId="698AFF7E" w:rsidR="00B7290C" w:rsidRDefault="00DC6A8D" w:rsidP="00DC6A8D">
            <w:pPr>
              <w:jc w:val="both"/>
            </w:pPr>
            <w:r>
              <w:t>Human responsibility is identifiable at every critical point: professionals determine suitability and escalation, and no agreement takes effect without human review. Regulatory, confidentiality and data-governance requirements are mapped in WP1 and built into the architecture; liability arrangements are settled with institutional stakeholders before the pilot.</w:t>
            </w:r>
          </w:p>
        </w:tc>
      </w:tr>
      <w:tr w:rsidR="00B7290C" w14:paraId="5A4CFE45"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1E0CAF59" w14:textId="30813972" w:rsidR="00B7290C" w:rsidRDefault="00DC6A8D" w:rsidP="00DC6A8D">
            <w:pPr>
              <w:jc w:val="both"/>
            </w:pPr>
            <w:r>
              <w:t>Court procurement, IT-security, or workflow requirements may make full integration impracticable within the PoC period.</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67AFB203" w14:textId="14786F8D" w:rsidR="00B7290C" w:rsidRDefault="00DC6A8D" w:rsidP="00DC6A8D">
            <w:pPr>
              <w:jc w:val="both"/>
            </w:pPr>
            <w:r>
              <w:t>The PoC validates a prototype in a limited supervised deployment; it does not require production-grade integration into court IT systems. Procurement and institutional requirements are mapped in WP4–WP5. Security certification and full system integration belong to the post-PoC commercialisation stage.</w:t>
            </w:r>
          </w:p>
        </w:tc>
      </w:tr>
      <w:tr w:rsidR="00B7290C" w14:paraId="2BF8B21F"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56C38D75" w14:textId="57C1F89B" w:rsidR="00B7290C" w:rsidRDefault="00DC6A8D" w:rsidP="00DC6A8D">
            <w:pPr>
              <w:jc w:val="both"/>
            </w:pPr>
            <w:r>
              <w:t>Ethics approval, participant recruitment, or prototype development may take longer than anticipated.</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716AD07" w14:textId="72030DEA" w:rsidR="00B7290C" w:rsidRDefault="00DC6A8D" w:rsidP="00DC6A8D">
            <w:pPr>
              <w:jc w:val="both"/>
            </w:pPr>
            <w:r>
              <w:t>Ethics preparation begins in WP1, building on the Host Institution</w:t>
            </w:r>
            <w:r w:rsidR="0087607E">
              <w:t>’</w:t>
            </w:r>
            <w:r>
              <w:t>s existing experience with DRA research. WPs overlap deliberately so that stakeholder, market, regulatory, and development activities can progress in parallel. Recruitment channels and technical-development alternatives will be identified early, including specialist subcontracting where necessary.</w:t>
            </w:r>
          </w:p>
        </w:tc>
      </w:tr>
      <w:tr w:rsidR="00B7290C" w14:paraId="159014A1"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7ED61B29" w14:textId="1466FEE1" w:rsidR="00B7290C" w:rsidRDefault="00DC6A8D" w:rsidP="00DC6A8D">
            <w:pPr>
              <w:jc w:val="both"/>
            </w:pPr>
            <w:r>
              <w:t>The public partner is unable to support the planned WP6 pilot within the project period.</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76DCF42B" w14:textId="487D3A6F" w:rsidR="00B7290C" w:rsidRDefault="00DC6A8D" w:rsidP="00DC6A8D">
            <w:pPr>
              <w:jc w:val="both"/>
            </w:pPr>
            <w:r>
              <w:t>More than one pathway is maintained: because the Ministry administers both tribunal and court processes, an alternative public venue can be found without renegotiating the partnership. Failing that, WP6 runs on the Justice42/Uitelkaar live caseload, preserving the prototype and the institutional pathway for later deployment.</w:t>
            </w:r>
          </w:p>
        </w:tc>
      </w:tr>
      <w:tr w:rsidR="00B7290C" w14:paraId="6D74E75D"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53741378" w14:textId="77777777" w:rsidR="00B7290C" w:rsidRDefault="00000000" w:rsidP="00DC6A8D">
            <w:pPr>
              <w:jc w:val="both"/>
            </w:pPr>
            <w:r>
              <w:t>The scope of work required to properly resource all seven work packages exceeds what the lump sum can support.</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271BB82A" w14:textId="77777777" w:rsidR="00B7290C" w:rsidRDefault="00000000" w:rsidP="00DC6A8D">
            <w:pPr>
              <w:jc w:val="both"/>
            </w:pPr>
            <w:r>
              <w:t>Prioritize WP1–WP4 (design, demonstrator, and causal/legitimacy validation) as the core deliverables; treat WP6 pilot as scalable up or down depending on partner readiness; seek in-kind support from partner institutions.</w:t>
            </w:r>
          </w:p>
        </w:tc>
      </w:tr>
      <w:tr w:rsidR="00B7290C" w14:paraId="6A59DA49" w14:textId="77777777">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38DCDF42" w14:textId="66597231" w:rsidR="00B7290C" w:rsidRDefault="00000000" w:rsidP="00DC6A8D">
            <w:pPr>
              <w:jc w:val="both"/>
            </w:pPr>
            <w:r>
              <w:t>A key team member is unavailable (non-scientific/technical risk).</w:t>
            </w:r>
          </w:p>
        </w:tc>
        <w:tc>
          <w:tcPr>
            <w:tcW w:w="4819" w:type="dxa"/>
            <w:tcBorders>
              <w:top w:val="single" w:sz="2" w:space="0" w:color="999999"/>
              <w:left w:val="single" w:sz="2" w:space="0" w:color="999999"/>
              <w:bottom w:val="single" w:sz="2" w:space="0" w:color="999999"/>
              <w:right w:val="single" w:sz="2" w:space="0" w:color="999999"/>
            </w:tcBorders>
            <w:tcMar>
              <w:top w:w="60" w:type="dxa"/>
              <w:left w:w="100" w:type="dxa"/>
              <w:bottom w:w="60" w:type="dxa"/>
              <w:right w:w="100" w:type="dxa"/>
            </w:tcMar>
            <w:vAlign w:val="center"/>
          </w:tcPr>
          <w:p w14:paraId="0C6DC637" w14:textId="07378A92" w:rsidR="00B7290C" w:rsidRDefault="00DC6A8D" w:rsidP="00DC6A8D">
            <w:pPr>
              <w:jc w:val="both"/>
            </w:pPr>
            <w:r>
              <w:t>Specifications, development decisions and WP documentation are maintained centrally, with overlapping knowledge between the PI and WP leads. Critical external dependencies are not concentrated in one individual or institution.</w:t>
            </w:r>
          </w:p>
        </w:tc>
      </w:tr>
    </w:tbl>
    <w:p w14:paraId="5A0CE036" w14:textId="77777777" w:rsidR="007B5806" w:rsidRDefault="007B5806">
      <w:pPr>
        <w:jc w:val="both"/>
        <w:rPr>
          <w:rFonts w:asciiTheme="majorBidi" w:hAnsiTheme="majorBidi" w:cstheme="majorBidi"/>
          <w:b/>
          <w:bCs/>
          <w:sz w:val="22"/>
          <w:szCs w:val="22"/>
        </w:rPr>
      </w:pPr>
    </w:p>
    <w:p w14:paraId="40438364" w14:textId="63DAC037" w:rsidR="00713C69" w:rsidRDefault="00000000">
      <w:pPr>
        <w:jc w:val="both"/>
      </w:pPr>
      <w:r>
        <w:rPr>
          <w:rFonts w:asciiTheme="majorBidi" w:hAnsiTheme="majorBidi" w:cstheme="majorBidi"/>
          <w:b/>
          <w:bCs/>
          <w:sz w:val="22"/>
          <w:szCs w:val="22"/>
        </w:rPr>
        <w:t>References</w:t>
      </w:r>
    </w:p>
    <w:p w14:paraId="7914588F" w14:textId="77777777" w:rsidR="00713C69" w:rsidRDefault="00000000">
      <w:pPr>
        <w:jc w:val="both"/>
      </w:pPr>
      <w:r>
        <w:rPr>
          <w:rFonts w:asciiTheme="majorBidi" w:hAnsiTheme="majorBidi" w:cstheme="majorBidi"/>
        </w:rPr>
        <w:t>Civil Procedure Regulations 5779-2018 (Isr.) [confirm exact regulation governing preliminary settlement procedures].</w:t>
      </w:r>
    </w:p>
    <w:p w14:paraId="1C965FDC" w14:textId="77777777" w:rsidR="00713C69" w:rsidRDefault="00000000">
      <w:pPr>
        <w:jc w:val="both"/>
      </w:pPr>
      <w:r>
        <w:rPr>
          <w:rFonts w:asciiTheme="majorBidi" w:hAnsiTheme="majorBidi" w:cstheme="majorBidi"/>
        </w:rPr>
        <w:t>DRA, The ‘Vanishing Third Party’: Access to Justice, Procedural Justice and Substantive Justice in the Age of Dispute Resolution Automation, ERC Consolidator Grant, ERC-2021-COG, Grant Agreement No. 101044195, University of Haifa (2023–2028).</w:t>
      </w:r>
    </w:p>
    <w:p w14:paraId="1BB978BB" w14:textId="77777777" w:rsidR="0083318D" w:rsidRDefault="00000000">
      <w:pPr>
        <w:jc w:val="both"/>
      </w:pPr>
      <w:r>
        <w:rPr>
          <w:rFonts w:asciiTheme="majorBidi" w:hAnsiTheme="majorBidi" w:cstheme="majorBidi"/>
        </w:rPr>
        <w:t>Delgado, R., Dunn, C., Brown, P., Lee, H., &amp; Hubbert, D. (1985). Fairness and Formality: Minimizing the Risk of Prejudice in Alternative Dispute Resolution. Wisconsin Law Review, 1985, 1359.</w:t>
      </w:r>
    </w:p>
    <w:p w14:paraId="4FE842C7" w14:textId="77777777" w:rsidR="00713C69" w:rsidRDefault="00000000">
      <w:pPr>
        <w:jc w:val="both"/>
      </w:pPr>
      <w:r>
        <w:rPr>
          <w:rFonts w:asciiTheme="majorBidi" w:hAnsiTheme="majorBidi" w:cstheme="majorBidi"/>
        </w:rPr>
        <w:t>Fiss, O. M. (1984). Against Settlement. Yale Law Journal, 93, 1073.</w:t>
      </w:r>
    </w:p>
    <w:p w14:paraId="1C56AD8D" w14:textId="459F9A64" w:rsidR="00713C69" w:rsidRPr="00E92BEB" w:rsidRDefault="00000000" w:rsidP="00E92BEB">
      <w:pPr>
        <w:jc w:val="both"/>
        <w:rPr>
          <w:rFonts w:asciiTheme="majorBidi" w:hAnsiTheme="majorBidi" w:cstheme="majorBidi"/>
        </w:rPr>
      </w:pPr>
      <w:r>
        <w:rPr>
          <w:rFonts w:asciiTheme="majorBidi" w:hAnsiTheme="majorBidi" w:cstheme="majorBidi"/>
        </w:rPr>
        <w:t>Galanter, M. (2004). The Vanishing Trial: An Examination of Trials and Related Matters in Federal and State Courts. Journal of Empirical Legal Studies, 1, 459.</w:t>
      </w:r>
    </w:p>
    <w:p w14:paraId="35596C4F" w14:textId="77777777" w:rsidR="0083318D" w:rsidRDefault="00000000">
      <w:pPr>
        <w:jc w:val="both"/>
      </w:pPr>
      <w:r>
        <w:rPr>
          <w:rFonts w:asciiTheme="majorBidi" w:hAnsiTheme="majorBidi" w:cstheme="majorBidi"/>
        </w:rPr>
        <w:t>Galanter, M., &amp; Cahill, M. (1994). “Most Cases Settle”: Judicial Promotion and Regulation of Settlements. Stanford Law Review, 46, 1339.</w:t>
      </w:r>
    </w:p>
    <w:p w14:paraId="444CCB38" w14:textId="77777777" w:rsidR="00713C69" w:rsidRDefault="00000000">
      <w:pPr>
        <w:jc w:val="both"/>
      </w:pPr>
      <w:r>
        <w:rPr>
          <w:rFonts w:asciiTheme="majorBidi" w:hAnsiTheme="majorBidi" w:cstheme="majorBidi"/>
        </w:rPr>
        <w:t>Grillo, T. (1991). The Mediation Alternative: Process Dangers for Women. Yale Law Journal, 100, 1545.</w:t>
      </w:r>
    </w:p>
    <w:p w14:paraId="511D0ABE" w14:textId="77777777" w:rsidR="00713C69" w:rsidRDefault="00000000">
      <w:pPr>
        <w:jc w:val="both"/>
      </w:pPr>
      <w:r>
        <w:rPr>
          <w:rFonts w:asciiTheme="majorBidi" w:hAnsiTheme="majorBidi" w:cstheme="majorBidi"/>
        </w:rPr>
        <w:t>Hybrid Procedural Justice: Human and Technological Sources of Fairness in Legal Processes. DRA working paper [confirm authors and status].</w:t>
      </w:r>
    </w:p>
    <w:p w14:paraId="62320E56" w14:textId="77777777" w:rsidR="00713C69" w:rsidRDefault="00000000">
      <w:pPr>
        <w:jc w:val="both"/>
      </w:pPr>
      <w:r>
        <w:rPr>
          <w:rFonts w:asciiTheme="majorBidi" w:hAnsiTheme="majorBidi" w:cstheme="majorBidi"/>
        </w:rPr>
        <w:t>McEwen, C. A., &amp; Maiman, R. J. (1984). Mediation in Small Claims Court: Achieving Compliance Through Consent. Law &amp; Society Review, 18, 11.</w:t>
      </w:r>
    </w:p>
    <w:p w14:paraId="355CE7FD" w14:textId="77777777" w:rsidR="00713C69" w:rsidRDefault="00000000">
      <w:pPr>
        <w:jc w:val="both"/>
      </w:pPr>
      <w:r>
        <w:rPr>
          <w:rFonts w:asciiTheme="majorBidi" w:hAnsiTheme="majorBidi" w:cstheme="majorBidi"/>
        </w:rPr>
        <w:t>Moore, C. W. (1987). The Caucus: Private Meetings that Promote Settlement. Mediation Quarterly, 1987, 87.</w:t>
      </w:r>
    </w:p>
    <w:p w14:paraId="483C9A38" w14:textId="77777777" w:rsidR="00713C69" w:rsidRDefault="00000000">
      <w:pPr>
        <w:jc w:val="both"/>
      </w:pPr>
      <w:r>
        <w:rPr>
          <w:rFonts w:asciiTheme="majorBidi" w:hAnsiTheme="majorBidi" w:cstheme="majorBidi"/>
        </w:rPr>
        <w:t>Modeling the ‘Human Black Box’: Lessons Learned from Computational Analysis of the Facilitator Role in Large-scale Divorce Negotiations. DRA working paper [confirm authors and status].</w:t>
      </w:r>
    </w:p>
    <w:p w14:paraId="57F530DB" w14:textId="77777777" w:rsidR="00713C69" w:rsidRDefault="00000000">
      <w:pPr>
        <w:jc w:val="both"/>
      </w:pPr>
      <w:r>
        <w:rPr>
          <w:rFonts w:asciiTheme="majorBidi" w:hAnsiTheme="majorBidi" w:cstheme="majorBidi"/>
        </w:rPr>
        <w:lastRenderedPageBreak/>
        <w:t>Postprofessionalism in the Shadow of the Law: Human Facilitation in Online Divorce Negotiation. DRA working paper [confirm authors and status].</w:t>
      </w:r>
    </w:p>
    <w:p w14:paraId="6E5B8E64" w14:textId="77777777" w:rsidR="00830264" w:rsidRDefault="00000000">
      <w:pPr>
        <w:jc w:val="both"/>
      </w:pPr>
      <w:r>
        <w:rPr>
          <w:rFonts w:asciiTheme="majorBidi" w:hAnsiTheme="majorBidi" w:cstheme="majorBidi"/>
        </w:rPr>
        <w:t>Westermann, H., Savelka, J., &amp; Benyekhlef, K. (2023). LLMediator: GPT-4 Assisted Online Dispute Resolution. Proceedings of the ICAIL 2023 Workshop on Artificial Intelligence for Access to Justice (AI4AJ), CEUR-WS Vol. 3435.</w:t>
      </w:r>
    </w:p>
    <w:p w14:paraId="74602B94" w14:textId="77777777" w:rsidR="00713C69" w:rsidRDefault="00000000">
      <w:pPr>
        <w:jc w:val="both"/>
      </w:pPr>
      <w:r>
        <w:rPr>
          <w:rFonts w:asciiTheme="majorBidi" w:hAnsiTheme="majorBidi" w:cstheme="majorBidi"/>
        </w:rPr>
        <w:t>Prescott, J. J. (2017). Improving Access to Justice in State Courts with Platform Technology. Vanderbilt Law Review, 70, 1993.</w:t>
      </w:r>
    </w:p>
    <w:p w14:paraId="2874CDCB" w14:textId="77777777" w:rsidR="00713C69" w:rsidRDefault="00000000">
      <w:pPr>
        <w:jc w:val="both"/>
      </w:pPr>
      <w:r>
        <w:rPr>
          <w:rFonts w:asciiTheme="majorBidi" w:hAnsiTheme="majorBidi" w:cstheme="majorBidi"/>
        </w:rPr>
        <w:t>Process Pluralism, AI and Legitimacy: A Scoping Review. DRA working paper [confirm authors and status].</w:t>
      </w:r>
    </w:p>
    <w:p w14:paraId="2407B658" w14:textId="77777777" w:rsidR="00713C69" w:rsidRDefault="00000000">
      <w:pPr>
        <w:jc w:val="both"/>
      </w:pPr>
      <w:r>
        <w:rPr>
          <w:rFonts w:asciiTheme="majorBidi" w:hAnsiTheme="majorBidi" w:cstheme="majorBidi"/>
        </w:rPr>
        <w:t>Riskin, L. L. (1996). Understanding Mediators’ Orientations, Strategies, and Techniques: A Grid for the Perplexed. Harvard Negotiation Law Review, 1, 7.</w:t>
      </w:r>
    </w:p>
    <w:p w14:paraId="56EB2064" w14:textId="77777777" w:rsidR="00713C69" w:rsidRDefault="00000000">
      <w:pPr>
        <w:jc w:val="both"/>
      </w:pPr>
      <w:r>
        <w:rPr>
          <w:rFonts w:asciiTheme="majorBidi" w:hAnsiTheme="majorBidi" w:cstheme="majorBidi"/>
        </w:rPr>
        <w:t>Shestowsky, D., &amp; Brett, J. M. (2008). Disputants’ Perceptions of Dispute Resolution Procedures: An Ex Ante and Ex Post Longitudinal Empirical Study. Connecticut Law Review, 41, 63.</w:t>
      </w:r>
    </w:p>
    <w:p w14:paraId="15466EAD" w14:textId="77777777" w:rsidR="00713C69" w:rsidRDefault="00000000">
      <w:pPr>
        <w:jc w:val="both"/>
      </w:pPr>
      <w:r>
        <w:rPr>
          <w:rFonts w:asciiTheme="majorBidi" w:hAnsiTheme="majorBidi" w:cstheme="majorBidi"/>
        </w:rPr>
        <w:t>Tessler, M. H., et al. (2024). AI Can Help Humans Find Common Ground in Democratic Deliberation. Science, 386, eadq2852.</w:t>
      </w:r>
    </w:p>
    <w:p w14:paraId="4A10AE3A" w14:textId="77777777" w:rsidR="00713C69" w:rsidRDefault="00000000">
      <w:pPr>
        <w:jc w:val="both"/>
      </w:pPr>
      <w:r>
        <w:rPr>
          <w:rFonts w:asciiTheme="majorBidi" w:hAnsiTheme="majorBidi" w:cstheme="majorBidi"/>
        </w:rPr>
        <w:t>Welsh, N. A. (2001). The Thinning Vision of Self-Determination in Court-Connected Mediation: The Inevitable Price of Institutionalization? Harvard Negotiation Law Review, 6, 1.</w:t>
      </w:r>
    </w:p>
    <w:p w14:paraId="7CF8B691" w14:textId="77777777" w:rsidR="00713C69" w:rsidRDefault="00000000">
      <w:pPr>
        <w:jc w:val="both"/>
      </w:pPr>
      <w:r>
        <w:rPr>
          <w:rFonts w:asciiTheme="majorBidi" w:hAnsiTheme="majorBidi" w:cstheme="majorBidi"/>
        </w:rPr>
        <w:t>Welsh, N. A., &amp; Shestowsky, D. (2025). Lawyers’ Client-Inclusive Negotiations: The ‘New Mediation’? Harvard Negotiation Law Review, 30, 1.</w:t>
      </w:r>
    </w:p>
    <w:p w14:paraId="6C80CE29" w14:textId="77777777" w:rsidR="00713C69" w:rsidRDefault="00000000">
      <w:pPr>
        <w:jc w:val="both"/>
      </w:pPr>
      <w:r>
        <w:rPr>
          <w:rFonts w:asciiTheme="majorBidi" w:hAnsiTheme="majorBidi" w:cstheme="majorBidi"/>
        </w:rPr>
        <w:t>[SOURCE NEEDED] Evidence that experience with AI tools increases trust (supports the judicial-adoption argument).</w:t>
      </w:r>
    </w:p>
    <w:p w14:paraId="2471F3E8" w14:textId="77777777" w:rsidR="00713C69" w:rsidRDefault="00000000">
      <w:pPr>
        <w:jc w:val="both"/>
      </w:pPr>
      <w:r>
        <w:rPr>
          <w:rFonts w:asciiTheme="majorBidi" w:hAnsiTheme="majorBidi" w:cstheme="majorBidi"/>
        </w:rPr>
        <w:t>[SOURCE NEEDED] Full citation for prior work on the accountability dilemma in mediation (confidentiality and procedural flexibility as simultaneously enabling and undercutting accountability).</w:t>
      </w:r>
    </w:p>
    <w:sectPr w:rsidR="00713C69">
      <w:pgSz w:w="11906" w:h="16838"/>
      <w:pgMar w:top="850" w:right="1134" w:bottom="850" w:left="1134"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ORNA RABINOVICH" w:date="2026-08-09T15:41:00Z" w:initials="OR">
    <w:p w14:paraId="3DFE370F" w14:textId="77777777" w:rsidR="004B0382" w:rsidRDefault="004B0382" w:rsidP="004B0382">
      <w:r>
        <w:rPr>
          <w:rStyle w:val="CommentReference"/>
        </w:rPr>
        <w:annotationRef/>
      </w:r>
      <w:r>
        <w:t>just courts? perhaps settlement of legal disputes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DFE37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543245E" w16cex:dateUtc="2026-08-09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DFE370F" w16cid:durableId="654324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EA0C93" w14:textId="77777777" w:rsidR="00B567FA" w:rsidRDefault="00B567FA">
      <w:r>
        <w:separator/>
      </w:r>
    </w:p>
  </w:endnote>
  <w:endnote w:type="continuationSeparator" w:id="0">
    <w:p w14:paraId="67AA2F8B" w14:textId="77777777" w:rsidR="00B567FA" w:rsidRDefault="00B5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0F7FB2" w14:textId="77777777" w:rsidR="00B567FA" w:rsidRDefault="00B567FA">
      <w:r>
        <w:separator/>
      </w:r>
    </w:p>
  </w:footnote>
  <w:footnote w:type="continuationSeparator" w:id="0">
    <w:p w14:paraId="54484E53" w14:textId="77777777" w:rsidR="00B567FA" w:rsidRDefault="00B56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265751"/>
    <w:multiLevelType w:val="hybridMultilevel"/>
    <w:tmpl w:val="1BB4236E"/>
    <w:lvl w:ilvl="0" w:tplc="C0423B8A">
      <w:start w:val="1"/>
      <w:numFmt w:val="bullet"/>
      <w:lvlText w:val="•"/>
      <w:lvlJc w:val="left"/>
      <w:pPr>
        <w:ind w:left="720" w:hanging="360"/>
      </w:pPr>
    </w:lvl>
    <w:lvl w:ilvl="1" w:tplc="936ADFB0">
      <w:numFmt w:val="decimal"/>
      <w:lvlText w:val=""/>
      <w:lvlJc w:val="left"/>
    </w:lvl>
    <w:lvl w:ilvl="2" w:tplc="04709B8E">
      <w:numFmt w:val="decimal"/>
      <w:lvlText w:val=""/>
      <w:lvlJc w:val="left"/>
    </w:lvl>
    <w:lvl w:ilvl="3" w:tplc="27DC849E">
      <w:numFmt w:val="decimal"/>
      <w:lvlText w:val=""/>
      <w:lvlJc w:val="left"/>
    </w:lvl>
    <w:lvl w:ilvl="4" w:tplc="35FC8BD8">
      <w:numFmt w:val="decimal"/>
      <w:lvlText w:val=""/>
      <w:lvlJc w:val="left"/>
    </w:lvl>
    <w:lvl w:ilvl="5" w:tplc="7B0C1C26">
      <w:numFmt w:val="decimal"/>
      <w:lvlText w:val=""/>
      <w:lvlJc w:val="left"/>
    </w:lvl>
    <w:lvl w:ilvl="6" w:tplc="59522066">
      <w:numFmt w:val="decimal"/>
      <w:lvlText w:val=""/>
      <w:lvlJc w:val="left"/>
    </w:lvl>
    <w:lvl w:ilvl="7" w:tplc="548A91D4">
      <w:numFmt w:val="decimal"/>
      <w:lvlText w:val=""/>
      <w:lvlJc w:val="left"/>
    </w:lvl>
    <w:lvl w:ilvl="8" w:tplc="F1142D92">
      <w:numFmt w:val="decimal"/>
      <w:lvlText w:val=""/>
      <w:lvlJc w:val="left"/>
    </w:lvl>
  </w:abstractNum>
  <w:abstractNum w:abstractNumId="1" w15:restartNumberingAfterBreak="0">
    <w:nsid w:val="609F78CF"/>
    <w:multiLevelType w:val="hybridMultilevel"/>
    <w:tmpl w:val="F4A86DDE"/>
    <w:lvl w:ilvl="0" w:tplc="7C7C1DA0">
      <w:start w:val="1"/>
      <w:numFmt w:val="bullet"/>
      <w:lvlText w:val="●"/>
      <w:lvlJc w:val="left"/>
      <w:pPr>
        <w:ind w:left="720" w:hanging="360"/>
      </w:pPr>
    </w:lvl>
    <w:lvl w:ilvl="1" w:tplc="D2DCE7D2">
      <w:start w:val="1"/>
      <w:numFmt w:val="bullet"/>
      <w:lvlText w:val="○"/>
      <w:lvlJc w:val="left"/>
      <w:pPr>
        <w:ind w:left="1440" w:hanging="360"/>
      </w:pPr>
    </w:lvl>
    <w:lvl w:ilvl="2" w:tplc="27DEE254">
      <w:start w:val="1"/>
      <w:numFmt w:val="bullet"/>
      <w:lvlText w:val="■"/>
      <w:lvlJc w:val="left"/>
      <w:pPr>
        <w:ind w:left="2160" w:hanging="360"/>
      </w:pPr>
    </w:lvl>
    <w:lvl w:ilvl="3" w:tplc="6EB0E6E0">
      <w:start w:val="1"/>
      <w:numFmt w:val="bullet"/>
      <w:lvlText w:val="●"/>
      <w:lvlJc w:val="left"/>
      <w:pPr>
        <w:ind w:left="2880" w:hanging="360"/>
      </w:pPr>
    </w:lvl>
    <w:lvl w:ilvl="4" w:tplc="CB261F36">
      <w:start w:val="1"/>
      <w:numFmt w:val="bullet"/>
      <w:lvlText w:val="○"/>
      <w:lvlJc w:val="left"/>
      <w:pPr>
        <w:ind w:left="3600" w:hanging="360"/>
      </w:pPr>
    </w:lvl>
    <w:lvl w:ilvl="5" w:tplc="AACE1DD4">
      <w:start w:val="1"/>
      <w:numFmt w:val="bullet"/>
      <w:lvlText w:val="■"/>
      <w:lvlJc w:val="left"/>
      <w:pPr>
        <w:ind w:left="4320" w:hanging="360"/>
      </w:pPr>
    </w:lvl>
    <w:lvl w:ilvl="6" w:tplc="D44287D4">
      <w:start w:val="1"/>
      <w:numFmt w:val="bullet"/>
      <w:lvlText w:val="●"/>
      <w:lvlJc w:val="left"/>
      <w:pPr>
        <w:ind w:left="5040" w:hanging="360"/>
      </w:pPr>
    </w:lvl>
    <w:lvl w:ilvl="7" w:tplc="473E9E1A">
      <w:start w:val="1"/>
      <w:numFmt w:val="bullet"/>
      <w:lvlText w:val="●"/>
      <w:lvlJc w:val="left"/>
      <w:pPr>
        <w:ind w:left="5760" w:hanging="360"/>
      </w:pPr>
    </w:lvl>
    <w:lvl w:ilvl="8" w:tplc="F3801C20">
      <w:start w:val="1"/>
      <w:numFmt w:val="bullet"/>
      <w:lvlText w:val="●"/>
      <w:lvlJc w:val="left"/>
      <w:pPr>
        <w:ind w:left="6480" w:hanging="360"/>
      </w:pPr>
    </w:lvl>
  </w:abstractNum>
  <w:num w:numId="1" w16cid:durableId="36517923">
    <w:abstractNumId w:val="1"/>
    <w:lvlOverride w:ilvl="0">
      <w:startOverride w:val="1"/>
    </w:lvlOverride>
  </w:num>
  <w:num w:numId="2" w16cid:durableId="125051414">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ORNA RABINOVICH">
    <w15:presenceInfo w15:providerId="Windows Live" w15:userId="a52bc6cd59f54a30"/>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90C"/>
    <w:rsid w:val="000364B6"/>
    <w:rsid w:val="00044676"/>
    <w:rsid w:val="00061149"/>
    <w:rsid w:val="00084125"/>
    <w:rsid w:val="00085537"/>
    <w:rsid w:val="000C4C41"/>
    <w:rsid w:val="000D06C6"/>
    <w:rsid w:val="000E4128"/>
    <w:rsid w:val="001335AF"/>
    <w:rsid w:val="00144454"/>
    <w:rsid w:val="00144C24"/>
    <w:rsid w:val="00147BFA"/>
    <w:rsid w:val="0016180B"/>
    <w:rsid w:val="00182EDC"/>
    <w:rsid w:val="001A2F12"/>
    <w:rsid w:val="001E6DE5"/>
    <w:rsid w:val="00227685"/>
    <w:rsid w:val="00296233"/>
    <w:rsid w:val="002E0D1B"/>
    <w:rsid w:val="0032348D"/>
    <w:rsid w:val="003378E6"/>
    <w:rsid w:val="003C1C5C"/>
    <w:rsid w:val="003C76A5"/>
    <w:rsid w:val="004A23A8"/>
    <w:rsid w:val="004B0382"/>
    <w:rsid w:val="004C5820"/>
    <w:rsid w:val="004E2FBA"/>
    <w:rsid w:val="005145FF"/>
    <w:rsid w:val="005259AD"/>
    <w:rsid w:val="00532689"/>
    <w:rsid w:val="00573C3F"/>
    <w:rsid w:val="00594F6A"/>
    <w:rsid w:val="005F5ED3"/>
    <w:rsid w:val="0062126C"/>
    <w:rsid w:val="00632D25"/>
    <w:rsid w:val="00661039"/>
    <w:rsid w:val="0069265B"/>
    <w:rsid w:val="006D42DC"/>
    <w:rsid w:val="00710832"/>
    <w:rsid w:val="00713C69"/>
    <w:rsid w:val="0072286A"/>
    <w:rsid w:val="0074775A"/>
    <w:rsid w:val="007662C2"/>
    <w:rsid w:val="007B5806"/>
    <w:rsid w:val="007D369D"/>
    <w:rsid w:val="007F2D46"/>
    <w:rsid w:val="007F4C9E"/>
    <w:rsid w:val="00830264"/>
    <w:rsid w:val="00832AC5"/>
    <w:rsid w:val="0083318D"/>
    <w:rsid w:val="0087607E"/>
    <w:rsid w:val="00883BC2"/>
    <w:rsid w:val="008A12CD"/>
    <w:rsid w:val="00901BB4"/>
    <w:rsid w:val="00945D19"/>
    <w:rsid w:val="009F37C4"/>
    <w:rsid w:val="00A040CE"/>
    <w:rsid w:val="00A73448"/>
    <w:rsid w:val="00A84B3B"/>
    <w:rsid w:val="00A9132C"/>
    <w:rsid w:val="00AA11B3"/>
    <w:rsid w:val="00AF3C9E"/>
    <w:rsid w:val="00B567FA"/>
    <w:rsid w:val="00B603CD"/>
    <w:rsid w:val="00B7290C"/>
    <w:rsid w:val="00BE6E66"/>
    <w:rsid w:val="00BF1C5C"/>
    <w:rsid w:val="00C213FB"/>
    <w:rsid w:val="00C23D6C"/>
    <w:rsid w:val="00C56A1A"/>
    <w:rsid w:val="00C76130"/>
    <w:rsid w:val="00D76F13"/>
    <w:rsid w:val="00DC6A8D"/>
    <w:rsid w:val="00E00CF0"/>
    <w:rsid w:val="00E92BEB"/>
    <w:rsid w:val="00EF2DA8"/>
    <w:rsid w:val="00F01531"/>
    <w:rsid w:val="00FD4D64"/>
    <w:rsid w:val="00FF5136"/>
    <w:rsid w:val="00FF562E"/>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96C9A"/>
  <w15:docId w15:val="{440CE05E-0C10-3640-86AE-5F3CBCA4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L"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A040CE"/>
    <w:rPr>
      <w:sz w:val="16"/>
      <w:szCs w:val="16"/>
    </w:rPr>
  </w:style>
  <w:style w:type="paragraph" w:styleId="CommentText">
    <w:name w:val="annotation text"/>
    <w:basedOn w:val="Normal"/>
    <w:link w:val="CommentTextChar"/>
    <w:uiPriority w:val="99"/>
    <w:semiHidden/>
    <w:unhideWhenUsed/>
    <w:rsid w:val="00A040CE"/>
  </w:style>
  <w:style w:type="character" w:customStyle="1" w:styleId="CommentTextChar">
    <w:name w:val="Comment Text Char"/>
    <w:basedOn w:val="DefaultParagraphFont"/>
    <w:link w:val="CommentText"/>
    <w:uiPriority w:val="99"/>
    <w:semiHidden/>
    <w:rsid w:val="00A040CE"/>
  </w:style>
  <w:style w:type="paragraph" w:styleId="CommentSubject">
    <w:name w:val="annotation subject"/>
    <w:basedOn w:val="CommentText"/>
    <w:next w:val="CommentText"/>
    <w:link w:val="CommentSubjectChar"/>
    <w:uiPriority w:val="99"/>
    <w:semiHidden/>
    <w:unhideWhenUsed/>
    <w:rsid w:val="00A040CE"/>
    <w:rPr>
      <w:b/>
      <w:bCs/>
    </w:rPr>
  </w:style>
  <w:style w:type="character" w:customStyle="1" w:styleId="CommentSubjectChar">
    <w:name w:val="Comment Subject Char"/>
    <w:basedOn w:val="CommentTextChar"/>
    <w:link w:val="CommentSubject"/>
    <w:uiPriority w:val="99"/>
    <w:semiHidden/>
    <w:rsid w:val="00A040CE"/>
    <w:rPr>
      <w:b/>
      <w:bCs/>
    </w:rPr>
  </w:style>
  <w:style w:type="paragraph" w:customStyle="1" w:styleId="isselectedend">
    <w:name w:val="isselectedend"/>
    <w:basedOn w:val="Normal"/>
    <w:rsid w:val="00C76130"/>
    <w:pPr>
      <w:spacing w:before="100" w:beforeAutospacing="1" w:after="100" w:afterAutospacing="1"/>
    </w:pPr>
    <w:rPr>
      <w:sz w:val="24"/>
      <w:szCs w:val="24"/>
    </w:rPr>
  </w:style>
  <w:style w:type="character" w:styleId="Strong">
    <w:name w:val="Strong"/>
    <w:basedOn w:val="DefaultParagraphFont"/>
    <w:uiPriority w:val="22"/>
    <w:qFormat/>
    <w:rsid w:val="00C76130"/>
    <w:rPr>
      <w:b/>
      <w:bCs/>
    </w:rPr>
  </w:style>
  <w:style w:type="character" w:styleId="Emphasis">
    <w:name w:val="Emphasis"/>
    <w:basedOn w:val="DefaultParagraphFont"/>
    <w:uiPriority w:val="20"/>
    <w:qFormat/>
    <w:rsid w:val="00C76130"/>
    <w:rPr>
      <w:i/>
      <w:iCs/>
    </w:rPr>
  </w:style>
  <w:style w:type="paragraph" w:styleId="NormalWeb">
    <w:name w:val="Normal (Web)"/>
    <w:basedOn w:val="Normal"/>
    <w:uiPriority w:val="99"/>
    <w:unhideWhenUsed/>
    <w:rsid w:val="00C76130"/>
    <w:pPr>
      <w:spacing w:before="100" w:beforeAutospacing="1" w:after="100" w:afterAutospacing="1"/>
    </w:pPr>
    <w:rPr>
      <w:sz w:val="24"/>
      <w:szCs w:val="24"/>
    </w:rPr>
  </w:style>
  <w:style w:type="paragraph" w:customStyle="1" w:styleId="pdq2pgselectionanchorcontainer">
    <w:name w:val="pdq2pg_selectionanchorcontainer"/>
    <w:basedOn w:val="Normal"/>
    <w:rsid w:val="000D06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8308</Words>
  <Characters>47361</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ORNA RABINOVICH</cp:lastModifiedBy>
  <cp:revision>2</cp:revision>
  <dcterms:created xsi:type="dcterms:W3CDTF">2026-08-09T20:44:00Z</dcterms:created>
  <dcterms:modified xsi:type="dcterms:W3CDTF">2026-08-09T20:44:00Z</dcterms:modified>
</cp:coreProperties>
</file>