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000001" w14:textId="77777777" w:rsidR="00FD5325" w:rsidRDefault="001A3EF3">
      <w:pPr>
        <w:spacing w:after="0" w:line="240" w:lineRule="auto"/>
        <w:rPr>
          <w:b/>
          <w:bCs/>
          <w:sz w:val="28"/>
          <w:szCs w:val="28"/>
        </w:rPr>
      </w:pPr>
      <w:r>
        <w:rPr>
          <w:b/>
          <w:bCs/>
          <w:sz w:val="28"/>
          <w:szCs w:val="28"/>
        </w:rPr>
        <w:t>Internal Wars: The Early Muslim World</w:t>
      </w:r>
    </w:p>
    <w:p w14:paraId="00000002" w14:textId="77777777" w:rsidR="00FD5325" w:rsidRDefault="00FD5325">
      <w:pPr>
        <w:spacing w:after="0" w:line="240" w:lineRule="auto"/>
        <w:rPr>
          <w:i/>
          <w:iCs/>
          <w:sz w:val="24"/>
          <w:szCs w:val="24"/>
        </w:rPr>
      </w:pPr>
    </w:p>
    <w:p w14:paraId="00000003" w14:textId="77777777" w:rsidR="00FD5325" w:rsidRDefault="001A3EF3">
      <w:pPr>
        <w:spacing w:after="0" w:line="240" w:lineRule="auto"/>
        <w:rPr>
          <w:i/>
          <w:iCs/>
          <w:sz w:val="24"/>
          <w:szCs w:val="24"/>
        </w:rPr>
      </w:pPr>
      <w:r>
        <w:rPr>
          <w:i/>
          <w:iCs/>
          <w:sz w:val="24"/>
          <w:szCs w:val="24"/>
        </w:rPr>
        <w:t>Lutz Berger</w:t>
      </w:r>
    </w:p>
    <w:p w14:paraId="00000004" w14:textId="77777777" w:rsidR="00FD5325" w:rsidRDefault="00FD5325">
      <w:pPr>
        <w:spacing w:after="0" w:line="240" w:lineRule="auto"/>
        <w:rPr>
          <w:sz w:val="24"/>
          <w:szCs w:val="24"/>
        </w:rPr>
      </w:pPr>
    </w:p>
    <w:p w14:paraId="00000005" w14:textId="07C9C9F5" w:rsidR="00FD5325" w:rsidRDefault="001A3EF3">
      <w:pPr>
        <w:spacing w:after="0" w:line="240" w:lineRule="auto"/>
        <w:rPr>
          <w:sz w:val="24"/>
          <w:szCs w:val="24"/>
        </w:rPr>
      </w:pPr>
      <w:r>
        <w:rPr>
          <w:sz w:val="24"/>
          <w:szCs w:val="24"/>
        </w:rPr>
        <w:t xml:space="preserve">In this </w:t>
      </w:r>
      <w:proofErr w:type="spellStart"/>
      <w:r>
        <w:rPr>
          <w:sz w:val="24"/>
          <w:szCs w:val="24"/>
        </w:rPr>
        <w:t>chaper</w:t>
      </w:r>
      <w:proofErr w:type="spellEnd"/>
      <w:r>
        <w:rPr>
          <w:sz w:val="24"/>
          <w:szCs w:val="24"/>
        </w:rPr>
        <w:t xml:space="preserve"> </w:t>
      </w:r>
      <w:r>
        <w:rPr>
          <w:sz w:val="24"/>
          <w:szCs w:val="24"/>
        </w:rPr>
        <w:t>I want to discuss a number of questions that seem to me of importance concerning early Islamic internal wars. Most of these have not been addressed in a systematic or coherent way in the literature on early Islam although the literature contains many impor</w:t>
      </w:r>
      <w:r>
        <w:rPr>
          <w:sz w:val="24"/>
          <w:szCs w:val="24"/>
        </w:rPr>
        <w:t xml:space="preserve">tant hints on how internal wars in early Islam functioned. This </w:t>
      </w:r>
      <w:r>
        <w:rPr>
          <w:sz w:val="24"/>
          <w:szCs w:val="24"/>
        </w:rPr>
        <w:t xml:space="preserve">chapter </w:t>
      </w:r>
      <w:r>
        <w:rPr>
          <w:sz w:val="24"/>
          <w:szCs w:val="24"/>
        </w:rPr>
        <w:t>will not provide new information but rather proposes fields of research that it seems to me should be more systematically addressed in the future. After a short overview of great</w:t>
      </w:r>
      <w:r>
        <w:rPr>
          <w:sz w:val="24"/>
          <w:szCs w:val="24"/>
        </w:rPr>
        <w:t xml:space="preserve"> internal wars in early Islam, a first point must be, of course, to define “internal wars”. Then I try to look into the mechanisms of party-formation and how leaders of such parties emerged, before looking into ways such wars were brought to an end and how</w:t>
      </w:r>
      <w:r>
        <w:rPr>
          <w:sz w:val="24"/>
          <w:szCs w:val="24"/>
        </w:rPr>
        <w:t xml:space="preserve"> they affected social and political structures within the early Islamic polity. </w:t>
      </w:r>
    </w:p>
    <w:p w14:paraId="00000006" w14:textId="77777777" w:rsidR="00FD5325" w:rsidRDefault="00FD5325">
      <w:pPr>
        <w:spacing w:after="0" w:line="240" w:lineRule="auto"/>
        <w:ind w:firstLine="566"/>
        <w:rPr>
          <w:sz w:val="24"/>
          <w:szCs w:val="24"/>
        </w:rPr>
      </w:pPr>
    </w:p>
    <w:p w14:paraId="00000007" w14:textId="77777777" w:rsidR="00FD5325" w:rsidRDefault="001A3EF3">
      <w:pPr>
        <w:spacing w:after="0" w:line="240" w:lineRule="auto"/>
        <w:rPr>
          <w:b/>
          <w:bCs/>
          <w:sz w:val="24"/>
          <w:szCs w:val="24"/>
        </w:rPr>
      </w:pPr>
      <w:r>
        <w:rPr>
          <w:b/>
          <w:bCs/>
          <w:sz w:val="24"/>
          <w:szCs w:val="24"/>
        </w:rPr>
        <w:t>1. The Big Internal Wars of Early Islam: A Very Short Overview</w:t>
      </w:r>
      <w:r>
        <w:rPr>
          <w:b/>
          <w:bCs/>
          <w:sz w:val="24"/>
          <w:szCs w:val="24"/>
          <w:vertAlign w:val="superscript"/>
        </w:rPr>
        <w:footnoteReference w:id="1"/>
      </w:r>
    </w:p>
    <w:p w14:paraId="00000008" w14:textId="77777777" w:rsidR="00FD5325" w:rsidRDefault="00FD5325">
      <w:pPr>
        <w:spacing w:after="0" w:line="240" w:lineRule="auto"/>
        <w:ind w:firstLine="566"/>
        <w:rPr>
          <w:sz w:val="24"/>
          <w:szCs w:val="24"/>
        </w:rPr>
      </w:pPr>
    </w:p>
    <w:p w14:paraId="00000009" w14:textId="0CE38134" w:rsidR="00FD5325" w:rsidRDefault="001A3EF3">
      <w:pPr>
        <w:spacing w:after="0" w:line="240" w:lineRule="auto"/>
        <w:rPr>
          <w:sz w:val="24"/>
          <w:szCs w:val="24"/>
        </w:rPr>
      </w:pPr>
      <w:r>
        <w:rPr>
          <w:sz w:val="24"/>
          <w:szCs w:val="24"/>
        </w:rPr>
        <w:t>A number of conflicts in early Islamic times can be safely called “internal war”. To start with, there are th</w:t>
      </w:r>
      <w:r>
        <w:rPr>
          <w:sz w:val="24"/>
          <w:szCs w:val="24"/>
        </w:rPr>
        <w:t>e two great “</w:t>
      </w:r>
      <w:proofErr w:type="spellStart"/>
      <w:r>
        <w:rPr>
          <w:i/>
          <w:iCs/>
          <w:sz w:val="24"/>
          <w:szCs w:val="24"/>
        </w:rPr>
        <w:t>Fitna</w:t>
      </w:r>
      <w:r>
        <w:rPr>
          <w:sz w:val="24"/>
          <w:szCs w:val="24"/>
        </w:rPr>
        <w:t>s</w:t>
      </w:r>
      <w:proofErr w:type="spellEnd"/>
      <w:r>
        <w:rPr>
          <w:sz w:val="24"/>
          <w:szCs w:val="24"/>
        </w:rPr>
        <w:t>” (656</w:t>
      </w:r>
      <w:r>
        <w:rPr>
          <w:sz w:val="24"/>
          <w:szCs w:val="24"/>
        </w:rPr>
        <w:t>–</w:t>
      </w:r>
      <w:r>
        <w:rPr>
          <w:sz w:val="24"/>
          <w:szCs w:val="24"/>
        </w:rPr>
        <w:t>661 and 680</w:t>
      </w:r>
      <w:r>
        <w:rPr>
          <w:sz w:val="24"/>
          <w:szCs w:val="24"/>
        </w:rPr>
        <w:t>–</w:t>
      </w:r>
      <w:r>
        <w:rPr>
          <w:sz w:val="24"/>
          <w:szCs w:val="24"/>
        </w:rPr>
        <w:t xml:space="preserve">692). The first was fought after the murder of the caliph ‘Uthman accused </w:t>
      </w:r>
      <w:r>
        <w:rPr>
          <w:i/>
          <w:iCs/>
          <w:sz w:val="24"/>
          <w:szCs w:val="24"/>
        </w:rPr>
        <w:t>inter alia</w:t>
      </w:r>
      <w:r>
        <w:rPr>
          <w:sz w:val="24"/>
          <w:szCs w:val="24"/>
        </w:rPr>
        <w:t xml:space="preserve"> of nepotism and unfair distribution of the spoils of victory at the expense of provincials. His successor ‘Ali was not able to brin</w:t>
      </w:r>
      <w:r>
        <w:rPr>
          <w:sz w:val="24"/>
          <w:szCs w:val="24"/>
        </w:rPr>
        <w:t xml:space="preserve">g the murderers to justice as they were his supporters. War was inevitable when ‘Uthman’s relative </w:t>
      </w:r>
      <w:proofErr w:type="spellStart"/>
      <w:r>
        <w:rPr>
          <w:sz w:val="24"/>
          <w:szCs w:val="24"/>
        </w:rPr>
        <w:t>Mu’awiya</w:t>
      </w:r>
      <w:proofErr w:type="spellEnd"/>
      <w:r>
        <w:rPr>
          <w:sz w:val="24"/>
          <w:szCs w:val="24"/>
        </w:rPr>
        <w:t xml:space="preserve">, the governor of Syria, insisted on punishment for the regicides. The second </w:t>
      </w:r>
      <w:proofErr w:type="spellStart"/>
      <w:r>
        <w:rPr>
          <w:i/>
          <w:iCs/>
          <w:sz w:val="24"/>
          <w:szCs w:val="24"/>
        </w:rPr>
        <w:t>Fitna</w:t>
      </w:r>
      <w:proofErr w:type="spellEnd"/>
      <w:r>
        <w:rPr>
          <w:sz w:val="24"/>
          <w:szCs w:val="24"/>
        </w:rPr>
        <w:t xml:space="preserve"> started when after the death of </w:t>
      </w:r>
      <w:proofErr w:type="spellStart"/>
      <w:r>
        <w:rPr>
          <w:sz w:val="24"/>
          <w:szCs w:val="24"/>
        </w:rPr>
        <w:t>Mu’awiya</w:t>
      </w:r>
      <w:proofErr w:type="spellEnd"/>
      <w:r>
        <w:rPr>
          <w:sz w:val="24"/>
          <w:szCs w:val="24"/>
        </w:rPr>
        <w:t xml:space="preserve"> the enemies of the Umayy</w:t>
      </w:r>
      <w:r>
        <w:rPr>
          <w:sz w:val="24"/>
          <w:szCs w:val="24"/>
        </w:rPr>
        <w:t xml:space="preserve">ads thought their chance had come to topple the ruling family. Both these civil wars were conflicts among different factions of leading Muslims which grounded their legitimacy on their proximity to the prophet and their standing in Meccan society. Leaders </w:t>
      </w:r>
      <w:r>
        <w:rPr>
          <w:sz w:val="24"/>
          <w:szCs w:val="24"/>
        </w:rPr>
        <w:t>tried to gain support from different groups of clients, malcontents and tribal networks (s. below). In the end it was the Umayyad family which seems to have dominated Mecca before Islam and then had created itself a solid base among Arab tribal groups in S</w:t>
      </w:r>
      <w:r>
        <w:rPr>
          <w:sz w:val="24"/>
          <w:szCs w:val="24"/>
        </w:rPr>
        <w:t>yria which both times gained the upper hand. Those among the contenders for leadership who rather tried to base themselves on the conflicting interests of different military units in Iraq or tried to continue rule from the now peripheral Hejaz found themse</w:t>
      </w:r>
      <w:r>
        <w:rPr>
          <w:sz w:val="24"/>
          <w:szCs w:val="24"/>
        </w:rPr>
        <w:t>lves on the losing sides.</w:t>
      </w:r>
      <w:r>
        <w:rPr>
          <w:sz w:val="24"/>
          <w:szCs w:val="24"/>
          <w:vertAlign w:val="superscript"/>
        </w:rPr>
        <w:footnoteReference w:id="2"/>
      </w:r>
      <w:r>
        <w:rPr>
          <w:sz w:val="24"/>
          <w:szCs w:val="24"/>
        </w:rPr>
        <w:t xml:space="preserve"> </w:t>
      </w:r>
    </w:p>
    <w:p w14:paraId="0000000A" w14:textId="64C23FD8" w:rsidR="00FD5325" w:rsidRDefault="001A3EF3">
      <w:pPr>
        <w:spacing w:after="0" w:line="240" w:lineRule="auto"/>
        <w:ind w:firstLine="566"/>
        <w:rPr>
          <w:sz w:val="24"/>
          <w:szCs w:val="24"/>
        </w:rPr>
      </w:pPr>
      <w:r>
        <w:rPr>
          <w:sz w:val="24"/>
          <w:szCs w:val="24"/>
        </w:rPr>
        <w:t xml:space="preserve">The third </w:t>
      </w:r>
      <w:proofErr w:type="spellStart"/>
      <w:r>
        <w:rPr>
          <w:i/>
          <w:iCs/>
          <w:sz w:val="24"/>
          <w:szCs w:val="24"/>
        </w:rPr>
        <w:t>Fitna</w:t>
      </w:r>
      <w:proofErr w:type="spellEnd"/>
      <w:r>
        <w:rPr>
          <w:sz w:val="24"/>
          <w:szCs w:val="24"/>
        </w:rPr>
        <w:t xml:space="preserve"> in the 740</w:t>
      </w:r>
      <w:r>
        <w:rPr>
          <w:sz w:val="24"/>
          <w:szCs w:val="24"/>
        </w:rPr>
        <w:t xml:space="preserve">s ended in the toppling of the Umayyad dynasty in 750 by the Abbasids. While the first and second </w:t>
      </w:r>
      <w:proofErr w:type="spellStart"/>
      <w:r>
        <w:rPr>
          <w:i/>
          <w:iCs/>
          <w:sz w:val="24"/>
          <w:szCs w:val="24"/>
        </w:rPr>
        <w:t>Fitna</w:t>
      </w:r>
      <w:proofErr w:type="spellEnd"/>
      <w:r>
        <w:rPr>
          <w:sz w:val="24"/>
          <w:szCs w:val="24"/>
        </w:rPr>
        <w:t xml:space="preserve"> were to a </w:t>
      </w:r>
      <w:proofErr w:type="gramStart"/>
      <w:r>
        <w:rPr>
          <w:sz w:val="24"/>
          <w:szCs w:val="24"/>
        </w:rPr>
        <w:t>large degree crises of growth</w:t>
      </w:r>
      <w:proofErr w:type="gramEnd"/>
      <w:r>
        <w:rPr>
          <w:sz w:val="24"/>
          <w:szCs w:val="24"/>
        </w:rPr>
        <w:t xml:space="preserve"> </w:t>
      </w:r>
      <w:r>
        <w:rPr>
          <w:sz w:val="24"/>
          <w:szCs w:val="24"/>
        </w:rPr>
        <w:t xml:space="preserve">where </w:t>
      </w:r>
      <w:r>
        <w:rPr>
          <w:sz w:val="24"/>
          <w:szCs w:val="24"/>
        </w:rPr>
        <w:t xml:space="preserve">contenders struggled who should get most of an ever-increasing amount of booty, the third </w:t>
      </w:r>
      <w:proofErr w:type="spellStart"/>
      <w:r>
        <w:rPr>
          <w:i/>
          <w:iCs/>
          <w:sz w:val="24"/>
          <w:szCs w:val="24"/>
        </w:rPr>
        <w:t>Fitna</w:t>
      </w:r>
      <w:proofErr w:type="spellEnd"/>
      <w:r>
        <w:rPr>
          <w:sz w:val="24"/>
          <w:szCs w:val="24"/>
        </w:rPr>
        <w:t xml:space="preserve"> was the consequence of the slowing down of expansion.</w:t>
      </w:r>
      <w:r>
        <w:rPr>
          <w:sz w:val="24"/>
          <w:szCs w:val="24"/>
          <w:vertAlign w:val="superscript"/>
        </w:rPr>
        <w:footnoteReference w:id="3"/>
      </w:r>
      <w:r>
        <w:rPr>
          <w:sz w:val="24"/>
          <w:szCs w:val="24"/>
        </w:rPr>
        <w:t xml:space="preserve"> This reduced the amount of resources that could be generated through warfare. At the same time, the incre</w:t>
      </w:r>
      <w:r>
        <w:rPr>
          <w:sz w:val="24"/>
          <w:szCs w:val="24"/>
        </w:rPr>
        <w:t>ase of provincial unrest had overstretched the capacity of Syria to supply loyal elite armies for the dynasty. The crisis of resources coincided with factionalism within the army that was framed not so much in religious terms but as conflicts among differe</w:t>
      </w:r>
      <w:r>
        <w:rPr>
          <w:sz w:val="24"/>
          <w:szCs w:val="24"/>
        </w:rPr>
        <w:t xml:space="preserve">nt tribal groupings (most prominently northern Arab </w:t>
      </w:r>
      <w:proofErr w:type="spellStart"/>
      <w:r>
        <w:rPr>
          <w:sz w:val="24"/>
          <w:szCs w:val="24"/>
        </w:rPr>
        <w:t>Qays</w:t>
      </w:r>
      <w:proofErr w:type="spellEnd"/>
      <w:r>
        <w:rPr>
          <w:sz w:val="24"/>
          <w:szCs w:val="24"/>
        </w:rPr>
        <w:t xml:space="preserve"> and southern </w:t>
      </w:r>
      <w:proofErr w:type="spellStart"/>
      <w:r>
        <w:rPr>
          <w:sz w:val="24"/>
          <w:szCs w:val="24"/>
        </w:rPr>
        <w:t>Yaman</w:t>
      </w:r>
      <w:proofErr w:type="spellEnd"/>
      <w:r>
        <w:rPr>
          <w:sz w:val="24"/>
          <w:szCs w:val="24"/>
        </w:rPr>
        <w:t xml:space="preserve">). Still, religious expression of discontent was also to be found, both within the ruling family whose princes started toppling </w:t>
      </w:r>
      <w:r>
        <w:rPr>
          <w:sz w:val="24"/>
          <w:szCs w:val="24"/>
        </w:rPr>
        <w:lastRenderedPageBreak/>
        <w:t>each other with dizzying speed,</w:t>
      </w:r>
      <w:r>
        <w:rPr>
          <w:sz w:val="24"/>
          <w:szCs w:val="24"/>
          <w:vertAlign w:val="superscript"/>
        </w:rPr>
        <w:footnoteReference w:id="4"/>
      </w:r>
      <w:r>
        <w:rPr>
          <w:sz w:val="24"/>
          <w:szCs w:val="24"/>
        </w:rPr>
        <w:t xml:space="preserve"> and, more ominously,</w:t>
      </w:r>
      <w:r>
        <w:rPr>
          <w:sz w:val="24"/>
          <w:szCs w:val="24"/>
        </w:rPr>
        <w:t xml:space="preserve"> outside. Most dangerous were groups whose propagandists pretended to speak in favour of the claims of the Prophet’s family. Such claims had legitimacy in the ears of many.</w:t>
      </w:r>
      <w:r>
        <w:rPr>
          <w:sz w:val="24"/>
          <w:szCs w:val="24"/>
          <w:vertAlign w:val="superscript"/>
        </w:rPr>
        <w:footnoteReference w:id="5"/>
      </w:r>
      <w:r>
        <w:rPr>
          <w:sz w:val="24"/>
          <w:szCs w:val="24"/>
        </w:rPr>
        <w:t xml:space="preserve"> The Muslim east which had been a hotbed of Arab intertribal strife during the 740</w:t>
      </w:r>
      <w:r>
        <w:rPr>
          <w:sz w:val="24"/>
          <w:szCs w:val="24"/>
        </w:rPr>
        <w:t>s proved to be an ideal recruiting ground. It was strongly militarised due to its proximity to the Central Asian frontier. A great number of Arab Muslims had dropped out of the military and were discontented to be made to pay taxes like unbelievers. Final</w:t>
      </w:r>
      <w:r>
        <w:rPr>
          <w:sz w:val="24"/>
          <w:szCs w:val="24"/>
        </w:rPr>
        <w:t>ly, there were many converts who felt being treated as second-rank Muslims. All these people were ready to heed the call for “the person from the family of the Prophet everybody would be content with”.  With central troops being scattered here and there, f</w:t>
      </w:r>
      <w:r>
        <w:rPr>
          <w:sz w:val="24"/>
          <w:szCs w:val="24"/>
        </w:rPr>
        <w:t>actional and religious strife all over Syria and Iraq, it was no wonder that the Eastern revolutionaries succeeded in toppling the Umayyad dynasty and installing their Abbasid successors.</w:t>
      </w:r>
    </w:p>
    <w:p w14:paraId="0000000B" w14:textId="77777777" w:rsidR="00FD5325" w:rsidRDefault="001A3EF3">
      <w:pPr>
        <w:spacing w:after="0" w:line="240" w:lineRule="auto"/>
        <w:ind w:firstLine="566"/>
        <w:rPr>
          <w:sz w:val="24"/>
          <w:szCs w:val="24"/>
        </w:rPr>
      </w:pPr>
      <w:r>
        <w:rPr>
          <w:sz w:val="24"/>
          <w:szCs w:val="24"/>
        </w:rPr>
        <w:t>In each of these internal wars a great number, in some regions proba</w:t>
      </w:r>
      <w:r>
        <w:rPr>
          <w:sz w:val="24"/>
          <w:szCs w:val="24"/>
        </w:rPr>
        <w:t>bly the majority of grown-up male Muslims, were involved as actors in one way or the other. The war of succession of the two princely brothers after the death of the caliph Harun al-Rashid in 809, by contrast, was of a different type. While there were some</w:t>
      </w:r>
      <w:r>
        <w:rPr>
          <w:sz w:val="24"/>
          <w:szCs w:val="24"/>
        </w:rPr>
        <w:t xml:space="preserve"> localised Shi’i uprisings with a claim to the caliphate, most of what we see are efforts of local strongmen all over the western provinces from Syria to North Africa to avail themselves of the situation to gain autonomy (or maybe to let themselves be boug</w:t>
      </w:r>
      <w:r>
        <w:rPr>
          <w:sz w:val="24"/>
          <w:szCs w:val="24"/>
        </w:rPr>
        <w:t>ht back into obedience at a price).</w:t>
      </w:r>
      <w:r>
        <w:rPr>
          <w:sz w:val="24"/>
          <w:szCs w:val="24"/>
          <w:vertAlign w:val="superscript"/>
        </w:rPr>
        <w:footnoteReference w:id="6"/>
      </w:r>
      <w:r>
        <w:rPr>
          <w:sz w:val="24"/>
          <w:szCs w:val="24"/>
        </w:rPr>
        <w:t xml:space="preserve"> The number of groups within the community that would claim to participate in the central conflict about who was going to be caliph was quite reduced. The main supporters of the legitimate caliph al-Amin were the </w:t>
      </w:r>
      <w:proofErr w:type="spellStart"/>
      <w:r>
        <w:rPr>
          <w:i/>
          <w:iCs/>
          <w:sz w:val="24"/>
          <w:szCs w:val="24"/>
        </w:rPr>
        <w:t>abna</w:t>
      </w:r>
      <w:proofErr w:type="spellEnd"/>
      <w:r>
        <w:rPr>
          <w:i/>
          <w:iCs/>
          <w:sz w:val="24"/>
          <w:szCs w:val="24"/>
        </w:rPr>
        <w:t>’ a</w:t>
      </w:r>
      <w:r>
        <w:rPr>
          <w:i/>
          <w:iCs/>
          <w:sz w:val="24"/>
          <w:szCs w:val="24"/>
        </w:rPr>
        <w:t>l-</w:t>
      </w:r>
      <w:proofErr w:type="spellStart"/>
      <w:r>
        <w:rPr>
          <w:i/>
          <w:iCs/>
          <w:sz w:val="24"/>
          <w:szCs w:val="24"/>
        </w:rPr>
        <w:t>dawla</w:t>
      </w:r>
      <w:proofErr w:type="spellEnd"/>
      <w:r>
        <w:rPr>
          <w:sz w:val="24"/>
          <w:szCs w:val="24"/>
        </w:rPr>
        <w:t>, the “Sons of the Revolution”. They were the descendants of the eastern troops who had brought the Abbasids into power and had settled in Iraq. For them Harun’s second son al-</w:t>
      </w:r>
      <w:proofErr w:type="spellStart"/>
      <w:r>
        <w:rPr>
          <w:sz w:val="24"/>
          <w:szCs w:val="24"/>
        </w:rPr>
        <w:t>Ma’mun</w:t>
      </w:r>
      <w:proofErr w:type="spellEnd"/>
      <w:r>
        <w:rPr>
          <w:sz w:val="24"/>
          <w:szCs w:val="24"/>
        </w:rPr>
        <w:t xml:space="preserve"> was a threat to their interests. He represented elites of the east</w:t>
      </w:r>
      <w:r>
        <w:rPr>
          <w:sz w:val="24"/>
          <w:szCs w:val="24"/>
        </w:rPr>
        <w:t xml:space="preserve"> who didn’t accept that a great part of the east’s resources was still transferred to the </w:t>
      </w:r>
      <w:proofErr w:type="spellStart"/>
      <w:r>
        <w:rPr>
          <w:i/>
          <w:iCs/>
          <w:sz w:val="24"/>
          <w:szCs w:val="24"/>
        </w:rPr>
        <w:t>abna</w:t>
      </w:r>
      <w:proofErr w:type="spellEnd"/>
      <w:r>
        <w:rPr>
          <w:i/>
          <w:iCs/>
          <w:sz w:val="24"/>
          <w:szCs w:val="24"/>
        </w:rPr>
        <w:t>’</w:t>
      </w:r>
      <w:r>
        <w:rPr>
          <w:sz w:val="24"/>
          <w:szCs w:val="24"/>
        </w:rPr>
        <w:t xml:space="preserve"> in Baghdad. In the end, the </w:t>
      </w:r>
      <w:proofErr w:type="spellStart"/>
      <w:r>
        <w:rPr>
          <w:i/>
          <w:iCs/>
          <w:sz w:val="24"/>
          <w:szCs w:val="24"/>
        </w:rPr>
        <w:t>abna</w:t>
      </w:r>
      <w:proofErr w:type="spellEnd"/>
      <w:r>
        <w:rPr>
          <w:i/>
          <w:iCs/>
          <w:sz w:val="24"/>
          <w:szCs w:val="24"/>
        </w:rPr>
        <w:t>’</w:t>
      </w:r>
      <w:r>
        <w:rPr>
          <w:sz w:val="24"/>
          <w:szCs w:val="24"/>
        </w:rPr>
        <w:t xml:space="preserve"> and the Baghdadi populace who supported al-Amin were no match for the eastern army. Al-</w:t>
      </w:r>
      <w:proofErr w:type="spellStart"/>
      <w:r>
        <w:rPr>
          <w:sz w:val="24"/>
          <w:szCs w:val="24"/>
        </w:rPr>
        <w:t>Ma’mun</w:t>
      </w:r>
      <w:proofErr w:type="spellEnd"/>
      <w:r>
        <w:rPr>
          <w:sz w:val="24"/>
          <w:szCs w:val="24"/>
        </w:rPr>
        <w:t>, after some tarrying, settled do</w:t>
      </w:r>
      <w:r>
        <w:rPr>
          <w:sz w:val="24"/>
          <w:szCs w:val="24"/>
        </w:rPr>
        <w:t>wn in Baghdad surrounded by parts of the eastern army that had brought him to power.</w:t>
      </w:r>
      <w:r>
        <w:rPr>
          <w:sz w:val="24"/>
          <w:szCs w:val="24"/>
          <w:vertAlign w:val="superscript"/>
        </w:rPr>
        <w:footnoteReference w:id="7"/>
      </w:r>
      <w:r>
        <w:rPr>
          <w:sz w:val="24"/>
          <w:szCs w:val="24"/>
        </w:rPr>
        <w:t xml:space="preserve"> </w:t>
      </w:r>
    </w:p>
    <w:p w14:paraId="0000000C" w14:textId="77777777" w:rsidR="00FD5325" w:rsidRDefault="001A3EF3">
      <w:pPr>
        <w:spacing w:after="0" w:line="240" w:lineRule="auto"/>
        <w:ind w:firstLine="566"/>
        <w:rPr>
          <w:sz w:val="24"/>
          <w:szCs w:val="24"/>
        </w:rPr>
      </w:pPr>
      <w:r>
        <w:rPr>
          <w:sz w:val="24"/>
          <w:szCs w:val="24"/>
        </w:rPr>
        <w:t>The military crisis of the third and fourth civil wars had led to a loss of control over the peripheries in the far west and far east of the Empire (</w:t>
      </w:r>
      <w:proofErr w:type="spellStart"/>
      <w:r>
        <w:rPr>
          <w:sz w:val="24"/>
          <w:szCs w:val="24"/>
        </w:rPr>
        <w:t>al-Andalus</w:t>
      </w:r>
      <w:proofErr w:type="spellEnd"/>
      <w:r>
        <w:rPr>
          <w:sz w:val="24"/>
          <w:szCs w:val="24"/>
        </w:rPr>
        <w:t>, the Magh</w:t>
      </w:r>
      <w:r>
        <w:rPr>
          <w:sz w:val="24"/>
          <w:szCs w:val="24"/>
        </w:rPr>
        <w:t>reb, Central Asia, Khurasan), but the centre still held. At the end of the 9</w:t>
      </w:r>
      <w:r>
        <w:rPr>
          <w:sz w:val="24"/>
          <w:szCs w:val="24"/>
          <w:vertAlign w:val="superscript"/>
        </w:rPr>
        <w:t>th</w:t>
      </w:r>
      <w:r>
        <w:rPr>
          <w:sz w:val="24"/>
          <w:szCs w:val="24"/>
        </w:rPr>
        <w:t xml:space="preserve"> century a number of uprisings in and around Iraq, by contrast, destroyed the financial basis of Abbasid power. This and the increasing rootedness of Muslims in the provinces led</w:t>
      </w:r>
      <w:r>
        <w:rPr>
          <w:sz w:val="24"/>
          <w:szCs w:val="24"/>
        </w:rPr>
        <w:t xml:space="preserve"> to the establishment of a number of polities which for all practical purposes were independent of each other, although some still recognized the caliph as figurehead.</w:t>
      </w:r>
      <w:r>
        <w:rPr>
          <w:sz w:val="24"/>
          <w:szCs w:val="24"/>
          <w:vertAlign w:val="superscript"/>
        </w:rPr>
        <w:footnoteReference w:id="8"/>
      </w:r>
      <w:r>
        <w:rPr>
          <w:sz w:val="24"/>
          <w:szCs w:val="24"/>
        </w:rPr>
        <w:t xml:space="preserve"> Conflicts among these powers belonged to the field of “international relations” more th</w:t>
      </w:r>
      <w:r>
        <w:rPr>
          <w:sz w:val="24"/>
          <w:szCs w:val="24"/>
        </w:rPr>
        <w:t>an to the category of internal wars, even if sometimes these conflicts were accompanied by claims to universal rulership within the Muslim world.</w:t>
      </w:r>
    </w:p>
    <w:p w14:paraId="0000000D" w14:textId="77777777" w:rsidR="00FD5325" w:rsidRDefault="00FD5325">
      <w:pPr>
        <w:spacing w:after="0" w:line="240" w:lineRule="auto"/>
        <w:ind w:firstLine="566"/>
        <w:rPr>
          <w:sz w:val="24"/>
          <w:szCs w:val="24"/>
        </w:rPr>
      </w:pPr>
    </w:p>
    <w:p w14:paraId="0000000E" w14:textId="77777777" w:rsidR="00FD5325" w:rsidRDefault="00FD5325">
      <w:pPr>
        <w:spacing w:after="0" w:line="240" w:lineRule="auto"/>
        <w:ind w:firstLine="566"/>
        <w:rPr>
          <w:sz w:val="24"/>
          <w:szCs w:val="24"/>
        </w:rPr>
      </w:pPr>
    </w:p>
    <w:p w14:paraId="0000000F" w14:textId="77777777" w:rsidR="00FD5325" w:rsidRDefault="001A3EF3">
      <w:pPr>
        <w:spacing w:after="0" w:line="240" w:lineRule="auto"/>
        <w:rPr>
          <w:b/>
          <w:bCs/>
          <w:sz w:val="24"/>
          <w:szCs w:val="24"/>
        </w:rPr>
      </w:pPr>
      <w:r>
        <w:rPr>
          <w:b/>
          <w:bCs/>
          <w:sz w:val="24"/>
          <w:szCs w:val="24"/>
        </w:rPr>
        <w:t>2. What is an “Internal War” in Early Islam?</w:t>
      </w:r>
    </w:p>
    <w:p w14:paraId="00000010" w14:textId="77777777" w:rsidR="00FD5325" w:rsidRDefault="001A3EF3">
      <w:pPr>
        <w:spacing w:after="0" w:line="240" w:lineRule="auto"/>
        <w:rPr>
          <w:sz w:val="24"/>
          <w:szCs w:val="24"/>
        </w:rPr>
      </w:pPr>
      <w:r>
        <w:rPr>
          <w:sz w:val="24"/>
          <w:szCs w:val="24"/>
        </w:rPr>
        <w:lastRenderedPageBreak/>
        <w:t>This leads us to questions of definition. What was an “internal</w:t>
      </w:r>
      <w:r>
        <w:rPr>
          <w:sz w:val="24"/>
          <w:szCs w:val="24"/>
        </w:rPr>
        <w:t xml:space="preserve"> war” in early Islam. I would like to discuss both terms: What do we mean by internal, and what do we mean by war in contradistinction to other types of violent conflict? </w:t>
      </w:r>
    </w:p>
    <w:p w14:paraId="00000011" w14:textId="77777777" w:rsidR="00FD5325" w:rsidRDefault="00FD5325">
      <w:pPr>
        <w:spacing w:after="0" w:line="240" w:lineRule="auto"/>
        <w:ind w:firstLine="566"/>
        <w:rPr>
          <w:b/>
          <w:bCs/>
          <w:sz w:val="24"/>
          <w:szCs w:val="24"/>
        </w:rPr>
      </w:pPr>
    </w:p>
    <w:p w14:paraId="00000012" w14:textId="77777777" w:rsidR="00FD5325" w:rsidRDefault="001A3EF3">
      <w:pPr>
        <w:spacing w:after="0" w:line="240" w:lineRule="auto"/>
        <w:rPr>
          <w:b/>
          <w:bCs/>
          <w:sz w:val="24"/>
          <w:szCs w:val="24"/>
        </w:rPr>
      </w:pPr>
      <w:r>
        <w:rPr>
          <w:b/>
          <w:bCs/>
          <w:sz w:val="24"/>
          <w:szCs w:val="24"/>
        </w:rPr>
        <w:t>2.1. Who Constitutes the In-Group?</w:t>
      </w:r>
    </w:p>
    <w:p w14:paraId="00000013" w14:textId="77777777" w:rsidR="00FD5325" w:rsidRDefault="00FD5325">
      <w:pPr>
        <w:spacing w:after="0" w:line="240" w:lineRule="auto"/>
        <w:rPr>
          <w:sz w:val="24"/>
          <w:szCs w:val="24"/>
        </w:rPr>
      </w:pPr>
    </w:p>
    <w:p w14:paraId="00000014" w14:textId="0B18378F" w:rsidR="00FD5325" w:rsidRDefault="001A3EF3">
      <w:pPr>
        <w:spacing w:after="0" w:line="240" w:lineRule="auto"/>
        <w:rPr>
          <w:sz w:val="24"/>
          <w:szCs w:val="24"/>
        </w:rPr>
      </w:pPr>
      <w:r>
        <w:rPr>
          <w:sz w:val="24"/>
          <w:szCs w:val="24"/>
        </w:rPr>
        <w:t>The early Muslim empire differed from the Roman</w:t>
      </w:r>
      <w:r>
        <w:rPr>
          <w:sz w:val="24"/>
          <w:szCs w:val="24"/>
        </w:rPr>
        <w:t xml:space="preserve"> Empire after 212 in that not all its free inhabitants were its citizens. In the late Roman case, every free male could theoretically make a claim to legitimate political participation, although in practice of course, this held true only for soldiers and s</w:t>
      </w:r>
      <w:r>
        <w:rPr>
          <w:sz w:val="24"/>
          <w:szCs w:val="24"/>
        </w:rPr>
        <w:t>ome elites. Muslim societies have never reached this point of theoretical civic integration before the 19</w:t>
      </w:r>
      <w:r>
        <w:rPr>
          <w:sz w:val="24"/>
          <w:szCs w:val="24"/>
          <w:vertAlign w:val="superscript"/>
        </w:rPr>
        <w:t>th</w:t>
      </w:r>
      <w:r>
        <w:rPr>
          <w:sz w:val="24"/>
          <w:szCs w:val="24"/>
        </w:rPr>
        <w:t xml:space="preserve"> century. In the beginning, when all free male Muslims could in fact and not only in theory make legitimate political claims, Muslims were a tiny min</w:t>
      </w:r>
      <w:r>
        <w:rPr>
          <w:sz w:val="24"/>
          <w:szCs w:val="24"/>
        </w:rPr>
        <w:t>ority in a sea of other groups which were excluded and whose conversion to Islam was not actively sought.</w:t>
      </w:r>
      <w:r>
        <w:rPr>
          <w:sz w:val="24"/>
          <w:szCs w:val="24"/>
          <w:vertAlign w:val="superscript"/>
        </w:rPr>
        <w:footnoteReference w:id="9"/>
      </w:r>
      <w:r>
        <w:rPr>
          <w:sz w:val="24"/>
          <w:szCs w:val="24"/>
        </w:rPr>
        <w:t xml:space="preserve"> In the context of this </w:t>
      </w:r>
      <w:r>
        <w:rPr>
          <w:sz w:val="24"/>
          <w:szCs w:val="24"/>
        </w:rPr>
        <w:t xml:space="preserve">chapter </w:t>
      </w:r>
      <w:r>
        <w:rPr>
          <w:sz w:val="24"/>
          <w:szCs w:val="24"/>
        </w:rPr>
        <w:t xml:space="preserve">only wars in which Muslims were the main protagonists should be called internal. This would make us leave aside </w:t>
      </w:r>
      <w:r>
        <w:rPr>
          <w:sz w:val="24"/>
          <w:szCs w:val="24"/>
        </w:rPr>
        <w:t>uprisings of non-Muslim groups of which there were quite a few in early Islamic societies. At least in the perspective of our sources this seems to be a legitimate procedure, on the other hand this means that political and military action of those groups w</w:t>
      </w:r>
      <w:r>
        <w:rPr>
          <w:sz w:val="24"/>
          <w:szCs w:val="24"/>
        </w:rPr>
        <w:t xml:space="preserve">ho in most regions formed the vast majority of the population would be left outside the picture. </w:t>
      </w:r>
    </w:p>
    <w:p w14:paraId="00000015" w14:textId="3B18269E" w:rsidR="00FD5325" w:rsidRDefault="001A3EF3">
      <w:pPr>
        <w:spacing w:after="0" w:line="240" w:lineRule="auto"/>
        <w:ind w:firstLine="566"/>
        <w:rPr>
          <w:sz w:val="24"/>
          <w:szCs w:val="24"/>
        </w:rPr>
      </w:pPr>
      <w:r>
        <w:rPr>
          <w:sz w:val="24"/>
          <w:szCs w:val="24"/>
        </w:rPr>
        <w:t>With time, Arab Muslimness and citizenship (in the sense of a legitimate claim to participate in political decision-making) stopped to be overlapping. This wa</w:t>
      </w:r>
      <w:r>
        <w:rPr>
          <w:sz w:val="24"/>
          <w:szCs w:val="24"/>
        </w:rPr>
        <w:t>s the consequence of two distinct processes. On the one hand</w:t>
      </w:r>
      <w:r w:rsidR="00C91B05">
        <w:rPr>
          <w:sz w:val="24"/>
          <w:szCs w:val="24"/>
        </w:rPr>
        <w:t>,</w:t>
      </w:r>
      <w:r>
        <w:rPr>
          <w:sz w:val="24"/>
          <w:szCs w:val="24"/>
        </w:rPr>
        <w:t xml:space="preserve"> Muslims increasingly left the army and settled down as civilians beginning at the end of the 7</w:t>
      </w:r>
      <w:r>
        <w:rPr>
          <w:sz w:val="24"/>
          <w:szCs w:val="24"/>
          <w:vertAlign w:val="superscript"/>
        </w:rPr>
        <w:t>th</w:t>
      </w:r>
      <w:r>
        <w:rPr>
          <w:sz w:val="24"/>
          <w:szCs w:val="24"/>
        </w:rPr>
        <w:t xml:space="preserve"> century. In part, this was a voluntary process, in part it was the result of the Caliphs’ activel</w:t>
      </w:r>
      <w:r>
        <w:rPr>
          <w:sz w:val="24"/>
          <w:szCs w:val="24"/>
        </w:rPr>
        <w:t>y excluding politically non-reliable elements from the military.</w:t>
      </w:r>
      <w:r>
        <w:rPr>
          <w:sz w:val="24"/>
          <w:szCs w:val="24"/>
          <w:vertAlign w:val="superscript"/>
        </w:rPr>
        <w:footnoteReference w:id="10"/>
      </w:r>
      <w:r>
        <w:rPr>
          <w:sz w:val="24"/>
          <w:szCs w:val="24"/>
        </w:rPr>
        <w:t xml:space="preserve"> On the other hand, the number of converts sta</w:t>
      </w:r>
      <w:r>
        <w:rPr>
          <w:sz w:val="24"/>
          <w:szCs w:val="24"/>
        </w:rPr>
        <w:t>r</w:t>
      </w:r>
      <w:r>
        <w:rPr>
          <w:sz w:val="24"/>
          <w:szCs w:val="24"/>
        </w:rPr>
        <w:t>ed to increase in the 8</w:t>
      </w:r>
      <w:r>
        <w:rPr>
          <w:sz w:val="24"/>
          <w:szCs w:val="24"/>
          <w:vertAlign w:val="superscript"/>
        </w:rPr>
        <w:t>th</w:t>
      </w:r>
      <w:r>
        <w:rPr>
          <w:sz w:val="24"/>
          <w:szCs w:val="24"/>
        </w:rPr>
        <w:t xml:space="preserve"> century. These converts did try to assert their political leverage, the Abbasid Revolution of 750 was, according to a common, though not unanimous interpretation, the work of such people.</w:t>
      </w:r>
      <w:r>
        <w:rPr>
          <w:sz w:val="24"/>
          <w:szCs w:val="24"/>
          <w:vertAlign w:val="superscript"/>
        </w:rPr>
        <w:footnoteReference w:id="11"/>
      </w:r>
      <w:r>
        <w:rPr>
          <w:sz w:val="24"/>
          <w:szCs w:val="24"/>
        </w:rPr>
        <w:t xml:space="preserve"> Al-</w:t>
      </w:r>
      <w:proofErr w:type="spellStart"/>
      <w:r>
        <w:rPr>
          <w:sz w:val="24"/>
          <w:szCs w:val="24"/>
        </w:rPr>
        <w:t>Ma’mun</w:t>
      </w:r>
      <w:proofErr w:type="spellEnd"/>
      <w:r>
        <w:rPr>
          <w:sz w:val="24"/>
          <w:szCs w:val="24"/>
        </w:rPr>
        <w:t>, and even more his successors, felt uneasy about being a</w:t>
      </w:r>
      <w:r>
        <w:rPr>
          <w:sz w:val="24"/>
          <w:szCs w:val="24"/>
        </w:rPr>
        <w:t>t the mercy of soldiers who had good claims to participate in the political game at his cost. So, the caliphs (and later other rulers as well) started to substitute civic armies by foreign mercenaries, mostly forcibly converted slaves who quickly became ev</w:t>
      </w:r>
      <w:r>
        <w:rPr>
          <w:sz w:val="24"/>
          <w:szCs w:val="24"/>
        </w:rPr>
        <w:t>er more powerful.</w:t>
      </w:r>
      <w:r>
        <w:rPr>
          <w:sz w:val="24"/>
          <w:szCs w:val="24"/>
          <w:vertAlign w:val="superscript"/>
        </w:rPr>
        <w:footnoteReference w:id="12"/>
      </w:r>
      <w:r>
        <w:rPr>
          <w:sz w:val="24"/>
          <w:szCs w:val="24"/>
        </w:rPr>
        <w:t xml:space="preserve"> But although court factions of leading slave soldiers (and bureaucrats) vied with each other for power in Abbasid times, their concentration at the very centre made violent action on their part often take the form of coups and counter-co</w:t>
      </w:r>
      <w:r>
        <w:rPr>
          <w:sz w:val="24"/>
          <w:szCs w:val="24"/>
        </w:rPr>
        <w:t xml:space="preserve">ups, not of civil wars. </w:t>
      </w:r>
    </w:p>
    <w:p w14:paraId="00000016" w14:textId="77777777" w:rsidR="00FD5325" w:rsidRDefault="001A3EF3">
      <w:pPr>
        <w:spacing w:after="0" w:line="240" w:lineRule="auto"/>
        <w:ind w:firstLine="566"/>
        <w:rPr>
          <w:sz w:val="24"/>
          <w:szCs w:val="24"/>
        </w:rPr>
      </w:pPr>
      <w:r>
        <w:rPr>
          <w:sz w:val="24"/>
          <w:szCs w:val="24"/>
        </w:rPr>
        <w:t>Thus, starting in the early 8</w:t>
      </w:r>
      <w:r>
        <w:rPr>
          <w:sz w:val="24"/>
          <w:szCs w:val="24"/>
          <w:vertAlign w:val="superscript"/>
        </w:rPr>
        <w:t>th</w:t>
      </w:r>
      <w:r>
        <w:rPr>
          <w:sz w:val="24"/>
          <w:szCs w:val="24"/>
        </w:rPr>
        <w:t xml:space="preserve"> century and with the process being more or less complete two centuries later in most regions, legitimate participation in politics came to be transferred from the community of Muslims to a profession</w:t>
      </w:r>
      <w:r>
        <w:rPr>
          <w:sz w:val="24"/>
          <w:szCs w:val="24"/>
        </w:rPr>
        <w:t xml:space="preserve">al military class, a class that was ethnically and / or socially (nomads!) separated not only from non-Muslim subjects, but also </w:t>
      </w:r>
      <w:r>
        <w:rPr>
          <w:sz w:val="24"/>
          <w:szCs w:val="24"/>
        </w:rPr>
        <w:lastRenderedPageBreak/>
        <w:t>from the mass of local Muslims.</w:t>
      </w:r>
      <w:r>
        <w:rPr>
          <w:sz w:val="24"/>
          <w:szCs w:val="24"/>
          <w:vertAlign w:val="superscript"/>
        </w:rPr>
        <w:footnoteReference w:id="13"/>
      </w:r>
      <w:r>
        <w:rPr>
          <w:sz w:val="24"/>
          <w:szCs w:val="24"/>
        </w:rPr>
        <w:t xml:space="preserve"> Internal wars were not wars of parties within the Muslim community as a whole anymore.</w:t>
      </w:r>
    </w:p>
    <w:p w14:paraId="00000017" w14:textId="77777777" w:rsidR="00FD5325" w:rsidRDefault="00FD5325">
      <w:pPr>
        <w:spacing w:after="0" w:line="240" w:lineRule="auto"/>
        <w:ind w:firstLine="566"/>
        <w:rPr>
          <w:sz w:val="24"/>
          <w:szCs w:val="24"/>
        </w:rPr>
      </w:pPr>
    </w:p>
    <w:p w14:paraId="00000018" w14:textId="77777777" w:rsidR="00FD5325" w:rsidRDefault="001A3EF3">
      <w:pPr>
        <w:spacing w:after="0" w:line="240" w:lineRule="auto"/>
        <w:rPr>
          <w:b/>
          <w:bCs/>
          <w:sz w:val="24"/>
          <w:szCs w:val="24"/>
        </w:rPr>
      </w:pPr>
      <w:r>
        <w:rPr>
          <w:b/>
          <w:bCs/>
          <w:sz w:val="24"/>
          <w:szCs w:val="24"/>
        </w:rPr>
        <w:t>2.2. W</w:t>
      </w:r>
      <w:r>
        <w:rPr>
          <w:b/>
          <w:bCs/>
          <w:sz w:val="24"/>
          <w:szCs w:val="24"/>
        </w:rPr>
        <w:t>ars and Mere Uprisings</w:t>
      </w:r>
    </w:p>
    <w:p w14:paraId="00000019" w14:textId="77777777" w:rsidR="00FD5325" w:rsidRDefault="00FD5325">
      <w:pPr>
        <w:spacing w:after="0" w:line="240" w:lineRule="auto"/>
        <w:rPr>
          <w:sz w:val="24"/>
          <w:szCs w:val="24"/>
        </w:rPr>
      </w:pPr>
    </w:p>
    <w:p w14:paraId="0000001A" w14:textId="77777777" w:rsidR="00FD5325" w:rsidRDefault="001A3EF3">
      <w:pPr>
        <w:spacing w:after="0" w:line="240" w:lineRule="auto"/>
        <w:rPr>
          <w:sz w:val="24"/>
          <w:szCs w:val="24"/>
        </w:rPr>
      </w:pPr>
      <w:r>
        <w:rPr>
          <w:sz w:val="24"/>
          <w:szCs w:val="24"/>
        </w:rPr>
        <w:t>Having discussed what we mean by “internal”, we have to ask further what we mean by “war” as distinct from uprising. Is any uprising to be termed war? Must the uprising be of a certain size to count as war? Is an internal war only a</w:t>
      </w:r>
      <w:r>
        <w:rPr>
          <w:sz w:val="24"/>
          <w:szCs w:val="24"/>
        </w:rPr>
        <w:t xml:space="preserve">n uprising which aims at overthrowing the rulers and putting its own leaders in their place or may any armed movement of disaffection of a certain size be called a war? </w:t>
      </w:r>
    </w:p>
    <w:p w14:paraId="0000001B" w14:textId="77777777" w:rsidR="00FD5325" w:rsidRDefault="001A3EF3">
      <w:pPr>
        <w:spacing w:after="0" w:line="240" w:lineRule="auto"/>
        <w:ind w:firstLine="566"/>
        <w:rPr>
          <w:sz w:val="24"/>
          <w:szCs w:val="24"/>
        </w:rPr>
      </w:pPr>
      <w:r>
        <w:rPr>
          <w:sz w:val="24"/>
          <w:szCs w:val="24"/>
        </w:rPr>
        <w:t>The world of early Islam was not one of internal peace. Disaffection came from multipl</w:t>
      </w:r>
      <w:r>
        <w:rPr>
          <w:sz w:val="24"/>
          <w:szCs w:val="24"/>
        </w:rPr>
        <w:t>e sources and was, in a society where formalised legal institutions of conflict resolution were little developed, often expressed in a violent way. There was always the possibility to petition the caliph or his governor. Caliphs did their best to achieve b</w:t>
      </w:r>
      <w:r>
        <w:rPr>
          <w:sz w:val="24"/>
          <w:szCs w:val="24"/>
        </w:rPr>
        <w:t>alance between different interest groups, but in the last resort political violence was not seldom the only means for people with grievances to make their opinion heard. This, of course, was similar to the situation in most agrarian empires at the time. Gr</w:t>
      </w:r>
      <w:r>
        <w:rPr>
          <w:sz w:val="24"/>
          <w:szCs w:val="24"/>
        </w:rPr>
        <w:t>ievances could be of more local interest, or only touch a particular group. An example of this would be the uprising of the so-called Peacock-Army (699–701). This group of Arab soldiers stationed in Iraq refused to be sent on a rather uncomfortable mission</w:t>
      </w:r>
      <w:r>
        <w:rPr>
          <w:sz w:val="24"/>
          <w:szCs w:val="24"/>
        </w:rPr>
        <w:t xml:space="preserve"> of conquest in what is now Afghanistan and preferred to rebel instead. The leaders were well connected within Muslim society, they tried to avail themselves of widespread discontent in Iraq, and their rebellion was part of a general trend towards military</w:t>
      </w:r>
      <w:r>
        <w:rPr>
          <w:sz w:val="24"/>
          <w:szCs w:val="24"/>
        </w:rPr>
        <w:t xml:space="preserve"> change. The uprising stood in the context of the increasingly privileged role of Syrian forces at the expense of local Iraqi troop and the lack of enthusiasm of many for military campaigning under circumstances that would have been acceptable to their for</w:t>
      </w:r>
      <w:r>
        <w:rPr>
          <w:sz w:val="24"/>
          <w:szCs w:val="24"/>
        </w:rPr>
        <w:t>bears. But in the end the uprising remained a fairly local affair that didn’t affect people in Egypt, let alone the Maghreb, too much.</w:t>
      </w:r>
      <w:r>
        <w:rPr>
          <w:sz w:val="24"/>
          <w:szCs w:val="24"/>
          <w:vertAlign w:val="superscript"/>
        </w:rPr>
        <w:footnoteReference w:id="14"/>
      </w:r>
      <w:r>
        <w:rPr>
          <w:sz w:val="24"/>
          <w:szCs w:val="24"/>
        </w:rPr>
        <w:t xml:space="preserve"> </w:t>
      </w:r>
    </w:p>
    <w:p w14:paraId="0000001C" w14:textId="77777777" w:rsidR="00FD5325" w:rsidRDefault="001A3EF3">
      <w:pPr>
        <w:spacing w:after="0" w:line="240" w:lineRule="auto"/>
        <w:ind w:firstLine="566"/>
        <w:rPr>
          <w:sz w:val="24"/>
          <w:szCs w:val="24"/>
        </w:rPr>
      </w:pPr>
      <w:r>
        <w:rPr>
          <w:sz w:val="24"/>
          <w:szCs w:val="24"/>
        </w:rPr>
        <w:t xml:space="preserve">Vice versa the same holds true for the uprisings of Berber groups in the far west of the Empire (740–743). These were </w:t>
      </w:r>
      <w:r>
        <w:rPr>
          <w:sz w:val="24"/>
          <w:szCs w:val="24"/>
        </w:rPr>
        <w:t>caused by the attempts of the Arab conquerors not to include Berbers on an equal footing within army and society and to treat Berber people like slaves.</w:t>
      </w:r>
      <w:r>
        <w:rPr>
          <w:sz w:val="24"/>
          <w:szCs w:val="24"/>
          <w:vertAlign w:val="superscript"/>
        </w:rPr>
        <w:footnoteReference w:id="15"/>
      </w:r>
      <w:r>
        <w:rPr>
          <w:sz w:val="24"/>
          <w:szCs w:val="24"/>
        </w:rPr>
        <w:t xml:space="preserve"> Again, these uprisings were only on a regional level. The Berbers’ grievances about their status in ea</w:t>
      </w:r>
      <w:r>
        <w:rPr>
          <w:sz w:val="24"/>
          <w:szCs w:val="24"/>
        </w:rPr>
        <w:t>rly Islamic society should have found an echo in other places were converts were unhappy with their situation. But the lack of transregional integration of the subject peoples as against the Arab ruling stratum made sure that their movement would not trans</w:t>
      </w:r>
      <w:r>
        <w:rPr>
          <w:sz w:val="24"/>
          <w:szCs w:val="24"/>
        </w:rPr>
        <w:t xml:space="preserve">form itself into a more generalised internal war. This holds true although a potentially universal religious ideology in the form of </w:t>
      </w:r>
      <w:proofErr w:type="spellStart"/>
      <w:r>
        <w:rPr>
          <w:sz w:val="24"/>
          <w:szCs w:val="24"/>
        </w:rPr>
        <w:t>Kharijism</w:t>
      </w:r>
      <w:proofErr w:type="spellEnd"/>
      <w:r>
        <w:rPr>
          <w:sz w:val="24"/>
          <w:szCs w:val="24"/>
        </w:rPr>
        <w:t xml:space="preserve"> played a big role in the uprising and was also present in uprisings elsewhere. But the anarchical character of </w:t>
      </w:r>
      <w:proofErr w:type="spellStart"/>
      <w:r>
        <w:rPr>
          <w:sz w:val="24"/>
          <w:szCs w:val="24"/>
        </w:rPr>
        <w:t>Kh</w:t>
      </w:r>
      <w:r>
        <w:rPr>
          <w:sz w:val="24"/>
          <w:szCs w:val="24"/>
        </w:rPr>
        <w:t>arijism</w:t>
      </w:r>
      <w:proofErr w:type="spellEnd"/>
      <w:r>
        <w:rPr>
          <w:sz w:val="24"/>
          <w:szCs w:val="24"/>
        </w:rPr>
        <w:t xml:space="preserve"> made that it could never become an ideology for any large imperial project. </w:t>
      </w:r>
    </w:p>
    <w:p w14:paraId="0000001D" w14:textId="288E41AF" w:rsidR="00FD5325" w:rsidRDefault="001A3EF3">
      <w:pPr>
        <w:spacing w:after="0" w:line="240" w:lineRule="auto"/>
        <w:ind w:firstLine="566"/>
        <w:rPr>
          <w:sz w:val="24"/>
          <w:szCs w:val="24"/>
        </w:rPr>
      </w:pPr>
      <w:r>
        <w:rPr>
          <w:sz w:val="24"/>
          <w:szCs w:val="24"/>
        </w:rPr>
        <w:t>The fact that Berber uprising remained a regional phenomenon does not mean of c</w:t>
      </w:r>
      <w:r w:rsidR="00C91B05">
        <w:rPr>
          <w:sz w:val="24"/>
          <w:szCs w:val="24"/>
        </w:rPr>
        <w:t>ourse</w:t>
      </w:r>
      <w:r>
        <w:rPr>
          <w:sz w:val="24"/>
          <w:szCs w:val="24"/>
        </w:rPr>
        <w:t xml:space="preserve"> that it didn’t have an impact on more general developments. There were uprisings h</w:t>
      </w:r>
      <w:r>
        <w:rPr>
          <w:sz w:val="24"/>
          <w:szCs w:val="24"/>
        </w:rPr>
        <w:t>ere and there for the most time of early Islamic history, but these had their hight water marks and their low ebb periods. The Berber uprising was the harbinger of the highwater-mark called the 3</w:t>
      </w:r>
      <w:r>
        <w:rPr>
          <w:sz w:val="24"/>
          <w:szCs w:val="24"/>
          <w:vertAlign w:val="superscript"/>
        </w:rPr>
        <w:t>rd</w:t>
      </w:r>
      <w:r>
        <w:rPr>
          <w:sz w:val="24"/>
          <w:szCs w:val="24"/>
        </w:rPr>
        <w:t xml:space="preserve"> </w:t>
      </w:r>
      <w:proofErr w:type="spellStart"/>
      <w:r>
        <w:rPr>
          <w:sz w:val="24"/>
          <w:szCs w:val="24"/>
        </w:rPr>
        <w:t>Fitna</w:t>
      </w:r>
      <w:proofErr w:type="spellEnd"/>
      <w:r>
        <w:rPr>
          <w:sz w:val="24"/>
          <w:szCs w:val="24"/>
        </w:rPr>
        <w:t xml:space="preserve"> (744–747/50). </w:t>
      </w:r>
    </w:p>
    <w:p w14:paraId="0000001E" w14:textId="747A9895" w:rsidR="00FD5325" w:rsidRDefault="001A3EF3">
      <w:pPr>
        <w:spacing w:after="0" w:line="240" w:lineRule="auto"/>
        <w:ind w:firstLine="566"/>
        <w:rPr>
          <w:sz w:val="24"/>
          <w:szCs w:val="24"/>
        </w:rPr>
      </w:pPr>
      <w:r>
        <w:rPr>
          <w:sz w:val="24"/>
          <w:szCs w:val="24"/>
        </w:rPr>
        <w:lastRenderedPageBreak/>
        <w:t xml:space="preserve">As this shows the differentiation of </w:t>
      </w:r>
      <w:r>
        <w:rPr>
          <w:sz w:val="24"/>
          <w:szCs w:val="24"/>
        </w:rPr>
        <w:t>local uprisings and internal wars for power is a difficult one. On the one hand, local uprisings could lay the ground for a bid for something bigger. On the other hand, not all uprisings with the aim to gain control over the whole of the Empire had more th</w:t>
      </w:r>
      <w:r>
        <w:rPr>
          <w:sz w:val="24"/>
          <w:szCs w:val="24"/>
        </w:rPr>
        <w:t>an a regional impact. But this was rare in the end. One of the few exceptions was the rising of Muhammad al-</w:t>
      </w:r>
      <w:proofErr w:type="spellStart"/>
      <w:r>
        <w:rPr>
          <w:sz w:val="24"/>
          <w:szCs w:val="24"/>
        </w:rPr>
        <w:t>Nafs</w:t>
      </w:r>
      <w:proofErr w:type="spellEnd"/>
      <w:r>
        <w:rPr>
          <w:sz w:val="24"/>
          <w:szCs w:val="24"/>
        </w:rPr>
        <w:t xml:space="preserve"> al-</w:t>
      </w:r>
      <w:proofErr w:type="spellStart"/>
      <w:r>
        <w:rPr>
          <w:sz w:val="24"/>
          <w:szCs w:val="24"/>
        </w:rPr>
        <w:t>Zakiyya</w:t>
      </w:r>
      <w:proofErr w:type="spellEnd"/>
      <w:r>
        <w:rPr>
          <w:sz w:val="24"/>
          <w:szCs w:val="24"/>
        </w:rPr>
        <w:t>, a Shi’i pretender in the 760</w:t>
      </w:r>
      <w:r>
        <w:rPr>
          <w:sz w:val="24"/>
          <w:szCs w:val="24"/>
        </w:rPr>
        <w:t xml:space="preserve">s who had done his best to gain a trans-regional following, but in the end could only rise people in </w:t>
      </w:r>
      <w:r>
        <w:rPr>
          <w:sz w:val="24"/>
          <w:szCs w:val="24"/>
        </w:rPr>
        <w:t>the Hejaz and Basra.</w:t>
      </w:r>
      <w:r>
        <w:rPr>
          <w:sz w:val="24"/>
          <w:szCs w:val="24"/>
          <w:vertAlign w:val="superscript"/>
        </w:rPr>
        <w:footnoteReference w:id="16"/>
      </w:r>
      <w:r>
        <w:rPr>
          <w:sz w:val="24"/>
          <w:szCs w:val="24"/>
        </w:rPr>
        <w:t xml:space="preserve"> In a way, the ‘Abbasids themselves had only succeeded in Khurasan and their victory was not due to a transregional insurrection but the fact that their </w:t>
      </w:r>
      <w:proofErr w:type="spellStart"/>
      <w:r>
        <w:rPr>
          <w:sz w:val="24"/>
          <w:szCs w:val="24"/>
        </w:rPr>
        <w:t>Khurasani</w:t>
      </w:r>
      <w:proofErr w:type="spellEnd"/>
      <w:r>
        <w:rPr>
          <w:sz w:val="24"/>
          <w:szCs w:val="24"/>
        </w:rPr>
        <w:t xml:space="preserve"> army was able to defeat the Umayyads in a moment when they had yet not r</w:t>
      </w:r>
      <w:r>
        <w:rPr>
          <w:sz w:val="24"/>
          <w:szCs w:val="24"/>
        </w:rPr>
        <w:t xml:space="preserve">eally recovered from severe internal strife. After things had nearly fallen apart at the centre, it was up to the victorious ‘Abbasids to pick up the pieces all over the central provinces. </w:t>
      </w:r>
    </w:p>
    <w:p w14:paraId="0000001F" w14:textId="77777777" w:rsidR="00FD5325" w:rsidRDefault="00FD5325">
      <w:pPr>
        <w:spacing w:after="0" w:line="240" w:lineRule="auto"/>
        <w:ind w:firstLine="566"/>
        <w:rPr>
          <w:sz w:val="24"/>
          <w:szCs w:val="24"/>
        </w:rPr>
      </w:pPr>
    </w:p>
    <w:p w14:paraId="00000020" w14:textId="77777777" w:rsidR="00FD5325" w:rsidRDefault="001A3EF3">
      <w:pPr>
        <w:spacing w:after="0" w:line="240" w:lineRule="auto"/>
        <w:rPr>
          <w:b/>
          <w:bCs/>
          <w:sz w:val="24"/>
          <w:szCs w:val="24"/>
        </w:rPr>
      </w:pPr>
      <w:r>
        <w:rPr>
          <w:b/>
          <w:bCs/>
          <w:sz w:val="24"/>
          <w:szCs w:val="24"/>
        </w:rPr>
        <w:t>3.  Mechanisms of Party-Formation</w:t>
      </w:r>
    </w:p>
    <w:p w14:paraId="00000021" w14:textId="77777777" w:rsidR="00FD5325" w:rsidRDefault="00FD5325">
      <w:pPr>
        <w:spacing w:after="0" w:line="240" w:lineRule="auto"/>
        <w:rPr>
          <w:sz w:val="24"/>
          <w:szCs w:val="24"/>
        </w:rPr>
      </w:pPr>
    </w:p>
    <w:p w14:paraId="00000022" w14:textId="77777777" w:rsidR="00FD5325" w:rsidRDefault="001A3EF3">
      <w:pPr>
        <w:spacing w:after="0" w:line="240" w:lineRule="auto"/>
        <w:rPr>
          <w:sz w:val="24"/>
          <w:szCs w:val="24"/>
        </w:rPr>
      </w:pPr>
      <w:r>
        <w:rPr>
          <w:sz w:val="24"/>
          <w:szCs w:val="24"/>
        </w:rPr>
        <w:t>Wars are fought by groups of p</w:t>
      </w:r>
      <w:r>
        <w:rPr>
          <w:sz w:val="24"/>
          <w:szCs w:val="24"/>
        </w:rPr>
        <w:t>eople. It Is central to our understanding of internal wars how these groups were constituted. Islamic historical tradition and older research on early Islam have focussed on religious and – to a lesser extent tribal – loyalties as foundation stones of part</w:t>
      </w:r>
      <w:r>
        <w:rPr>
          <w:sz w:val="24"/>
          <w:szCs w:val="24"/>
        </w:rPr>
        <w:t xml:space="preserve">isanship in early Islam. Internal wars were seen as conflicts between networks within the earliest community of believers that turned into the sectarian groupings of Sunni, Shi’i and </w:t>
      </w:r>
      <w:proofErr w:type="spellStart"/>
      <w:r>
        <w:rPr>
          <w:sz w:val="24"/>
          <w:szCs w:val="24"/>
        </w:rPr>
        <w:t>Khariji</w:t>
      </w:r>
      <w:proofErr w:type="spellEnd"/>
      <w:r>
        <w:rPr>
          <w:sz w:val="24"/>
          <w:szCs w:val="24"/>
        </w:rPr>
        <w:t xml:space="preserve"> Muslims.</w:t>
      </w:r>
      <w:r>
        <w:rPr>
          <w:sz w:val="24"/>
          <w:szCs w:val="24"/>
          <w:vertAlign w:val="superscript"/>
        </w:rPr>
        <w:footnoteReference w:id="17"/>
      </w:r>
      <w:r>
        <w:rPr>
          <w:sz w:val="24"/>
          <w:szCs w:val="24"/>
        </w:rPr>
        <w:t xml:space="preserve"> These seemingly religious forms of party formation are </w:t>
      </w:r>
      <w:r>
        <w:rPr>
          <w:sz w:val="24"/>
          <w:szCs w:val="24"/>
        </w:rPr>
        <w:t xml:space="preserve">most prominent both in our sources and in modern research on parties in early Islam. This has to do with the fact that the religious sects that grew out of the originally political parties of the first </w:t>
      </w:r>
      <w:proofErr w:type="spellStart"/>
      <w:r>
        <w:rPr>
          <w:i/>
          <w:iCs/>
          <w:sz w:val="24"/>
          <w:szCs w:val="24"/>
        </w:rPr>
        <w:t>Fitna</w:t>
      </w:r>
      <w:proofErr w:type="spellEnd"/>
      <w:r>
        <w:rPr>
          <w:sz w:val="24"/>
          <w:szCs w:val="24"/>
        </w:rPr>
        <w:t xml:space="preserve"> continued their existence until the present day </w:t>
      </w:r>
      <w:r>
        <w:rPr>
          <w:sz w:val="24"/>
          <w:szCs w:val="24"/>
        </w:rPr>
        <w:t>and played an immense role throughout the history of Islam. Secondly this is a consequence of the fact that late antique people had a tendency to crouch ideas into religious terms that we might express in a secular way. In the end, of course, this meant th</w:t>
      </w:r>
      <w:r>
        <w:rPr>
          <w:sz w:val="24"/>
          <w:szCs w:val="24"/>
        </w:rPr>
        <w:t xml:space="preserve">at for them political rule </w:t>
      </w:r>
      <w:r>
        <w:rPr>
          <w:i/>
          <w:iCs/>
          <w:sz w:val="24"/>
          <w:szCs w:val="24"/>
        </w:rPr>
        <w:t>really</w:t>
      </w:r>
      <w:r>
        <w:rPr>
          <w:sz w:val="24"/>
          <w:szCs w:val="24"/>
        </w:rPr>
        <w:t xml:space="preserve"> was fraught with religious meaning. Religiously framed party-formation in early Islam was the consequence of the fact that some Muslims (probably many) believed that salvation was bound to the acceptance of the leadership </w:t>
      </w:r>
      <w:r>
        <w:rPr>
          <w:sz w:val="24"/>
          <w:szCs w:val="24"/>
        </w:rPr>
        <w:t>of a sacred family, be it the Umayyads as leaders of Quraysh, the tribe of the prophet, be it the clan of the prophet in a strict sense, i.e., the Hashimis. Loyalty to these families and even more, the caliph who was their head, was seen as central precond</w:t>
      </w:r>
      <w:r>
        <w:rPr>
          <w:sz w:val="24"/>
          <w:szCs w:val="24"/>
        </w:rPr>
        <w:t xml:space="preserve">ition for salvation. The </w:t>
      </w:r>
      <w:proofErr w:type="spellStart"/>
      <w:r>
        <w:rPr>
          <w:sz w:val="24"/>
          <w:szCs w:val="24"/>
        </w:rPr>
        <w:t>Kharijis</w:t>
      </w:r>
      <w:proofErr w:type="spellEnd"/>
      <w:r>
        <w:rPr>
          <w:sz w:val="24"/>
          <w:szCs w:val="24"/>
        </w:rPr>
        <w:t xml:space="preserve"> saw the charisma of rulership not so much in a particular family but in what they held to be the orthodox community as a whole, i.e., their sect. For them not loyalty to a leader, but belonging to the group was the way to </w:t>
      </w:r>
      <w:r>
        <w:rPr>
          <w:sz w:val="24"/>
          <w:szCs w:val="24"/>
        </w:rPr>
        <w:t>salvation; leaders could be deposed at a moment’s notice. It is obvious that a political party based on this principle was, under pre-modern conditions, too brittle to take over control of the whole Empire. They just build regional parties and groups, as w</w:t>
      </w:r>
      <w:r>
        <w:rPr>
          <w:sz w:val="24"/>
          <w:szCs w:val="24"/>
        </w:rPr>
        <w:t xml:space="preserve">e have seen. </w:t>
      </w:r>
    </w:p>
    <w:p w14:paraId="00000023" w14:textId="77777777" w:rsidR="00FD5325" w:rsidRDefault="001A3EF3">
      <w:pPr>
        <w:spacing w:after="0" w:line="240" w:lineRule="auto"/>
        <w:ind w:firstLine="566"/>
        <w:rPr>
          <w:sz w:val="24"/>
          <w:szCs w:val="24"/>
        </w:rPr>
      </w:pPr>
      <w:r>
        <w:rPr>
          <w:sz w:val="24"/>
          <w:szCs w:val="24"/>
        </w:rPr>
        <w:t>The Umayyads, by contrast, propped the loyalty of their party by creating a complex network of patron-client relationship, mostly with tribal groups in Syria which became the mainstay of their rule. The tribal alliances that supported the Uma</w:t>
      </w:r>
      <w:r>
        <w:rPr>
          <w:sz w:val="24"/>
          <w:szCs w:val="24"/>
        </w:rPr>
        <w:t xml:space="preserve">yyads changed over time, but support of tribal groups and their </w:t>
      </w:r>
      <w:proofErr w:type="spellStart"/>
      <w:r>
        <w:rPr>
          <w:i/>
          <w:iCs/>
          <w:sz w:val="24"/>
          <w:szCs w:val="24"/>
        </w:rPr>
        <w:t>ashraf</w:t>
      </w:r>
      <w:proofErr w:type="spellEnd"/>
      <w:r>
        <w:rPr>
          <w:sz w:val="24"/>
          <w:szCs w:val="24"/>
        </w:rPr>
        <w:t xml:space="preserve"> (notables) always remained important. Other important clients were leading </w:t>
      </w:r>
      <w:proofErr w:type="spellStart"/>
      <w:r>
        <w:rPr>
          <w:sz w:val="24"/>
          <w:szCs w:val="24"/>
        </w:rPr>
        <w:t>Thaqafis</w:t>
      </w:r>
      <w:proofErr w:type="spellEnd"/>
      <w:r>
        <w:rPr>
          <w:sz w:val="24"/>
          <w:szCs w:val="24"/>
        </w:rPr>
        <w:t xml:space="preserve"> of </w:t>
      </w:r>
      <w:proofErr w:type="spellStart"/>
      <w:r>
        <w:rPr>
          <w:sz w:val="24"/>
          <w:szCs w:val="24"/>
        </w:rPr>
        <w:t>Ta’if</w:t>
      </w:r>
      <w:proofErr w:type="spellEnd"/>
      <w:r>
        <w:rPr>
          <w:sz w:val="24"/>
          <w:szCs w:val="24"/>
        </w:rPr>
        <w:t xml:space="preserve"> who brought forth a number of loyal governors. Furthermore, different from what was believed</w:t>
      </w:r>
      <w:r>
        <w:rPr>
          <w:sz w:val="24"/>
          <w:szCs w:val="24"/>
        </w:rPr>
        <w:t xml:space="preserve"> formerly, we know now that many leading experts of Islam were loyal supporters of the regime.</w:t>
      </w:r>
      <w:r>
        <w:rPr>
          <w:sz w:val="24"/>
          <w:szCs w:val="24"/>
          <w:vertAlign w:val="superscript"/>
        </w:rPr>
        <w:footnoteReference w:id="18"/>
      </w:r>
      <w:r>
        <w:rPr>
          <w:sz w:val="24"/>
          <w:szCs w:val="24"/>
        </w:rPr>
        <w:t xml:space="preserve"> Umayyad caliphs even </w:t>
      </w:r>
      <w:r>
        <w:rPr>
          <w:sz w:val="24"/>
          <w:szCs w:val="24"/>
        </w:rPr>
        <w:lastRenderedPageBreak/>
        <w:t>had their courtiers pr</w:t>
      </w:r>
      <w:r>
        <w:rPr>
          <w:sz w:val="24"/>
          <w:szCs w:val="24"/>
        </w:rPr>
        <w:t>a</w:t>
      </w:r>
      <w:r>
        <w:rPr>
          <w:sz w:val="24"/>
          <w:szCs w:val="24"/>
        </w:rPr>
        <w:t>ise them as messianic figures.</w:t>
      </w:r>
      <w:r>
        <w:rPr>
          <w:sz w:val="24"/>
          <w:szCs w:val="24"/>
          <w:vertAlign w:val="superscript"/>
        </w:rPr>
        <w:footnoteReference w:id="19"/>
      </w:r>
      <w:r>
        <w:rPr>
          <w:sz w:val="24"/>
          <w:szCs w:val="24"/>
        </w:rPr>
        <w:t xml:space="preserve"> That this was a central mechanism of party formation may be doubted. A ruler who already is in power can only lose when in the end, as is usually the case, the messianic expectations reveal themselves to be just hot air.</w:t>
      </w:r>
    </w:p>
    <w:p w14:paraId="00000024" w14:textId="77777777" w:rsidR="00FD5325" w:rsidRDefault="001A3EF3">
      <w:pPr>
        <w:spacing w:after="0" w:line="240" w:lineRule="auto"/>
        <w:ind w:firstLine="566"/>
        <w:rPr>
          <w:sz w:val="24"/>
          <w:szCs w:val="24"/>
        </w:rPr>
      </w:pPr>
      <w:r>
        <w:rPr>
          <w:sz w:val="24"/>
          <w:szCs w:val="24"/>
        </w:rPr>
        <w:t>Shi’i party-formation doesn’t seem</w:t>
      </w:r>
      <w:r>
        <w:rPr>
          <w:sz w:val="24"/>
          <w:szCs w:val="24"/>
        </w:rPr>
        <w:t xml:space="preserve"> to have been based in the same fashion on acquiring tribal loyalties, at least not in a systematic way. In the beginning the supporters of ‘Ali were all sorts of people who were dissatisfied with the regime of the third caliph ‘Uthman, ‘Ali’s predecessor.</w:t>
      </w:r>
      <w:r>
        <w:rPr>
          <w:sz w:val="24"/>
          <w:szCs w:val="24"/>
        </w:rPr>
        <w:t xml:space="preserve"> This dissatisfaction had much to do with the distribution of booty and land, and only indirectly with religion. During the second half of the 7</w:t>
      </w:r>
      <w:r>
        <w:rPr>
          <w:sz w:val="24"/>
          <w:szCs w:val="24"/>
          <w:vertAlign w:val="superscript"/>
        </w:rPr>
        <w:t>th</w:t>
      </w:r>
      <w:r>
        <w:rPr>
          <w:sz w:val="24"/>
          <w:szCs w:val="24"/>
        </w:rPr>
        <w:t xml:space="preserve"> century the </w:t>
      </w:r>
      <w:proofErr w:type="spellStart"/>
      <w:r>
        <w:rPr>
          <w:sz w:val="24"/>
          <w:szCs w:val="24"/>
        </w:rPr>
        <w:t>Hashimites</w:t>
      </w:r>
      <w:proofErr w:type="spellEnd"/>
      <w:r>
        <w:rPr>
          <w:sz w:val="24"/>
          <w:szCs w:val="24"/>
        </w:rPr>
        <w:t>, the family of the prophet, became the main focus of messianic hopes, so that all Musl</w:t>
      </w:r>
      <w:r>
        <w:rPr>
          <w:sz w:val="24"/>
          <w:szCs w:val="24"/>
        </w:rPr>
        <w:t>ims who were looking for a chiliastic solution to current problems were increasingly drawn to Shiism in a broad sense. What was problematic for the Umayyads, that any messianic hope might prove in vain once the party was in power, the Shi’is while in oppos</w:t>
      </w:r>
      <w:r>
        <w:rPr>
          <w:sz w:val="24"/>
          <w:szCs w:val="24"/>
        </w:rPr>
        <w:t>ition didn’t have to care about. Or only one branch of the people of the house had to in the end. When the ‘Abbasid family came to power in the year 750, they quite early in their reign cramped down on their overzealous chiliastic supporters.</w:t>
      </w:r>
      <w:r>
        <w:rPr>
          <w:sz w:val="24"/>
          <w:szCs w:val="24"/>
          <w:vertAlign w:val="superscript"/>
        </w:rPr>
        <w:footnoteReference w:id="20"/>
      </w:r>
      <w:r>
        <w:rPr>
          <w:sz w:val="24"/>
          <w:szCs w:val="24"/>
        </w:rPr>
        <w:t xml:space="preserve">  Party-forma</w:t>
      </w:r>
      <w:r>
        <w:rPr>
          <w:sz w:val="24"/>
          <w:szCs w:val="24"/>
        </w:rPr>
        <w:t xml:space="preserve">tion in their case seems to have been a combination of their Hashimi prestige, systematic networking and organisational acumen. </w:t>
      </w:r>
    </w:p>
    <w:p w14:paraId="00000025" w14:textId="77777777" w:rsidR="00FD5325" w:rsidRDefault="001A3EF3">
      <w:pPr>
        <w:spacing w:after="0" w:line="240" w:lineRule="auto"/>
        <w:ind w:firstLine="566"/>
        <w:rPr>
          <w:sz w:val="24"/>
          <w:szCs w:val="24"/>
        </w:rPr>
      </w:pPr>
      <w:r>
        <w:rPr>
          <w:sz w:val="24"/>
          <w:szCs w:val="24"/>
        </w:rPr>
        <w:t xml:space="preserve">In a way, religious prestige played a role in party formation also for the third group in the first and second </w:t>
      </w:r>
      <w:proofErr w:type="spellStart"/>
      <w:r>
        <w:rPr>
          <w:i/>
          <w:iCs/>
          <w:sz w:val="24"/>
          <w:szCs w:val="24"/>
        </w:rPr>
        <w:t>Finta</w:t>
      </w:r>
      <w:proofErr w:type="spellEnd"/>
      <w:r>
        <w:rPr>
          <w:sz w:val="24"/>
          <w:szCs w:val="24"/>
        </w:rPr>
        <w:t>, the party</w:t>
      </w:r>
      <w:r>
        <w:rPr>
          <w:sz w:val="24"/>
          <w:szCs w:val="24"/>
        </w:rPr>
        <w:t xml:space="preserve"> of ‘A’isha and al-</w:t>
      </w:r>
      <w:proofErr w:type="spellStart"/>
      <w:r>
        <w:rPr>
          <w:sz w:val="24"/>
          <w:szCs w:val="24"/>
        </w:rPr>
        <w:t>Zubayr</w:t>
      </w:r>
      <w:proofErr w:type="spellEnd"/>
      <w:r>
        <w:rPr>
          <w:sz w:val="24"/>
          <w:szCs w:val="24"/>
        </w:rPr>
        <w:t>. This was a party that had formed around a network of old Meccan companions of the Prophet who resented both the power of the – from a Muslim perspective – upstart late convert Umayyads and ‘Ali with whom ‘A’isha seems to have bee</w:t>
      </w:r>
      <w:r>
        <w:rPr>
          <w:sz w:val="24"/>
          <w:szCs w:val="24"/>
        </w:rPr>
        <w:t>n in conflict on fairly personal grounds. ‘Ali furthermore seems to have given up the idea that the early companions should have</w:t>
      </w:r>
      <w:r>
        <w:rPr>
          <w:sz w:val="24"/>
          <w:szCs w:val="24"/>
        </w:rPr>
        <w:t xml:space="preserve"> a</w:t>
      </w:r>
      <w:r>
        <w:rPr>
          <w:sz w:val="24"/>
          <w:szCs w:val="24"/>
        </w:rPr>
        <w:t xml:space="preserve"> privileged role in the community and to have – to their taste – allied himself too much with people from non-Meccan backgroun</w:t>
      </w:r>
      <w:r>
        <w:rPr>
          <w:sz w:val="24"/>
          <w:szCs w:val="24"/>
        </w:rPr>
        <w:t>d.</w:t>
      </w:r>
      <w:r>
        <w:rPr>
          <w:sz w:val="24"/>
          <w:szCs w:val="24"/>
          <w:vertAlign w:val="superscript"/>
        </w:rPr>
        <w:footnoteReference w:id="21"/>
      </w:r>
      <w:r>
        <w:rPr>
          <w:sz w:val="24"/>
          <w:szCs w:val="24"/>
        </w:rPr>
        <w:t xml:space="preserve">  </w:t>
      </w:r>
    </w:p>
    <w:p w14:paraId="00000026" w14:textId="1E3C8D4F" w:rsidR="00FD5325" w:rsidRDefault="001A3EF3">
      <w:pPr>
        <w:spacing w:after="0" w:line="240" w:lineRule="auto"/>
        <w:ind w:firstLine="566"/>
        <w:rPr>
          <w:sz w:val="24"/>
          <w:szCs w:val="24"/>
        </w:rPr>
      </w:pPr>
      <w:r>
        <w:rPr>
          <w:sz w:val="24"/>
          <w:szCs w:val="24"/>
        </w:rPr>
        <w:t>Although religious considerations were at play in all this, party-formation could also be based on more secular bases. We have all reason to assume that early Islamic society having a huge tribal component had features of segmentary society. Thus, it</w:t>
      </w:r>
      <w:r>
        <w:rPr>
          <w:sz w:val="24"/>
          <w:szCs w:val="24"/>
        </w:rPr>
        <w:t xml:space="preserve"> is no wonder that tribal groupings formed that vied with each other for power on their own or in combination with the religiously motivated groups we have spoken about above. The fact that tribes had come to live close to each other in the garrison cities</w:t>
      </w:r>
      <w:r>
        <w:rPr>
          <w:sz w:val="24"/>
          <w:szCs w:val="24"/>
        </w:rPr>
        <w:t xml:space="preserve"> of Iraq and other regions and, furthermore, that tribal affiliations played a role in the organisation of early Islamic armies strengthened party-formation along tribal lines. These segmentary conflicts could be framed as conflicts among the largest eleme</w:t>
      </w:r>
      <w:r>
        <w:rPr>
          <w:sz w:val="24"/>
          <w:szCs w:val="24"/>
        </w:rPr>
        <w:t xml:space="preserve">nts of the </w:t>
      </w:r>
      <w:proofErr w:type="spellStart"/>
      <w:r>
        <w:rPr>
          <w:sz w:val="24"/>
          <w:szCs w:val="24"/>
        </w:rPr>
        <w:t>segmentary</w:t>
      </w:r>
      <w:proofErr w:type="spellEnd"/>
      <w:r>
        <w:rPr>
          <w:sz w:val="24"/>
          <w:szCs w:val="24"/>
        </w:rPr>
        <w:t xml:space="preserve"> order, </w:t>
      </w:r>
      <w:proofErr w:type="spellStart"/>
      <w:r>
        <w:rPr>
          <w:sz w:val="24"/>
          <w:szCs w:val="24"/>
        </w:rPr>
        <w:t>Qays</w:t>
      </w:r>
      <w:proofErr w:type="spellEnd"/>
      <w:r>
        <w:rPr>
          <w:sz w:val="24"/>
          <w:szCs w:val="24"/>
        </w:rPr>
        <w:t xml:space="preserve"> (northern Arabs) against </w:t>
      </w:r>
      <w:proofErr w:type="spellStart"/>
      <w:r>
        <w:rPr>
          <w:sz w:val="24"/>
          <w:szCs w:val="24"/>
        </w:rPr>
        <w:t>Yaman</w:t>
      </w:r>
      <w:proofErr w:type="spellEnd"/>
      <w:r>
        <w:rPr>
          <w:sz w:val="24"/>
          <w:szCs w:val="24"/>
        </w:rPr>
        <w:t xml:space="preserve"> (southern Arabs). Reality was much more complicated. Not all northern tribes always supported their segment and vice versa.</w:t>
      </w:r>
      <w:r>
        <w:rPr>
          <w:sz w:val="24"/>
          <w:szCs w:val="24"/>
          <w:vertAlign w:val="superscript"/>
        </w:rPr>
        <w:footnoteReference w:id="22"/>
      </w:r>
      <w:r>
        <w:rPr>
          <w:sz w:val="24"/>
          <w:szCs w:val="24"/>
        </w:rPr>
        <w:t xml:space="preserve"> Additionally, these segmental conflicts stood in a constantly chan</w:t>
      </w:r>
      <w:r>
        <w:rPr>
          <w:sz w:val="24"/>
          <w:szCs w:val="24"/>
        </w:rPr>
        <w:t>ging relationship to the religiously formed parties we have talked about in the first paragraph. M. A. Shaban has put forth the proposition that these tribal groupings were political parties not only in the sense that they vied for power, but that they als</w:t>
      </w:r>
      <w:r>
        <w:rPr>
          <w:sz w:val="24"/>
          <w:szCs w:val="24"/>
        </w:rPr>
        <w:t xml:space="preserve">o had a program: </w:t>
      </w:r>
      <w:proofErr w:type="spellStart"/>
      <w:r>
        <w:rPr>
          <w:sz w:val="24"/>
          <w:szCs w:val="24"/>
        </w:rPr>
        <w:t>Qays</w:t>
      </w:r>
      <w:proofErr w:type="spellEnd"/>
      <w:r>
        <w:rPr>
          <w:sz w:val="24"/>
          <w:szCs w:val="24"/>
        </w:rPr>
        <w:t xml:space="preserve"> being more exclusive and expansionistic, </w:t>
      </w:r>
      <w:proofErr w:type="spellStart"/>
      <w:r>
        <w:rPr>
          <w:sz w:val="24"/>
          <w:szCs w:val="24"/>
        </w:rPr>
        <w:t>Yaman</w:t>
      </w:r>
      <w:proofErr w:type="spellEnd"/>
      <w:r>
        <w:rPr>
          <w:sz w:val="24"/>
          <w:szCs w:val="24"/>
        </w:rPr>
        <w:t xml:space="preserve"> being inclusive and rather in favour of consolidation of what was already won.</w:t>
      </w:r>
      <w:r>
        <w:rPr>
          <w:sz w:val="24"/>
          <w:szCs w:val="24"/>
          <w:vertAlign w:val="superscript"/>
        </w:rPr>
        <w:t xml:space="preserve"> </w:t>
      </w:r>
      <w:r>
        <w:rPr>
          <w:sz w:val="24"/>
          <w:szCs w:val="24"/>
          <w:vertAlign w:val="superscript"/>
        </w:rPr>
        <w:footnoteReference w:id="23"/>
      </w:r>
      <w:r>
        <w:rPr>
          <w:sz w:val="24"/>
          <w:szCs w:val="24"/>
        </w:rPr>
        <w:t xml:space="preserve"> This thesis hasn’t withstood criticism and should now be discarded. As it seems, these tribal groupings we</w:t>
      </w:r>
      <w:r>
        <w:rPr>
          <w:sz w:val="24"/>
          <w:szCs w:val="24"/>
        </w:rPr>
        <w:t xml:space="preserve">re first and foremost networks of people who based themselves on a supposed common ancestry in order to </w:t>
      </w:r>
      <w:r>
        <w:rPr>
          <w:sz w:val="24"/>
          <w:szCs w:val="24"/>
        </w:rPr>
        <w:lastRenderedPageBreak/>
        <w:t xml:space="preserve">advance their position in the quest for governorships and other posts. The Umayyad caliphs tried for the most part to grant favours more or less evenly </w:t>
      </w:r>
      <w:r>
        <w:rPr>
          <w:sz w:val="24"/>
          <w:szCs w:val="24"/>
        </w:rPr>
        <w:t>to members of both the great tribal factions, while governors of one or the other normally favoured their own tribesmen for advancement.</w:t>
      </w:r>
      <w:r>
        <w:rPr>
          <w:sz w:val="24"/>
          <w:szCs w:val="24"/>
          <w:vertAlign w:val="superscript"/>
        </w:rPr>
        <w:footnoteReference w:id="24"/>
      </w:r>
      <w:r>
        <w:rPr>
          <w:sz w:val="24"/>
          <w:szCs w:val="24"/>
        </w:rPr>
        <w:t xml:space="preserve">  But, </w:t>
      </w:r>
      <w:r>
        <w:rPr>
          <w:sz w:val="24"/>
          <w:szCs w:val="24"/>
        </w:rPr>
        <w:t>as soon as civil wars started, these networks acted collectively and tried to profit from any opportunit</w:t>
      </w:r>
      <w:r>
        <w:rPr>
          <w:sz w:val="24"/>
          <w:szCs w:val="24"/>
        </w:rPr>
        <w:t xml:space="preserve">y.  </w:t>
      </w:r>
    </w:p>
    <w:p w14:paraId="00000027" w14:textId="1405C8DF" w:rsidR="00FD5325" w:rsidRDefault="001A3EF3">
      <w:pPr>
        <w:spacing w:after="0" w:line="240" w:lineRule="auto"/>
        <w:ind w:firstLine="566"/>
        <w:rPr>
          <w:sz w:val="24"/>
          <w:szCs w:val="24"/>
        </w:rPr>
      </w:pPr>
      <w:r>
        <w:rPr>
          <w:sz w:val="24"/>
          <w:szCs w:val="24"/>
        </w:rPr>
        <w:t>Party-formation could also be linked to conflicts of interest over the distribution of resources among groups which were not based on (</w:t>
      </w:r>
      <w:r>
        <w:rPr>
          <w:sz w:val="24"/>
          <w:szCs w:val="24"/>
        </w:rPr>
        <w:t>fictitious</w:t>
      </w:r>
      <w:r>
        <w:rPr>
          <w:sz w:val="24"/>
          <w:szCs w:val="24"/>
        </w:rPr>
        <w:t xml:space="preserve">) common descent, but social position, one dare not say class. This held true for interest groups </w:t>
      </w:r>
      <w:r>
        <w:rPr>
          <w:sz w:val="24"/>
          <w:szCs w:val="24"/>
        </w:rPr>
        <w:t>in Iraq. There, the early conquerors resented ‘Uthman’s policies of land grants in favour of Meccan nobles and his efforts to allow late comers in the region a greater amount of the stipends to be paid out of the treasury of the Muslims’. These very econom</w:t>
      </w:r>
      <w:r>
        <w:rPr>
          <w:sz w:val="24"/>
          <w:szCs w:val="24"/>
        </w:rPr>
        <w:t xml:space="preserve">ic conflicts made that the early comers who framed themselves religiously as </w:t>
      </w:r>
      <w:proofErr w:type="spellStart"/>
      <w:r>
        <w:rPr>
          <w:i/>
          <w:iCs/>
          <w:sz w:val="24"/>
          <w:szCs w:val="24"/>
        </w:rPr>
        <w:t>qurra</w:t>
      </w:r>
      <w:proofErr w:type="spellEnd"/>
      <w:r>
        <w:rPr>
          <w:i/>
          <w:iCs/>
          <w:sz w:val="24"/>
          <w:szCs w:val="24"/>
        </w:rPr>
        <w:t>’</w:t>
      </w:r>
      <w:r>
        <w:rPr>
          <w:sz w:val="24"/>
          <w:szCs w:val="24"/>
        </w:rPr>
        <w:t xml:space="preserve"> (readers of the Qur’an) supported ‘Ali in his bid for power against his enemies. Nonetheless many of them later rebelled against him and were at the origin of the </w:t>
      </w:r>
      <w:proofErr w:type="spellStart"/>
      <w:r>
        <w:rPr>
          <w:sz w:val="24"/>
          <w:szCs w:val="24"/>
        </w:rPr>
        <w:t>Khariji</w:t>
      </w:r>
      <w:proofErr w:type="spellEnd"/>
      <w:r>
        <w:rPr>
          <w:sz w:val="24"/>
          <w:szCs w:val="24"/>
        </w:rPr>
        <w:t>-m</w:t>
      </w:r>
      <w:r>
        <w:rPr>
          <w:sz w:val="24"/>
          <w:szCs w:val="24"/>
        </w:rPr>
        <w:t>ovement.</w:t>
      </w:r>
      <w:r>
        <w:rPr>
          <w:sz w:val="24"/>
          <w:szCs w:val="24"/>
          <w:vertAlign w:val="superscript"/>
        </w:rPr>
        <w:footnoteReference w:id="25"/>
      </w:r>
      <w:r>
        <w:rPr>
          <w:sz w:val="24"/>
          <w:szCs w:val="24"/>
        </w:rPr>
        <w:t xml:space="preserve"> </w:t>
      </w:r>
    </w:p>
    <w:p w14:paraId="00000028" w14:textId="77777777" w:rsidR="00FD5325" w:rsidRDefault="001A3EF3">
      <w:pPr>
        <w:spacing w:after="0" w:line="240" w:lineRule="auto"/>
        <w:ind w:firstLine="566"/>
        <w:rPr>
          <w:sz w:val="24"/>
          <w:szCs w:val="24"/>
        </w:rPr>
      </w:pPr>
      <w:r>
        <w:rPr>
          <w:sz w:val="24"/>
          <w:szCs w:val="24"/>
        </w:rPr>
        <w:t xml:space="preserve">While here economic conflict that led to party-formation was both inter-regional and intra-regional, soldiers form certain regions might be privileged as a whole (or at least in their majority). This held true for those regions that were deemed </w:t>
      </w:r>
      <w:r>
        <w:rPr>
          <w:sz w:val="24"/>
          <w:szCs w:val="24"/>
        </w:rPr>
        <w:t>close to the ruler. Regionalism made Syrians supporters of the Umayyads who rewarded them with their trust and a privileged position in the army as a kind of presidential guard of the regime. Such regional economic interest groups did play a role in the fo</w:t>
      </w:r>
      <w:r>
        <w:rPr>
          <w:sz w:val="24"/>
          <w:szCs w:val="24"/>
        </w:rPr>
        <w:t xml:space="preserve">rmation of the ‘Abbasi-party as well. The </w:t>
      </w:r>
      <w:proofErr w:type="spellStart"/>
      <w:r>
        <w:rPr>
          <w:sz w:val="24"/>
          <w:szCs w:val="24"/>
        </w:rPr>
        <w:t>Khurasani</w:t>
      </w:r>
      <w:proofErr w:type="spellEnd"/>
      <w:r>
        <w:rPr>
          <w:sz w:val="24"/>
          <w:szCs w:val="24"/>
        </w:rPr>
        <w:t xml:space="preserve"> supporters of the movement that toppled the Umayyads were dissatisfied with the economic dominance of the old landed aristocracy in Khurasan at the expense of both Muslims who had dropped out of the army </w:t>
      </w:r>
      <w:r>
        <w:rPr>
          <w:sz w:val="24"/>
          <w:szCs w:val="24"/>
        </w:rPr>
        <w:t>and converts to Islam who wanted to become part of the elite.</w:t>
      </w:r>
      <w:r>
        <w:rPr>
          <w:sz w:val="24"/>
          <w:szCs w:val="24"/>
          <w:vertAlign w:val="superscript"/>
        </w:rPr>
        <w:footnoteReference w:id="26"/>
      </w:r>
      <w:r>
        <w:rPr>
          <w:sz w:val="24"/>
          <w:szCs w:val="24"/>
        </w:rPr>
        <w:t xml:space="preserve">  In this way, both regional interests and the collective interests of certain social classes in a loose sense were at play here. The same held true in the war of the two brothers at the end of </w:t>
      </w:r>
      <w:r>
        <w:rPr>
          <w:sz w:val="24"/>
          <w:szCs w:val="24"/>
        </w:rPr>
        <w:t xml:space="preserve">the period under consideration. Al-Amin was, as we have seen, supported by the </w:t>
      </w:r>
      <w:proofErr w:type="spellStart"/>
      <w:r>
        <w:rPr>
          <w:i/>
          <w:iCs/>
          <w:sz w:val="24"/>
          <w:szCs w:val="24"/>
        </w:rPr>
        <w:t>abna</w:t>
      </w:r>
      <w:proofErr w:type="spellEnd"/>
      <w:r>
        <w:rPr>
          <w:i/>
          <w:iCs/>
          <w:sz w:val="24"/>
          <w:szCs w:val="24"/>
        </w:rPr>
        <w:t>’ al-</w:t>
      </w:r>
      <w:proofErr w:type="spellStart"/>
      <w:r>
        <w:rPr>
          <w:i/>
          <w:iCs/>
          <w:sz w:val="24"/>
          <w:szCs w:val="24"/>
        </w:rPr>
        <w:t>dawla</w:t>
      </w:r>
      <w:proofErr w:type="spellEnd"/>
      <w:r>
        <w:rPr>
          <w:sz w:val="24"/>
          <w:szCs w:val="24"/>
        </w:rPr>
        <w:t xml:space="preserve"> in Baghdad who didn’t want to lose control</w:t>
      </w:r>
      <w:r>
        <w:rPr>
          <w:sz w:val="24"/>
          <w:szCs w:val="24"/>
        </w:rPr>
        <w:t xml:space="preserve"> of</w:t>
      </w:r>
      <w:r>
        <w:rPr>
          <w:sz w:val="24"/>
          <w:szCs w:val="24"/>
        </w:rPr>
        <w:t xml:space="preserve"> their financial resources in Khurasan and at the other hand the </w:t>
      </w:r>
      <w:proofErr w:type="spellStart"/>
      <w:r>
        <w:rPr>
          <w:sz w:val="24"/>
          <w:szCs w:val="24"/>
        </w:rPr>
        <w:t>Khurasani</w:t>
      </w:r>
      <w:proofErr w:type="spellEnd"/>
      <w:r>
        <w:rPr>
          <w:sz w:val="24"/>
          <w:szCs w:val="24"/>
        </w:rPr>
        <w:t xml:space="preserve"> army who brought al-</w:t>
      </w:r>
      <w:proofErr w:type="spellStart"/>
      <w:r>
        <w:rPr>
          <w:sz w:val="24"/>
          <w:szCs w:val="24"/>
        </w:rPr>
        <w:t>Ma’mun</w:t>
      </w:r>
      <w:proofErr w:type="spellEnd"/>
      <w:r>
        <w:rPr>
          <w:sz w:val="24"/>
          <w:szCs w:val="24"/>
        </w:rPr>
        <w:t xml:space="preserve"> to power didn’t</w:t>
      </w:r>
      <w:r>
        <w:rPr>
          <w:sz w:val="24"/>
          <w:szCs w:val="24"/>
        </w:rPr>
        <w:t xml:space="preserve"> want to let a huge part of the region’s money be drained to Baghdad. Furthermore, in this case, party formation was associated with regional cultural differences. Al-Amin was seen as of pure Arab stock and in a way a representative of the elites of Arab h</w:t>
      </w:r>
      <w:r>
        <w:rPr>
          <w:sz w:val="24"/>
          <w:szCs w:val="24"/>
        </w:rPr>
        <w:t>eartland of the Empire, while al-</w:t>
      </w:r>
      <w:proofErr w:type="spellStart"/>
      <w:r>
        <w:rPr>
          <w:sz w:val="24"/>
          <w:szCs w:val="24"/>
        </w:rPr>
        <w:t>Ma’mun</w:t>
      </w:r>
      <w:proofErr w:type="spellEnd"/>
      <w:r>
        <w:rPr>
          <w:sz w:val="24"/>
          <w:szCs w:val="24"/>
        </w:rPr>
        <w:t xml:space="preserve"> was closer to Iranian networks within the elite. Such “national” differences as origins of party formation have, naturally, been exaggerated by historical research in the 19</w:t>
      </w:r>
      <w:r>
        <w:rPr>
          <w:sz w:val="24"/>
          <w:szCs w:val="24"/>
          <w:vertAlign w:val="superscript"/>
        </w:rPr>
        <w:t>th</w:t>
      </w:r>
      <w:r>
        <w:rPr>
          <w:sz w:val="24"/>
          <w:szCs w:val="24"/>
        </w:rPr>
        <w:t xml:space="preserve"> and early 20</w:t>
      </w:r>
      <w:r>
        <w:rPr>
          <w:sz w:val="24"/>
          <w:szCs w:val="24"/>
          <w:vertAlign w:val="superscript"/>
        </w:rPr>
        <w:t>th</w:t>
      </w:r>
      <w:r>
        <w:rPr>
          <w:sz w:val="24"/>
          <w:szCs w:val="24"/>
        </w:rPr>
        <w:t xml:space="preserve"> centuries, but it seems t</w:t>
      </w:r>
      <w:r>
        <w:rPr>
          <w:sz w:val="24"/>
          <w:szCs w:val="24"/>
        </w:rPr>
        <w:t>hat they were not completely absent even at the time.</w:t>
      </w:r>
      <w:r>
        <w:rPr>
          <w:sz w:val="24"/>
          <w:szCs w:val="24"/>
          <w:vertAlign w:val="superscript"/>
        </w:rPr>
        <w:footnoteReference w:id="27"/>
      </w:r>
      <w:r>
        <w:rPr>
          <w:sz w:val="24"/>
          <w:szCs w:val="24"/>
        </w:rPr>
        <w:t xml:space="preserve">  </w:t>
      </w:r>
    </w:p>
    <w:p w14:paraId="00000029" w14:textId="77777777" w:rsidR="00FD5325" w:rsidRDefault="001A3EF3">
      <w:pPr>
        <w:spacing w:after="0" w:line="240" w:lineRule="auto"/>
        <w:ind w:firstLine="566"/>
        <w:rPr>
          <w:sz w:val="24"/>
          <w:szCs w:val="24"/>
        </w:rPr>
      </w:pPr>
      <w:r>
        <w:rPr>
          <w:sz w:val="24"/>
          <w:szCs w:val="24"/>
        </w:rPr>
        <w:t xml:space="preserve">Finally, as in all civil wars, then and since, party formation certainly also was a question of coincidence. We know that not all </w:t>
      </w:r>
      <w:proofErr w:type="spellStart"/>
      <w:r>
        <w:rPr>
          <w:sz w:val="24"/>
          <w:szCs w:val="24"/>
        </w:rPr>
        <w:t>Basrans</w:t>
      </w:r>
      <w:proofErr w:type="spellEnd"/>
      <w:r>
        <w:rPr>
          <w:sz w:val="24"/>
          <w:szCs w:val="24"/>
        </w:rPr>
        <w:t xml:space="preserve"> supported ‘A’isha in the first </w:t>
      </w:r>
      <w:proofErr w:type="spellStart"/>
      <w:r>
        <w:rPr>
          <w:i/>
          <w:iCs/>
          <w:sz w:val="24"/>
          <w:szCs w:val="24"/>
        </w:rPr>
        <w:t>Fitna</w:t>
      </w:r>
      <w:proofErr w:type="spellEnd"/>
      <w:r>
        <w:rPr>
          <w:sz w:val="24"/>
          <w:szCs w:val="24"/>
        </w:rPr>
        <w:t xml:space="preserve">, not all </w:t>
      </w:r>
      <w:proofErr w:type="spellStart"/>
      <w:r>
        <w:rPr>
          <w:sz w:val="24"/>
          <w:szCs w:val="24"/>
        </w:rPr>
        <w:t>Kufans</w:t>
      </w:r>
      <w:proofErr w:type="spellEnd"/>
      <w:r>
        <w:rPr>
          <w:sz w:val="24"/>
          <w:szCs w:val="24"/>
        </w:rPr>
        <w:t xml:space="preserve"> were Ali</w:t>
      </w:r>
      <w:r>
        <w:rPr>
          <w:sz w:val="24"/>
          <w:szCs w:val="24"/>
        </w:rPr>
        <w:t>-ultras.</w:t>
      </w:r>
      <w:r>
        <w:rPr>
          <w:sz w:val="24"/>
          <w:szCs w:val="24"/>
          <w:vertAlign w:val="superscript"/>
        </w:rPr>
        <w:footnoteReference w:id="28"/>
      </w:r>
      <w:r>
        <w:rPr>
          <w:sz w:val="24"/>
          <w:szCs w:val="24"/>
        </w:rPr>
        <w:t xml:space="preserve"> But if the majority in your town, your tribal grouping decided to throw in their lot with a certain group, what could you do? On the other hand, we can be sure that then as now, if your local enemies took the side of party x in a global conflict,</w:t>
      </w:r>
      <w:r>
        <w:rPr>
          <w:sz w:val="24"/>
          <w:szCs w:val="24"/>
        </w:rPr>
        <w:t xml:space="preserve"> you </w:t>
      </w:r>
      <w:r>
        <w:rPr>
          <w:sz w:val="24"/>
          <w:szCs w:val="24"/>
        </w:rPr>
        <w:lastRenderedPageBreak/>
        <w:t xml:space="preserve">would try to get the support of party y. Such factors must have been at play, but with the sources at hand, it is difficult to say much about them.   </w:t>
      </w:r>
    </w:p>
    <w:p w14:paraId="0000002A" w14:textId="77777777" w:rsidR="00FD5325" w:rsidRDefault="001A3EF3">
      <w:pPr>
        <w:spacing w:after="0" w:line="240" w:lineRule="auto"/>
        <w:ind w:firstLine="566"/>
        <w:rPr>
          <w:sz w:val="24"/>
          <w:szCs w:val="24"/>
        </w:rPr>
      </w:pPr>
      <w:r>
        <w:rPr>
          <w:sz w:val="24"/>
          <w:szCs w:val="24"/>
        </w:rPr>
        <w:t>In the end, there does not seem to be on</w:t>
      </w:r>
      <w:r>
        <w:rPr>
          <w:sz w:val="24"/>
          <w:szCs w:val="24"/>
        </w:rPr>
        <w:t>e</w:t>
      </w:r>
      <w:r>
        <w:rPr>
          <w:sz w:val="24"/>
          <w:szCs w:val="24"/>
        </w:rPr>
        <w:t xml:space="preserve"> single pattern that was dominant in party formation. Party</w:t>
      </w:r>
      <w:r>
        <w:rPr>
          <w:sz w:val="24"/>
          <w:szCs w:val="24"/>
        </w:rPr>
        <w:t xml:space="preserve"> formation in early Islam as in most epochs was a complex process where many different factors played a role. </w:t>
      </w:r>
    </w:p>
    <w:p w14:paraId="0000002B" w14:textId="77777777" w:rsidR="00FD5325" w:rsidRDefault="00FD5325">
      <w:pPr>
        <w:spacing w:after="0" w:line="240" w:lineRule="auto"/>
        <w:ind w:firstLine="566"/>
        <w:rPr>
          <w:sz w:val="24"/>
          <w:szCs w:val="24"/>
        </w:rPr>
      </w:pPr>
    </w:p>
    <w:p w14:paraId="0000002C" w14:textId="77777777" w:rsidR="00FD5325" w:rsidRDefault="001A3EF3">
      <w:pPr>
        <w:spacing w:after="0" w:line="240" w:lineRule="auto"/>
        <w:rPr>
          <w:b/>
          <w:bCs/>
          <w:sz w:val="24"/>
          <w:szCs w:val="24"/>
        </w:rPr>
      </w:pPr>
      <w:r>
        <w:rPr>
          <w:b/>
          <w:bCs/>
          <w:sz w:val="24"/>
          <w:szCs w:val="24"/>
        </w:rPr>
        <w:t>4. Leaders in Internal Wars</w:t>
      </w:r>
    </w:p>
    <w:p w14:paraId="0000002D" w14:textId="77777777" w:rsidR="00FD5325" w:rsidRDefault="00FD5325">
      <w:pPr>
        <w:spacing w:after="0" w:line="240" w:lineRule="auto"/>
        <w:rPr>
          <w:sz w:val="24"/>
          <w:szCs w:val="24"/>
        </w:rPr>
      </w:pPr>
    </w:p>
    <w:p w14:paraId="0000002E" w14:textId="77777777" w:rsidR="00FD5325" w:rsidRDefault="001A3EF3">
      <w:pPr>
        <w:spacing w:after="0" w:line="240" w:lineRule="auto"/>
        <w:rPr>
          <w:sz w:val="24"/>
          <w:szCs w:val="24"/>
        </w:rPr>
      </w:pPr>
      <w:r>
        <w:rPr>
          <w:sz w:val="24"/>
          <w:szCs w:val="24"/>
        </w:rPr>
        <w:t>Although the message of the Qur’an is an egalitarian one as far as free male Muslims were concerned, early Muslim society was far from putting this into practice. Right from the beginning, certain people and groups were more equal than others. Nearly all t</w:t>
      </w:r>
      <w:r>
        <w:rPr>
          <w:sz w:val="24"/>
          <w:szCs w:val="24"/>
        </w:rPr>
        <w:t xml:space="preserve">he leaders of political parties and movements came from families that profited in one way or the other from hereditary privilege. That this was seen as normal, is shown – </w:t>
      </w:r>
      <w:r>
        <w:rPr>
          <w:i/>
          <w:iCs/>
          <w:sz w:val="24"/>
          <w:szCs w:val="24"/>
        </w:rPr>
        <w:t xml:space="preserve">e </w:t>
      </w:r>
      <w:proofErr w:type="spellStart"/>
      <w:r>
        <w:rPr>
          <w:i/>
          <w:iCs/>
          <w:sz w:val="24"/>
          <w:szCs w:val="24"/>
        </w:rPr>
        <w:t>contrario</w:t>
      </w:r>
      <w:proofErr w:type="spellEnd"/>
      <w:r>
        <w:rPr>
          <w:sz w:val="24"/>
          <w:szCs w:val="24"/>
        </w:rPr>
        <w:t xml:space="preserve"> – by the famous, but apocryphal </w:t>
      </w:r>
      <w:proofErr w:type="spellStart"/>
      <w:r>
        <w:rPr>
          <w:sz w:val="24"/>
          <w:szCs w:val="24"/>
        </w:rPr>
        <w:t>Khariji</w:t>
      </w:r>
      <w:proofErr w:type="spellEnd"/>
      <w:r>
        <w:rPr>
          <w:sz w:val="24"/>
          <w:szCs w:val="24"/>
        </w:rPr>
        <w:t xml:space="preserve"> adage that the most pious should </w:t>
      </w:r>
      <w:r>
        <w:rPr>
          <w:sz w:val="24"/>
          <w:szCs w:val="24"/>
        </w:rPr>
        <w:t>be Caliph and be he an Abyssinian slave. That with them ethnic origin – but in fact not legal status – was of no importance for political leadership was their unique selling proposition.</w:t>
      </w:r>
      <w:r>
        <w:rPr>
          <w:sz w:val="24"/>
          <w:szCs w:val="24"/>
          <w:vertAlign w:val="superscript"/>
        </w:rPr>
        <w:footnoteReference w:id="29"/>
      </w:r>
      <w:r>
        <w:rPr>
          <w:sz w:val="24"/>
          <w:szCs w:val="24"/>
        </w:rPr>
        <w:t xml:space="preserve"> Their leaders had no need to prove proximity to the prophet, but eve</w:t>
      </w:r>
      <w:r>
        <w:rPr>
          <w:sz w:val="24"/>
          <w:szCs w:val="24"/>
        </w:rPr>
        <w:t>n with them, at least in North Africa, the imamate became hereditary in practice.</w:t>
      </w:r>
      <w:r>
        <w:rPr>
          <w:sz w:val="24"/>
          <w:szCs w:val="24"/>
          <w:vertAlign w:val="superscript"/>
        </w:rPr>
        <w:footnoteReference w:id="30"/>
      </w:r>
    </w:p>
    <w:p w14:paraId="0000002F" w14:textId="77777777" w:rsidR="00FD5325" w:rsidRDefault="001A3EF3">
      <w:pPr>
        <w:spacing w:after="0" w:line="240" w:lineRule="auto"/>
        <w:ind w:firstLine="566"/>
        <w:rPr>
          <w:sz w:val="24"/>
          <w:szCs w:val="24"/>
        </w:rPr>
      </w:pPr>
      <w:r>
        <w:rPr>
          <w:sz w:val="24"/>
          <w:szCs w:val="24"/>
        </w:rPr>
        <w:t>For the rest, a leading position in the civil wars of early Islam was predicated by two factors: The first was belonging to the great Meccan families, and having high status</w:t>
      </w:r>
      <w:r>
        <w:rPr>
          <w:sz w:val="24"/>
          <w:szCs w:val="24"/>
        </w:rPr>
        <w:t xml:space="preserve"> among them because of early services to Islam or the pre-Islamic position of your family. Then you had to gain support among your Meccan peers and the leading houses of tribal society. The best way of doing this was intensive networking, ideally by interm</w:t>
      </w:r>
      <w:r>
        <w:rPr>
          <w:sz w:val="24"/>
          <w:szCs w:val="24"/>
        </w:rPr>
        <w:t>arriage. It seems that after some short discussion after the death of Muhammad in 632 the vast majority of Muslims had accepted that the leader of the community must be from Quraysh, the Prophet’s tribe, and more particularly from some branches of that tri</w:t>
      </w:r>
      <w:r>
        <w:rPr>
          <w:sz w:val="24"/>
          <w:szCs w:val="24"/>
        </w:rPr>
        <w:t>be. After the mid-7</w:t>
      </w:r>
      <w:r>
        <w:rPr>
          <w:sz w:val="24"/>
          <w:szCs w:val="24"/>
          <w:vertAlign w:val="superscript"/>
        </w:rPr>
        <w:t>th</w:t>
      </w:r>
      <w:r>
        <w:rPr>
          <w:sz w:val="24"/>
          <w:szCs w:val="24"/>
        </w:rPr>
        <w:t xml:space="preserve"> century, it was also accepted by nearly all that the caliphate should be hereditary within one or the other of these branches. All successful pretenders and party-leaders therefore were first and foremost leaders of their respective s</w:t>
      </w:r>
      <w:r>
        <w:rPr>
          <w:sz w:val="24"/>
          <w:szCs w:val="24"/>
        </w:rPr>
        <w:t>ub-branch of Quraysh and had become party-leaders as such. This held true for the caliphs of the Umayyad line as well as for their ‘Abbasid successors. The Shi’is (of whom the ‘Abbasids in a way had been a subset in the beginning) as an opposition party wi</w:t>
      </w:r>
      <w:r>
        <w:rPr>
          <w:sz w:val="24"/>
          <w:szCs w:val="24"/>
        </w:rPr>
        <w:t xml:space="preserve">thout great chances of gaining power didn’t have to decide who should be their party leader. All through our period different persons at different times tried to put themselves forward as leaders of the party of the Prophet’s house without finding general </w:t>
      </w:r>
      <w:r>
        <w:rPr>
          <w:sz w:val="24"/>
          <w:szCs w:val="24"/>
        </w:rPr>
        <w:t>acceptance among all people with Shi’i affiliations.</w:t>
      </w:r>
      <w:r>
        <w:rPr>
          <w:sz w:val="24"/>
          <w:szCs w:val="24"/>
          <w:vertAlign w:val="superscript"/>
        </w:rPr>
        <w:footnoteReference w:id="31"/>
      </w:r>
      <w:r>
        <w:rPr>
          <w:sz w:val="24"/>
          <w:szCs w:val="24"/>
        </w:rPr>
        <w:t xml:space="preserve"> It was in such contexts that diligent multi-generation networking of lines of ‘</w:t>
      </w:r>
      <w:proofErr w:type="spellStart"/>
      <w:r>
        <w:rPr>
          <w:sz w:val="24"/>
          <w:szCs w:val="24"/>
        </w:rPr>
        <w:t>Alid</w:t>
      </w:r>
      <w:proofErr w:type="spellEnd"/>
      <w:r>
        <w:rPr>
          <w:sz w:val="24"/>
          <w:szCs w:val="24"/>
        </w:rPr>
        <w:t xml:space="preserve"> pretenders played a role. Marriage alliances and other forms of networking served to gain the support of important tri</w:t>
      </w:r>
      <w:r>
        <w:rPr>
          <w:sz w:val="24"/>
          <w:szCs w:val="24"/>
        </w:rPr>
        <w:t>bal leaders but also of other branches of the house of the prophet itself.</w:t>
      </w:r>
      <w:r>
        <w:rPr>
          <w:sz w:val="24"/>
          <w:szCs w:val="24"/>
          <w:vertAlign w:val="superscript"/>
        </w:rPr>
        <w:footnoteReference w:id="32"/>
      </w:r>
      <w:r>
        <w:rPr>
          <w:sz w:val="24"/>
          <w:szCs w:val="24"/>
        </w:rPr>
        <w:t xml:space="preserve"> </w:t>
      </w:r>
    </w:p>
    <w:p w14:paraId="00000030" w14:textId="77777777" w:rsidR="00FD5325" w:rsidRDefault="001A3EF3">
      <w:pPr>
        <w:spacing w:after="0" w:line="240" w:lineRule="auto"/>
        <w:ind w:firstLine="566"/>
        <w:rPr>
          <w:sz w:val="24"/>
          <w:szCs w:val="24"/>
        </w:rPr>
      </w:pPr>
      <w:r>
        <w:rPr>
          <w:sz w:val="24"/>
          <w:szCs w:val="24"/>
        </w:rPr>
        <w:lastRenderedPageBreak/>
        <w:t xml:space="preserve">The caliph, of course, was the most important party-leader at any point throughout our period. After the first </w:t>
      </w:r>
      <w:proofErr w:type="spellStart"/>
      <w:r>
        <w:rPr>
          <w:i/>
          <w:iCs/>
          <w:sz w:val="24"/>
          <w:szCs w:val="24"/>
        </w:rPr>
        <w:t>Fitna</w:t>
      </w:r>
      <w:proofErr w:type="spellEnd"/>
      <w:r>
        <w:rPr>
          <w:sz w:val="24"/>
          <w:szCs w:val="24"/>
        </w:rPr>
        <w:t xml:space="preserve"> a caliph was mostly either the son of his predecessor or his b</w:t>
      </w:r>
      <w:r>
        <w:rPr>
          <w:sz w:val="24"/>
          <w:szCs w:val="24"/>
        </w:rPr>
        <w:t>rother. The most prominent example of this are the sons of Abd al-Malik, ruling one after the other. The same held true later on for the ‘Abbasids. Sometimes a cousin could come to the throne if no suitable son or brother was available. These were mostly m</w:t>
      </w:r>
      <w:r>
        <w:rPr>
          <w:sz w:val="24"/>
          <w:szCs w:val="24"/>
        </w:rPr>
        <w:t xml:space="preserve">oments when the unity of the Umayyad party had broken down as at the beginning of the second and during the third </w:t>
      </w:r>
      <w:proofErr w:type="spellStart"/>
      <w:r>
        <w:rPr>
          <w:i/>
          <w:iCs/>
          <w:sz w:val="24"/>
          <w:szCs w:val="24"/>
        </w:rPr>
        <w:t>Fitna</w:t>
      </w:r>
      <w:proofErr w:type="spellEnd"/>
      <w:r>
        <w:rPr>
          <w:sz w:val="24"/>
          <w:szCs w:val="24"/>
        </w:rPr>
        <w:t>. Why this should have happened at a certain point in time is difficult to explain. Of course, coincidence played a role: At the beginnin</w:t>
      </w:r>
      <w:r>
        <w:rPr>
          <w:sz w:val="24"/>
          <w:szCs w:val="24"/>
        </w:rPr>
        <w:t xml:space="preserve">g of the second </w:t>
      </w:r>
      <w:proofErr w:type="spellStart"/>
      <w:r>
        <w:rPr>
          <w:i/>
          <w:iCs/>
          <w:sz w:val="24"/>
          <w:szCs w:val="24"/>
        </w:rPr>
        <w:t>Fitna</w:t>
      </w:r>
      <w:proofErr w:type="spellEnd"/>
      <w:r>
        <w:rPr>
          <w:sz w:val="24"/>
          <w:szCs w:val="24"/>
        </w:rPr>
        <w:t xml:space="preserve">, the </w:t>
      </w:r>
      <w:proofErr w:type="spellStart"/>
      <w:r>
        <w:rPr>
          <w:sz w:val="24"/>
          <w:szCs w:val="24"/>
        </w:rPr>
        <w:t>Sufyanid</w:t>
      </w:r>
      <w:proofErr w:type="spellEnd"/>
      <w:r>
        <w:rPr>
          <w:sz w:val="24"/>
          <w:szCs w:val="24"/>
        </w:rPr>
        <w:t xml:space="preserve"> branch of the Umayyads which had brought forth three caliphs in a row had died out. Having no candidate left, it is no wonder that some tribal supporters of the party tried to look elsewhere for leadership as happened wi</w:t>
      </w:r>
      <w:r>
        <w:rPr>
          <w:sz w:val="24"/>
          <w:szCs w:val="24"/>
        </w:rPr>
        <w:t xml:space="preserve">th the tribal confederation of the </w:t>
      </w:r>
      <w:proofErr w:type="spellStart"/>
      <w:r>
        <w:rPr>
          <w:sz w:val="24"/>
          <w:szCs w:val="24"/>
        </w:rPr>
        <w:t>Qaysis</w:t>
      </w:r>
      <w:proofErr w:type="spellEnd"/>
      <w:r>
        <w:rPr>
          <w:sz w:val="24"/>
          <w:szCs w:val="24"/>
        </w:rPr>
        <w:t xml:space="preserve"> at the beginning of the second </w:t>
      </w:r>
      <w:proofErr w:type="spellStart"/>
      <w:r>
        <w:rPr>
          <w:sz w:val="24"/>
          <w:szCs w:val="24"/>
        </w:rPr>
        <w:t>Fitna</w:t>
      </w:r>
      <w:proofErr w:type="spellEnd"/>
      <w:r>
        <w:rPr>
          <w:sz w:val="24"/>
          <w:szCs w:val="24"/>
        </w:rPr>
        <w:t>. It took some time until Syrian tribal groups and more generally the Muslim armies in Syria recognised that they could guard their leading position in the Empire only by choosin</w:t>
      </w:r>
      <w:r>
        <w:rPr>
          <w:sz w:val="24"/>
          <w:szCs w:val="24"/>
        </w:rPr>
        <w:t>g some distant cousin of the Umayyad house who happened to be in Syria as leader of their party, Marwan, the father of the great caliph ‘Abd al-Malik.</w:t>
      </w:r>
      <w:r>
        <w:rPr>
          <w:sz w:val="24"/>
          <w:szCs w:val="24"/>
          <w:vertAlign w:val="superscript"/>
        </w:rPr>
        <w:footnoteReference w:id="33"/>
      </w:r>
      <w:r>
        <w:rPr>
          <w:sz w:val="24"/>
          <w:szCs w:val="24"/>
        </w:rPr>
        <w:t xml:space="preserve"> </w:t>
      </w:r>
    </w:p>
    <w:p w14:paraId="00000031" w14:textId="77777777" w:rsidR="00FD5325" w:rsidRDefault="001A3EF3">
      <w:pPr>
        <w:spacing w:after="0" w:line="240" w:lineRule="auto"/>
        <w:ind w:firstLine="566"/>
        <w:rPr>
          <w:sz w:val="24"/>
          <w:szCs w:val="24"/>
        </w:rPr>
      </w:pPr>
      <w:r>
        <w:rPr>
          <w:sz w:val="24"/>
          <w:szCs w:val="24"/>
        </w:rPr>
        <w:t xml:space="preserve">The third </w:t>
      </w:r>
      <w:proofErr w:type="spellStart"/>
      <w:r>
        <w:rPr>
          <w:i/>
          <w:iCs/>
          <w:sz w:val="24"/>
          <w:szCs w:val="24"/>
        </w:rPr>
        <w:t>Fitna</w:t>
      </w:r>
      <w:proofErr w:type="spellEnd"/>
      <w:r>
        <w:rPr>
          <w:sz w:val="24"/>
          <w:szCs w:val="24"/>
        </w:rPr>
        <w:t xml:space="preserve"> is a more complicated case. After the death of Hisham no universally acceptable success</w:t>
      </w:r>
      <w:r>
        <w:rPr>
          <w:sz w:val="24"/>
          <w:szCs w:val="24"/>
        </w:rPr>
        <w:t>or seems to have been in sight. By consequence different tribal alliances, parties which had become a fixed feature of provincial politics in the 8</w:t>
      </w:r>
      <w:r>
        <w:rPr>
          <w:sz w:val="24"/>
          <w:szCs w:val="24"/>
          <w:vertAlign w:val="superscript"/>
        </w:rPr>
        <w:t>th</w:t>
      </w:r>
      <w:r>
        <w:rPr>
          <w:sz w:val="24"/>
          <w:szCs w:val="24"/>
        </w:rPr>
        <w:t xml:space="preserve"> century, now jockeyed for power at the centre, each with an Umayyad prince at its helm.</w:t>
      </w:r>
      <w:r>
        <w:rPr>
          <w:sz w:val="24"/>
          <w:szCs w:val="24"/>
          <w:vertAlign w:val="superscript"/>
        </w:rPr>
        <w:footnoteReference w:id="34"/>
      </w:r>
      <w:r>
        <w:rPr>
          <w:sz w:val="24"/>
          <w:szCs w:val="24"/>
        </w:rPr>
        <w:t xml:space="preserve"> At the same time,</w:t>
      </w:r>
      <w:r>
        <w:rPr>
          <w:sz w:val="24"/>
          <w:szCs w:val="24"/>
        </w:rPr>
        <w:t xml:space="preserve"> others rose in the name of a Shi’i imam or in the name of </w:t>
      </w:r>
      <w:proofErr w:type="spellStart"/>
      <w:r>
        <w:rPr>
          <w:sz w:val="24"/>
          <w:szCs w:val="24"/>
        </w:rPr>
        <w:t>Kharijism</w:t>
      </w:r>
      <w:proofErr w:type="spellEnd"/>
      <w:r>
        <w:rPr>
          <w:sz w:val="24"/>
          <w:szCs w:val="24"/>
        </w:rPr>
        <w:t xml:space="preserve">. Everything seemed in flux and even Umayyad princes could at times declare themselves in favour of </w:t>
      </w:r>
      <w:proofErr w:type="spellStart"/>
      <w:r>
        <w:rPr>
          <w:sz w:val="24"/>
          <w:szCs w:val="24"/>
        </w:rPr>
        <w:t>Kharijism</w:t>
      </w:r>
      <w:proofErr w:type="spellEnd"/>
      <w:r>
        <w:rPr>
          <w:sz w:val="24"/>
          <w:szCs w:val="24"/>
        </w:rPr>
        <w:t>.</w:t>
      </w:r>
      <w:r>
        <w:rPr>
          <w:sz w:val="24"/>
          <w:szCs w:val="24"/>
          <w:vertAlign w:val="superscript"/>
        </w:rPr>
        <w:footnoteReference w:id="35"/>
      </w:r>
      <w:r>
        <w:rPr>
          <w:sz w:val="24"/>
          <w:szCs w:val="24"/>
        </w:rPr>
        <w:t xml:space="preserve"> It was in a situation of crisis such as this that an effective politician li</w:t>
      </w:r>
      <w:r>
        <w:rPr>
          <w:sz w:val="24"/>
          <w:szCs w:val="24"/>
        </w:rPr>
        <w:t>ke Marwan II. (744-750), although he was from a minor branch of the dynasty, could emerge as leader of the Umayyad fold.</w:t>
      </w:r>
      <w:r>
        <w:rPr>
          <w:sz w:val="24"/>
          <w:szCs w:val="24"/>
          <w:vertAlign w:val="superscript"/>
        </w:rPr>
        <w:footnoteReference w:id="36"/>
      </w:r>
      <w:r>
        <w:rPr>
          <w:sz w:val="24"/>
          <w:szCs w:val="24"/>
        </w:rPr>
        <w:t xml:space="preserve"> Apart from him, it is not easy to tell if the Umayyad short-time-caliphs and pretenders of the period had created the parties as whose</w:t>
      </w:r>
      <w:r>
        <w:rPr>
          <w:sz w:val="24"/>
          <w:szCs w:val="24"/>
        </w:rPr>
        <w:t xml:space="preserve"> leaders they served or if they were mere figure-heads.</w:t>
      </w:r>
      <w:r>
        <w:rPr>
          <w:sz w:val="24"/>
          <w:szCs w:val="24"/>
          <w:vertAlign w:val="superscript"/>
        </w:rPr>
        <w:footnoteReference w:id="37"/>
      </w:r>
      <w:r>
        <w:rPr>
          <w:sz w:val="24"/>
          <w:szCs w:val="24"/>
        </w:rPr>
        <w:t xml:space="preserve"> The most prominent case of a figure-head leader of a party is Muhammad b. al-</w:t>
      </w:r>
      <w:proofErr w:type="spellStart"/>
      <w:r>
        <w:rPr>
          <w:sz w:val="24"/>
          <w:szCs w:val="24"/>
        </w:rPr>
        <w:t>Hanafiyya</w:t>
      </w:r>
      <w:proofErr w:type="spellEnd"/>
      <w:r>
        <w:rPr>
          <w:sz w:val="24"/>
          <w:szCs w:val="24"/>
        </w:rPr>
        <w:t xml:space="preserve"> during the first </w:t>
      </w:r>
      <w:proofErr w:type="spellStart"/>
      <w:r>
        <w:rPr>
          <w:i/>
          <w:iCs/>
          <w:sz w:val="24"/>
          <w:szCs w:val="24"/>
        </w:rPr>
        <w:t>Fitna</w:t>
      </w:r>
      <w:proofErr w:type="spellEnd"/>
      <w:r>
        <w:rPr>
          <w:sz w:val="24"/>
          <w:szCs w:val="24"/>
        </w:rPr>
        <w:t xml:space="preserve"> who seems not to have been the real organising power behind the Shi’i uprisings in Iraq a</w:t>
      </w:r>
      <w:r>
        <w:rPr>
          <w:sz w:val="24"/>
          <w:szCs w:val="24"/>
        </w:rPr>
        <w:t>t the time. But would he have come forth as real leader of the party once the master-mind organising the uprisings, al-Mukhtar, had been successful? We cannot tell. In the case of the ‘Abbasid take-over such a scenario did occur. The ‘Abbasid uprising in K</w:t>
      </w:r>
      <w:r>
        <w:rPr>
          <w:sz w:val="24"/>
          <w:szCs w:val="24"/>
        </w:rPr>
        <w:t>hurasan was organised by Abu Muslim who called for “him from the people of the house who shall find general acceptance”. The ‘Abbasid pretender al-</w:t>
      </w:r>
      <w:proofErr w:type="spellStart"/>
      <w:r>
        <w:rPr>
          <w:sz w:val="24"/>
          <w:szCs w:val="24"/>
        </w:rPr>
        <w:t>Saffah</w:t>
      </w:r>
      <w:proofErr w:type="spellEnd"/>
      <w:r>
        <w:rPr>
          <w:sz w:val="24"/>
          <w:szCs w:val="24"/>
        </w:rPr>
        <w:t xml:space="preserve"> only formally took the lead of the party once the civil war was won. After his death there followed a </w:t>
      </w:r>
      <w:r>
        <w:rPr>
          <w:sz w:val="24"/>
          <w:szCs w:val="24"/>
        </w:rPr>
        <w:t>short civil war among the Abbasids on who was going to be Caliph. Abu Muslim decisively supported the victorious contender al-Mansur, but was disposed of immediately afterwards. A true party-leader had no use for over-mighty subjects.</w:t>
      </w:r>
      <w:r>
        <w:rPr>
          <w:sz w:val="24"/>
          <w:szCs w:val="24"/>
          <w:vertAlign w:val="superscript"/>
        </w:rPr>
        <w:footnoteReference w:id="38"/>
      </w:r>
    </w:p>
    <w:p w14:paraId="00000032" w14:textId="77777777" w:rsidR="00FD5325" w:rsidRDefault="00FD5325">
      <w:pPr>
        <w:spacing w:after="0" w:line="240" w:lineRule="auto"/>
        <w:ind w:firstLine="566"/>
        <w:rPr>
          <w:sz w:val="24"/>
          <w:szCs w:val="24"/>
        </w:rPr>
      </w:pPr>
    </w:p>
    <w:p w14:paraId="00000033" w14:textId="77777777" w:rsidR="00FD5325" w:rsidRDefault="00FD5325">
      <w:pPr>
        <w:spacing w:after="0" w:line="240" w:lineRule="auto"/>
        <w:ind w:firstLine="566"/>
        <w:rPr>
          <w:sz w:val="24"/>
          <w:szCs w:val="24"/>
        </w:rPr>
      </w:pPr>
    </w:p>
    <w:p w14:paraId="00000034" w14:textId="77777777" w:rsidR="00FD5325" w:rsidRDefault="001A3EF3">
      <w:pPr>
        <w:spacing w:after="0" w:line="240" w:lineRule="auto"/>
        <w:rPr>
          <w:b/>
          <w:bCs/>
          <w:sz w:val="24"/>
          <w:szCs w:val="24"/>
        </w:rPr>
      </w:pPr>
      <w:r>
        <w:rPr>
          <w:b/>
          <w:bCs/>
          <w:sz w:val="24"/>
          <w:szCs w:val="24"/>
        </w:rPr>
        <w:t>5. How Wars End</w:t>
      </w:r>
    </w:p>
    <w:p w14:paraId="00000035" w14:textId="77777777" w:rsidR="00FD5325" w:rsidRDefault="00FD5325">
      <w:pPr>
        <w:spacing w:after="0" w:line="240" w:lineRule="auto"/>
        <w:rPr>
          <w:sz w:val="24"/>
          <w:szCs w:val="24"/>
        </w:rPr>
      </w:pPr>
    </w:p>
    <w:p w14:paraId="00000036" w14:textId="77777777" w:rsidR="00FD5325" w:rsidRDefault="001A3EF3">
      <w:pPr>
        <w:spacing w:after="0" w:line="240" w:lineRule="auto"/>
        <w:rPr>
          <w:sz w:val="24"/>
          <w:szCs w:val="24"/>
        </w:rPr>
      </w:pPr>
      <w:r>
        <w:rPr>
          <w:sz w:val="24"/>
          <w:szCs w:val="24"/>
        </w:rPr>
        <w:t>I</w:t>
      </w:r>
      <w:r>
        <w:rPr>
          <w:sz w:val="24"/>
          <w:szCs w:val="24"/>
        </w:rPr>
        <w:t xml:space="preserve">nternal wars, like all wars, do not last eternally. An important question must therefore be why and how these wars come to an end. With the sources at hand, it seems rather difficult </w:t>
      </w:r>
      <w:r>
        <w:rPr>
          <w:sz w:val="24"/>
          <w:szCs w:val="24"/>
        </w:rPr>
        <w:lastRenderedPageBreak/>
        <w:t>to give clear cut answers as to why one party came out top in the end and</w:t>
      </w:r>
      <w:r>
        <w:rPr>
          <w:sz w:val="24"/>
          <w:szCs w:val="24"/>
        </w:rPr>
        <w:t xml:space="preserve"> not another. Military victory certainly was not quite as much a function of economic resources as it is in modern warfare. This makes structural explanations of victory and defeat much more difficult than in the context of, say, the American civil war. As</w:t>
      </w:r>
      <w:r>
        <w:rPr>
          <w:sz w:val="24"/>
          <w:szCs w:val="24"/>
        </w:rPr>
        <w:t xml:space="preserve"> far as we can tell, the control of certain key-regions or the central bureaucracy was not decisive either. Winning wars seems to have been a question of force of numbers, snowballing and sheer luck. </w:t>
      </w:r>
    </w:p>
    <w:p w14:paraId="00000037" w14:textId="0BED73E6" w:rsidR="00FD5325" w:rsidRDefault="001A3EF3">
      <w:pPr>
        <w:spacing w:after="0" w:line="240" w:lineRule="auto"/>
        <w:ind w:firstLine="566"/>
        <w:rPr>
          <w:sz w:val="24"/>
          <w:szCs w:val="24"/>
        </w:rPr>
      </w:pPr>
      <w:r>
        <w:rPr>
          <w:sz w:val="24"/>
          <w:szCs w:val="24"/>
        </w:rPr>
        <w:t xml:space="preserve">As far as we can tell, the possibility to wage war </w:t>
      </w:r>
      <w:r>
        <w:rPr>
          <w:sz w:val="24"/>
          <w:szCs w:val="24"/>
        </w:rPr>
        <w:t>depended most of all on manpower and the resources to feed and reward the soldiers. This made clear quite early on that the Hejaz would not be the future centre of gravity within the Empire, once more useful provinces had been subdued. Victorious parties i</w:t>
      </w:r>
      <w:r>
        <w:rPr>
          <w:sz w:val="24"/>
          <w:szCs w:val="24"/>
        </w:rPr>
        <w:t>n civil wars always had controlled Syria or Khurasan before the war had started. This sounds odd, as we can assume that both Egypt and Iraq with their rich agrarian base should have rather been the props of the winners. In fact, throughout most of later me</w:t>
      </w:r>
      <w:r>
        <w:rPr>
          <w:sz w:val="24"/>
          <w:szCs w:val="24"/>
        </w:rPr>
        <w:t>dieval Middle Eastern history it was these latter provinces that were centres of regional power. How are we to explain this seeming abnormality? I would propose that both Syria and Khurasan at the time were nearer to active frontiers and therefore had more</w:t>
      </w:r>
      <w:r>
        <w:rPr>
          <w:sz w:val="24"/>
          <w:szCs w:val="24"/>
        </w:rPr>
        <w:t xml:space="preserve"> troops ready for fighting. The downfall of the Umayyads came, when their mainstay, the Syrian army, had become depleted by Syrian imperial overstretch with loyal Syrian troops occupied subduing uprisings anywhere from Spain to Central Asia in the 730</w:t>
      </w:r>
      <w:r>
        <w:rPr>
          <w:sz w:val="24"/>
          <w:szCs w:val="24"/>
        </w:rPr>
        <w:t>s a</w:t>
      </w:r>
      <w:r>
        <w:rPr>
          <w:sz w:val="24"/>
          <w:szCs w:val="24"/>
        </w:rPr>
        <w:t>nd 740</w:t>
      </w:r>
      <w:r>
        <w:rPr>
          <w:sz w:val="24"/>
          <w:szCs w:val="24"/>
        </w:rPr>
        <w:t xml:space="preserve">s. The inner-Umayyad conflicts of the third </w:t>
      </w:r>
      <w:proofErr w:type="spellStart"/>
      <w:r>
        <w:rPr>
          <w:i/>
          <w:iCs/>
          <w:sz w:val="24"/>
          <w:szCs w:val="24"/>
        </w:rPr>
        <w:t>Fitna</w:t>
      </w:r>
      <w:proofErr w:type="spellEnd"/>
      <w:r>
        <w:rPr>
          <w:sz w:val="24"/>
          <w:szCs w:val="24"/>
        </w:rPr>
        <w:t xml:space="preserve"> had compounded this difficult situation. </w:t>
      </w:r>
    </w:p>
    <w:p w14:paraId="00000038" w14:textId="77777777" w:rsidR="00FD5325" w:rsidRDefault="001A3EF3">
      <w:pPr>
        <w:spacing w:after="0" w:line="240" w:lineRule="auto"/>
        <w:ind w:firstLine="566"/>
        <w:rPr>
          <w:sz w:val="24"/>
          <w:szCs w:val="24"/>
        </w:rPr>
      </w:pPr>
      <w:r>
        <w:rPr>
          <w:sz w:val="24"/>
          <w:szCs w:val="24"/>
        </w:rPr>
        <w:t>This leads us to the other point (that, in fact, is not too surprising): Losers were always the party that had lost its unity. This held true for ‘Ali durin</w:t>
      </w:r>
      <w:r>
        <w:rPr>
          <w:sz w:val="24"/>
          <w:szCs w:val="24"/>
        </w:rPr>
        <w:t xml:space="preserve">g the first </w:t>
      </w:r>
      <w:proofErr w:type="spellStart"/>
      <w:r>
        <w:rPr>
          <w:i/>
          <w:iCs/>
          <w:sz w:val="24"/>
          <w:szCs w:val="24"/>
        </w:rPr>
        <w:t>Fitna</w:t>
      </w:r>
      <w:proofErr w:type="spellEnd"/>
      <w:r>
        <w:rPr>
          <w:sz w:val="24"/>
          <w:szCs w:val="24"/>
        </w:rPr>
        <w:t xml:space="preserve">. It was next to impossible for him to hold his coalition of forces together. Among his Iraqi supporters some had been discontented because they thought the latecomers to Iraq should not be inscribed on the caliph’s payroll on equal terms </w:t>
      </w:r>
      <w:r>
        <w:rPr>
          <w:sz w:val="24"/>
          <w:szCs w:val="24"/>
        </w:rPr>
        <w:t>with themselves, another group of his supporters were exactly these latecomers clamouring for equality.</w:t>
      </w:r>
      <w:r>
        <w:rPr>
          <w:sz w:val="24"/>
          <w:szCs w:val="24"/>
          <w:vertAlign w:val="superscript"/>
        </w:rPr>
        <w:footnoteReference w:id="39"/>
      </w:r>
      <w:r>
        <w:rPr>
          <w:sz w:val="24"/>
          <w:szCs w:val="24"/>
        </w:rPr>
        <w:t xml:space="preserve"> The case of the end of the Umayyads has already been mentioned. With respect to al-Amin, his downfall was also due to the infighting between his suppor</w:t>
      </w:r>
      <w:r>
        <w:rPr>
          <w:sz w:val="24"/>
          <w:szCs w:val="24"/>
        </w:rPr>
        <w:t xml:space="preserve">ters from among the </w:t>
      </w:r>
      <w:proofErr w:type="spellStart"/>
      <w:r>
        <w:rPr>
          <w:i/>
          <w:iCs/>
          <w:sz w:val="24"/>
          <w:szCs w:val="24"/>
        </w:rPr>
        <w:t>abna</w:t>
      </w:r>
      <w:proofErr w:type="spellEnd"/>
      <w:r>
        <w:rPr>
          <w:i/>
          <w:iCs/>
          <w:sz w:val="24"/>
          <w:szCs w:val="24"/>
        </w:rPr>
        <w:t xml:space="preserve">’ </w:t>
      </w:r>
      <w:r>
        <w:rPr>
          <w:sz w:val="24"/>
          <w:szCs w:val="24"/>
        </w:rPr>
        <w:t>and the Baghdadi lower classes.</w:t>
      </w:r>
      <w:r>
        <w:rPr>
          <w:sz w:val="24"/>
          <w:szCs w:val="24"/>
          <w:vertAlign w:val="superscript"/>
        </w:rPr>
        <w:footnoteReference w:id="40"/>
      </w:r>
    </w:p>
    <w:p w14:paraId="00000039" w14:textId="77777777" w:rsidR="00FD5325" w:rsidRDefault="001A3EF3">
      <w:pPr>
        <w:spacing w:after="0" w:line="240" w:lineRule="auto"/>
        <w:ind w:firstLine="566"/>
        <w:rPr>
          <w:sz w:val="24"/>
          <w:szCs w:val="24"/>
        </w:rPr>
      </w:pPr>
      <w:r>
        <w:rPr>
          <w:sz w:val="24"/>
          <w:szCs w:val="24"/>
        </w:rPr>
        <w:t xml:space="preserve">Successful victors would try to integrate at least parts of their ancient enemies’ supporters. This already had been the strategy of the Prophet after his victory over his pagan Meccan adversaries </w:t>
      </w:r>
      <w:r>
        <w:rPr>
          <w:sz w:val="24"/>
          <w:szCs w:val="24"/>
        </w:rPr>
        <w:t xml:space="preserve">in the Meccan civil war that marked the last 10 years of Muhammad’s life. After the first </w:t>
      </w:r>
      <w:proofErr w:type="spellStart"/>
      <w:proofErr w:type="gramStart"/>
      <w:r>
        <w:rPr>
          <w:i/>
          <w:iCs/>
          <w:sz w:val="24"/>
          <w:szCs w:val="24"/>
        </w:rPr>
        <w:t>Fitna</w:t>
      </w:r>
      <w:proofErr w:type="spellEnd"/>
      <w:r>
        <w:rPr>
          <w:sz w:val="24"/>
          <w:szCs w:val="24"/>
        </w:rPr>
        <w:t xml:space="preserve">  </w:t>
      </w:r>
      <w:proofErr w:type="spellStart"/>
      <w:r>
        <w:rPr>
          <w:sz w:val="24"/>
          <w:szCs w:val="24"/>
        </w:rPr>
        <w:t>Mu’awiya</w:t>
      </w:r>
      <w:proofErr w:type="spellEnd"/>
      <w:proofErr w:type="gramEnd"/>
      <w:r>
        <w:rPr>
          <w:sz w:val="24"/>
          <w:szCs w:val="24"/>
        </w:rPr>
        <w:t xml:space="preserve"> bought off ‘Alis eldest son al-Hasan and tried to reconcile himself with all people who were willing to come to terms with him, especially tribal lead</w:t>
      </w:r>
      <w:r>
        <w:rPr>
          <w:sz w:val="24"/>
          <w:szCs w:val="24"/>
        </w:rPr>
        <w:t xml:space="preserve">ers. ‘Abd al-Malik won the important </w:t>
      </w:r>
      <w:proofErr w:type="spellStart"/>
      <w:r>
        <w:rPr>
          <w:sz w:val="24"/>
          <w:szCs w:val="24"/>
        </w:rPr>
        <w:t>Muhallabi</w:t>
      </w:r>
      <w:proofErr w:type="spellEnd"/>
      <w:r>
        <w:rPr>
          <w:sz w:val="24"/>
          <w:szCs w:val="24"/>
        </w:rPr>
        <w:t xml:space="preserve"> family of Iraq over from the </w:t>
      </w:r>
      <w:proofErr w:type="spellStart"/>
      <w:r>
        <w:rPr>
          <w:sz w:val="24"/>
          <w:szCs w:val="24"/>
        </w:rPr>
        <w:t>Zubayrids</w:t>
      </w:r>
      <w:proofErr w:type="spellEnd"/>
      <w:r>
        <w:rPr>
          <w:sz w:val="24"/>
          <w:szCs w:val="24"/>
        </w:rPr>
        <w:t xml:space="preserve"> after the second </w:t>
      </w:r>
      <w:proofErr w:type="spellStart"/>
      <w:r>
        <w:rPr>
          <w:i/>
          <w:iCs/>
          <w:sz w:val="24"/>
          <w:szCs w:val="24"/>
        </w:rPr>
        <w:t>Fitna</w:t>
      </w:r>
      <w:proofErr w:type="spellEnd"/>
      <w:r>
        <w:rPr>
          <w:sz w:val="24"/>
          <w:szCs w:val="24"/>
        </w:rPr>
        <w:t>.</w:t>
      </w:r>
      <w:r>
        <w:rPr>
          <w:sz w:val="24"/>
          <w:szCs w:val="24"/>
          <w:vertAlign w:val="superscript"/>
        </w:rPr>
        <w:footnoteReference w:id="41"/>
      </w:r>
      <w:r>
        <w:rPr>
          <w:sz w:val="24"/>
          <w:szCs w:val="24"/>
        </w:rPr>
        <w:t xml:space="preserve"> The victorious ‘Abbasids integrated large parts of the tribal groups and army regiments who before their takeover had supported the fallen dynast</w:t>
      </w:r>
      <w:r>
        <w:rPr>
          <w:sz w:val="24"/>
          <w:szCs w:val="24"/>
        </w:rPr>
        <w:t>y into their army.</w:t>
      </w:r>
      <w:r>
        <w:rPr>
          <w:sz w:val="24"/>
          <w:szCs w:val="24"/>
          <w:vertAlign w:val="superscript"/>
        </w:rPr>
        <w:footnoteReference w:id="42"/>
      </w:r>
      <w:r>
        <w:rPr>
          <w:sz w:val="24"/>
          <w:szCs w:val="24"/>
        </w:rPr>
        <w:t xml:space="preserve"> Most of the members of the Umayyad family and quite a few ‘</w:t>
      </w:r>
      <w:proofErr w:type="spellStart"/>
      <w:r>
        <w:rPr>
          <w:sz w:val="24"/>
          <w:szCs w:val="24"/>
        </w:rPr>
        <w:t>Alids</w:t>
      </w:r>
      <w:proofErr w:type="spellEnd"/>
      <w:r>
        <w:rPr>
          <w:sz w:val="24"/>
          <w:szCs w:val="24"/>
        </w:rPr>
        <w:t>, by contrast, were killed. This cruelty was probably a sign of a perceived lack of legitimacy on the part of the new rulers. Possible leaders of a rebellion had to be dest</w:t>
      </w:r>
      <w:r>
        <w:rPr>
          <w:sz w:val="24"/>
          <w:szCs w:val="24"/>
        </w:rPr>
        <w:t xml:space="preserve">royed prophylactically. The brutality of the early ‘Abbasids in comparison with </w:t>
      </w:r>
      <w:proofErr w:type="spellStart"/>
      <w:r>
        <w:rPr>
          <w:sz w:val="24"/>
          <w:szCs w:val="24"/>
        </w:rPr>
        <w:t>Mu’awiya’s</w:t>
      </w:r>
      <w:proofErr w:type="spellEnd"/>
      <w:r>
        <w:rPr>
          <w:sz w:val="24"/>
          <w:szCs w:val="24"/>
        </w:rPr>
        <w:t xml:space="preserve"> much more conciliatory stance may also have been the result of the messianic character of their movement. The enemies were not just enemies in a mundane battle for p</w:t>
      </w:r>
      <w:r>
        <w:rPr>
          <w:sz w:val="24"/>
          <w:szCs w:val="24"/>
        </w:rPr>
        <w:t xml:space="preserve">ower and revenge as during the First </w:t>
      </w:r>
      <w:proofErr w:type="spellStart"/>
      <w:r>
        <w:rPr>
          <w:i/>
          <w:iCs/>
          <w:sz w:val="24"/>
          <w:szCs w:val="24"/>
        </w:rPr>
        <w:t>Fitna</w:t>
      </w:r>
      <w:proofErr w:type="spellEnd"/>
      <w:r>
        <w:rPr>
          <w:sz w:val="24"/>
          <w:szCs w:val="24"/>
        </w:rPr>
        <w:t xml:space="preserve">, they were </w:t>
      </w:r>
      <w:r>
        <w:rPr>
          <w:sz w:val="24"/>
          <w:szCs w:val="24"/>
        </w:rPr>
        <w:lastRenderedPageBreak/>
        <w:t xml:space="preserve">the enemies of God’s </w:t>
      </w:r>
      <w:proofErr w:type="spellStart"/>
      <w:r>
        <w:rPr>
          <w:i/>
          <w:iCs/>
          <w:sz w:val="24"/>
          <w:szCs w:val="24"/>
        </w:rPr>
        <w:t>dawla</w:t>
      </w:r>
      <w:proofErr w:type="spellEnd"/>
      <w:r>
        <w:rPr>
          <w:sz w:val="24"/>
          <w:szCs w:val="24"/>
        </w:rPr>
        <w:t xml:space="preserve">, a revolution that in the beginning had strong apocalyptic overtones. </w:t>
      </w:r>
    </w:p>
    <w:p w14:paraId="0000003A" w14:textId="77777777" w:rsidR="00FD5325" w:rsidRDefault="001A3EF3">
      <w:pPr>
        <w:spacing w:after="0" w:line="240" w:lineRule="auto"/>
        <w:ind w:firstLine="566"/>
        <w:rPr>
          <w:sz w:val="24"/>
          <w:szCs w:val="24"/>
        </w:rPr>
      </w:pPr>
      <w:r>
        <w:rPr>
          <w:sz w:val="24"/>
          <w:szCs w:val="24"/>
        </w:rPr>
        <w:t>The War of the two Brothers was no conflict of an apocalyptic type, anyway. Here again, compromise was what brought peace in the end. Al-Amin, for sure, was put to death as his survival would have been a constant threat to the new regime. This killing of a</w:t>
      </w:r>
      <w:r>
        <w:rPr>
          <w:sz w:val="24"/>
          <w:szCs w:val="24"/>
        </w:rPr>
        <w:t xml:space="preserve">n ‘Abbasid caliph set a bad precedent, but, as it seems, had no deeper meaning. But what remained of the </w:t>
      </w:r>
      <w:proofErr w:type="spellStart"/>
      <w:r>
        <w:rPr>
          <w:i/>
          <w:iCs/>
          <w:sz w:val="24"/>
          <w:szCs w:val="24"/>
        </w:rPr>
        <w:t>abna</w:t>
      </w:r>
      <w:proofErr w:type="spellEnd"/>
      <w:r>
        <w:rPr>
          <w:i/>
          <w:iCs/>
          <w:sz w:val="24"/>
          <w:szCs w:val="24"/>
        </w:rPr>
        <w:t>’</w:t>
      </w:r>
      <w:r>
        <w:rPr>
          <w:sz w:val="24"/>
          <w:szCs w:val="24"/>
        </w:rPr>
        <w:t xml:space="preserve"> was given the chance to merge into the army of al-</w:t>
      </w:r>
      <w:proofErr w:type="spellStart"/>
      <w:r>
        <w:rPr>
          <w:sz w:val="24"/>
          <w:szCs w:val="24"/>
        </w:rPr>
        <w:t>Ma’mun’s</w:t>
      </w:r>
      <w:proofErr w:type="spellEnd"/>
      <w:r>
        <w:rPr>
          <w:sz w:val="24"/>
          <w:szCs w:val="24"/>
        </w:rPr>
        <w:t xml:space="preserve"> government, although they had lost their privileged position.  Al-</w:t>
      </w:r>
      <w:proofErr w:type="spellStart"/>
      <w:r>
        <w:rPr>
          <w:sz w:val="24"/>
          <w:szCs w:val="24"/>
        </w:rPr>
        <w:t>Ma’mun</w:t>
      </w:r>
      <w:proofErr w:type="spellEnd"/>
      <w:r>
        <w:rPr>
          <w:sz w:val="24"/>
          <w:szCs w:val="24"/>
        </w:rPr>
        <w:t xml:space="preserve"> in the end ha</w:t>
      </w:r>
      <w:r>
        <w:rPr>
          <w:sz w:val="24"/>
          <w:szCs w:val="24"/>
        </w:rPr>
        <w:t xml:space="preserve">d to accept to come to Baghdad in person and to ally himself with western networks, not least the </w:t>
      </w:r>
      <w:proofErr w:type="spellStart"/>
      <w:r>
        <w:rPr>
          <w:sz w:val="24"/>
          <w:szCs w:val="24"/>
        </w:rPr>
        <w:t>Qaysis</w:t>
      </w:r>
      <w:proofErr w:type="spellEnd"/>
      <w:r>
        <w:rPr>
          <w:sz w:val="24"/>
          <w:szCs w:val="24"/>
        </w:rPr>
        <w:t xml:space="preserve">, still strong the world west of Iraq, in order to pacify and reunite the Empire. The </w:t>
      </w:r>
      <w:proofErr w:type="spellStart"/>
      <w:r>
        <w:rPr>
          <w:sz w:val="24"/>
          <w:szCs w:val="24"/>
        </w:rPr>
        <w:t>Khurasanis</w:t>
      </w:r>
      <w:proofErr w:type="spellEnd"/>
      <w:r>
        <w:rPr>
          <w:sz w:val="24"/>
          <w:szCs w:val="24"/>
        </w:rPr>
        <w:t xml:space="preserve"> who had helped him to gain power were given large auton</w:t>
      </w:r>
      <w:r>
        <w:rPr>
          <w:sz w:val="24"/>
          <w:szCs w:val="24"/>
        </w:rPr>
        <w:t>omy in the east as compensation.</w:t>
      </w:r>
      <w:r>
        <w:rPr>
          <w:sz w:val="24"/>
          <w:szCs w:val="24"/>
          <w:vertAlign w:val="superscript"/>
        </w:rPr>
        <w:footnoteReference w:id="43"/>
      </w:r>
      <w:r>
        <w:rPr>
          <w:sz w:val="24"/>
          <w:szCs w:val="24"/>
        </w:rPr>
        <w:t xml:space="preserve"> </w:t>
      </w:r>
    </w:p>
    <w:p w14:paraId="0000003B" w14:textId="77777777" w:rsidR="00FD5325" w:rsidRDefault="001A3EF3">
      <w:pPr>
        <w:spacing w:after="0" w:line="240" w:lineRule="auto"/>
        <w:ind w:firstLine="566"/>
        <w:rPr>
          <w:sz w:val="24"/>
          <w:szCs w:val="24"/>
        </w:rPr>
      </w:pPr>
      <w:r>
        <w:rPr>
          <w:sz w:val="24"/>
          <w:szCs w:val="24"/>
        </w:rPr>
        <w:t xml:space="preserve">At the ends of civil wars things did not simply become completely peaceful until the next major crisis. Conflicts with </w:t>
      </w:r>
      <w:proofErr w:type="spellStart"/>
      <w:r>
        <w:rPr>
          <w:sz w:val="24"/>
          <w:szCs w:val="24"/>
        </w:rPr>
        <w:t>Khariji</w:t>
      </w:r>
      <w:proofErr w:type="spellEnd"/>
      <w:r>
        <w:rPr>
          <w:sz w:val="24"/>
          <w:szCs w:val="24"/>
        </w:rPr>
        <w:t xml:space="preserve"> bands, Shi’i pretenders, signs of tribal unrest, uprisings of non-Muslims or non-Arabs would m</w:t>
      </w:r>
      <w:r>
        <w:rPr>
          <w:sz w:val="24"/>
          <w:szCs w:val="24"/>
        </w:rPr>
        <w:t>ake themselves be felt constantly here and there. Unfortunately, it is difficult to provide a statistically meaningful overview of the ebb and flow of civil unrest given the lacunary nature of the sources at hand.</w:t>
      </w:r>
    </w:p>
    <w:p w14:paraId="0000003C" w14:textId="77777777" w:rsidR="00FD5325" w:rsidRDefault="00FD5325">
      <w:pPr>
        <w:spacing w:after="0" w:line="240" w:lineRule="auto"/>
        <w:ind w:firstLine="566"/>
        <w:rPr>
          <w:sz w:val="24"/>
          <w:szCs w:val="24"/>
        </w:rPr>
      </w:pPr>
    </w:p>
    <w:p w14:paraId="0000003D" w14:textId="77777777" w:rsidR="00FD5325" w:rsidRDefault="001A3EF3">
      <w:pPr>
        <w:spacing w:after="0" w:line="240" w:lineRule="auto"/>
        <w:rPr>
          <w:b/>
          <w:bCs/>
          <w:sz w:val="24"/>
          <w:szCs w:val="24"/>
        </w:rPr>
      </w:pPr>
      <w:r>
        <w:rPr>
          <w:b/>
          <w:bCs/>
          <w:sz w:val="24"/>
          <w:szCs w:val="24"/>
        </w:rPr>
        <w:t>6. Internal War and Political or Social R</w:t>
      </w:r>
      <w:r>
        <w:rPr>
          <w:b/>
          <w:bCs/>
          <w:sz w:val="24"/>
          <w:szCs w:val="24"/>
        </w:rPr>
        <w:t>evolution</w:t>
      </w:r>
    </w:p>
    <w:p w14:paraId="0000003E" w14:textId="77777777" w:rsidR="00FD5325" w:rsidRDefault="00FD5325">
      <w:pPr>
        <w:spacing w:after="0" w:line="240" w:lineRule="auto"/>
        <w:rPr>
          <w:sz w:val="24"/>
          <w:szCs w:val="24"/>
        </w:rPr>
      </w:pPr>
    </w:p>
    <w:p w14:paraId="0000003F" w14:textId="77777777" w:rsidR="00FD5325" w:rsidRDefault="001A3EF3">
      <w:pPr>
        <w:spacing w:after="0" w:line="240" w:lineRule="auto"/>
        <w:rPr>
          <w:sz w:val="24"/>
          <w:szCs w:val="24"/>
        </w:rPr>
      </w:pPr>
      <w:r>
        <w:rPr>
          <w:sz w:val="24"/>
          <w:szCs w:val="24"/>
        </w:rPr>
        <w:t>The end of internal wars did not only affect the parties involved in actual fighting. All the great internal conflicts of early Islam were catalysts of more fundamental change. This was not so much because of any political programme of the parti</w:t>
      </w:r>
      <w:r>
        <w:rPr>
          <w:sz w:val="24"/>
          <w:szCs w:val="24"/>
        </w:rPr>
        <w:t>es involved beyond the sheer will to power (such programmes were probably not too concrete), but because of the disruptions caused by internal war and the necessity to react to them. Nonetheless, there are structural changes which occurred in the context o</w:t>
      </w:r>
      <w:r>
        <w:rPr>
          <w:sz w:val="24"/>
          <w:szCs w:val="24"/>
        </w:rPr>
        <w:t>f internal conflicts in early Islam.</w:t>
      </w:r>
    </w:p>
    <w:p w14:paraId="00000040" w14:textId="77777777" w:rsidR="00FD5325" w:rsidRDefault="001A3EF3">
      <w:pPr>
        <w:spacing w:after="0" w:line="240" w:lineRule="auto"/>
        <w:ind w:firstLine="566"/>
        <w:rPr>
          <w:sz w:val="24"/>
          <w:szCs w:val="24"/>
        </w:rPr>
      </w:pPr>
      <w:r>
        <w:rPr>
          <w:sz w:val="24"/>
          <w:szCs w:val="24"/>
        </w:rPr>
        <w:t xml:space="preserve">The first </w:t>
      </w:r>
      <w:proofErr w:type="spellStart"/>
      <w:r>
        <w:rPr>
          <w:i/>
          <w:iCs/>
          <w:sz w:val="24"/>
          <w:szCs w:val="24"/>
        </w:rPr>
        <w:t>Fitna</w:t>
      </w:r>
      <w:proofErr w:type="spellEnd"/>
      <w:r>
        <w:rPr>
          <w:sz w:val="24"/>
          <w:szCs w:val="24"/>
        </w:rPr>
        <w:t xml:space="preserve"> led to the political marginalisation of the Hijaz, the birthplace of Islam, a process that came to the end in the second </w:t>
      </w:r>
      <w:proofErr w:type="spellStart"/>
      <w:r>
        <w:rPr>
          <w:i/>
          <w:iCs/>
          <w:sz w:val="24"/>
          <w:szCs w:val="24"/>
        </w:rPr>
        <w:t>Fitna</w:t>
      </w:r>
      <w:proofErr w:type="spellEnd"/>
      <w:r>
        <w:rPr>
          <w:sz w:val="24"/>
          <w:szCs w:val="24"/>
        </w:rPr>
        <w:t>. The Umayyad clan gained a decisive advantage in further conflicts about the</w:t>
      </w:r>
      <w:r>
        <w:rPr>
          <w:sz w:val="24"/>
          <w:szCs w:val="24"/>
        </w:rPr>
        <w:t xml:space="preserve"> leadership of the community. After the second </w:t>
      </w:r>
      <w:proofErr w:type="spellStart"/>
      <w:r>
        <w:rPr>
          <w:i/>
          <w:iCs/>
          <w:sz w:val="24"/>
          <w:szCs w:val="24"/>
        </w:rPr>
        <w:t>Fitna</w:t>
      </w:r>
      <w:proofErr w:type="spellEnd"/>
      <w:r>
        <w:rPr>
          <w:i/>
          <w:iCs/>
          <w:sz w:val="24"/>
          <w:szCs w:val="24"/>
        </w:rPr>
        <w:t xml:space="preserve"> </w:t>
      </w:r>
      <w:r>
        <w:rPr>
          <w:sz w:val="24"/>
          <w:szCs w:val="24"/>
        </w:rPr>
        <w:t xml:space="preserve">the Muslim polity seems to have become both more Islamic and more centralised. The ‘Abbasid take-over has since Julius Wellhausen’s times been associated with the end of an Arab empire and the beginning </w:t>
      </w:r>
      <w:r>
        <w:rPr>
          <w:sz w:val="24"/>
          <w:szCs w:val="24"/>
        </w:rPr>
        <w:t>of an Islamic one that become culturally much more Iranian. The “War of the two Brothers” at the end of the period under consideration here is not associated with the same kind of structural changes in the short run. But we may assume that the choice of th</w:t>
      </w:r>
      <w:r>
        <w:rPr>
          <w:sz w:val="24"/>
          <w:szCs w:val="24"/>
        </w:rPr>
        <w:t xml:space="preserve">e caliphs to bring in mercenaries and slave soldiers was a consequence of the war. The caliphs wanted to get rid of supporters who once again were too powerful (in this case the </w:t>
      </w:r>
      <w:proofErr w:type="spellStart"/>
      <w:r>
        <w:rPr>
          <w:sz w:val="24"/>
          <w:szCs w:val="24"/>
        </w:rPr>
        <w:t>Khurasani</w:t>
      </w:r>
      <w:proofErr w:type="spellEnd"/>
      <w:r>
        <w:rPr>
          <w:sz w:val="24"/>
          <w:szCs w:val="24"/>
        </w:rPr>
        <w:t xml:space="preserve"> army of al-</w:t>
      </w:r>
      <w:proofErr w:type="spellStart"/>
      <w:r>
        <w:rPr>
          <w:sz w:val="24"/>
          <w:szCs w:val="24"/>
        </w:rPr>
        <w:t>Ma’mun’s</w:t>
      </w:r>
      <w:proofErr w:type="spellEnd"/>
      <w:r>
        <w:rPr>
          <w:sz w:val="24"/>
          <w:szCs w:val="24"/>
        </w:rPr>
        <w:t xml:space="preserve"> general Tahir). At the same time, the new elite </w:t>
      </w:r>
      <w:r>
        <w:rPr>
          <w:sz w:val="24"/>
          <w:szCs w:val="24"/>
        </w:rPr>
        <w:t xml:space="preserve">had closer connections to Central Asia, the place of origin of these new recruits. </w:t>
      </w:r>
    </w:p>
    <w:p w14:paraId="00000041" w14:textId="77777777" w:rsidR="00FD5325" w:rsidRDefault="001A3EF3">
      <w:pPr>
        <w:spacing w:after="0" w:line="240" w:lineRule="auto"/>
        <w:ind w:firstLine="566"/>
        <w:rPr>
          <w:sz w:val="24"/>
          <w:szCs w:val="24"/>
        </w:rPr>
      </w:pPr>
      <w:r>
        <w:rPr>
          <w:sz w:val="24"/>
          <w:szCs w:val="24"/>
        </w:rPr>
        <w:t>One should ask if the causal connection of internal war and structural change postulated for the other instances mentioned here is pertinent. Internal war in the early Isla</w:t>
      </w:r>
      <w:r>
        <w:rPr>
          <w:sz w:val="24"/>
          <w:szCs w:val="24"/>
        </w:rPr>
        <w:t>mic period most probably wasn’t the father of all things, but rather a godfather who, though helping a child to develop, was not responsible for his or her coming into the world in the first place. Wars didn’t do more than to speed up developments that wer</w:t>
      </w:r>
      <w:r>
        <w:rPr>
          <w:sz w:val="24"/>
          <w:szCs w:val="24"/>
        </w:rPr>
        <w:t xml:space="preserve">e already under way. One cannot really imagine an Empire ruled form the Hejaz that neither had the agrarian resources to feed a large imperial ruling class nor was in a geographical position to allow quick communication with major provinces or frontiers. </w:t>
      </w:r>
    </w:p>
    <w:p w14:paraId="00000042" w14:textId="77777777" w:rsidR="00FD5325" w:rsidRDefault="001A3EF3">
      <w:pPr>
        <w:spacing w:after="0" w:line="240" w:lineRule="auto"/>
        <w:ind w:firstLine="566"/>
        <w:rPr>
          <w:sz w:val="24"/>
          <w:szCs w:val="24"/>
        </w:rPr>
      </w:pPr>
      <w:r>
        <w:rPr>
          <w:sz w:val="24"/>
          <w:szCs w:val="24"/>
        </w:rPr>
        <w:lastRenderedPageBreak/>
        <w:t xml:space="preserve">It is only natural that in world like that of Late Antiquity which was marked by the model of the Roman and Sassanian Empires any polity capable to supplant them would turn into a centralising empire, sooner or later. That in the case of an empire brought </w:t>
      </w:r>
      <w:r>
        <w:rPr>
          <w:sz w:val="24"/>
          <w:szCs w:val="24"/>
        </w:rPr>
        <w:t>about by prophetic revelation this should take an Islamic colouring as soon as Muslims were secure enough in their power over the adherents of other faiths is no wonder neither. Most probably this would have happened even without the crisis of political le</w:t>
      </w:r>
      <w:r>
        <w:rPr>
          <w:sz w:val="24"/>
          <w:szCs w:val="24"/>
        </w:rPr>
        <w:t xml:space="preserve">gitimacy that was the second </w:t>
      </w:r>
      <w:proofErr w:type="spellStart"/>
      <w:r>
        <w:rPr>
          <w:i/>
          <w:iCs/>
          <w:sz w:val="24"/>
          <w:szCs w:val="24"/>
        </w:rPr>
        <w:t>Fitna</w:t>
      </w:r>
      <w:proofErr w:type="spellEnd"/>
      <w:r>
        <w:rPr>
          <w:sz w:val="24"/>
          <w:szCs w:val="24"/>
        </w:rPr>
        <w:t xml:space="preserve">. </w:t>
      </w:r>
    </w:p>
    <w:p w14:paraId="00000043" w14:textId="77777777" w:rsidR="00FD5325" w:rsidRDefault="001A3EF3">
      <w:pPr>
        <w:spacing w:after="0" w:line="240" w:lineRule="auto"/>
        <w:ind w:firstLine="566"/>
        <w:rPr>
          <w:sz w:val="24"/>
          <w:szCs w:val="24"/>
        </w:rPr>
      </w:pPr>
      <w:r>
        <w:rPr>
          <w:sz w:val="24"/>
          <w:szCs w:val="24"/>
        </w:rPr>
        <w:t>In consideration of the economic and cultural flowering of the Iranian and Central Asian lands in early Islamic times, Muslims from there would play a bigger role in the Empire in the long run even if the ‘Abbasid revol</w:t>
      </w:r>
      <w:r>
        <w:rPr>
          <w:sz w:val="24"/>
          <w:szCs w:val="24"/>
        </w:rPr>
        <w:t>ution had never happened. The line separating Muslim Arab masters form non-Arab non-Muslims was already blurred since the end of the 7</w:t>
      </w:r>
      <w:r>
        <w:rPr>
          <w:sz w:val="24"/>
          <w:szCs w:val="24"/>
          <w:vertAlign w:val="superscript"/>
        </w:rPr>
        <w:t>th</w:t>
      </w:r>
      <w:r>
        <w:rPr>
          <w:sz w:val="24"/>
          <w:szCs w:val="24"/>
        </w:rPr>
        <w:t xml:space="preserve"> century. More and more Muslims dropped out of the military because they had lost the connection to military things havi</w:t>
      </w:r>
      <w:r>
        <w:rPr>
          <w:sz w:val="24"/>
          <w:szCs w:val="24"/>
        </w:rPr>
        <w:t xml:space="preserve">ng settled down in comfort (or in some cases indeed were forced out of it because of lack of loyalty during the second </w:t>
      </w:r>
      <w:proofErr w:type="spellStart"/>
      <w:r>
        <w:rPr>
          <w:i/>
          <w:iCs/>
          <w:sz w:val="24"/>
          <w:szCs w:val="24"/>
        </w:rPr>
        <w:t>Fitna</w:t>
      </w:r>
      <w:proofErr w:type="spellEnd"/>
      <w:r>
        <w:rPr>
          <w:sz w:val="24"/>
          <w:szCs w:val="24"/>
        </w:rPr>
        <w:t>). On the other hand, more and more converts had forced their way into Arab Muslim society. It is significant that Ibn al-</w:t>
      </w:r>
      <w:proofErr w:type="spellStart"/>
      <w:r>
        <w:rPr>
          <w:sz w:val="24"/>
          <w:szCs w:val="24"/>
        </w:rPr>
        <w:t>Muqaffa</w:t>
      </w:r>
      <w:proofErr w:type="spellEnd"/>
      <w:r>
        <w:rPr>
          <w:sz w:val="24"/>
          <w:szCs w:val="24"/>
        </w:rPr>
        <w:t>’ a</w:t>
      </w:r>
      <w:r>
        <w:rPr>
          <w:sz w:val="24"/>
          <w:szCs w:val="24"/>
        </w:rPr>
        <w:t xml:space="preserve"> typical representative of the success of Persian converts in early Abbasid society, already had made his mark under the old regime. </w:t>
      </w:r>
    </w:p>
    <w:p w14:paraId="00000044" w14:textId="77777777" w:rsidR="00FD5325" w:rsidRDefault="001A3EF3">
      <w:pPr>
        <w:spacing w:after="0" w:line="240" w:lineRule="auto"/>
        <w:ind w:firstLine="566"/>
        <w:rPr>
          <w:sz w:val="24"/>
          <w:szCs w:val="24"/>
        </w:rPr>
      </w:pPr>
      <w:r>
        <w:rPr>
          <w:sz w:val="24"/>
          <w:szCs w:val="24"/>
        </w:rPr>
        <w:t>That civil war thus was only weakly connected to social change, is a consequence of the fact that, apart from the exceptio</w:t>
      </w:r>
      <w:r>
        <w:rPr>
          <w:sz w:val="24"/>
          <w:szCs w:val="24"/>
        </w:rPr>
        <w:t>ns mentioned above, most parties involved in internal wars were not fixed, self-conscious social classes with a political program but structurally rather similar networks formed around a leader vying with each other for power and influence. This seems to h</w:t>
      </w:r>
      <w:r>
        <w:rPr>
          <w:sz w:val="24"/>
          <w:szCs w:val="24"/>
        </w:rPr>
        <w:t xml:space="preserve">old true even for </w:t>
      </w:r>
      <w:proofErr w:type="spellStart"/>
      <w:r>
        <w:rPr>
          <w:sz w:val="24"/>
          <w:szCs w:val="24"/>
        </w:rPr>
        <w:t>Khariji</w:t>
      </w:r>
      <w:proofErr w:type="spellEnd"/>
      <w:r>
        <w:rPr>
          <w:sz w:val="24"/>
          <w:szCs w:val="24"/>
        </w:rPr>
        <w:t xml:space="preserve"> groups whenever they establish more stable polities as in the Maghreb.</w:t>
      </w:r>
    </w:p>
    <w:p w14:paraId="00000045" w14:textId="77777777" w:rsidR="00FD5325" w:rsidRDefault="001A3EF3">
      <w:pPr>
        <w:spacing w:after="0" w:line="240" w:lineRule="auto"/>
        <w:ind w:firstLine="566"/>
        <w:rPr>
          <w:sz w:val="24"/>
          <w:szCs w:val="24"/>
        </w:rPr>
      </w:pPr>
      <w:r>
        <w:rPr>
          <w:sz w:val="24"/>
          <w:szCs w:val="24"/>
        </w:rPr>
        <w:t>So, in the end, the real revolution was not their take-over, but the decision of the later ‘Abbasid caliphs to get independent of the support of internal milit</w:t>
      </w:r>
      <w:r>
        <w:rPr>
          <w:sz w:val="24"/>
          <w:szCs w:val="24"/>
        </w:rPr>
        <w:t>ary elites that had wrought violent political change in the Muslim world up to that point. Different from most agrarian cultures the ruling elites in many Middle Eastern polities during the next millennium were not scions of local elite society anymore, bu</w:t>
      </w:r>
      <w:r>
        <w:rPr>
          <w:sz w:val="24"/>
          <w:szCs w:val="24"/>
        </w:rPr>
        <w:t>t strangers, slave soldiers or nomads. This change was more than a simple switch form one ruling faction within the elite to the other, it was fundamental. Its relation to the civil wars that had happened before is somewhat indirect.</w:t>
      </w:r>
    </w:p>
    <w:p w14:paraId="00000046" w14:textId="77777777" w:rsidR="00FD5325" w:rsidRDefault="00FD5325">
      <w:pPr>
        <w:spacing w:after="0" w:line="240" w:lineRule="auto"/>
        <w:rPr>
          <w:sz w:val="24"/>
          <w:szCs w:val="24"/>
        </w:rPr>
      </w:pPr>
    </w:p>
    <w:p w14:paraId="00000066" w14:textId="77777777" w:rsidR="00FD5325" w:rsidRDefault="00FD5325">
      <w:pPr>
        <w:spacing w:after="0" w:line="240" w:lineRule="auto"/>
        <w:rPr>
          <w:sz w:val="24"/>
          <w:szCs w:val="24"/>
        </w:rPr>
      </w:pPr>
      <w:bookmarkStart w:id="0" w:name="_GoBack"/>
      <w:bookmarkEnd w:id="0"/>
    </w:p>
    <w:sectPr w:rsidR="00FD5325">
      <w:pgSz w:w="11906" w:h="16838"/>
      <w:pgMar w:top="1417" w:right="1417" w:bottom="1134" w:left="1417"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D47B2D8" w14:textId="77777777" w:rsidR="001A3EF3" w:rsidRDefault="001A3EF3">
      <w:pPr>
        <w:spacing w:after="0" w:line="240" w:lineRule="auto"/>
      </w:pPr>
      <w:r>
        <w:separator/>
      </w:r>
    </w:p>
  </w:endnote>
  <w:endnote w:type="continuationSeparator" w:id="0">
    <w:p w14:paraId="1BD273A1" w14:textId="77777777" w:rsidR="001A3EF3" w:rsidRDefault="001A3E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embedRegular r:id="rId1" w:fontKey="{0DF1E16B-E65C-4E5F-996B-03DE868C91A3}"/>
    <w:embedBold r:id="rId2" w:fontKey="{70A7256B-1DEF-45E8-BAE3-DE9F7C7ED35B}"/>
    <w:embedItalic r:id="rId3" w:fontKey="{D563E776-24C2-4E8B-9729-2566D5B25D85}"/>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4" w:fontKey="{AD90C2B3-398B-4F40-B912-CBC26D4C82CF}"/>
  </w:font>
  <w:font w:name="Segoe UI">
    <w:panose1 w:val="020B0502040204020203"/>
    <w:charset w:val="00"/>
    <w:family w:val="swiss"/>
    <w:pitch w:val="variable"/>
    <w:sig w:usb0="E4002EFF" w:usb1="C000E47F" w:usb2="00000009" w:usb3="00000000" w:csb0="000001FF" w:csb1="00000000"/>
    <w:embedRegular r:id="rId5" w:fontKey="{0D802D50-A826-41B0-B1FC-AAC64ADA3CA2}"/>
  </w:font>
  <w:font w:name="Cambria">
    <w:panose1 w:val="02040503050406030204"/>
    <w:charset w:val="00"/>
    <w:family w:val="roman"/>
    <w:pitch w:val="variable"/>
    <w:sig w:usb0="E00006FF" w:usb1="420024FF" w:usb2="02000000" w:usb3="00000000" w:csb0="0000019F" w:csb1="00000000"/>
    <w:embedRegular r:id="rId6" w:fontKey="{132EA516-0A39-4E17-87AC-6C61D221DF8D}"/>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43AE07F" w14:textId="77777777" w:rsidR="001A3EF3" w:rsidRDefault="001A3EF3">
      <w:pPr>
        <w:spacing w:after="0" w:line="240" w:lineRule="auto"/>
      </w:pPr>
      <w:r>
        <w:separator/>
      </w:r>
    </w:p>
  </w:footnote>
  <w:footnote w:type="continuationSeparator" w:id="0">
    <w:p w14:paraId="34ED48DF" w14:textId="77777777" w:rsidR="001A3EF3" w:rsidRDefault="001A3EF3">
      <w:pPr>
        <w:spacing w:after="0" w:line="240" w:lineRule="auto"/>
      </w:pPr>
      <w:r>
        <w:continuationSeparator/>
      </w:r>
    </w:p>
  </w:footnote>
  <w:footnote w:id="1">
    <w:p w14:paraId="00000067" w14:textId="77777777" w:rsidR="00FD5325" w:rsidRDefault="001A3EF3">
      <w:pPr>
        <w:pBdr>
          <w:top w:val="nil"/>
          <w:left w:val="nil"/>
          <w:bottom w:val="nil"/>
          <w:right w:val="nil"/>
          <w:between w:val="nil"/>
        </w:pBdr>
        <w:spacing w:after="0" w:line="240" w:lineRule="auto"/>
        <w:ind w:left="567" w:hanging="567"/>
        <w:rPr>
          <w:color w:val="000000"/>
          <w:sz w:val="18"/>
          <w:szCs w:val="18"/>
        </w:rPr>
      </w:pPr>
      <w:r>
        <w:rPr>
          <w:vertAlign w:val="superscript"/>
        </w:rPr>
        <w:footnoteRef/>
      </w:r>
      <w:r>
        <w:rPr>
          <w:color w:val="000000"/>
          <w:sz w:val="20"/>
          <w:szCs w:val="20"/>
        </w:rPr>
        <w:t xml:space="preserve"> </w:t>
      </w:r>
      <w:r>
        <w:rPr>
          <w:color w:val="000000"/>
          <w:sz w:val="20"/>
          <w:szCs w:val="20"/>
        </w:rPr>
        <w:tab/>
      </w:r>
      <w:r>
        <w:rPr>
          <w:color w:val="000000"/>
          <w:sz w:val="20"/>
          <w:szCs w:val="20"/>
        </w:rPr>
        <w:t xml:space="preserve">A convenient overview of Early Islamic political history through the whole period of interest here is Kennedy (2004a). See also Robinson (2010); </w:t>
      </w:r>
      <w:proofErr w:type="spellStart"/>
      <w:r>
        <w:rPr>
          <w:color w:val="000000"/>
          <w:sz w:val="20"/>
          <w:szCs w:val="20"/>
        </w:rPr>
        <w:t>Blanquis</w:t>
      </w:r>
      <w:proofErr w:type="spellEnd"/>
      <w:r>
        <w:rPr>
          <w:color w:val="000000"/>
          <w:sz w:val="20"/>
          <w:szCs w:val="20"/>
        </w:rPr>
        <w:t xml:space="preserve">, </w:t>
      </w:r>
      <w:proofErr w:type="spellStart"/>
      <w:r>
        <w:rPr>
          <w:color w:val="000000"/>
          <w:sz w:val="20"/>
          <w:szCs w:val="20"/>
        </w:rPr>
        <w:t>Guichard</w:t>
      </w:r>
      <w:proofErr w:type="spellEnd"/>
      <w:r>
        <w:rPr>
          <w:color w:val="000000"/>
          <w:sz w:val="20"/>
          <w:szCs w:val="20"/>
        </w:rPr>
        <w:t xml:space="preserve"> &amp; </w:t>
      </w:r>
      <w:proofErr w:type="spellStart"/>
      <w:r>
        <w:rPr>
          <w:color w:val="000000"/>
          <w:sz w:val="20"/>
          <w:szCs w:val="20"/>
        </w:rPr>
        <w:t>Tillier</w:t>
      </w:r>
      <w:proofErr w:type="spellEnd"/>
      <w:r>
        <w:rPr>
          <w:color w:val="000000"/>
          <w:sz w:val="20"/>
          <w:szCs w:val="20"/>
        </w:rPr>
        <w:t xml:space="preserve"> (2012); </w:t>
      </w:r>
      <w:proofErr w:type="spellStart"/>
      <w:r>
        <w:rPr>
          <w:color w:val="000000"/>
          <w:sz w:val="20"/>
          <w:szCs w:val="20"/>
        </w:rPr>
        <w:t>Sourdel</w:t>
      </w:r>
      <w:proofErr w:type="spellEnd"/>
      <w:r>
        <w:rPr>
          <w:color w:val="000000"/>
          <w:sz w:val="20"/>
          <w:szCs w:val="20"/>
        </w:rPr>
        <w:t xml:space="preserve"> (1999).</w:t>
      </w:r>
    </w:p>
  </w:footnote>
  <w:footnote w:id="2">
    <w:p w14:paraId="00000068" w14:textId="77777777" w:rsidR="00FD5325" w:rsidRDefault="001A3EF3">
      <w:pPr>
        <w:pBdr>
          <w:top w:val="nil"/>
          <w:left w:val="nil"/>
          <w:bottom w:val="nil"/>
          <w:right w:val="nil"/>
          <w:between w:val="nil"/>
        </w:pBdr>
        <w:spacing w:after="0" w:line="240" w:lineRule="auto"/>
        <w:ind w:left="567" w:hanging="567"/>
        <w:rPr>
          <w:color w:val="000000"/>
          <w:sz w:val="18"/>
          <w:szCs w:val="18"/>
        </w:rPr>
      </w:pPr>
      <w:r>
        <w:rPr>
          <w:vertAlign w:val="superscript"/>
        </w:rPr>
        <w:footnoteRef/>
      </w:r>
      <w:r>
        <w:rPr>
          <w:color w:val="000000"/>
          <w:sz w:val="20"/>
          <w:szCs w:val="20"/>
        </w:rPr>
        <w:t xml:space="preserve"> </w:t>
      </w:r>
      <w:r>
        <w:rPr>
          <w:color w:val="000000"/>
          <w:sz w:val="20"/>
          <w:szCs w:val="20"/>
        </w:rPr>
        <w:tab/>
        <w:t xml:space="preserve">The most detailed study of the first </w:t>
      </w:r>
      <w:proofErr w:type="spellStart"/>
      <w:r>
        <w:rPr>
          <w:color w:val="000000"/>
          <w:sz w:val="20"/>
          <w:szCs w:val="20"/>
        </w:rPr>
        <w:t>Fitna</w:t>
      </w:r>
      <w:proofErr w:type="spellEnd"/>
      <w:r>
        <w:rPr>
          <w:color w:val="000000"/>
          <w:sz w:val="20"/>
          <w:szCs w:val="20"/>
        </w:rPr>
        <w:t xml:space="preserve"> is </w:t>
      </w:r>
      <w:proofErr w:type="spellStart"/>
      <w:r>
        <w:rPr>
          <w:color w:val="000000"/>
          <w:sz w:val="20"/>
          <w:szCs w:val="20"/>
        </w:rPr>
        <w:t>Djait</w:t>
      </w:r>
      <w:proofErr w:type="spellEnd"/>
      <w:r>
        <w:rPr>
          <w:color w:val="000000"/>
          <w:sz w:val="20"/>
          <w:szCs w:val="20"/>
        </w:rPr>
        <w:t xml:space="preserve"> (19</w:t>
      </w:r>
      <w:r>
        <w:rPr>
          <w:color w:val="000000"/>
          <w:sz w:val="20"/>
          <w:szCs w:val="20"/>
        </w:rPr>
        <w:t xml:space="preserve">86); on the second </w:t>
      </w:r>
      <w:proofErr w:type="spellStart"/>
      <w:r>
        <w:rPr>
          <w:color w:val="000000"/>
          <w:sz w:val="20"/>
          <w:szCs w:val="20"/>
        </w:rPr>
        <w:t>Fitna</w:t>
      </w:r>
      <w:proofErr w:type="spellEnd"/>
      <w:r>
        <w:rPr>
          <w:color w:val="000000"/>
          <w:sz w:val="20"/>
          <w:szCs w:val="20"/>
        </w:rPr>
        <w:t xml:space="preserve"> see Robinson (2005). </w:t>
      </w:r>
    </w:p>
  </w:footnote>
  <w:footnote w:id="3">
    <w:p w14:paraId="00000069" w14:textId="77777777" w:rsidR="00FD5325" w:rsidRDefault="001A3EF3">
      <w:pPr>
        <w:pBdr>
          <w:top w:val="nil"/>
          <w:left w:val="nil"/>
          <w:bottom w:val="nil"/>
          <w:right w:val="nil"/>
          <w:between w:val="nil"/>
        </w:pBdr>
        <w:spacing w:after="0" w:line="240" w:lineRule="auto"/>
        <w:ind w:left="567" w:hanging="567"/>
        <w:rPr>
          <w:color w:val="000000"/>
          <w:sz w:val="18"/>
          <w:szCs w:val="18"/>
        </w:rPr>
      </w:pPr>
      <w:r>
        <w:rPr>
          <w:vertAlign w:val="superscript"/>
        </w:rPr>
        <w:footnoteRef/>
      </w:r>
      <w:r>
        <w:rPr>
          <w:color w:val="000000"/>
          <w:sz w:val="20"/>
          <w:szCs w:val="20"/>
        </w:rPr>
        <w:t xml:space="preserve"> </w:t>
      </w:r>
      <w:r>
        <w:rPr>
          <w:color w:val="000000"/>
          <w:sz w:val="20"/>
          <w:szCs w:val="20"/>
        </w:rPr>
        <w:tab/>
        <w:t xml:space="preserve">On the history of the period before the third </w:t>
      </w:r>
      <w:proofErr w:type="spellStart"/>
      <w:r>
        <w:rPr>
          <w:color w:val="000000"/>
          <w:sz w:val="20"/>
          <w:szCs w:val="20"/>
        </w:rPr>
        <w:t>Fitna</w:t>
      </w:r>
      <w:proofErr w:type="spellEnd"/>
      <w:r>
        <w:rPr>
          <w:color w:val="000000"/>
          <w:sz w:val="20"/>
          <w:szCs w:val="20"/>
        </w:rPr>
        <w:t xml:space="preserve"> see </w:t>
      </w:r>
      <w:proofErr w:type="spellStart"/>
      <w:r>
        <w:rPr>
          <w:color w:val="000000"/>
          <w:sz w:val="20"/>
          <w:szCs w:val="20"/>
        </w:rPr>
        <w:t>Blankinship</w:t>
      </w:r>
      <w:proofErr w:type="spellEnd"/>
      <w:r>
        <w:rPr>
          <w:color w:val="000000"/>
          <w:sz w:val="20"/>
          <w:szCs w:val="20"/>
        </w:rPr>
        <w:t xml:space="preserve"> (1994).</w:t>
      </w:r>
    </w:p>
  </w:footnote>
  <w:footnote w:id="4">
    <w:p w14:paraId="0000006A" w14:textId="77777777" w:rsidR="00FD5325" w:rsidRDefault="001A3EF3">
      <w:pPr>
        <w:pBdr>
          <w:top w:val="nil"/>
          <w:left w:val="nil"/>
          <w:bottom w:val="nil"/>
          <w:right w:val="nil"/>
          <w:between w:val="nil"/>
        </w:pBdr>
        <w:spacing w:after="0" w:line="240" w:lineRule="auto"/>
        <w:ind w:left="567" w:hanging="567"/>
        <w:rPr>
          <w:color w:val="000000"/>
          <w:sz w:val="18"/>
          <w:szCs w:val="18"/>
        </w:rPr>
      </w:pPr>
      <w:r>
        <w:rPr>
          <w:vertAlign w:val="superscript"/>
        </w:rPr>
        <w:footnoteRef/>
      </w:r>
      <w:r>
        <w:rPr>
          <w:color w:val="000000"/>
          <w:sz w:val="20"/>
          <w:szCs w:val="20"/>
        </w:rPr>
        <w:t xml:space="preserve"> </w:t>
      </w:r>
      <w:r>
        <w:rPr>
          <w:color w:val="000000"/>
          <w:sz w:val="20"/>
          <w:szCs w:val="20"/>
        </w:rPr>
        <w:tab/>
        <w:t>Yazid III, ruled 744, being the main example for a religious programme</w:t>
      </w:r>
    </w:p>
  </w:footnote>
  <w:footnote w:id="5">
    <w:p w14:paraId="0000006B" w14:textId="77777777" w:rsidR="00FD5325" w:rsidRDefault="001A3EF3">
      <w:pPr>
        <w:pBdr>
          <w:top w:val="nil"/>
          <w:left w:val="nil"/>
          <w:bottom w:val="nil"/>
          <w:right w:val="nil"/>
          <w:between w:val="nil"/>
        </w:pBdr>
        <w:spacing w:after="0" w:line="240" w:lineRule="auto"/>
        <w:ind w:left="567" w:hanging="567"/>
        <w:rPr>
          <w:color w:val="000000"/>
          <w:sz w:val="18"/>
          <w:szCs w:val="18"/>
        </w:rPr>
      </w:pPr>
      <w:r>
        <w:rPr>
          <w:vertAlign w:val="superscript"/>
        </w:rPr>
        <w:footnoteRef/>
      </w:r>
      <w:r>
        <w:rPr>
          <w:color w:val="000000"/>
          <w:sz w:val="20"/>
          <w:szCs w:val="20"/>
        </w:rPr>
        <w:t xml:space="preserve"> </w:t>
      </w:r>
      <w:r>
        <w:rPr>
          <w:color w:val="000000"/>
          <w:sz w:val="20"/>
          <w:szCs w:val="20"/>
        </w:rPr>
        <w:tab/>
        <w:t xml:space="preserve">For an overview of the confusing events of the third </w:t>
      </w:r>
      <w:proofErr w:type="spellStart"/>
      <w:r>
        <w:rPr>
          <w:i/>
          <w:iCs/>
          <w:color w:val="000000"/>
          <w:sz w:val="20"/>
          <w:szCs w:val="20"/>
        </w:rPr>
        <w:t>Fitna</w:t>
      </w:r>
      <w:proofErr w:type="spellEnd"/>
      <w:r>
        <w:rPr>
          <w:color w:val="000000"/>
          <w:sz w:val="20"/>
          <w:szCs w:val="20"/>
        </w:rPr>
        <w:t xml:space="preserve"> see Kennedy (2004a) 112–114 and </w:t>
      </w:r>
      <w:proofErr w:type="spellStart"/>
      <w:r>
        <w:rPr>
          <w:color w:val="000000"/>
          <w:sz w:val="20"/>
          <w:szCs w:val="20"/>
        </w:rPr>
        <w:t>Hawting</w:t>
      </w:r>
      <w:proofErr w:type="spellEnd"/>
      <w:r>
        <w:rPr>
          <w:color w:val="000000"/>
          <w:sz w:val="20"/>
          <w:szCs w:val="20"/>
        </w:rPr>
        <w:t xml:space="preserve"> (2000) 90–103.</w:t>
      </w:r>
    </w:p>
  </w:footnote>
  <w:footnote w:id="6">
    <w:p w14:paraId="0000006C" w14:textId="77777777" w:rsidR="00FD5325" w:rsidRDefault="001A3EF3">
      <w:pPr>
        <w:pBdr>
          <w:top w:val="nil"/>
          <w:left w:val="nil"/>
          <w:bottom w:val="nil"/>
          <w:right w:val="nil"/>
          <w:between w:val="nil"/>
        </w:pBdr>
        <w:spacing w:after="0" w:line="240" w:lineRule="auto"/>
        <w:ind w:left="567" w:hanging="567"/>
        <w:rPr>
          <w:color w:val="000000"/>
          <w:sz w:val="18"/>
          <w:szCs w:val="18"/>
        </w:rPr>
      </w:pPr>
      <w:r>
        <w:rPr>
          <w:vertAlign w:val="superscript"/>
        </w:rPr>
        <w:footnoteRef/>
      </w:r>
      <w:r>
        <w:rPr>
          <w:color w:val="000000"/>
          <w:sz w:val="20"/>
          <w:szCs w:val="20"/>
        </w:rPr>
        <w:t xml:space="preserve"> </w:t>
      </w:r>
      <w:r>
        <w:rPr>
          <w:color w:val="000000"/>
          <w:sz w:val="20"/>
          <w:szCs w:val="20"/>
        </w:rPr>
        <w:tab/>
        <w:t>El-</w:t>
      </w:r>
      <w:proofErr w:type="spellStart"/>
      <w:r>
        <w:rPr>
          <w:color w:val="000000"/>
          <w:sz w:val="20"/>
          <w:szCs w:val="20"/>
        </w:rPr>
        <w:t>Hibri</w:t>
      </w:r>
      <w:proofErr w:type="spellEnd"/>
      <w:r>
        <w:rPr>
          <w:color w:val="000000"/>
          <w:sz w:val="20"/>
          <w:szCs w:val="20"/>
        </w:rPr>
        <w:t xml:space="preserve"> (2010) 286f.</w:t>
      </w:r>
    </w:p>
  </w:footnote>
  <w:footnote w:id="7">
    <w:p w14:paraId="0000006D" w14:textId="77777777" w:rsidR="00FD5325" w:rsidRDefault="001A3EF3">
      <w:pPr>
        <w:pBdr>
          <w:top w:val="nil"/>
          <w:left w:val="nil"/>
          <w:bottom w:val="nil"/>
          <w:right w:val="nil"/>
          <w:between w:val="nil"/>
        </w:pBdr>
        <w:spacing w:after="0" w:line="240" w:lineRule="auto"/>
        <w:ind w:left="567" w:hanging="567"/>
        <w:rPr>
          <w:color w:val="000000"/>
          <w:sz w:val="18"/>
          <w:szCs w:val="18"/>
        </w:rPr>
      </w:pPr>
      <w:r>
        <w:rPr>
          <w:vertAlign w:val="superscript"/>
        </w:rPr>
        <w:footnoteRef/>
      </w:r>
      <w:r>
        <w:rPr>
          <w:color w:val="000000"/>
          <w:sz w:val="20"/>
          <w:szCs w:val="20"/>
        </w:rPr>
        <w:t xml:space="preserve"> </w:t>
      </w:r>
      <w:r>
        <w:rPr>
          <w:color w:val="000000"/>
          <w:sz w:val="20"/>
          <w:szCs w:val="20"/>
        </w:rPr>
        <w:tab/>
        <w:t xml:space="preserve">Kennedy (2004a) 147–155.  </w:t>
      </w:r>
    </w:p>
  </w:footnote>
  <w:footnote w:id="8">
    <w:p w14:paraId="0000006E" w14:textId="77777777" w:rsidR="00FD5325" w:rsidRDefault="001A3EF3">
      <w:pPr>
        <w:pBdr>
          <w:top w:val="nil"/>
          <w:left w:val="nil"/>
          <w:bottom w:val="nil"/>
          <w:right w:val="nil"/>
          <w:between w:val="nil"/>
        </w:pBdr>
        <w:spacing w:after="0" w:line="240" w:lineRule="auto"/>
        <w:ind w:left="567" w:hanging="567"/>
        <w:rPr>
          <w:color w:val="000000"/>
          <w:sz w:val="18"/>
          <w:szCs w:val="18"/>
        </w:rPr>
      </w:pPr>
      <w:r>
        <w:rPr>
          <w:vertAlign w:val="superscript"/>
        </w:rPr>
        <w:footnoteRef/>
      </w:r>
      <w:r>
        <w:rPr>
          <w:color w:val="000000"/>
          <w:sz w:val="20"/>
          <w:szCs w:val="20"/>
        </w:rPr>
        <w:t xml:space="preserve"> </w:t>
      </w:r>
      <w:r>
        <w:rPr>
          <w:color w:val="000000"/>
          <w:sz w:val="20"/>
          <w:szCs w:val="20"/>
        </w:rPr>
        <w:tab/>
        <w:t>Kennedy (2004b) 3–30.</w:t>
      </w:r>
    </w:p>
  </w:footnote>
  <w:footnote w:id="9">
    <w:p w14:paraId="0000006F" w14:textId="77777777" w:rsidR="00FD5325" w:rsidRDefault="001A3EF3">
      <w:pPr>
        <w:pBdr>
          <w:top w:val="nil"/>
          <w:left w:val="nil"/>
          <w:bottom w:val="nil"/>
          <w:right w:val="nil"/>
          <w:between w:val="nil"/>
        </w:pBdr>
        <w:spacing w:after="0" w:line="240" w:lineRule="auto"/>
        <w:ind w:left="567" w:hanging="567"/>
        <w:rPr>
          <w:color w:val="000000"/>
          <w:sz w:val="18"/>
          <w:szCs w:val="18"/>
        </w:rPr>
      </w:pPr>
      <w:r>
        <w:rPr>
          <w:vertAlign w:val="superscript"/>
        </w:rPr>
        <w:footnoteRef/>
      </w:r>
      <w:r>
        <w:rPr>
          <w:color w:val="000000"/>
          <w:sz w:val="20"/>
          <w:szCs w:val="20"/>
        </w:rPr>
        <w:t xml:space="preserve"> </w:t>
      </w:r>
      <w:r>
        <w:rPr>
          <w:color w:val="000000"/>
          <w:sz w:val="20"/>
          <w:szCs w:val="20"/>
        </w:rPr>
        <w:tab/>
        <w:t xml:space="preserve">Berger (2015) 246f. An effort to quantify the conversion to </w:t>
      </w:r>
      <w:proofErr w:type="spellStart"/>
      <w:r>
        <w:rPr>
          <w:color w:val="000000"/>
          <w:sz w:val="20"/>
          <w:szCs w:val="20"/>
        </w:rPr>
        <w:t>islam</w:t>
      </w:r>
      <w:proofErr w:type="spellEnd"/>
      <w:r>
        <w:rPr>
          <w:color w:val="000000"/>
          <w:sz w:val="20"/>
          <w:szCs w:val="20"/>
        </w:rPr>
        <w:t xml:space="preserve"> is made by Bulliet (1979).</w:t>
      </w:r>
    </w:p>
  </w:footnote>
  <w:footnote w:id="10">
    <w:p w14:paraId="00000070" w14:textId="77777777" w:rsidR="00FD5325" w:rsidRDefault="001A3EF3">
      <w:pPr>
        <w:pBdr>
          <w:top w:val="nil"/>
          <w:left w:val="nil"/>
          <w:bottom w:val="nil"/>
          <w:right w:val="nil"/>
          <w:between w:val="nil"/>
        </w:pBdr>
        <w:spacing w:after="0" w:line="240" w:lineRule="auto"/>
        <w:ind w:left="567" w:hanging="567"/>
        <w:rPr>
          <w:color w:val="000000"/>
          <w:sz w:val="18"/>
          <w:szCs w:val="18"/>
        </w:rPr>
      </w:pPr>
      <w:r>
        <w:rPr>
          <w:vertAlign w:val="superscript"/>
        </w:rPr>
        <w:footnoteRef/>
      </w:r>
      <w:r>
        <w:rPr>
          <w:color w:val="000000"/>
          <w:sz w:val="20"/>
          <w:szCs w:val="20"/>
        </w:rPr>
        <w:t xml:space="preserve"> </w:t>
      </w:r>
      <w:r>
        <w:rPr>
          <w:color w:val="000000"/>
          <w:sz w:val="20"/>
          <w:szCs w:val="20"/>
        </w:rPr>
        <w:tab/>
        <w:t>Berger (2015) 25</w:t>
      </w:r>
      <w:r>
        <w:rPr>
          <w:color w:val="000000"/>
          <w:sz w:val="20"/>
          <w:szCs w:val="20"/>
        </w:rPr>
        <w:t>3f.</w:t>
      </w:r>
    </w:p>
  </w:footnote>
  <w:footnote w:id="11">
    <w:p w14:paraId="00000071" w14:textId="77777777" w:rsidR="00FD5325" w:rsidRDefault="001A3EF3">
      <w:pPr>
        <w:pBdr>
          <w:top w:val="nil"/>
          <w:left w:val="nil"/>
          <w:bottom w:val="nil"/>
          <w:right w:val="nil"/>
          <w:between w:val="nil"/>
        </w:pBdr>
        <w:spacing w:after="0" w:line="240" w:lineRule="auto"/>
        <w:ind w:left="567" w:hanging="567"/>
        <w:rPr>
          <w:color w:val="000000"/>
          <w:sz w:val="18"/>
          <w:szCs w:val="18"/>
        </w:rPr>
      </w:pPr>
      <w:r>
        <w:rPr>
          <w:vertAlign w:val="superscript"/>
        </w:rPr>
        <w:footnoteRef/>
      </w:r>
      <w:r>
        <w:rPr>
          <w:color w:val="000000"/>
          <w:sz w:val="20"/>
          <w:szCs w:val="20"/>
        </w:rPr>
        <w:t xml:space="preserve"> </w:t>
      </w:r>
      <w:r>
        <w:rPr>
          <w:color w:val="000000"/>
          <w:sz w:val="20"/>
          <w:szCs w:val="20"/>
        </w:rPr>
        <w:tab/>
        <w:t xml:space="preserve">This was already the idea of Julius Wellhausen in the 19th century and has lately been put forward by Agha (2003). For other views centring on the integration Arab Muslims into </w:t>
      </w:r>
      <w:proofErr w:type="spellStart"/>
      <w:r>
        <w:rPr>
          <w:color w:val="000000"/>
          <w:sz w:val="20"/>
          <w:szCs w:val="20"/>
        </w:rPr>
        <w:t>Khurasani</w:t>
      </w:r>
      <w:proofErr w:type="spellEnd"/>
      <w:r>
        <w:rPr>
          <w:color w:val="000000"/>
          <w:sz w:val="20"/>
          <w:szCs w:val="20"/>
        </w:rPr>
        <w:t xml:space="preserve"> society as a starting point of the movement see Shaban (1970).</w:t>
      </w:r>
    </w:p>
  </w:footnote>
  <w:footnote w:id="12">
    <w:p w14:paraId="00000072" w14:textId="77777777" w:rsidR="00FD5325" w:rsidRDefault="001A3EF3">
      <w:pPr>
        <w:pBdr>
          <w:top w:val="nil"/>
          <w:left w:val="nil"/>
          <w:bottom w:val="nil"/>
          <w:right w:val="nil"/>
          <w:between w:val="nil"/>
        </w:pBdr>
        <w:spacing w:after="0" w:line="240" w:lineRule="auto"/>
        <w:ind w:left="567" w:hanging="567"/>
        <w:rPr>
          <w:color w:val="000000"/>
          <w:sz w:val="18"/>
          <w:szCs w:val="18"/>
        </w:rPr>
      </w:pPr>
      <w:r>
        <w:rPr>
          <w:vertAlign w:val="superscript"/>
        </w:rPr>
        <w:footnoteRef/>
      </w:r>
      <w:r>
        <w:rPr>
          <w:color w:val="000000"/>
          <w:sz w:val="20"/>
          <w:szCs w:val="20"/>
        </w:rPr>
        <w:t xml:space="preserve"> </w:t>
      </w:r>
      <w:r>
        <w:rPr>
          <w:color w:val="000000"/>
          <w:sz w:val="20"/>
          <w:szCs w:val="20"/>
        </w:rPr>
        <w:tab/>
        <w:t>Berger (2020) 413–429.</w:t>
      </w:r>
    </w:p>
  </w:footnote>
  <w:footnote w:id="13">
    <w:p w14:paraId="00000073" w14:textId="77777777" w:rsidR="00FD5325" w:rsidRDefault="001A3EF3">
      <w:pPr>
        <w:pBdr>
          <w:top w:val="nil"/>
          <w:left w:val="nil"/>
          <w:bottom w:val="nil"/>
          <w:right w:val="nil"/>
          <w:between w:val="nil"/>
        </w:pBdr>
        <w:spacing w:after="0" w:line="240" w:lineRule="auto"/>
        <w:ind w:left="567" w:hanging="567"/>
        <w:rPr>
          <w:color w:val="000000"/>
          <w:sz w:val="18"/>
          <w:szCs w:val="18"/>
        </w:rPr>
      </w:pPr>
      <w:r>
        <w:rPr>
          <w:vertAlign w:val="superscript"/>
        </w:rPr>
        <w:footnoteRef/>
      </w:r>
      <w:r>
        <w:rPr>
          <w:color w:val="000000"/>
          <w:sz w:val="20"/>
          <w:szCs w:val="20"/>
        </w:rPr>
        <w:t xml:space="preserve"> </w:t>
      </w:r>
      <w:r>
        <w:rPr>
          <w:color w:val="000000"/>
          <w:sz w:val="20"/>
          <w:szCs w:val="20"/>
        </w:rPr>
        <w:tab/>
        <w:t>On Mamluks in ‘Abbasid society see: Lutz Berger (2020) 413–429. On what this meant from a more general perspective see Crone (1980) is a masterful study of this process which, in certain respects, was not dissimilar to develop</w:t>
      </w:r>
      <w:r>
        <w:rPr>
          <w:color w:val="000000"/>
          <w:sz w:val="20"/>
          <w:szCs w:val="20"/>
        </w:rPr>
        <w:t>ments within the late (Western) Roman Empire.</w:t>
      </w:r>
    </w:p>
  </w:footnote>
  <w:footnote w:id="14">
    <w:p w14:paraId="00000074" w14:textId="77777777" w:rsidR="00FD5325" w:rsidRDefault="001A3EF3">
      <w:pPr>
        <w:pBdr>
          <w:top w:val="nil"/>
          <w:left w:val="nil"/>
          <w:bottom w:val="nil"/>
          <w:right w:val="nil"/>
          <w:between w:val="nil"/>
        </w:pBdr>
        <w:spacing w:after="0" w:line="240" w:lineRule="auto"/>
        <w:ind w:left="567" w:hanging="567"/>
        <w:rPr>
          <w:color w:val="000000"/>
          <w:sz w:val="18"/>
          <w:szCs w:val="18"/>
        </w:rPr>
      </w:pPr>
      <w:r>
        <w:rPr>
          <w:vertAlign w:val="superscript"/>
        </w:rPr>
        <w:footnoteRef/>
      </w:r>
      <w:r>
        <w:rPr>
          <w:color w:val="000000"/>
          <w:sz w:val="20"/>
          <w:szCs w:val="20"/>
        </w:rPr>
        <w:t xml:space="preserve"> </w:t>
      </w:r>
      <w:r>
        <w:rPr>
          <w:color w:val="000000"/>
          <w:sz w:val="20"/>
          <w:szCs w:val="20"/>
        </w:rPr>
        <w:tab/>
        <w:t>Kennedy (2004a) 101f.; Shaban (1971) 109f.</w:t>
      </w:r>
    </w:p>
  </w:footnote>
  <w:footnote w:id="15">
    <w:p w14:paraId="00000075" w14:textId="77777777" w:rsidR="00FD5325" w:rsidRDefault="001A3EF3">
      <w:pPr>
        <w:pBdr>
          <w:top w:val="nil"/>
          <w:left w:val="nil"/>
          <w:bottom w:val="nil"/>
          <w:right w:val="nil"/>
          <w:between w:val="nil"/>
        </w:pBdr>
        <w:spacing w:after="0" w:line="240" w:lineRule="auto"/>
        <w:ind w:left="567" w:hanging="567"/>
        <w:rPr>
          <w:color w:val="000000"/>
          <w:sz w:val="18"/>
          <w:szCs w:val="18"/>
        </w:rPr>
      </w:pPr>
      <w:r>
        <w:rPr>
          <w:vertAlign w:val="superscript"/>
        </w:rPr>
        <w:footnoteRef/>
      </w:r>
      <w:r>
        <w:rPr>
          <w:color w:val="000000"/>
          <w:sz w:val="20"/>
          <w:szCs w:val="20"/>
        </w:rPr>
        <w:t xml:space="preserve"> </w:t>
      </w:r>
      <w:r>
        <w:rPr>
          <w:color w:val="000000"/>
          <w:sz w:val="20"/>
          <w:szCs w:val="20"/>
        </w:rPr>
        <w:tab/>
        <w:t xml:space="preserve">Brett &amp; Fentress (1996) 87–92; our period and the Berber revolt is discussed in depth by Savage (1997). </w:t>
      </w:r>
    </w:p>
  </w:footnote>
  <w:footnote w:id="16">
    <w:p w14:paraId="00000076" w14:textId="77777777" w:rsidR="00FD5325" w:rsidRDefault="001A3EF3">
      <w:pPr>
        <w:pBdr>
          <w:top w:val="nil"/>
          <w:left w:val="nil"/>
          <w:bottom w:val="nil"/>
          <w:right w:val="nil"/>
          <w:between w:val="nil"/>
        </w:pBdr>
        <w:spacing w:after="0" w:line="240" w:lineRule="auto"/>
        <w:ind w:left="567" w:hanging="567"/>
        <w:rPr>
          <w:color w:val="000000"/>
          <w:sz w:val="18"/>
          <w:szCs w:val="18"/>
        </w:rPr>
      </w:pPr>
      <w:r>
        <w:rPr>
          <w:vertAlign w:val="superscript"/>
        </w:rPr>
        <w:footnoteRef/>
      </w:r>
      <w:r>
        <w:rPr>
          <w:color w:val="000000"/>
          <w:sz w:val="20"/>
          <w:szCs w:val="20"/>
        </w:rPr>
        <w:t xml:space="preserve">  </w:t>
      </w:r>
      <w:r>
        <w:rPr>
          <w:color w:val="000000"/>
          <w:sz w:val="20"/>
          <w:szCs w:val="20"/>
        </w:rPr>
        <w:tab/>
      </w:r>
      <w:proofErr w:type="spellStart"/>
      <w:r>
        <w:rPr>
          <w:color w:val="000000"/>
          <w:sz w:val="20"/>
          <w:szCs w:val="20"/>
        </w:rPr>
        <w:t>Elad</w:t>
      </w:r>
      <w:proofErr w:type="spellEnd"/>
      <w:r>
        <w:rPr>
          <w:color w:val="000000"/>
          <w:sz w:val="20"/>
          <w:szCs w:val="20"/>
        </w:rPr>
        <w:t xml:space="preserve"> (2004) 147–198; Buhl (1993) ###. </w:t>
      </w:r>
    </w:p>
  </w:footnote>
  <w:footnote w:id="17">
    <w:p w14:paraId="00000077" w14:textId="77777777" w:rsidR="00FD5325" w:rsidRDefault="001A3EF3">
      <w:pPr>
        <w:pBdr>
          <w:top w:val="nil"/>
          <w:left w:val="nil"/>
          <w:bottom w:val="nil"/>
          <w:right w:val="nil"/>
          <w:between w:val="nil"/>
        </w:pBdr>
        <w:spacing w:after="0" w:line="240" w:lineRule="auto"/>
        <w:ind w:left="567" w:hanging="567"/>
        <w:rPr>
          <w:color w:val="000000"/>
          <w:sz w:val="18"/>
          <w:szCs w:val="18"/>
        </w:rPr>
      </w:pPr>
      <w:r>
        <w:rPr>
          <w:vertAlign w:val="superscript"/>
        </w:rPr>
        <w:footnoteRef/>
      </w:r>
      <w:r>
        <w:rPr>
          <w:color w:val="000000"/>
          <w:sz w:val="20"/>
          <w:szCs w:val="20"/>
        </w:rPr>
        <w:t xml:space="preserve"> </w:t>
      </w:r>
      <w:r>
        <w:rPr>
          <w:color w:val="000000"/>
          <w:sz w:val="20"/>
          <w:szCs w:val="20"/>
        </w:rPr>
        <w:tab/>
        <w:t xml:space="preserve">The best </w:t>
      </w:r>
      <w:r>
        <w:rPr>
          <w:color w:val="000000"/>
          <w:sz w:val="20"/>
          <w:szCs w:val="20"/>
        </w:rPr>
        <w:t>overview</w:t>
      </w:r>
      <w:r>
        <w:rPr>
          <w:color w:val="000000"/>
          <w:sz w:val="20"/>
          <w:szCs w:val="20"/>
        </w:rPr>
        <w:t xml:space="preserve"> of</w:t>
      </w:r>
      <w:r>
        <w:rPr>
          <w:color w:val="000000"/>
          <w:sz w:val="20"/>
          <w:szCs w:val="20"/>
        </w:rPr>
        <w:t xml:space="preserve"> these religious-political parties is Corne (2004) 54–144.</w:t>
      </w:r>
    </w:p>
  </w:footnote>
  <w:footnote w:id="18">
    <w:p w14:paraId="00000078" w14:textId="77777777" w:rsidR="00FD5325" w:rsidRDefault="001A3EF3">
      <w:pPr>
        <w:pBdr>
          <w:top w:val="nil"/>
          <w:left w:val="nil"/>
          <w:bottom w:val="nil"/>
          <w:right w:val="nil"/>
          <w:between w:val="nil"/>
        </w:pBdr>
        <w:spacing w:after="0" w:line="240" w:lineRule="auto"/>
        <w:ind w:left="567" w:hanging="567"/>
        <w:rPr>
          <w:color w:val="000000"/>
          <w:sz w:val="18"/>
          <w:szCs w:val="18"/>
        </w:rPr>
      </w:pPr>
      <w:r>
        <w:rPr>
          <w:vertAlign w:val="superscript"/>
        </w:rPr>
        <w:footnoteRef/>
      </w:r>
      <w:r>
        <w:rPr>
          <w:color w:val="000000"/>
          <w:sz w:val="20"/>
          <w:szCs w:val="20"/>
        </w:rPr>
        <w:t xml:space="preserve"> </w:t>
      </w:r>
      <w:r>
        <w:rPr>
          <w:color w:val="000000"/>
          <w:sz w:val="20"/>
          <w:szCs w:val="20"/>
        </w:rPr>
        <w:tab/>
        <w:t>Judd (2014</w:t>
      </w:r>
      <w:proofErr w:type="gramStart"/>
      <w:r>
        <w:rPr>
          <w:color w:val="000000"/>
          <w:sz w:val="20"/>
          <w:szCs w:val="20"/>
        </w:rPr>
        <w:t>) .The</w:t>
      </w:r>
      <w:proofErr w:type="gramEnd"/>
      <w:r>
        <w:rPr>
          <w:color w:val="000000"/>
          <w:sz w:val="20"/>
          <w:szCs w:val="20"/>
        </w:rPr>
        <w:t xml:space="preserve"> same held true, by the way, for church leaders, although they never played a role in Muslim internal politics.</w:t>
      </w:r>
    </w:p>
  </w:footnote>
  <w:footnote w:id="19">
    <w:p w14:paraId="00000079" w14:textId="77777777" w:rsidR="00FD5325" w:rsidRPr="00C91B05" w:rsidRDefault="001A3EF3">
      <w:pPr>
        <w:pBdr>
          <w:top w:val="nil"/>
          <w:left w:val="nil"/>
          <w:bottom w:val="nil"/>
          <w:right w:val="nil"/>
          <w:between w:val="nil"/>
        </w:pBdr>
        <w:spacing w:after="0" w:line="240" w:lineRule="auto"/>
        <w:ind w:left="567" w:hanging="567"/>
        <w:rPr>
          <w:color w:val="000000"/>
          <w:sz w:val="18"/>
          <w:szCs w:val="18"/>
          <w:lang w:val="de-DE"/>
        </w:rPr>
      </w:pPr>
      <w:r>
        <w:rPr>
          <w:vertAlign w:val="superscript"/>
        </w:rPr>
        <w:footnoteRef/>
      </w:r>
      <w:r w:rsidRPr="00C91B05">
        <w:rPr>
          <w:color w:val="000000"/>
          <w:sz w:val="20"/>
          <w:szCs w:val="20"/>
          <w:lang w:val="de-DE"/>
        </w:rPr>
        <w:t xml:space="preserve"> </w:t>
      </w:r>
      <w:r w:rsidRPr="00C91B05">
        <w:rPr>
          <w:color w:val="000000"/>
          <w:sz w:val="20"/>
          <w:szCs w:val="20"/>
          <w:lang w:val="de-DE"/>
        </w:rPr>
        <w:tab/>
        <w:t>Robinson (2005) 81–104.</w:t>
      </w:r>
    </w:p>
  </w:footnote>
  <w:footnote w:id="20">
    <w:p w14:paraId="0000007A" w14:textId="77777777" w:rsidR="00FD5325" w:rsidRPr="00C91B05" w:rsidRDefault="001A3EF3">
      <w:pPr>
        <w:pBdr>
          <w:top w:val="nil"/>
          <w:left w:val="nil"/>
          <w:bottom w:val="nil"/>
          <w:right w:val="nil"/>
          <w:between w:val="nil"/>
        </w:pBdr>
        <w:spacing w:after="0" w:line="240" w:lineRule="auto"/>
        <w:ind w:left="567" w:hanging="567"/>
        <w:rPr>
          <w:color w:val="000000"/>
          <w:sz w:val="18"/>
          <w:szCs w:val="18"/>
          <w:lang w:val="de-DE"/>
        </w:rPr>
      </w:pPr>
      <w:r>
        <w:rPr>
          <w:vertAlign w:val="superscript"/>
        </w:rPr>
        <w:footnoteRef/>
      </w:r>
      <w:r w:rsidRPr="00C91B05">
        <w:rPr>
          <w:color w:val="000000"/>
          <w:sz w:val="20"/>
          <w:szCs w:val="20"/>
          <w:lang w:val="de-DE"/>
        </w:rPr>
        <w:t xml:space="preserve"> </w:t>
      </w:r>
      <w:r w:rsidRPr="00C91B05">
        <w:rPr>
          <w:color w:val="000000"/>
          <w:sz w:val="20"/>
          <w:szCs w:val="20"/>
          <w:lang w:val="de-DE"/>
        </w:rPr>
        <w:tab/>
        <w:t>Kohlberg (</w:t>
      </w:r>
      <w:r w:rsidRPr="00C91B05">
        <w:rPr>
          <w:color w:val="000000"/>
          <w:sz w:val="20"/>
          <w:szCs w:val="20"/>
          <w:lang w:val="de-DE"/>
        </w:rPr>
        <w:t>1995</w:t>
      </w:r>
      <w:r w:rsidRPr="00C91B05">
        <w:rPr>
          <w:color w:val="000000"/>
          <w:sz w:val="20"/>
          <w:szCs w:val="20"/>
          <w:lang w:val="de-DE"/>
        </w:rPr>
        <w:t>).</w:t>
      </w:r>
    </w:p>
  </w:footnote>
  <w:footnote w:id="21">
    <w:p w14:paraId="0000007B" w14:textId="77777777" w:rsidR="00FD5325" w:rsidRPr="00C91B05" w:rsidRDefault="001A3EF3">
      <w:pPr>
        <w:pBdr>
          <w:top w:val="nil"/>
          <w:left w:val="nil"/>
          <w:bottom w:val="nil"/>
          <w:right w:val="nil"/>
          <w:between w:val="nil"/>
        </w:pBdr>
        <w:spacing w:after="0" w:line="240" w:lineRule="auto"/>
        <w:ind w:left="567" w:hanging="567"/>
        <w:rPr>
          <w:color w:val="000000"/>
          <w:sz w:val="18"/>
          <w:szCs w:val="18"/>
          <w:lang w:val="de-DE"/>
        </w:rPr>
      </w:pPr>
      <w:r>
        <w:rPr>
          <w:vertAlign w:val="superscript"/>
        </w:rPr>
        <w:footnoteRef/>
      </w:r>
      <w:r w:rsidRPr="00C91B05">
        <w:rPr>
          <w:color w:val="000000"/>
          <w:sz w:val="20"/>
          <w:szCs w:val="20"/>
          <w:lang w:val="de-DE"/>
        </w:rPr>
        <w:t xml:space="preserve"> </w:t>
      </w:r>
      <w:r w:rsidRPr="00C91B05">
        <w:rPr>
          <w:color w:val="000000"/>
          <w:sz w:val="20"/>
          <w:szCs w:val="20"/>
          <w:lang w:val="de-DE"/>
        </w:rPr>
        <w:tab/>
        <w:t>Berge</w:t>
      </w:r>
      <w:r w:rsidRPr="00C91B05">
        <w:rPr>
          <w:color w:val="000000"/>
          <w:sz w:val="20"/>
          <w:szCs w:val="20"/>
          <w:lang w:val="de-DE"/>
        </w:rPr>
        <w:t>r (2015) 239f.</w:t>
      </w:r>
    </w:p>
  </w:footnote>
  <w:footnote w:id="22">
    <w:p w14:paraId="0000007C" w14:textId="77777777" w:rsidR="00FD5325" w:rsidRPr="00C91B05" w:rsidRDefault="001A3EF3">
      <w:pPr>
        <w:pBdr>
          <w:top w:val="nil"/>
          <w:left w:val="nil"/>
          <w:bottom w:val="nil"/>
          <w:right w:val="nil"/>
          <w:between w:val="nil"/>
        </w:pBdr>
        <w:spacing w:after="0" w:line="240" w:lineRule="auto"/>
        <w:ind w:left="567" w:hanging="567"/>
        <w:rPr>
          <w:color w:val="000000"/>
          <w:sz w:val="18"/>
          <w:szCs w:val="18"/>
          <w:lang w:val="de-DE"/>
        </w:rPr>
      </w:pPr>
      <w:r>
        <w:rPr>
          <w:vertAlign w:val="superscript"/>
        </w:rPr>
        <w:footnoteRef/>
      </w:r>
      <w:r w:rsidRPr="00C91B05">
        <w:rPr>
          <w:color w:val="000000"/>
          <w:sz w:val="20"/>
          <w:szCs w:val="20"/>
          <w:lang w:val="de-DE"/>
        </w:rPr>
        <w:t xml:space="preserve"> </w:t>
      </w:r>
      <w:r w:rsidRPr="00C91B05">
        <w:rPr>
          <w:color w:val="000000"/>
          <w:sz w:val="20"/>
          <w:szCs w:val="20"/>
          <w:lang w:val="de-DE"/>
        </w:rPr>
        <w:tab/>
        <w:t>Cobb (2010) 253.</w:t>
      </w:r>
    </w:p>
  </w:footnote>
  <w:footnote w:id="23">
    <w:p w14:paraId="0000007D" w14:textId="77777777" w:rsidR="00FD5325" w:rsidRDefault="001A3EF3">
      <w:pPr>
        <w:pBdr>
          <w:top w:val="nil"/>
          <w:left w:val="nil"/>
          <w:bottom w:val="nil"/>
          <w:right w:val="nil"/>
          <w:between w:val="nil"/>
        </w:pBdr>
        <w:spacing w:after="0" w:line="240" w:lineRule="auto"/>
        <w:ind w:left="567" w:hanging="567"/>
        <w:rPr>
          <w:color w:val="000000"/>
          <w:sz w:val="18"/>
          <w:szCs w:val="18"/>
        </w:rPr>
      </w:pPr>
      <w:r>
        <w:rPr>
          <w:vertAlign w:val="superscript"/>
        </w:rPr>
        <w:footnoteRef/>
      </w:r>
      <w:r>
        <w:rPr>
          <w:color w:val="000000"/>
          <w:sz w:val="20"/>
          <w:szCs w:val="20"/>
        </w:rPr>
        <w:t xml:space="preserve"> </w:t>
      </w:r>
      <w:r>
        <w:rPr>
          <w:color w:val="000000"/>
          <w:sz w:val="20"/>
          <w:szCs w:val="20"/>
        </w:rPr>
        <w:tab/>
        <w:t xml:space="preserve">Shaban (1971) 120–124 and </w:t>
      </w:r>
      <w:r>
        <w:rPr>
          <w:i/>
          <w:iCs/>
          <w:color w:val="000000"/>
          <w:sz w:val="20"/>
          <w:szCs w:val="20"/>
        </w:rPr>
        <w:t>passim</w:t>
      </w:r>
      <w:r>
        <w:rPr>
          <w:color w:val="000000"/>
          <w:sz w:val="20"/>
          <w:szCs w:val="20"/>
        </w:rPr>
        <w:t xml:space="preserve">. </w:t>
      </w:r>
    </w:p>
  </w:footnote>
  <w:footnote w:id="24">
    <w:p w14:paraId="0000007E" w14:textId="77777777" w:rsidR="00FD5325" w:rsidRDefault="001A3EF3">
      <w:pPr>
        <w:pBdr>
          <w:top w:val="nil"/>
          <w:left w:val="nil"/>
          <w:bottom w:val="nil"/>
          <w:right w:val="nil"/>
          <w:between w:val="nil"/>
        </w:pBdr>
        <w:spacing w:after="0" w:line="240" w:lineRule="auto"/>
        <w:ind w:left="567" w:hanging="567"/>
        <w:rPr>
          <w:color w:val="000000"/>
          <w:sz w:val="18"/>
          <w:szCs w:val="18"/>
        </w:rPr>
      </w:pPr>
      <w:r>
        <w:rPr>
          <w:vertAlign w:val="superscript"/>
        </w:rPr>
        <w:footnoteRef/>
      </w:r>
      <w:r>
        <w:rPr>
          <w:color w:val="000000"/>
          <w:sz w:val="20"/>
          <w:szCs w:val="20"/>
        </w:rPr>
        <w:t xml:space="preserve"> </w:t>
      </w:r>
      <w:r>
        <w:rPr>
          <w:color w:val="000000"/>
          <w:sz w:val="20"/>
          <w:szCs w:val="20"/>
        </w:rPr>
        <w:tab/>
        <w:t xml:space="preserve">Crone (1994) 1–57. </w:t>
      </w:r>
    </w:p>
  </w:footnote>
  <w:footnote w:id="25">
    <w:p w14:paraId="0000007F" w14:textId="77777777" w:rsidR="00FD5325" w:rsidRDefault="001A3EF3">
      <w:pPr>
        <w:pBdr>
          <w:top w:val="nil"/>
          <w:left w:val="nil"/>
          <w:bottom w:val="nil"/>
          <w:right w:val="nil"/>
          <w:between w:val="nil"/>
        </w:pBdr>
        <w:spacing w:after="0" w:line="240" w:lineRule="auto"/>
        <w:ind w:left="567" w:hanging="567"/>
        <w:rPr>
          <w:color w:val="000000"/>
          <w:sz w:val="18"/>
          <w:szCs w:val="18"/>
        </w:rPr>
      </w:pPr>
      <w:r>
        <w:rPr>
          <w:vertAlign w:val="superscript"/>
        </w:rPr>
        <w:footnoteRef/>
      </w:r>
      <w:r>
        <w:rPr>
          <w:color w:val="000000"/>
          <w:sz w:val="20"/>
          <w:szCs w:val="20"/>
        </w:rPr>
        <w:t xml:space="preserve"> </w:t>
      </w:r>
      <w:r>
        <w:rPr>
          <w:color w:val="000000"/>
          <w:sz w:val="20"/>
          <w:szCs w:val="20"/>
        </w:rPr>
        <w:tab/>
        <w:t>Kennedy (2004a) 73–81.</w:t>
      </w:r>
    </w:p>
  </w:footnote>
  <w:footnote w:id="26">
    <w:p w14:paraId="00000080" w14:textId="77777777" w:rsidR="00FD5325" w:rsidRDefault="001A3EF3">
      <w:pPr>
        <w:pBdr>
          <w:top w:val="nil"/>
          <w:left w:val="nil"/>
          <w:bottom w:val="nil"/>
          <w:right w:val="nil"/>
          <w:between w:val="nil"/>
        </w:pBdr>
        <w:spacing w:after="0" w:line="240" w:lineRule="auto"/>
        <w:ind w:left="567" w:hanging="567"/>
        <w:rPr>
          <w:color w:val="000000"/>
          <w:sz w:val="18"/>
          <w:szCs w:val="18"/>
        </w:rPr>
      </w:pPr>
      <w:r>
        <w:rPr>
          <w:vertAlign w:val="superscript"/>
        </w:rPr>
        <w:footnoteRef/>
      </w:r>
      <w:r>
        <w:rPr>
          <w:color w:val="000000"/>
          <w:sz w:val="20"/>
          <w:szCs w:val="20"/>
        </w:rPr>
        <w:t xml:space="preserve"> </w:t>
      </w:r>
      <w:r>
        <w:rPr>
          <w:color w:val="000000"/>
          <w:sz w:val="20"/>
          <w:szCs w:val="20"/>
        </w:rPr>
        <w:tab/>
        <w:t xml:space="preserve">Cobb (2010) 263. Tribal conflict was rife in Khurasan as well and may have played a role in party-formation, </w:t>
      </w:r>
      <w:proofErr w:type="spellStart"/>
      <w:r>
        <w:rPr>
          <w:color w:val="000000"/>
          <w:sz w:val="20"/>
          <w:szCs w:val="20"/>
        </w:rPr>
        <w:t>ibd</w:t>
      </w:r>
      <w:proofErr w:type="spellEnd"/>
      <w:r>
        <w:rPr>
          <w:color w:val="000000"/>
          <w:sz w:val="20"/>
          <w:szCs w:val="20"/>
        </w:rPr>
        <w:t>.</w:t>
      </w:r>
    </w:p>
  </w:footnote>
  <w:footnote w:id="27">
    <w:p w14:paraId="00000081" w14:textId="77777777" w:rsidR="00FD5325" w:rsidRDefault="001A3EF3">
      <w:pPr>
        <w:pBdr>
          <w:top w:val="nil"/>
          <w:left w:val="nil"/>
          <w:bottom w:val="nil"/>
          <w:right w:val="nil"/>
          <w:between w:val="nil"/>
        </w:pBdr>
        <w:spacing w:after="0" w:line="240" w:lineRule="auto"/>
        <w:ind w:left="567" w:hanging="567"/>
        <w:rPr>
          <w:color w:val="000000"/>
          <w:sz w:val="18"/>
          <w:szCs w:val="18"/>
        </w:rPr>
      </w:pPr>
      <w:r>
        <w:rPr>
          <w:vertAlign w:val="superscript"/>
        </w:rPr>
        <w:footnoteRef/>
      </w:r>
      <w:r>
        <w:rPr>
          <w:color w:val="000000"/>
          <w:sz w:val="20"/>
          <w:szCs w:val="20"/>
        </w:rPr>
        <w:t xml:space="preserve"> </w:t>
      </w:r>
      <w:r>
        <w:rPr>
          <w:color w:val="000000"/>
          <w:sz w:val="20"/>
          <w:szCs w:val="20"/>
        </w:rPr>
        <w:tab/>
        <w:t>Kennedy (2004a</w:t>
      </w:r>
      <w:r>
        <w:rPr>
          <w:color w:val="000000"/>
          <w:sz w:val="20"/>
          <w:szCs w:val="20"/>
        </w:rPr>
        <w:t xml:space="preserve">) 147f.; a typical example of the traditional “national” interpretation is </w:t>
      </w:r>
      <w:proofErr w:type="spellStart"/>
      <w:r>
        <w:rPr>
          <w:color w:val="000000"/>
          <w:sz w:val="20"/>
          <w:szCs w:val="20"/>
        </w:rPr>
        <w:t>Gabrieli</w:t>
      </w:r>
      <w:proofErr w:type="spellEnd"/>
      <w:r>
        <w:rPr>
          <w:color w:val="000000"/>
          <w:sz w:val="20"/>
          <w:szCs w:val="20"/>
        </w:rPr>
        <w:t xml:space="preserve"> (1960) to be compared with the more “modern” views of </w:t>
      </w:r>
      <w:proofErr w:type="spellStart"/>
      <w:r>
        <w:rPr>
          <w:color w:val="000000"/>
          <w:sz w:val="20"/>
          <w:szCs w:val="20"/>
        </w:rPr>
        <w:t>Rekaya</w:t>
      </w:r>
      <w:proofErr w:type="spellEnd"/>
      <w:r>
        <w:rPr>
          <w:color w:val="000000"/>
          <w:sz w:val="20"/>
          <w:szCs w:val="20"/>
        </w:rPr>
        <w:t xml:space="preserve"> (1991).</w:t>
      </w:r>
    </w:p>
  </w:footnote>
  <w:footnote w:id="28">
    <w:p w14:paraId="00000082" w14:textId="77777777" w:rsidR="00FD5325" w:rsidRDefault="001A3EF3">
      <w:pPr>
        <w:pBdr>
          <w:top w:val="nil"/>
          <w:left w:val="nil"/>
          <w:bottom w:val="nil"/>
          <w:right w:val="nil"/>
          <w:between w:val="nil"/>
        </w:pBdr>
        <w:spacing w:after="0" w:line="240" w:lineRule="auto"/>
        <w:ind w:left="567" w:hanging="567"/>
        <w:rPr>
          <w:color w:val="000000"/>
          <w:sz w:val="18"/>
          <w:szCs w:val="18"/>
        </w:rPr>
      </w:pPr>
      <w:r>
        <w:rPr>
          <w:vertAlign w:val="superscript"/>
        </w:rPr>
        <w:footnoteRef/>
      </w:r>
      <w:r>
        <w:rPr>
          <w:color w:val="000000"/>
          <w:sz w:val="20"/>
          <w:szCs w:val="20"/>
        </w:rPr>
        <w:t xml:space="preserve"> </w:t>
      </w:r>
      <w:r>
        <w:rPr>
          <w:color w:val="000000"/>
          <w:sz w:val="20"/>
          <w:szCs w:val="20"/>
        </w:rPr>
        <w:tab/>
      </w:r>
      <w:proofErr w:type="spellStart"/>
      <w:r>
        <w:rPr>
          <w:color w:val="000000"/>
          <w:sz w:val="20"/>
          <w:szCs w:val="20"/>
        </w:rPr>
        <w:t>Djait</w:t>
      </w:r>
      <w:proofErr w:type="spellEnd"/>
      <w:r>
        <w:rPr>
          <w:color w:val="000000"/>
          <w:sz w:val="20"/>
          <w:szCs w:val="20"/>
        </w:rPr>
        <w:t xml:space="preserve"> (1986) 269 and 405–407.</w:t>
      </w:r>
    </w:p>
  </w:footnote>
  <w:footnote w:id="29">
    <w:p w14:paraId="00000083" w14:textId="77777777" w:rsidR="00FD5325" w:rsidRDefault="001A3EF3">
      <w:pPr>
        <w:pBdr>
          <w:top w:val="nil"/>
          <w:left w:val="nil"/>
          <w:bottom w:val="nil"/>
          <w:right w:val="nil"/>
          <w:between w:val="nil"/>
        </w:pBdr>
        <w:spacing w:after="0" w:line="240" w:lineRule="auto"/>
        <w:ind w:left="567" w:hanging="567"/>
        <w:rPr>
          <w:color w:val="000000"/>
          <w:sz w:val="18"/>
          <w:szCs w:val="18"/>
        </w:rPr>
      </w:pPr>
      <w:r>
        <w:rPr>
          <w:vertAlign w:val="superscript"/>
        </w:rPr>
        <w:footnoteRef/>
      </w:r>
      <w:r>
        <w:rPr>
          <w:color w:val="000000"/>
          <w:sz w:val="20"/>
          <w:szCs w:val="20"/>
        </w:rPr>
        <w:t xml:space="preserve"> </w:t>
      </w:r>
      <w:r>
        <w:rPr>
          <w:color w:val="000000"/>
          <w:sz w:val="20"/>
          <w:szCs w:val="20"/>
        </w:rPr>
        <w:tab/>
        <w:t>Slaves and (normally) women were excluded from the imamate, but not</w:t>
      </w:r>
      <w:r>
        <w:rPr>
          <w:color w:val="000000"/>
          <w:sz w:val="20"/>
          <w:szCs w:val="20"/>
        </w:rPr>
        <w:t xml:space="preserve"> non-Arabs or non-</w:t>
      </w:r>
      <w:proofErr w:type="spellStart"/>
      <w:r>
        <w:rPr>
          <w:color w:val="000000"/>
          <w:sz w:val="20"/>
          <w:szCs w:val="20"/>
        </w:rPr>
        <w:t>Qurashis</w:t>
      </w:r>
      <w:proofErr w:type="spellEnd"/>
      <w:r>
        <w:rPr>
          <w:color w:val="000000"/>
          <w:sz w:val="20"/>
          <w:szCs w:val="20"/>
        </w:rPr>
        <w:t>. Crone (2004) 57. As we have seen, this separation of leadership from belonging to a sacred clan went hand with the fact that political power for them was separated from the religious function of being the central mediator with t</w:t>
      </w:r>
      <w:r>
        <w:rPr>
          <w:color w:val="000000"/>
          <w:sz w:val="20"/>
          <w:szCs w:val="20"/>
        </w:rPr>
        <w:t>he divine.</w:t>
      </w:r>
    </w:p>
  </w:footnote>
  <w:footnote w:id="30">
    <w:p w14:paraId="00000084" w14:textId="77777777" w:rsidR="00FD5325" w:rsidRDefault="001A3EF3">
      <w:pPr>
        <w:pBdr>
          <w:top w:val="nil"/>
          <w:left w:val="nil"/>
          <w:bottom w:val="nil"/>
          <w:right w:val="nil"/>
          <w:between w:val="nil"/>
        </w:pBdr>
        <w:spacing w:after="0" w:line="240" w:lineRule="auto"/>
        <w:ind w:left="567" w:hanging="567"/>
        <w:rPr>
          <w:color w:val="000000"/>
          <w:sz w:val="18"/>
          <w:szCs w:val="18"/>
        </w:rPr>
      </w:pPr>
      <w:r>
        <w:rPr>
          <w:vertAlign w:val="superscript"/>
        </w:rPr>
        <w:footnoteRef/>
      </w:r>
      <w:r>
        <w:rPr>
          <w:color w:val="000000"/>
          <w:sz w:val="20"/>
          <w:szCs w:val="20"/>
        </w:rPr>
        <w:t xml:space="preserve"> </w:t>
      </w:r>
      <w:r>
        <w:rPr>
          <w:color w:val="000000"/>
          <w:sz w:val="20"/>
          <w:szCs w:val="20"/>
        </w:rPr>
        <w:tab/>
        <w:t xml:space="preserve">Crone (2004) 59–61. This hereditary succession was in the line of the </w:t>
      </w:r>
      <w:proofErr w:type="spellStart"/>
      <w:r>
        <w:rPr>
          <w:color w:val="000000"/>
          <w:sz w:val="20"/>
          <w:szCs w:val="20"/>
        </w:rPr>
        <w:t>Rustamids</w:t>
      </w:r>
      <w:proofErr w:type="spellEnd"/>
      <w:r>
        <w:rPr>
          <w:color w:val="000000"/>
          <w:sz w:val="20"/>
          <w:szCs w:val="20"/>
        </w:rPr>
        <w:t xml:space="preserve"> who were </w:t>
      </w:r>
      <w:proofErr w:type="spellStart"/>
      <w:r>
        <w:rPr>
          <w:color w:val="000000"/>
          <w:sz w:val="20"/>
          <w:szCs w:val="20"/>
        </w:rPr>
        <w:t>Perisan</w:t>
      </w:r>
      <w:proofErr w:type="spellEnd"/>
      <w:r>
        <w:rPr>
          <w:color w:val="000000"/>
          <w:sz w:val="20"/>
          <w:szCs w:val="20"/>
        </w:rPr>
        <w:t xml:space="preserve"> immigrants to the region. In the Maghreb coming from the more Islamic Middle East was certainly prestigious. Berber tribes coalesced by choosing </w:t>
      </w:r>
      <w:r>
        <w:rPr>
          <w:color w:val="000000"/>
          <w:sz w:val="20"/>
          <w:szCs w:val="20"/>
        </w:rPr>
        <w:t>neutral foreign people with religious charisma as their leaders. The Moroccan monarchy is an example of this prestige of the outsider lasting until our days.</w:t>
      </w:r>
    </w:p>
  </w:footnote>
  <w:footnote w:id="31">
    <w:p w14:paraId="00000085" w14:textId="77777777" w:rsidR="00FD5325" w:rsidRDefault="001A3EF3">
      <w:pPr>
        <w:pBdr>
          <w:top w:val="nil"/>
          <w:left w:val="nil"/>
          <w:bottom w:val="nil"/>
          <w:right w:val="nil"/>
          <w:between w:val="nil"/>
        </w:pBdr>
        <w:spacing w:after="0" w:line="240" w:lineRule="auto"/>
        <w:ind w:left="567" w:hanging="567"/>
        <w:rPr>
          <w:color w:val="000000"/>
          <w:sz w:val="18"/>
          <w:szCs w:val="18"/>
        </w:rPr>
      </w:pPr>
      <w:r>
        <w:rPr>
          <w:vertAlign w:val="superscript"/>
        </w:rPr>
        <w:footnoteRef/>
      </w:r>
      <w:r>
        <w:rPr>
          <w:color w:val="000000"/>
          <w:sz w:val="20"/>
          <w:szCs w:val="20"/>
        </w:rPr>
        <w:t xml:space="preserve"> </w:t>
      </w:r>
      <w:r>
        <w:rPr>
          <w:color w:val="000000"/>
          <w:sz w:val="20"/>
          <w:szCs w:val="20"/>
        </w:rPr>
        <w:tab/>
        <w:t>Crone (2004) 70–124</w:t>
      </w:r>
    </w:p>
  </w:footnote>
  <w:footnote w:id="32">
    <w:p w14:paraId="00000086" w14:textId="77777777" w:rsidR="00FD5325" w:rsidRDefault="001A3EF3">
      <w:pPr>
        <w:pBdr>
          <w:top w:val="nil"/>
          <w:left w:val="nil"/>
          <w:bottom w:val="nil"/>
          <w:right w:val="nil"/>
          <w:between w:val="nil"/>
        </w:pBdr>
        <w:spacing w:after="0" w:line="240" w:lineRule="auto"/>
        <w:ind w:left="567" w:hanging="567"/>
        <w:rPr>
          <w:color w:val="000000"/>
          <w:sz w:val="18"/>
          <w:szCs w:val="18"/>
        </w:rPr>
      </w:pPr>
      <w:r>
        <w:rPr>
          <w:vertAlign w:val="superscript"/>
        </w:rPr>
        <w:footnoteRef/>
      </w:r>
      <w:r>
        <w:rPr>
          <w:color w:val="000000"/>
          <w:sz w:val="20"/>
          <w:szCs w:val="20"/>
        </w:rPr>
        <w:t xml:space="preserve"> </w:t>
      </w:r>
      <w:r>
        <w:rPr>
          <w:color w:val="000000"/>
          <w:sz w:val="20"/>
          <w:szCs w:val="20"/>
        </w:rPr>
        <w:tab/>
        <w:t>Robinson (2020) 518–538.</w:t>
      </w:r>
    </w:p>
  </w:footnote>
  <w:footnote w:id="33">
    <w:p w14:paraId="00000087" w14:textId="77777777" w:rsidR="00FD5325" w:rsidRDefault="001A3EF3">
      <w:pPr>
        <w:pBdr>
          <w:top w:val="nil"/>
          <w:left w:val="nil"/>
          <w:bottom w:val="nil"/>
          <w:right w:val="nil"/>
          <w:between w:val="nil"/>
        </w:pBdr>
        <w:spacing w:after="0" w:line="240" w:lineRule="auto"/>
        <w:ind w:left="567" w:hanging="567"/>
        <w:rPr>
          <w:color w:val="000000"/>
          <w:sz w:val="18"/>
          <w:szCs w:val="18"/>
        </w:rPr>
      </w:pPr>
      <w:r>
        <w:rPr>
          <w:vertAlign w:val="superscript"/>
        </w:rPr>
        <w:footnoteRef/>
      </w:r>
      <w:r>
        <w:rPr>
          <w:color w:val="000000"/>
          <w:sz w:val="20"/>
          <w:szCs w:val="20"/>
        </w:rPr>
        <w:t xml:space="preserve"> </w:t>
      </w:r>
      <w:r>
        <w:rPr>
          <w:color w:val="000000"/>
          <w:sz w:val="20"/>
          <w:szCs w:val="20"/>
        </w:rPr>
        <w:tab/>
        <w:t xml:space="preserve">Robinson (2005) 22–29. </w:t>
      </w:r>
    </w:p>
  </w:footnote>
  <w:footnote w:id="34">
    <w:p w14:paraId="00000088" w14:textId="77777777" w:rsidR="00FD5325" w:rsidRDefault="001A3EF3">
      <w:pPr>
        <w:pBdr>
          <w:top w:val="nil"/>
          <w:left w:val="nil"/>
          <w:bottom w:val="nil"/>
          <w:right w:val="nil"/>
          <w:between w:val="nil"/>
        </w:pBdr>
        <w:spacing w:after="0" w:line="240" w:lineRule="auto"/>
        <w:ind w:left="567" w:hanging="567"/>
        <w:rPr>
          <w:color w:val="000000"/>
          <w:sz w:val="18"/>
          <w:szCs w:val="18"/>
        </w:rPr>
      </w:pPr>
      <w:r>
        <w:rPr>
          <w:vertAlign w:val="superscript"/>
        </w:rPr>
        <w:footnoteRef/>
      </w:r>
      <w:r>
        <w:rPr>
          <w:color w:val="000000"/>
          <w:sz w:val="20"/>
          <w:szCs w:val="20"/>
        </w:rPr>
        <w:t xml:space="preserve"> </w:t>
      </w:r>
      <w:r>
        <w:rPr>
          <w:color w:val="000000"/>
          <w:sz w:val="20"/>
          <w:szCs w:val="20"/>
        </w:rPr>
        <w:tab/>
        <w:t xml:space="preserve">Crone (1994) </w:t>
      </w:r>
      <w:r>
        <w:rPr>
          <w:color w:val="000000"/>
          <w:sz w:val="20"/>
          <w:szCs w:val="20"/>
        </w:rPr>
        <w:t>54–57.</w:t>
      </w:r>
    </w:p>
  </w:footnote>
  <w:footnote w:id="35">
    <w:p w14:paraId="00000089" w14:textId="77777777" w:rsidR="00FD5325" w:rsidRDefault="001A3EF3">
      <w:pPr>
        <w:pBdr>
          <w:top w:val="nil"/>
          <w:left w:val="nil"/>
          <w:bottom w:val="nil"/>
          <w:right w:val="nil"/>
          <w:between w:val="nil"/>
        </w:pBdr>
        <w:spacing w:after="0" w:line="240" w:lineRule="auto"/>
        <w:ind w:left="567" w:hanging="567"/>
        <w:rPr>
          <w:color w:val="000000"/>
          <w:sz w:val="18"/>
          <w:szCs w:val="18"/>
        </w:rPr>
      </w:pPr>
      <w:r>
        <w:rPr>
          <w:vertAlign w:val="superscript"/>
        </w:rPr>
        <w:footnoteRef/>
      </w:r>
      <w:r>
        <w:rPr>
          <w:color w:val="000000"/>
          <w:sz w:val="20"/>
          <w:szCs w:val="20"/>
        </w:rPr>
        <w:t xml:space="preserve"> </w:t>
      </w:r>
      <w:r>
        <w:rPr>
          <w:color w:val="000000"/>
          <w:sz w:val="20"/>
          <w:szCs w:val="20"/>
        </w:rPr>
        <w:tab/>
      </w:r>
      <w:proofErr w:type="spellStart"/>
      <w:r>
        <w:rPr>
          <w:color w:val="000000"/>
          <w:sz w:val="20"/>
          <w:szCs w:val="20"/>
        </w:rPr>
        <w:t>Hawting</w:t>
      </w:r>
      <w:proofErr w:type="spellEnd"/>
      <w:r>
        <w:rPr>
          <w:color w:val="000000"/>
          <w:sz w:val="20"/>
          <w:szCs w:val="20"/>
        </w:rPr>
        <w:t xml:space="preserve"> (2000) 100; Kennedy (2004a) 114.</w:t>
      </w:r>
    </w:p>
  </w:footnote>
  <w:footnote w:id="36">
    <w:p w14:paraId="0000008A" w14:textId="77777777" w:rsidR="00FD5325" w:rsidRDefault="001A3EF3">
      <w:pPr>
        <w:pBdr>
          <w:top w:val="nil"/>
          <w:left w:val="nil"/>
          <w:bottom w:val="nil"/>
          <w:right w:val="nil"/>
          <w:between w:val="nil"/>
        </w:pBdr>
        <w:spacing w:after="0" w:line="240" w:lineRule="auto"/>
        <w:ind w:left="567" w:hanging="567"/>
        <w:rPr>
          <w:color w:val="000000"/>
          <w:sz w:val="18"/>
          <w:szCs w:val="18"/>
        </w:rPr>
      </w:pPr>
      <w:r>
        <w:rPr>
          <w:vertAlign w:val="superscript"/>
        </w:rPr>
        <w:footnoteRef/>
      </w:r>
      <w:r>
        <w:rPr>
          <w:color w:val="000000"/>
          <w:sz w:val="20"/>
          <w:szCs w:val="20"/>
        </w:rPr>
        <w:t xml:space="preserve"> </w:t>
      </w:r>
      <w:r>
        <w:rPr>
          <w:color w:val="000000"/>
          <w:sz w:val="20"/>
          <w:szCs w:val="20"/>
        </w:rPr>
        <w:tab/>
        <w:t>‘Abd al-Malik is a parallel during the 2</w:t>
      </w:r>
      <w:r>
        <w:rPr>
          <w:color w:val="000000"/>
          <w:sz w:val="20"/>
          <w:szCs w:val="20"/>
          <w:vertAlign w:val="superscript"/>
        </w:rPr>
        <w:t>nd</w:t>
      </w:r>
      <w:r>
        <w:rPr>
          <w:color w:val="000000"/>
          <w:sz w:val="20"/>
          <w:szCs w:val="20"/>
        </w:rPr>
        <w:t xml:space="preserve"> </w:t>
      </w:r>
      <w:proofErr w:type="spellStart"/>
      <w:r>
        <w:rPr>
          <w:i/>
          <w:iCs/>
          <w:color w:val="000000"/>
          <w:sz w:val="20"/>
          <w:szCs w:val="20"/>
        </w:rPr>
        <w:t>Fitna</w:t>
      </w:r>
      <w:proofErr w:type="spellEnd"/>
      <w:r>
        <w:rPr>
          <w:color w:val="000000"/>
          <w:sz w:val="20"/>
          <w:szCs w:val="20"/>
        </w:rPr>
        <w:t>.</w:t>
      </w:r>
    </w:p>
  </w:footnote>
  <w:footnote w:id="37">
    <w:p w14:paraId="0000008B" w14:textId="77777777" w:rsidR="00FD5325" w:rsidRDefault="001A3EF3">
      <w:pPr>
        <w:pBdr>
          <w:top w:val="nil"/>
          <w:left w:val="nil"/>
          <w:bottom w:val="nil"/>
          <w:right w:val="nil"/>
          <w:between w:val="nil"/>
        </w:pBdr>
        <w:spacing w:after="0" w:line="240" w:lineRule="auto"/>
        <w:ind w:left="567" w:hanging="567"/>
        <w:rPr>
          <w:color w:val="000000"/>
          <w:sz w:val="18"/>
          <w:szCs w:val="18"/>
        </w:rPr>
      </w:pPr>
      <w:r>
        <w:rPr>
          <w:vertAlign w:val="superscript"/>
        </w:rPr>
        <w:footnoteRef/>
      </w:r>
      <w:r>
        <w:rPr>
          <w:color w:val="000000"/>
          <w:sz w:val="20"/>
          <w:szCs w:val="20"/>
        </w:rPr>
        <w:t xml:space="preserve"> </w:t>
      </w:r>
      <w:r>
        <w:rPr>
          <w:color w:val="000000"/>
          <w:sz w:val="20"/>
          <w:szCs w:val="20"/>
        </w:rPr>
        <w:tab/>
      </w:r>
      <w:proofErr w:type="spellStart"/>
      <w:r>
        <w:rPr>
          <w:color w:val="000000"/>
          <w:sz w:val="20"/>
          <w:szCs w:val="20"/>
        </w:rPr>
        <w:t>Hawting</w:t>
      </w:r>
      <w:proofErr w:type="spellEnd"/>
      <w:r>
        <w:rPr>
          <w:color w:val="000000"/>
          <w:sz w:val="20"/>
          <w:szCs w:val="20"/>
        </w:rPr>
        <w:t xml:space="preserve"> (2000) 102 on the difficult relationship of leaders and factions during this period.</w:t>
      </w:r>
    </w:p>
  </w:footnote>
  <w:footnote w:id="38">
    <w:p w14:paraId="0000008C" w14:textId="77777777" w:rsidR="00FD5325" w:rsidRDefault="001A3EF3">
      <w:pPr>
        <w:pBdr>
          <w:top w:val="nil"/>
          <w:left w:val="nil"/>
          <w:bottom w:val="nil"/>
          <w:right w:val="nil"/>
          <w:between w:val="nil"/>
        </w:pBdr>
        <w:spacing w:after="0" w:line="240" w:lineRule="auto"/>
        <w:ind w:left="567" w:hanging="567"/>
        <w:rPr>
          <w:color w:val="000000"/>
          <w:sz w:val="18"/>
          <w:szCs w:val="18"/>
        </w:rPr>
      </w:pPr>
      <w:r>
        <w:rPr>
          <w:vertAlign w:val="superscript"/>
        </w:rPr>
        <w:footnoteRef/>
      </w:r>
      <w:r>
        <w:rPr>
          <w:color w:val="000000"/>
          <w:sz w:val="20"/>
          <w:szCs w:val="20"/>
        </w:rPr>
        <w:t xml:space="preserve"> </w:t>
      </w:r>
      <w:r>
        <w:rPr>
          <w:color w:val="000000"/>
          <w:sz w:val="20"/>
          <w:szCs w:val="20"/>
        </w:rPr>
        <w:tab/>
        <w:t xml:space="preserve">Kennedy (2004a) 129f. </w:t>
      </w:r>
    </w:p>
  </w:footnote>
  <w:footnote w:id="39">
    <w:p w14:paraId="0000008D" w14:textId="77777777" w:rsidR="00FD5325" w:rsidRDefault="001A3EF3">
      <w:pPr>
        <w:pBdr>
          <w:top w:val="nil"/>
          <w:left w:val="nil"/>
          <w:bottom w:val="nil"/>
          <w:right w:val="nil"/>
          <w:between w:val="nil"/>
        </w:pBdr>
        <w:spacing w:after="0" w:line="240" w:lineRule="auto"/>
        <w:ind w:left="567" w:hanging="567"/>
        <w:rPr>
          <w:color w:val="000000"/>
          <w:sz w:val="18"/>
          <w:szCs w:val="18"/>
        </w:rPr>
      </w:pPr>
      <w:r>
        <w:rPr>
          <w:vertAlign w:val="superscript"/>
        </w:rPr>
        <w:footnoteRef/>
      </w:r>
      <w:r>
        <w:rPr>
          <w:color w:val="000000"/>
          <w:sz w:val="20"/>
          <w:szCs w:val="20"/>
        </w:rPr>
        <w:t xml:space="preserve"> </w:t>
      </w:r>
      <w:r>
        <w:rPr>
          <w:color w:val="000000"/>
          <w:sz w:val="20"/>
          <w:szCs w:val="20"/>
        </w:rPr>
        <w:tab/>
        <w:t>Shaban (1971) 72.</w:t>
      </w:r>
    </w:p>
  </w:footnote>
  <w:footnote w:id="40">
    <w:p w14:paraId="0000008E" w14:textId="77777777" w:rsidR="00FD5325" w:rsidRDefault="001A3EF3">
      <w:pPr>
        <w:pBdr>
          <w:top w:val="nil"/>
          <w:left w:val="nil"/>
          <w:bottom w:val="nil"/>
          <w:right w:val="nil"/>
          <w:between w:val="nil"/>
        </w:pBdr>
        <w:spacing w:after="0" w:line="240" w:lineRule="auto"/>
        <w:ind w:left="567" w:hanging="567"/>
        <w:rPr>
          <w:color w:val="000000"/>
          <w:sz w:val="18"/>
          <w:szCs w:val="18"/>
        </w:rPr>
      </w:pPr>
      <w:r>
        <w:rPr>
          <w:vertAlign w:val="superscript"/>
        </w:rPr>
        <w:footnoteRef/>
      </w:r>
      <w:r>
        <w:rPr>
          <w:color w:val="000000"/>
          <w:sz w:val="20"/>
          <w:szCs w:val="20"/>
        </w:rPr>
        <w:t xml:space="preserve"> </w:t>
      </w:r>
      <w:r>
        <w:rPr>
          <w:color w:val="000000"/>
          <w:sz w:val="20"/>
          <w:szCs w:val="20"/>
        </w:rPr>
        <w:tab/>
      </w:r>
      <w:r>
        <w:rPr>
          <w:color w:val="000000"/>
          <w:sz w:val="20"/>
          <w:szCs w:val="20"/>
        </w:rPr>
        <w:t>Kennedy (2004a) 149.</w:t>
      </w:r>
    </w:p>
  </w:footnote>
  <w:footnote w:id="41">
    <w:p w14:paraId="0000008F" w14:textId="77777777" w:rsidR="00FD5325" w:rsidRDefault="001A3EF3">
      <w:pPr>
        <w:pBdr>
          <w:top w:val="nil"/>
          <w:left w:val="nil"/>
          <w:bottom w:val="nil"/>
          <w:right w:val="nil"/>
          <w:between w:val="nil"/>
        </w:pBdr>
        <w:spacing w:after="0" w:line="240" w:lineRule="auto"/>
        <w:ind w:left="567" w:hanging="567"/>
        <w:rPr>
          <w:color w:val="000000"/>
          <w:sz w:val="18"/>
          <w:szCs w:val="18"/>
        </w:rPr>
      </w:pPr>
      <w:r>
        <w:rPr>
          <w:vertAlign w:val="superscript"/>
        </w:rPr>
        <w:footnoteRef/>
      </w:r>
      <w:r>
        <w:rPr>
          <w:color w:val="000000"/>
          <w:sz w:val="20"/>
          <w:szCs w:val="20"/>
        </w:rPr>
        <w:t xml:space="preserve"> </w:t>
      </w:r>
      <w:r>
        <w:rPr>
          <w:color w:val="000000"/>
          <w:sz w:val="20"/>
          <w:szCs w:val="20"/>
        </w:rPr>
        <w:tab/>
        <w:t>Crone (1994) 25, for other examples 50.</w:t>
      </w:r>
    </w:p>
  </w:footnote>
  <w:footnote w:id="42">
    <w:p w14:paraId="00000090" w14:textId="77777777" w:rsidR="00FD5325" w:rsidRDefault="001A3EF3">
      <w:pPr>
        <w:pBdr>
          <w:top w:val="nil"/>
          <w:left w:val="nil"/>
          <w:bottom w:val="nil"/>
          <w:right w:val="nil"/>
          <w:between w:val="nil"/>
        </w:pBdr>
        <w:spacing w:after="0" w:line="240" w:lineRule="auto"/>
        <w:ind w:left="567" w:hanging="567"/>
        <w:rPr>
          <w:color w:val="000000"/>
          <w:sz w:val="18"/>
          <w:szCs w:val="18"/>
        </w:rPr>
      </w:pPr>
      <w:r>
        <w:rPr>
          <w:vertAlign w:val="superscript"/>
        </w:rPr>
        <w:footnoteRef/>
      </w:r>
      <w:r>
        <w:rPr>
          <w:color w:val="000000"/>
          <w:sz w:val="20"/>
          <w:szCs w:val="20"/>
        </w:rPr>
        <w:t xml:space="preserve"> </w:t>
      </w:r>
      <w:r>
        <w:rPr>
          <w:color w:val="000000"/>
          <w:sz w:val="20"/>
          <w:szCs w:val="20"/>
        </w:rPr>
        <w:tab/>
        <w:t>Kennedy(2004a) 128.</w:t>
      </w:r>
    </w:p>
  </w:footnote>
  <w:footnote w:id="43">
    <w:p w14:paraId="00000091" w14:textId="77777777" w:rsidR="00FD5325" w:rsidRDefault="001A3EF3">
      <w:pPr>
        <w:pBdr>
          <w:top w:val="nil"/>
          <w:left w:val="nil"/>
          <w:bottom w:val="nil"/>
          <w:right w:val="nil"/>
          <w:between w:val="nil"/>
        </w:pBdr>
        <w:spacing w:after="0" w:line="240" w:lineRule="auto"/>
        <w:ind w:left="567" w:hanging="567"/>
        <w:rPr>
          <w:color w:val="000000"/>
          <w:sz w:val="18"/>
          <w:szCs w:val="18"/>
          <w:highlight w:val="yellow"/>
        </w:rPr>
      </w:pPr>
      <w:r>
        <w:rPr>
          <w:vertAlign w:val="superscript"/>
        </w:rPr>
        <w:footnoteRef/>
      </w:r>
      <w:r>
        <w:rPr>
          <w:color w:val="000000"/>
          <w:sz w:val="20"/>
          <w:szCs w:val="20"/>
        </w:rPr>
        <w:t xml:space="preserve"> </w:t>
      </w:r>
      <w:r>
        <w:rPr>
          <w:color w:val="000000"/>
          <w:sz w:val="20"/>
          <w:szCs w:val="20"/>
        </w:rPr>
        <w:tab/>
        <w:t>Kennedy (2004a) 153</w:t>
      </w:r>
      <w:r>
        <w:rPr>
          <w:color w:val="000000"/>
          <w:sz w:val="20"/>
          <w:szCs w:val="20"/>
          <w:highlight w:val="yellow"/>
        </w:rPr>
        <w:t>ff.</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5325"/>
    <w:rsid w:val="00014BEB"/>
    <w:rsid w:val="001A3EF3"/>
    <w:rsid w:val="00202314"/>
    <w:rsid w:val="006C012F"/>
    <w:rsid w:val="00C91B05"/>
    <w:rsid w:val="00D06828"/>
    <w:rsid w:val="00FD5325"/>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7191B1"/>
  <w15:docId w15:val="{E5D4DD71-C456-4FEC-9CC7-E839D22CDB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GB" w:eastAsia="de-DE"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paragraph" w:styleId="berschrift1">
    <w:name w:val="heading 1"/>
    <w:basedOn w:val="Standard"/>
    <w:next w:val="Standard"/>
    <w:uiPriority w:val="9"/>
    <w:qFormat/>
    <w:pPr>
      <w:keepNext/>
      <w:keepLines/>
      <w:spacing w:before="480" w:after="120"/>
      <w:outlineLvl w:val="0"/>
    </w:pPr>
    <w:rPr>
      <w:b/>
      <w:bCs/>
      <w:sz w:val="48"/>
      <w:szCs w:val="48"/>
    </w:rPr>
  </w:style>
  <w:style w:type="paragraph" w:styleId="berschrift2">
    <w:name w:val="heading 2"/>
    <w:basedOn w:val="Standard"/>
    <w:next w:val="Standard"/>
    <w:uiPriority w:val="9"/>
    <w:semiHidden/>
    <w:unhideWhenUsed/>
    <w:qFormat/>
    <w:pPr>
      <w:keepNext/>
      <w:keepLines/>
      <w:spacing w:before="360" w:after="80"/>
      <w:outlineLvl w:val="1"/>
    </w:pPr>
    <w:rPr>
      <w:b/>
      <w:bCs/>
      <w:sz w:val="36"/>
      <w:szCs w:val="36"/>
    </w:rPr>
  </w:style>
  <w:style w:type="paragraph" w:styleId="berschrift3">
    <w:name w:val="heading 3"/>
    <w:basedOn w:val="Standard"/>
    <w:next w:val="Standard"/>
    <w:uiPriority w:val="9"/>
    <w:semiHidden/>
    <w:unhideWhenUsed/>
    <w:qFormat/>
    <w:pPr>
      <w:keepNext/>
      <w:keepLines/>
      <w:spacing w:before="280" w:after="80"/>
      <w:outlineLvl w:val="2"/>
    </w:pPr>
    <w:rPr>
      <w:b/>
      <w:bCs/>
      <w:sz w:val="28"/>
      <w:szCs w:val="28"/>
    </w:rPr>
  </w:style>
  <w:style w:type="paragraph" w:styleId="berschrift4">
    <w:name w:val="heading 4"/>
    <w:basedOn w:val="Standard"/>
    <w:next w:val="Standard"/>
    <w:uiPriority w:val="9"/>
    <w:semiHidden/>
    <w:unhideWhenUsed/>
    <w:qFormat/>
    <w:pPr>
      <w:keepNext/>
      <w:keepLines/>
      <w:spacing w:before="240" w:after="40"/>
      <w:outlineLvl w:val="3"/>
    </w:pPr>
    <w:rPr>
      <w:b/>
      <w:bCs/>
      <w:sz w:val="24"/>
      <w:szCs w:val="24"/>
    </w:rPr>
  </w:style>
  <w:style w:type="paragraph" w:styleId="berschrift5">
    <w:name w:val="heading 5"/>
    <w:basedOn w:val="Standard"/>
    <w:next w:val="Standard"/>
    <w:uiPriority w:val="9"/>
    <w:semiHidden/>
    <w:unhideWhenUsed/>
    <w:qFormat/>
    <w:pPr>
      <w:keepNext/>
      <w:keepLines/>
      <w:spacing w:before="220" w:after="40"/>
      <w:outlineLvl w:val="4"/>
    </w:pPr>
    <w:rPr>
      <w:b/>
      <w:bCs/>
    </w:rPr>
  </w:style>
  <w:style w:type="paragraph" w:styleId="berschrift6">
    <w:name w:val="heading 6"/>
    <w:basedOn w:val="Standard"/>
    <w:next w:val="Standard"/>
    <w:uiPriority w:val="9"/>
    <w:semiHidden/>
    <w:unhideWhenUsed/>
    <w:qFormat/>
    <w:pPr>
      <w:keepNext/>
      <w:keepLines/>
      <w:spacing w:before="200" w:after="40"/>
      <w:outlineLvl w:val="5"/>
    </w:pPr>
    <w:rPr>
      <w:b/>
      <w:bCs/>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el">
    <w:name w:val="Title"/>
    <w:basedOn w:val="Standard"/>
    <w:next w:val="Standard"/>
    <w:uiPriority w:val="10"/>
    <w:qFormat/>
    <w:pPr>
      <w:keepNext/>
      <w:keepLines/>
      <w:spacing w:before="480" w:after="120"/>
    </w:pPr>
    <w:rPr>
      <w:b/>
      <w:bCs/>
      <w:sz w:val="72"/>
      <w:szCs w:val="72"/>
    </w:rPr>
  </w:style>
  <w:style w:type="paragraph" w:styleId="Untertitel">
    <w:name w:val="Subtitle"/>
    <w:basedOn w:val="Standard"/>
    <w:next w:val="Standard"/>
    <w:uiPriority w:val="11"/>
    <w:qFormat/>
    <w:pPr>
      <w:keepNext/>
      <w:keepLines/>
      <w:spacing w:before="360" w:after="80"/>
    </w:pPr>
    <w:rPr>
      <w:rFonts w:ascii="Georgia" w:eastAsia="Georgia" w:hAnsi="Georgia" w:cs="Georgia"/>
      <w:i/>
      <w:iCs/>
      <w:color w:val="666666"/>
      <w:sz w:val="48"/>
      <w:szCs w:val="48"/>
    </w:rPr>
  </w:style>
  <w:style w:type="paragraph" w:styleId="berarbeitung">
    <w:name w:val="Revision"/>
    <w:hidden/>
    <w:uiPriority w:val="99"/>
    <w:semiHidden/>
    <w:rsid w:val="00C91B05"/>
    <w:pPr>
      <w:spacing w:after="0" w:line="240" w:lineRule="auto"/>
    </w:pPr>
  </w:style>
  <w:style w:type="paragraph" w:styleId="Sprechblasentext">
    <w:name w:val="Balloon Text"/>
    <w:basedOn w:val="Standard"/>
    <w:link w:val="SprechblasentextZchn"/>
    <w:uiPriority w:val="99"/>
    <w:semiHidden/>
    <w:unhideWhenUsed/>
    <w:rsid w:val="006C012F"/>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6C012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12</Pages>
  <Words>5545</Words>
  <Characters>34940</Characters>
  <Application>Microsoft Office Word</Application>
  <DocSecurity>0</DocSecurity>
  <Lines>291</Lines>
  <Paragraphs>80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40405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Johannes Wienand</cp:lastModifiedBy>
  <cp:revision>3</cp:revision>
  <dcterms:created xsi:type="dcterms:W3CDTF">2026-02-04T14:25:00Z</dcterms:created>
  <dcterms:modified xsi:type="dcterms:W3CDTF">2026-02-05T06:51:00Z</dcterms:modified>
</cp:coreProperties>
</file>