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F8299" w14:textId="77777777" w:rsidR="00B94817" w:rsidRPr="00E45C93" w:rsidRDefault="00B94817" w:rsidP="005A425F">
      <w:pPr>
        <w:pBdr>
          <w:top w:val="single" w:sz="4" w:space="1" w:color="auto"/>
          <w:bottom w:val="single" w:sz="4" w:space="1" w:color="auto"/>
        </w:pBdr>
        <w:spacing w:line="360" w:lineRule="auto"/>
        <w:outlineLvl w:val="0"/>
        <w:rPr>
          <w:b/>
          <w:bCs/>
          <w:kern w:val="36"/>
        </w:rPr>
      </w:pPr>
      <w:r w:rsidRPr="00E45C93">
        <w:rPr>
          <w:b/>
          <w:bCs/>
          <w:kern w:val="36"/>
        </w:rPr>
        <w:t>Abstract</w:t>
      </w:r>
    </w:p>
    <w:p w14:paraId="4EACA736" w14:textId="0A226AD0" w:rsidR="00DD155A" w:rsidRDefault="00DD155A" w:rsidP="005A425F">
      <w:pPr>
        <w:spacing w:line="360" w:lineRule="auto"/>
        <w:jc w:val="both"/>
        <w:outlineLvl w:val="0"/>
        <w:rPr>
          <w:kern w:val="36"/>
        </w:rPr>
      </w:pPr>
      <w:r w:rsidRPr="00DD155A">
        <w:rPr>
          <w:kern w:val="36"/>
        </w:rPr>
        <w:t>This study adopts a dimensional and transdiagnostic framework, treating Orthorexia Nervosa (ON) as an ideologically driven eating pattern situated along a continuum of health-oriented behavio</w:t>
      </w:r>
      <w:r>
        <w:rPr>
          <w:kern w:val="36"/>
        </w:rPr>
        <w:t>u</w:t>
      </w:r>
      <w:r w:rsidRPr="00DD155A">
        <w:rPr>
          <w:kern w:val="36"/>
        </w:rPr>
        <w:t xml:space="preserve">rs. It </w:t>
      </w:r>
      <w:r w:rsidR="00F62FE9">
        <w:rPr>
          <w:kern w:val="36"/>
        </w:rPr>
        <w:t>acknowledges that</w:t>
      </w:r>
      <w:r w:rsidRPr="00DD155A">
        <w:rPr>
          <w:kern w:val="36"/>
        </w:rPr>
        <w:t xml:space="preserve"> ON </w:t>
      </w:r>
      <w:r w:rsidR="00F62FE9">
        <w:rPr>
          <w:kern w:val="36"/>
        </w:rPr>
        <w:t>is not yet defined</w:t>
      </w:r>
      <w:r w:rsidRPr="00DD155A">
        <w:rPr>
          <w:kern w:val="36"/>
        </w:rPr>
        <w:t xml:space="preserve"> </w:t>
      </w:r>
      <w:r w:rsidR="00F62FE9">
        <w:rPr>
          <w:kern w:val="36"/>
        </w:rPr>
        <w:t xml:space="preserve">as a </w:t>
      </w:r>
      <w:r w:rsidRPr="00DD155A">
        <w:rPr>
          <w:kern w:val="36"/>
        </w:rPr>
        <w:t>discrete psychiatric disorder</w:t>
      </w:r>
      <w:r w:rsidR="00F62FE9">
        <w:rPr>
          <w:kern w:val="36"/>
        </w:rPr>
        <w:t xml:space="preserve">; thus, </w:t>
      </w:r>
      <w:r w:rsidR="00E16A63" w:rsidRPr="00E16A63">
        <w:rPr>
          <w:kern w:val="36"/>
        </w:rPr>
        <w:t>it seeks to map its biopsychological correlates with established eating and obsessive-compulsive conditions. The goal is not to validate ON as a discrete diagnosis but to identify transdiagnostic biopsychological patterns associated with high orthorexic tendencies, informing future classification debates without presuming categorical status</w:t>
      </w:r>
      <w:r>
        <w:rPr>
          <w:kern w:val="36"/>
        </w:rPr>
        <w:t>.</w:t>
      </w:r>
      <w:r>
        <w:t xml:space="preserve"> </w:t>
      </w:r>
      <w:r w:rsidR="00C452A7" w:rsidRPr="00C452A7">
        <w:rPr>
          <w:kern w:val="36"/>
        </w:rPr>
        <w:t xml:space="preserve">This project will examine ON across four key domains—psychological, immunological, neurophysiological, and microbiome. </w:t>
      </w:r>
    </w:p>
    <w:p w14:paraId="33FDFFC9" w14:textId="23104088" w:rsidR="00B94817" w:rsidRPr="00CA2EF9" w:rsidRDefault="00B94817" w:rsidP="005A425F">
      <w:pPr>
        <w:spacing w:line="360" w:lineRule="auto"/>
        <w:jc w:val="both"/>
        <w:outlineLvl w:val="0"/>
        <w:rPr>
          <w:kern w:val="36"/>
        </w:rPr>
      </w:pPr>
      <w:r w:rsidRPr="00E45C93">
        <w:rPr>
          <w:kern w:val="36"/>
        </w:rPr>
        <w:t xml:space="preserve">ON is an emerging, under-recognized mental health condition characterized by a pathological obsession with consuming foods perceived as pure or healthy. Although growing clinical attention has differentiated ON from both Healthy Orthorexia (HO) and traditional eating disorders such as Anorexia Nervosa (AN) and Bulimia Nervosa (BN), its biological foundations remain largely unexplored. The proposed project aims to comprehensively characterize ON across psychological, immunological, gut microbiome, and neurophysiological domains and distinguish it from HO, AN, and healthy controls (CG). </w:t>
      </w:r>
      <w:r w:rsidR="0091180A">
        <w:rPr>
          <w:kern w:val="36"/>
        </w:rPr>
        <w:t>Due to the current lack of empirical data in ON, t</w:t>
      </w:r>
      <w:r w:rsidR="00AB4414" w:rsidRPr="00AB4414">
        <w:rPr>
          <w:kern w:val="36"/>
        </w:rPr>
        <w:t xml:space="preserve">he gut microbiome and ERP measures will be treated as </w:t>
      </w:r>
      <w:r w:rsidR="00AB4414" w:rsidRPr="00AB4414">
        <w:rPr>
          <w:i/>
          <w:iCs/>
          <w:kern w:val="36"/>
        </w:rPr>
        <w:t>exploratory, hypothesis-generating components</w:t>
      </w:r>
      <w:r w:rsidR="00AB4414" w:rsidRPr="00AB4414">
        <w:rPr>
          <w:kern w:val="36"/>
        </w:rPr>
        <w:t>. While guided by findings from AN and OCD, these analyses are designed to inform future confirmatory studies rather than provide diagnostic or causal conclusions</w:t>
      </w:r>
      <w:r w:rsidRPr="00E45C93">
        <w:rPr>
          <w:kern w:val="36"/>
        </w:rPr>
        <w:t xml:space="preserve">. </w:t>
      </w:r>
      <w:r w:rsidR="00F62FE9" w:rsidRPr="00C452A7">
        <w:rPr>
          <w:kern w:val="36"/>
        </w:rPr>
        <w:t xml:space="preserve">A </w:t>
      </w:r>
      <w:r w:rsidR="00F62FE9">
        <w:rPr>
          <w:kern w:val="36"/>
        </w:rPr>
        <w:t xml:space="preserve">longitudinal assessment and </w:t>
      </w:r>
      <w:r w:rsidR="00F62FE9" w:rsidRPr="00C452A7">
        <w:rPr>
          <w:kern w:val="36"/>
        </w:rPr>
        <w:t>data-driven integration of findings may be considered</w:t>
      </w:r>
      <w:r w:rsidR="00F62FE9">
        <w:rPr>
          <w:kern w:val="36"/>
        </w:rPr>
        <w:t xml:space="preserve"> as </w:t>
      </w:r>
      <w:r w:rsidR="00F62FE9" w:rsidRPr="00C452A7">
        <w:rPr>
          <w:kern w:val="36"/>
        </w:rPr>
        <w:t xml:space="preserve">time </w:t>
      </w:r>
      <w:r w:rsidR="00F62FE9">
        <w:rPr>
          <w:kern w:val="36"/>
        </w:rPr>
        <w:t>permits and</w:t>
      </w:r>
      <w:r w:rsidR="00F62FE9" w:rsidRPr="00C452A7">
        <w:rPr>
          <w:kern w:val="36"/>
        </w:rPr>
        <w:t xml:space="preserve"> based on data quality and feasibility</w:t>
      </w:r>
      <w:r w:rsidRPr="00E45C93">
        <w:rPr>
          <w:kern w:val="36"/>
        </w:rPr>
        <w:t>. This project addresses a significant gap in current mental health research. It aims to generate critical foundations for early intervention strategies and public health policy in the global rise of wellness culture.</w:t>
      </w:r>
      <w:r w:rsidR="00606785">
        <w:rPr>
          <w:kern w:val="36"/>
        </w:rPr>
        <w:t xml:space="preserve"> </w:t>
      </w:r>
      <w:r w:rsidR="00606785" w:rsidRPr="00606785">
        <w:rPr>
          <w:kern w:val="36"/>
        </w:rPr>
        <w:t xml:space="preserve">This study will not presume or assert that Orthorexia Nervosa constitutes a discrete psychiatric or pathophysiological entity. </w:t>
      </w:r>
      <w:r w:rsidR="00E77952">
        <w:rPr>
          <w:kern w:val="36"/>
        </w:rPr>
        <w:t>Instead</w:t>
      </w:r>
      <w:r w:rsidR="00606785" w:rsidRPr="00606785">
        <w:rPr>
          <w:kern w:val="36"/>
        </w:rPr>
        <w:t xml:space="preserve">, biological data will be interpreted as markers of psychological or behavioral correlates, without implying causality, disease status, or </w:t>
      </w:r>
      <w:proofErr w:type="spellStart"/>
      <w:r w:rsidR="00606785" w:rsidRPr="00606785">
        <w:rPr>
          <w:kern w:val="36"/>
        </w:rPr>
        <w:t>nosological</w:t>
      </w:r>
      <w:proofErr w:type="spellEnd"/>
      <w:r w:rsidR="00606785" w:rsidRPr="00606785">
        <w:rPr>
          <w:kern w:val="36"/>
        </w:rPr>
        <w:t xml:space="preserve"> validity. Even if statistically significant differences are found, they will be treated as construct-related findings within a dimensional framework</w:t>
      </w:r>
      <w:r w:rsidR="00606785">
        <w:rPr>
          <w:kern w:val="36"/>
        </w:rPr>
        <w:t xml:space="preserve">. </w:t>
      </w:r>
    </w:p>
    <w:p w14:paraId="4B381F02" w14:textId="162F69E4" w:rsidR="00900E1B" w:rsidRPr="00E45C93" w:rsidRDefault="00900E1B" w:rsidP="005A425F">
      <w:pPr>
        <w:pBdr>
          <w:top w:val="single" w:sz="4" w:space="1" w:color="auto"/>
          <w:bottom w:val="single" w:sz="4" w:space="1" w:color="auto"/>
        </w:pBdr>
        <w:spacing w:line="360" w:lineRule="auto"/>
        <w:jc w:val="both"/>
        <w:rPr>
          <w:b/>
          <w:bCs/>
          <w:lang w:val="en-US"/>
        </w:rPr>
      </w:pPr>
      <w:r w:rsidRPr="00E45C93">
        <w:rPr>
          <w:b/>
          <w:bCs/>
          <w:lang w:val="en-US"/>
        </w:rPr>
        <w:t>Scientific Background</w:t>
      </w:r>
    </w:p>
    <w:p w14:paraId="41906D13" w14:textId="793B76D5" w:rsidR="00BD4FD0" w:rsidRDefault="00900E1B" w:rsidP="005A425F">
      <w:pPr>
        <w:spacing w:line="360" w:lineRule="auto"/>
        <w:jc w:val="both"/>
      </w:pPr>
      <w:r w:rsidRPr="00E45C93">
        <w:t>Orthorexia Nervosa (ON) describes an emerging, under-recognized mental health condition characterized by a pathological obsession with consuming foods perceived as pure or healthy</w:t>
      </w:r>
      <w:r w:rsidR="00F62FE9">
        <w:fldChar w:fldCharType="begin"/>
      </w:r>
      <w:r w:rsidR="00F62FE9">
        <w:instrText xml:space="preserve"> ADDIN ZOTERO_ITEM CSL_CITATION {"citationID":"mLtFebf6","properties":{"formattedCitation":"[1]","plainCitation":"[1]","noteIndex":0},"citationItems":[{"id":3825,"uris":["http://zotero.org/users/2945453/items/XERDXM6K"],"itemData":{"id":3825,"type":"article-journal","abstract":"Orthorexia nervosa is an emerging and controversial eating disorder characterized by an obsessive preoccupation with healthy eating and an extreme fixation on food purity. Despite growing public interest in orthorexia, its classification as a distinct eating disorder remains a subject of ongoing debate in the mental health community. This paper comprehensively reviews the current literature on orthorexia nervosa, exploring the prevalence rates, risk factors, diagnosis, and treatment options. The paper offers an overview of orthorexia and its historical context and explores the challenges and considerations in diagnosing orthorexia and orthorexia nervosa. Specifically, the distinction between “orthorexia” and “orthorexia nervosa” is a debated issue in eating disorder research due to a lack of clear diagnostic criteria, making it challenging to accurately differentiate between an obsession with healthy eating and a more severe form with potential distress and impairment. Given the absence of formal diagnostic criteria, developing valid and reliable assessment tools is crucial to accurately identify and treat individuals experiencing these disorders. The paper’s final section covers the existing treatment approaches for orthorexia nervosa. Overall, the paper highlights the complex and multifaceted nature of orthorexia nervosa. This review contributes to the ongoing discourse surrounding orthorexia and provides valuable insights for clinicians, researchers, and stakeholders in the mental health and eating disorders fields.","container-title":"Nutrients","DOI":"10.3390/nu15173851","ISSN":"2072-6643","issue":"17","journalAbbreviation":"Nutrients","language":"en","license":"https://creativecommons.org/licenses/by/4.0/","page":"3851","source":"DOI.org (Crossref)","title":"Orthorexia and Orthorexia Nervosa: A Comprehensive Examination of Prevalence, Risk Factors, Diagnosis, and Treatment","title-short":"Orthorexia and Orthorexia Nervosa","volume":"15","author":[{"family":"Horovitz","given":"Omer"},{"family":"Argyrides","given":"Marios"}],"issued":{"date-parts":[["2023",9,3]]}}}],"schema":"https://github.com/citation-style-language/schema/raw/master/csl-citation.json"} </w:instrText>
      </w:r>
      <w:r w:rsidR="00F62FE9">
        <w:fldChar w:fldCharType="separate"/>
      </w:r>
      <w:r w:rsidR="00F62FE9">
        <w:rPr>
          <w:noProof/>
        </w:rPr>
        <w:t>[1]</w:t>
      </w:r>
      <w:r w:rsidR="00F62FE9">
        <w:fldChar w:fldCharType="end"/>
      </w:r>
      <w:r w:rsidRPr="00E45C93">
        <w:t>. While Healthy Orthorexia (HO)</w:t>
      </w:r>
      <w:r w:rsidR="00FF4986">
        <w:t>,</w:t>
      </w:r>
      <w:r w:rsidRPr="00E45C93">
        <w:t xml:space="preserve"> an interest in nutritious eating</w:t>
      </w:r>
      <w:r w:rsidR="00FF4986">
        <w:t>,</w:t>
      </w:r>
      <w:r w:rsidRPr="00E45C93">
        <w:t xml:space="preserve"> may support wellbeing and psychological resilience, </w:t>
      </w:r>
      <w:r w:rsidR="00FF4986">
        <w:t>Orthorexia Nervosa (</w:t>
      </w:r>
      <w:r w:rsidRPr="00E45C93">
        <w:t>ON leads to signif</w:t>
      </w:r>
      <w:bookmarkStart w:id="0" w:name="_GoBack"/>
      <w:bookmarkEnd w:id="0"/>
      <w:r w:rsidRPr="00E45C93">
        <w:t>icant emotional distress, interpersonal difficulties, and medical complications</w:t>
      </w:r>
      <w:r w:rsidR="00F62FE9">
        <w:t xml:space="preserve"> </w:t>
      </w:r>
      <w:r w:rsidR="00F62FE9">
        <w:fldChar w:fldCharType="begin"/>
      </w:r>
      <w:r w:rsidR="00F62FE9">
        <w:instrText xml:space="preserve"> ADDIN ZOTERO_ITEM CSL_CITATION {"citationID":"cI4CGCoD","properties":{"formattedCitation":"[1, 2]","plainCitation":"[1, 2]","noteIndex":0},"citationItems":[{"id":3825,"uris":["http://zotero.org/users/2945453/items/XERDXM6K"],"itemData":{"id":3825,"type":"article-journal","abstract":"Orthorexia nervosa is an emerging and controversial eating disorder characterized by an obsessive preoccupation with healthy eating and an extreme fixation on food purity. Despite growing public interest in orthorexia, its classification as a distinct eating disorder remains a subject of ongoing debate in the mental health community. This paper comprehensively reviews the current literature on orthorexia nervosa, exploring the prevalence rates, risk factors, diagnosis, and treatment options. The paper offers an overview of orthorexia and its historical context and explores the challenges and considerations in diagnosing orthorexia and orthorexia nervosa. Specifically, the distinction between “orthorexia” and “orthorexia nervosa” is a debated issue in eating disorder research due to a lack of clear diagnostic criteria, making it challenging to accurately differentiate between an obsession with healthy eating and a more severe form with potential distress and impairment. Given the absence of formal diagnostic criteria, developing valid and reliable assessment tools is crucial to accurately identify and treat individuals experiencing these disorders. The paper’s final section covers the existing treatment approaches for orthorexia nervosa. Overall, the paper highlights the complex and multifaceted nature of orthorexia nervosa. This review contributes to the ongoing discourse surrounding orthorexia and provides valuable insights for clinicians, researchers, and stakeholders in the mental health and eating disorders fields.","container-title":"Nutrients","DOI":"10.3390/nu15173851","ISSN":"2072-6643","issue":"17","journalAbbreviation":"Nutrients","language":"en","license":"https://creativecommons.org/licenses/by/4.0/","page":"3851","source":"DOI.org (Crossref)","title":"Orthorexia and Orthorexia Nervosa: A Comprehensive Examination of Prevalence, Risk Factors, Diagnosis, and Treatment","title-short":"Orthorexia and Orthorexia Nervosa","volume":"15","author":[{"family":"Horovitz","given":"Omer"},{"family":"Argyrides","given":"Marios"}],"issued":{"date-parts":[["2023",9,3]]}},"label":"page"},{"id":3830,"uris":["http://zotero.org/users/2945453/items/JVE7BNAW"],"itemData":{"id":3830,"type":"article-journal","abstract":"Abstract\n            \n              Background\n              Orthorexia nervosa is a recently conceptualised pathological entity presenting as an obsessive focus on healthy eating with associated psychosocial impairment.\n            \n            \n              Aims\n              The present study investigated the differential associations between orthorexia nervosa and healthy orthorexia with distress and impairment.\n            \n            \n              Materials &amp; Methods\n              \n                With a community sample (\n                N\n                = 268) multiple measures of orthorexia nervosa and health orthorexia were compared as explanatory variables in mediation structural equation modelling (SEM). Outcome variables assessed and investigated were psychological distress while demographic variables were controlled. The mediating roles of perfectionism and health anxiety on orthorexia nervosa were examined with further preventative mediation role of mindfulness on distress.\n              \n            \n            \n              Results\n              Distinctive to other eating disorders, gender showed no significant effects on orthorexia nervosa and healthy orthorexia. Signalling measurement issues for this disorder, the different measures of orthorexia nervosa resulted in mixed findings regarding body mass index and age. Findings supported perfectionism and health anxiety as risk factors, as well as mindfulness acceptance as a preventative factor in both orthorexia nervosa and healthy orthorexia. Orthorexia nervosa and healthy orthorexia assessed by most measures, contrary to the expectations, had significant positive associations with psychological distress indicated by stress, anxiety, and depression.\n            \n            \n              Discussion &amp; Conclusion\n              The complexity in differentiating orthorexia nervosa from healthy orthorexia calls for further investigation. This research effort should serve to substantiate the status of orthorexia nervosa as a distinct clinical disorder.\n            \n          , \n            Key points\n            \n              \n                \n                  Both orthorexia nervosa and healthy orthorexia had significant positive associations with psychological distress indicated by stress, anxiety, and depression.\n                \n                \n                  Perfectionism and health anxiety were risk factors while mindfulness acceptance was a preventative factor in both orthorexia nervosa and healthy orthorexia.\n                \n                \n                  The measurement and complexity in differentiating orthorexia nervosa from healthy orthorexia calls for further investigation.","container-title":"European Eating Disorders Review","DOI":"10.1002/erv.3032","ISSN":"1072-4133, 1099-0968","issue":"1","journalAbbreviation":"Euro Eating Disorders Rev","language":"en","page":"130-147","source":"DOI.org (Crossref)","title":"Orthorexia nervosa versus healthy orthorexia: Anxiety, perfectionism, and mindfulness as risk and preventative factors of distress","title-short":"Orthorexia nervosa versus healthy orthorexia","volume":"32","author":[{"family":"Barlow","given":"Isabella Uma"},{"family":"Lee","given":"Eunro"},{"family":"Saling","given":"Lauren"}],"issued":{"date-parts":[["2024",1]]}},"label":"page"}],"schema":"https://github.com/citation-style-language/schema/raw/master/csl-citation.json"} </w:instrText>
      </w:r>
      <w:r w:rsidR="00F62FE9">
        <w:fldChar w:fldCharType="separate"/>
      </w:r>
      <w:r w:rsidR="00F62FE9">
        <w:rPr>
          <w:noProof/>
        </w:rPr>
        <w:t>[1, 2]</w:t>
      </w:r>
      <w:r w:rsidR="00F62FE9">
        <w:fldChar w:fldCharType="end"/>
      </w:r>
      <w:r w:rsidRPr="00E45C93">
        <w:t xml:space="preserve">. </w:t>
      </w:r>
      <w:r w:rsidR="00BD4FD0" w:rsidRPr="00BD4FD0">
        <w:t xml:space="preserve">Despite growing recognition, the </w:t>
      </w:r>
      <w:r w:rsidR="00BD4FD0" w:rsidRPr="00BD4FD0">
        <w:lastRenderedPageBreak/>
        <w:t>diagnostic status of ON remains highly contested. It is not currently included in major psychiatric classification systems (DSM-5, ICD-11), and there is no consensus on whether ON should be conceptualized as a standalone disorder, a subtype of Anorexia Nervosa (AN) or Obsessive-Compulsive Disorder (OCD), or a culturally constructed manifestation of extreme health-focused behavio</w:t>
      </w:r>
      <w:r w:rsidR="00BD4FD0">
        <w:t>u</w:t>
      </w:r>
      <w:r w:rsidR="00BD4FD0" w:rsidRPr="00BD4FD0">
        <w:t xml:space="preserve">r. This ambiguity raises critical theoretical and methodological concerns. The present proposal adopts an exploratory stance, seeking to clarify ON's biopsychological profile </w:t>
      </w:r>
      <w:r w:rsidR="00BD4FD0">
        <w:t>concerning</w:t>
      </w:r>
      <w:r w:rsidR="00BD4FD0" w:rsidRPr="00BD4FD0">
        <w:t xml:space="preserve"> established disorders. However, it must be acknowledged that the construct of ON may reflect a heterogeneous or ideologically shaped phenomenon rather than a nosologically discrete condition</w:t>
      </w:r>
      <w:r w:rsidR="008C6D92" w:rsidRPr="00E45C93">
        <w:t xml:space="preserve"> </w:t>
      </w:r>
      <w:r w:rsidR="008C6D92" w:rsidRPr="00E45C93">
        <w:fldChar w:fldCharType="begin"/>
      </w:r>
      <w:r w:rsidR="00F62FE9">
        <w:instrText xml:space="preserve"> ADDIN ZOTERO_ITEM CSL_CITATION {"citationID":"QELLmrXA","properties":{"formattedCitation":"[1, 3, 4]","plainCitation":"[1, 3, 4]","noteIndex":0},"citationItems":[{"id":3825,"uris":["http://zotero.org/users/2945453/items/XERDXM6K"],"itemData":{"id":3825,"type":"article-journal","abstract":"Orthorexia nervosa is an emerging and controversial eating disorder characterized by an obsessive preoccupation with healthy eating and an extreme fixation on food purity. Despite growing public interest in orthorexia, its classification as a distinct eating disorder remains a subject of ongoing debate in the mental health community. This paper comprehensively reviews the current literature on orthorexia nervosa, exploring the prevalence rates, risk factors, diagnosis, and treatment options. The paper offers an overview of orthorexia and its historical context and explores the challenges and considerations in diagnosing orthorexia and orthorexia nervosa. Specifically, the distinction between “orthorexia” and “orthorexia nervosa” is a debated issue in eating disorder research due to a lack of clear diagnostic criteria, making it challenging to accurately differentiate between an obsession with healthy eating and a more severe form with potential distress and impairment. Given the absence of formal diagnostic criteria, developing valid and reliable assessment tools is crucial to accurately identify and treat individuals experiencing these disorders. The paper’s final section covers the existing treatment approaches for orthorexia nervosa. Overall, the paper highlights the complex and multifaceted nature of orthorexia nervosa. This review contributes to the ongoing discourse surrounding orthorexia and provides valuable insights for clinicians, researchers, and stakeholders in the mental health and eating disorders fields.","container-title":"Nutrients","DOI":"10.3390/nu15173851","ISSN":"2072-6643","issue":"17","journalAbbreviation":"Nutrients","language":"en","license":"https://creativecommons.org/licenses/by/4.0/","page":"3851","source":"DOI.org (Crossref)","title":"Orthorexia and Orthorexia Nervosa: A Comprehensive Examination of Prevalence, Risk Factors, Diagnosis, and Treatment","title-short":"Orthorexia and Orthorexia Nervosa","volume":"15","author":[{"family":"Horovitz","given":"Omer"},{"family":"Argyrides","given":"Marios"}],"issued":{"date-parts":[["2023",9,3]]}},"label":"page"},{"id":3828,"uris":["http://zotero.org/users/2945453/items/RJLV7GNX"],"itemData":{"id":3828,"type":"article-journal","abstract":"Background: The purpose of this study is to compare and analyze research studies focused on orthorexia nervosa (ON) as a spectrum of eating disorders, and to summarize potential risk factors in different age and social groups. ON is characterized by an obsession with healthy eating, which leads to a restrictive diet and health problems. Methods: Due to a lack of comprehensive analyses, this review re-examined studies from 2006 to 2023, initially retrieving 53,134 articles. Upon refining the criteria and risk factors for eating disorders, 34 notable records were identified. These studies employed diagnostic tools such as ORTO and BOT, focusing on risk factors for ON. Results: Results indicate that individuals suffering from eating disorders, losing weight, exercising heavily, developing relationship problems, and suffering from body dysmorphic disorder are at high risk of developing ON. A significant correlation was found between ON, BMI, and gender, but not between ON and OCD. Interestingly, ON symptoms appear to overlap with those of other eating disorders, such as anorexia and bulimia, especially in terms of obsessive control over dieting and fear of gaining weight, indicating a close relationship between the two. Conclusions: Interestingly, orthorexia nervosa may serve as a coping mechanism for anorexia, providing a sense of control. However, further research on its long-term effects is required.","container-title":"Nutrients","DOI":"10.3390/nu16193304","ISSN":"2072-6643","issue":"19","journalAbbreviation":"Nutrients","language":"en","license":"https://creativecommons.org/licenses/by/4.0/","page":"3304","source":"DOI.org (Crossref)","title":"Orthorexia as an Eating Disorder Spectrum—A Review of the Literature","volume":"16","author":[{"family":"Łucka","given":"Izabela"},{"family":"Mazur","given":"Artur"},{"family":"Łucka","given":"Anna"},{"family":"Sarzyńska","given":"Izabela"},{"family":"Trojniak","given":"Julia"},{"family":"Kopańska","given":"Marta"}],"issued":{"date-parts":[["2024",9,29]]}},"label":"page"},{"id":3836,"uris":["http://zotero.org/users/2945453/items/PZ7CE8P8"],"itemData":{"id":3836,"type":"article-journal","abstract":"Abstract\n            \n              Objective\n              \n                A pattern of disordered eating involving a pathological fixation with healthy food consumption, labeled orthorexia nervosa (ON), has recently generated attention; however, research has not yet investigated perceptions of ON‐related behaviors. This study examined potential stigmatization of ON, compared with\n                DSM‐5\n                ED diagnoses.\n              \n            \n            \n              Method\n              \n                Participants (\n                N\n                 = 505) were randomly assigned to read a vignette depicting a woman with anorexia nervosa (AN), bulimia nervosa (BN), binge‐eating disorder (BED), or ON. They then answered questions about the individual depicted in the vignette. A series of MANOVAs investigated whether opinions and beliefs about the person depicted varied as a function of the disorder described in the vignette.\n              \n            \n            \n              Results\n              Individuals with ON were perceived as less likely to “improve with treatment” than individuals with BN, and less likely to “pull themselves together,” than individuals with BED. Individuals with ON and AN were viewed as “hard[er] to talk to” and more of a “danger to others” compared with individuals with BED. ON was viewed as less distressing, less likely to evoke sympathy, and more acceptable than the other disorders. Finally, “poor living choices” were perceived as contributing more substantially to ON. Participants' attributions of various personality characteristics did not differ based on ED diagnosis.\n            \n            \n              Discussion\n              \n                Results suggest that ON is viewed as less severe, more desirable, and more often the result of personal life choices. However, findings also imply that ON is associated with stigma, similar to\n                DSM‐5\n                EDs. These negative attitudes might reinforce ON behaviors, and limit awareness of their potential complications.","container-title":"International Journal of Eating Disorders","DOI":"10.1002/eat.22710","ISSN":"0276-3478, 1098-108X","issue":"7","journalAbbreviation":"Intl J Eating Disorders","language":"en","license":"http://onlinelibrary.wiley.com/termsAndConditions#vor","page":"781-792","source":"DOI.org (Crossref)","title":"Attitudes toward orthorexia nervosa relative to &lt;i&gt;DSM&lt;/i&gt; ‐ &lt;i&gt;5&lt;/i&gt; eating disorders","volume":"50","author":[{"family":"Simpson","given":"Courtney C."},{"family":"Mazzeo","given":"Suzanne E."}],"issued":{"date-parts":[["2017",7]]}},"label":"page"}],"schema":"https://github.com/citation-style-language/schema/raw/master/csl-citation.json"} </w:instrText>
      </w:r>
      <w:r w:rsidR="008C6D92" w:rsidRPr="00E45C93">
        <w:fldChar w:fldCharType="separate"/>
      </w:r>
      <w:r w:rsidR="00F62FE9">
        <w:t>[1, 3, 4]</w:t>
      </w:r>
      <w:r w:rsidR="008C6D92" w:rsidRPr="00E45C93">
        <w:fldChar w:fldCharType="end"/>
      </w:r>
      <w:r w:rsidRPr="00E45C93">
        <w:t>. Addressing this knowledge gap is imperative, particularly in light of the global rise in wellness culture, which increasingly promotes dietary restriction and “clean eating” ideologies that may mask or catalyze disordered behaviours</w:t>
      </w:r>
      <w:r w:rsidR="008C6D92" w:rsidRPr="00E45C93">
        <w:t xml:space="preserve"> </w:t>
      </w:r>
      <w:r w:rsidR="008C6D92" w:rsidRPr="00E45C93">
        <w:fldChar w:fldCharType="begin"/>
      </w:r>
      <w:r w:rsidR="00F62FE9">
        <w:instrText xml:space="preserve"> ADDIN ZOTERO_ITEM CSL_CITATION {"citationID":"21rKPEL6","properties":{"formattedCitation":"[5]","plainCitation":"[5]","noteIndex":0},"citationItems":[{"id":3982,"uris":["http://zotero.org/users/2945453/items/R9KASA4Q"],"itemData":{"id":3982,"type":"article-journal","container-title":"Children and Youth Services Review","DOI":"10.1016/j.childyouth.2020.105659","ISSN":"01907409","journalAbbreviation":"Children and Youth Services Review","language":"en","page":"105659","source":"DOI.org (Crossref)","title":"The pursuit of wellness: Social media, body image and eating disorders","title-short":"The pursuit of wellness","volume":"119","author":[{"family":"Marks","given":"Rosie Jean"},{"family":"De Foe","given":"Alexander"},{"family":"Collett","given":"James"}],"issued":{"date-parts":[["2020",12]]}}}],"schema":"https://github.com/citation-style-language/schema/raw/master/csl-citation.json"} </w:instrText>
      </w:r>
      <w:r w:rsidR="008C6D92" w:rsidRPr="00E45C93">
        <w:fldChar w:fldCharType="separate"/>
      </w:r>
      <w:r w:rsidR="00F62FE9">
        <w:rPr>
          <w:noProof/>
        </w:rPr>
        <w:t>[5]</w:t>
      </w:r>
      <w:r w:rsidR="008C6D92" w:rsidRPr="00E45C93">
        <w:fldChar w:fldCharType="end"/>
      </w:r>
      <w:r w:rsidRPr="00E45C93">
        <w:t>.</w:t>
      </w:r>
      <w:r w:rsidR="00BD4FD0">
        <w:t xml:space="preserve"> </w:t>
      </w:r>
    </w:p>
    <w:p w14:paraId="400FADEE" w14:textId="3255ABAB" w:rsidR="00900E1B" w:rsidRPr="00E45C93" w:rsidRDefault="00BD4FD0" w:rsidP="005A425F">
      <w:pPr>
        <w:spacing w:line="360" w:lineRule="auto"/>
        <w:jc w:val="both"/>
      </w:pPr>
      <w:r w:rsidRPr="00BD4FD0">
        <w:t xml:space="preserve">Furthermore, the study relies on the </w:t>
      </w:r>
      <w:proofErr w:type="spellStart"/>
      <w:r w:rsidRPr="00BD4FD0">
        <w:t>Teruel</w:t>
      </w:r>
      <w:proofErr w:type="spellEnd"/>
      <w:r w:rsidRPr="00BD4FD0">
        <w:t xml:space="preserve"> Orthorexia Scale (TOS) to define and classify ON and HO. While the TOS has shown promise and was recently validated in Hebrew by the PI’s group</w:t>
      </w:r>
      <w:r>
        <w:t xml:space="preserve"> </w:t>
      </w:r>
      <w:r>
        <w:fldChar w:fldCharType="begin"/>
      </w:r>
      <w:r w:rsidR="00F62FE9">
        <w:instrText xml:space="preserve"> ADDIN ZOTERO_ITEM CSL_CITATION {"citationID":"QWTdEKLt","properties":{"formattedCitation":"[6]","plainCitation":"[6]","noteIndex":0},"citationItems":[{"id":3868,"uris":["http://zotero.org/users/2945453/items/LXLVX64Z"],"itemData":{"id":3868,"type":"article-journal","container-title":"North American Journal of Psychology","issue":"4","page":"927-942","title":"Validation of a Hebrew Adaptation of the Teruel Orthorexia Scale (TOS) in Adults from Israel","volume":"26","author":[{"family":"Horovitz","given":"Omer"},{"family":"Agryrides","given":"Marios"}],"issued":{"date-parts":[["2024"]]}}}],"schema":"https://github.com/citation-style-language/schema/raw/master/csl-citation.json"} </w:instrText>
      </w:r>
      <w:r>
        <w:fldChar w:fldCharType="separate"/>
      </w:r>
      <w:r w:rsidR="00F62FE9">
        <w:rPr>
          <w:noProof/>
        </w:rPr>
        <w:t>[6]</w:t>
      </w:r>
      <w:r>
        <w:fldChar w:fldCharType="end"/>
      </w:r>
      <w:r w:rsidRPr="00BD4FD0">
        <w:t xml:space="preserve">, its broader psychometric robustness, clinical applicability, and diagnostic validity are still under evaluation in the field. These limitations must be explicitly acknowledged when interpreting results, particularly when drawing </w:t>
      </w:r>
      <w:proofErr w:type="spellStart"/>
      <w:r w:rsidRPr="00BD4FD0">
        <w:t>nosological</w:t>
      </w:r>
      <w:proofErr w:type="spellEnd"/>
      <w:r w:rsidRPr="00BD4FD0">
        <w:t xml:space="preserve"> conclusions. Future work should incorporate critical and dimensional perspectives to avoid reifying a construct whose diagnostic boundaries remain fluid</w:t>
      </w:r>
      <w:r>
        <w:t xml:space="preserve">. </w:t>
      </w:r>
    </w:p>
    <w:p w14:paraId="34905DD3" w14:textId="612F28B7" w:rsidR="00900E1B" w:rsidRPr="00E45C93" w:rsidRDefault="00900E1B" w:rsidP="005A425F">
      <w:pPr>
        <w:spacing w:line="360" w:lineRule="auto"/>
        <w:jc w:val="both"/>
      </w:pPr>
      <w:r w:rsidRPr="00E45C93">
        <w:t>Psychologically, ON is characterized by extreme rigidity, perfectionism, anxiety, and obsessive-compulsive traits</w:t>
      </w:r>
      <w:r w:rsidR="008C6D92" w:rsidRPr="00E45C93">
        <w:t xml:space="preserve"> </w:t>
      </w:r>
      <w:r w:rsidR="008C6D92" w:rsidRPr="00E45C93">
        <w:fldChar w:fldCharType="begin"/>
      </w:r>
      <w:r w:rsidR="00F62FE9">
        <w:instrText xml:space="preserve"> ADDIN ZOTERO_ITEM CSL_CITATION {"citationID":"vwCDyF9n","properties":{"formattedCitation":"[1, 2, 7]","plainCitation":"[1, 2, 7]","noteIndex":0},"citationItems":[{"id":3825,"uris":["http://zotero.org/users/2945453/items/XERDXM6K"],"itemData":{"id":3825,"type":"article-journal","abstract":"Orthorexia nervosa is an emerging and controversial eating disorder characterized by an obsessive preoccupation with healthy eating and an extreme fixation on food purity. Despite growing public interest in orthorexia, its classification as a distinct eating disorder remains a subject of ongoing debate in the mental health community. This paper comprehensively reviews the current literature on orthorexia nervosa, exploring the prevalence rates, risk factors, diagnosis, and treatment options. The paper offers an overview of orthorexia and its historical context and explores the challenges and considerations in diagnosing orthorexia and orthorexia nervosa. Specifically, the distinction between “orthorexia” and “orthorexia nervosa” is a debated issue in eating disorder research due to a lack of clear diagnostic criteria, making it challenging to accurately differentiate between an obsession with healthy eating and a more severe form with potential distress and impairment. Given the absence of formal diagnostic criteria, developing valid and reliable assessment tools is crucial to accurately identify and treat individuals experiencing these disorders. The paper’s final section covers the existing treatment approaches for orthorexia nervosa. Overall, the paper highlights the complex and multifaceted nature of orthorexia nervosa. This review contributes to the ongoing discourse surrounding orthorexia and provides valuable insights for clinicians, researchers, and stakeholders in the mental health and eating disorders fields.","container-title":"Nutrients","DOI":"10.3390/nu15173851","ISSN":"2072-6643","issue":"17","journalAbbreviation":"Nutrients","language":"en","license":"https://creativecommons.org/licenses/by/4.0/","page":"3851","source":"DOI.org (Crossref)","title":"Orthorexia and Orthorexia Nervosa: A Comprehensive Examination of Prevalence, Risk Factors, Diagnosis, and Treatment","title-short":"Orthorexia and Orthorexia Nervosa","volume":"15","author":[{"family":"Horovitz","given":"Omer"},{"family":"Argyrides","given":"Marios"}],"issued":{"date-parts":[["2023",9,3]]}},"label":"page"},{"id":3830,"uris":["http://zotero.org/users/2945453/items/JVE7BNAW"],"itemData":{"id":3830,"type":"article-journal","abstract":"Abstract\n            \n              Background\n              Orthorexia nervosa is a recently conceptualised pathological entity presenting as an obsessive focus on healthy eating with associated psychosocial impairment.\n            \n            \n              Aims\n              The present study investigated the differential associations between orthorexia nervosa and healthy orthorexia with distress and impairment.\n            \n            \n              Materials &amp; Methods\n              \n                With a community sample (\n                N\n                = 268) multiple measures of orthorexia nervosa and health orthorexia were compared as explanatory variables in mediation structural equation modelling (SEM). Outcome variables assessed and investigated were psychological distress while demographic variables were controlled. The mediating roles of perfectionism and health anxiety on orthorexia nervosa were examined with further preventative mediation role of mindfulness on distress.\n              \n            \n            \n              Results\n              Distinctive to other eating disorders, gender showed no significant effects on orthorexia nervosa and healthy orthorexia. Signalling measurement issues for this disorder, the different measures of orthorexia nervosa resulted in mixed findings regarding body mass index and age. Findings supported perfectionism and health anxiety as risk factors, as well as mindfulness acceptance as a preventative factor in both orthorexia nervosa and healthy orthorexia. Orthorexia nervosa and healthy orthorexia assessed by most measures, contrary to the expectations, had significant positive associations with psychological distress indicated by stress, anxiety, and depression.\n            \n            \n              Discussion &amp; Conclusion\n              The complexity in differentiating orthorexia nervosa from healthy orthorexia calls for further investigation. This research effort should serve to substantiate the status of orthorexia nervosa as a distinct clinical disorder.\n            \n          , \n            Key points\n            \n              \n                \n                  Both orthorexia nervosa and healthy orthorexia had significant positive associations with psychological distress indicated by stress, anxiety, and depression.\n                \n                \n                  Perfectionism and health anxiety were risk factors while mindfulness acceptance was a preventative factor in both orthorexia nervosa and healthy orthorexia.\n                \n                \n                  The measurement and complexity in differentiating orthorexia nervosa from healthy orthorexia calls for further investigation.","container-title":"European Eating Disorders Review","DOI":"10.1002/erv.3032","ISSN":"1072-4133, 1099-0968","issue":"1","journalAbbreviation":"Euro Eating Disorders Rev","language":"en","page":"130-147","source":"DOI.org (Crossref)","title":"Orthorexia nervosa versus healthy orthorexia: Anxiety, perfectionism, and mindfulness as risk and preventative factors of distress","title-short":"Orthorexia nervosa versus healthy orthorexia","volume":"32","author":[{"family":"Barlow","given":"Isabella Uma"},{"family":"Lee","given":"Eunro"},{"family":"Saling","given":"Lauren"}],"issued":{"date-parts":[["2024",1]]}},"label":"page"},{"id":3827,"uris":["http://zotero.org/users/2945453/items/V6VDNPNZ"],"itemData":{"id":3827,"type":"article-journal","abstract":"The term orthorexia nervosa (ON), presented in 1997 in Yoga Journal by Dr. Steven Bratman, sheds new light on the view on healthy eating habits. He showed that persistent thinking about nutrition does not necessarily have to be associated with anorexia or bulimia, and may turn into something so far unknown - obsessive control over the healthiest eating style, resulting in numerous self-imposed restrictions and in the long run, without appropriate therapy, leading to the deterioration of the current state of health. Orthorexia can have many consequences not only on mental health, but also on physical health. For this reason, the development of standard diagnostic and classification criteria for orthorexia nervosa is a priority. The problem of eating disorders should be the subject of epidemiological research, which will take into account demographic, cultural and socio-economic conditions appropriate for a given population, and will also take into account the pressure of factors related to the food market.","container-title":"Roczniki Państwowego Zakładu Higieny","DOI":"10.32394/rpzh.2022.0231","ISSN":"00357715, 24512311","journalAbbreviation":"Rocz Panstw Zakl Hig","page":"381-385","source":"DOI.org (Crossref)","title":"Orthorexia nervosa – the border between healthy eating and eating disorders","issued":{"date-parts":[["2022",12,21]]}},"label":"page"}],"schema":"https://github.com/citation-style-language/schema/raw/master/csl-citation.json"} </w:instrText>
      </w:r>
      <w:r w:rsidR="008C6D92" w:rsidRPr="00E45C93">
        <w:fldChar w:fldCharType="separate"/>
      </w:r>
      <w:r w:rsidR="00F62FE9">
        <w:rPr>
          <w:noProof/>
        </w:rPr>
        <w:t>[1, 2, 7]</w:t>
      </w:r>
      <w:r w:rsidR="008C6D92" w:rsidRPr="00E45C93">
        <w:fldChar w:fldCharType="end"/>
      </w:r>
      <w:r w:rsidRPr="00E45C93">
        <w:t xml:space="preserve">. While these features resemble aspects of Anorexia Nervosa (AN) and Obsessive-Compulsive Disorder (OCD), ON is distinct in its motivational structure: individuals are driven not by weight loss or body image concerns, as in AN and Bulimia Nervosa (BN), but by a desire for health, purity, and moral virtue </w:t>
      </w:r>
      <w:r w:rsidR="008C6D92" w:rsidRPr="00E45C93">
        <w:fldChar w:fldCharType="begin"/>
      </w:r>
      <w:r w:rsidR="00BD4FD0">
        <w:instrText xml:space="preserve"> ADDIN ZOTERO_ITEM CSL_CITATION {"citationID":"qXBZ0r55","properties":{"formattedCitation":"[8, 9]","plainCitation":"[8, 9]","noteIndex":0},"citationItems":[{"id":3864,"uris":["http://zotero.org/users/2945453/items/PLV4L84Z"],"itemData":{"id":3864,"type":"article-journal","container-title":"Appetite","DOI":"10.1016/j.appet.2022.106134","ISSN":"01956663","journalAbbreviation":"Appetite","language":"en","page":"106134","source":"DOI.org (Crossref)","title":"Orthorexia nervosa and eating disorder behaviors: A systematic review of the literature","title-short":"Orthorexia nervosa and eating disorder behaviors","volume":"177","author":[{"family":"Atchison","given":"Anna E."},{"family":"Zickgraf","given":"Hana F."}],"issued":{"date-parts":[["2022",10]]}},"label":"page"},{"id":3834,"uris":["http://zotero.org/users/2945453/items/5PEJZJL9"],"itemData":{"id":3834,"type":"article-journal","abstract":"Orthorexia nervosa (ON) is defined as an exaggerated, obsessive, pathological fixation on healthy food, healthy eating, or health-conscious eating behaviors. In the literature, there is an ongoing debate over whether ON should be considered simply a lifestyle phenomenon or a psychiatric disorder. In this vein, ON seems to share psychopathological characteristics with both eating disorders (EDs) and obsessive-compulsive disorder (OCD). However, there are insufficient data to reconcile the debate. The present study aimed at consolidating evidence on the clinical significance of ON and its relationship with EDs and OCD. A selective review of the literature published between January 2015 and March 2022 was conducted, following the Preferred Reporting Items for Systematic Reviews and Meta-Analyses (PRISMA) guidelines. Ten studies were included. Some of these studies suggested that ON might follow a full-syndrome DSM-5 ED. Other studies proposed that ON and DSM-5 EDs may co-occur. Finally, only two studies suggested a relationship between ON and OCD. To date, the clinical significance of ON and its relationship with EDs and other DSM-5 psychiatric disorders (e.g., OCD) appears complicated and unclear. Future longitudinal research on the possible clinical course of ON is needed.","container-title":"Journal of Clinical Medicine","DOI":"10.3390/jcm11206134","ISSN":"2077-0383","issue":"20","journalAbbreviation":"JCM","language":"en","license":"https://creativecommons.org/licenses/by/4.0/","page":"6134","source":"DOI.org (Crossref)","title":"Orthorexia Nervosa, Eating Disorders, and Obsessive-Compulsive Disorder: A Selective Review of the Last Seven Years","title-short":"Orthorexia Nervosa, Eating Disorders, and Obsessive-Compulsive Disorder","volume":"11","author":[{"family":"Pontillo","given":"Maria"},{"family":"Zanna","given":"Valeria"},{"family":"Demaria","given":"Francesco"},{"family":"Averna","given":"Roberto"},{"family":"Di Vincenzo","given":"Cristina"},{"family":"De Biase","given":"Margherita"},{"family":"Di Luzio","given":"Michelangelo"},{"family":"Foti","given":"Benedetta"},{"family":"Tata","given":"Maria Cristina"},{"family":"Vicari","given":"Stefano"}],"issued":{"date-parts":[["2022",10,18]]}},"label":"page"}],"schema":"https://github.com/citation-style-language/schema/raw/master/csl-citation.json"} </w:instrText>
      </w:r>
      <w:r w:rsidR="008C6D92" w:rsidRPr="00E45C93">
        <w:fldChar w:fldCharType="separate"/>
      </w:r>
      <w:r w:rsidR="00BD4FD0">
        <w:rPr>
          <w:noProof/>
        </w:rPr>
        <w:t>[8, 9]</w:t>
      </w:r>
      <w:r w:rsidR="008C6D92" w:rsidRPr="00E45C93">
        <w:fldChar w:fldCharType="end"/>
      </w:r>
      <w:r w:rsidR="008C6D92" w:rsidRPr="00E45C93">
        <w:t xml:space="preserve">. </w:t>
      </w:r>
      <w:r w:rsidRPr="00E45C93">
        <w:t>However, despite these psychological distinctions, ON has yet to be evaluated systematically across biological domains known to play key roles in the development and maintenance of established eating disorders. The present research aims to fill this gap by comprehensively examining ON across four key biopsychological dimensions: immune biomarkers, gut microbiome composition, neurophysiological function, and psychological symptomatology.</w:t>
      </w:r>
    </w:p>
    <w:p w14:paraId="216C43BE" w14:textId="77777777" w:rsidR="00900E1B" w:rsidRPr="00CA2EF9" w:rsidRDefault="00900E1B" w:rsidP="005A425F">
      <w:pPr>
        <w:spacing w:line="360" w:lineRule="auto"/>
        <w:jc w:val="both"/>
        <w:rPr>
          <w:i/>
          <w:iCs/>
          <w:u w:val="single"/>
        </w:rPr>
      </w:pPr>
      <w:r w:rsidRPr="00CA2EF9">
        <w:rPr>
          <w:i/>
          <w:iCs/>
          <w:u w:val="single"/>
        </w:rPr>
        <w:t>Immune Dysregulation in Eating Disorders</w:t>
      </w:r>
    </w:p>
    <w:p w14:paraId="516F8C91" w14:textId="493FE42C" w:rsidR="00900E1B" w:rsidRPr="00E45C93" w:rsidRDefault="00900E1B" w:rsidP="005A425F">
      <w:pPr>
        <w:spacing w:line="360" w:lineRule="auto"/>
        <w:jc w:val="both"/>
      </w:pPr>
      <w:r w:rsidRPr="00E45C93">
        <w:t xml:space="preserve">A robust body of research demonstrates that eating disorders are associated with chronic low-grade inflammation. In particular, AN has been linked to elevated concentrations of pro-inflammatory cytokines, including interleukin-6 (IL-6), interleukin-1β (IL-1β), and </w:t>
      </w:r>
      <w:proofErr w:type="spellStart"/>
      <w:r w:rsidRPr="00E45C93">
        <w:t>tumor</w:t>
      </w:r>
      <w:proofErr w:type="spellEnd"/>
      <w:r w:rsidRPr="00E45C93">
        <w:t xml:space="preserve"> necrosis factor-alpha (TNF-α)</w:t>
      </w:r>
      <w:r w:rsidR="008C6D92" w:rsidRPr="00E45C93">
        <w:t xml:space="preserve"> </w:t>
      </w:r>
      <w:r w:rsidR="008C6D92" w:rsidRPr="00E45C93">
        <w:fldChar w:fldCharType="begin"/>
      </w:r>
      <w:r w:rsidR="00BD4FD0">
        <w:instrText xml:space="preserve"> ADDIN ZOTERO_ITEM CSL_CITATION {"citationID":"a8QrgQ8C","properties":{"unsorted":true,"formattedCitation":"[10, 11]","plainCitation":"[10, 11]","noteIndex":0},"citationItems":[{"id":3837,"uris":["http://zotero.org/users/2945453/items/WYQPW7VD"],"itemData":{"id":3837,"type":"article-journal","container-title":"Psychoneuroendocrinology","DOI":"10.1016/S0306-4530(02)00021-5","ISSN":"03064530","issue":"3","journalAbbreviation":"Psychoneuroendocrinology","language":"en","license":"https://www.elsevier.com/tdm/userlicense/1.0/","page":"229-249","source":"DOI.org (Crossref)","title":"Involvement of cytokines in eating disorders: a critical review of the human literature","title-short":"Involvement of cytokines in eating disorders","volume":"28","author":[{"family":"Corcos","given":"M."},{"family":"Guilbaud","given":"O."},{"family":"Paterniti","given":"S."},{"family":"Moussa","given":"M."},{"family":"Chambry","given":"J."},{"family":"Chaouat","given":"G."},{"family":"Consoli","given":"S.M."},{"family":"Jeammet","given":"P."}],"issued":{"date-parts":[["2003",4]]}},"label":"page"},{"id":3858,"uris":["http://zotero.org/users/2945453/items/BADW9GCF"],"itemData":{"id":3858,"type":"article-journal","container-title":"Frontiers in Neuroscience","DOI":"10.3389/neuro.23.003.2009","ISSN":"1662453X","journalAbbreviation":"Front. Neurosci.","source":"DOI.org (Crossref)","title":"Neurobiology of inflammation-associated anorexia","URL":"http://journal.frontiersin.org/article/10.3389/neuro.23.003.2009/abstract","author":[{"family":"Gautron","given":"Laurent"}],"accessed":{"date-parts":[["2025",4,27]]},"issued":{"date-parts":[["2009"]]}},"label":"page"}],"schema":"https://github.com/citation-style-language/schema/raw/master/csl-citation.json"} </w:instrText>
      </w:r>
      <w:r w:rsidR="008C6D92" w:rsidRPr="00E45C93">
        <w:fldChar w:fldCharType="separate"/>
      </w:r>
      <w:r w:rsidR="00BD4FD0">
        <w:rPr>
          <w:noProof/>
        </w:rPr>
        <w:t>[10, 11]</w:t>
      </w:r>
      <w:r w:rsidR="008C6D92" w:rsidRPr="00E45C93">
        <w:fldChar w:fldCharType="end"/>
      </w:r>
      <w:r w:rsidR="008C6D92" w:rsidRPr="00E45C93">
        <w:t>.</w:t>
      </w:r>
      <w:r w:rsidRPr="00E45C93">
        <w:t xml:space="preserve"> These inflammatory markers are not merely by-products of malnutrition but have been shown to interact with psychological symptoms such as anxiety, fatigue, and cognitive rigidity</w:t>
      </w:r>
      <w:r w:rsidR="008C6D92" w:rsidRPr="00E45C93">
        <w:t xml:space="preserve"> </w:t>
      </w:r>
      <w:r w:rsidR="008C6D92" w:rsidRPr="00E45C93">
        <w:lastRenderedPageBreak/>
        <w:fldChar w:fldCharType="begin"/>
      </w:r>
      <w:r w:rsidR="00BD4FD0">
        <w:instrText xml:space="preserve"> ADDIN ZOTERO_ITEM CSL_CITATION {"citationID":"y44kmUvl","properties":{"formattedCitation":"[12, 13]","plainCitation":"[12, 13]","noteIndex":0},"citationItems":[{"id":3983,"uris":["http://zotero.org/users/2945453/items/DDU6IHNT"],"itemData":{"id":3983,"type":"article-journal","abstract":"Cognitive impairments reported across psychiatric conditions (ie, major depressive disorder, bipolar disorder, schizophrenia, and posttraumatic stress disorder) strongly impair the quality of life of patients and the recovery of those conditions. There is therefore a great need for consideration for cognitive dysfunction in the management of psychiatric disorders. The redundant pattern of cognitive impairments across such conditions suggests possible shared mechanisms potentially leading to their development. Here, we review for the first time the possible role of inflammation in cognitive dysfunctions across psychiatric disorders. Raised inflammatory processes (microglia activation and elevated cytokine levels) across diagnoses could therefore disrupt neurobiological mechanisms regulating cognition, including Hebbian and homeostatic plasticity, neurogenesis, neurotrophic factor, the HPA axis, and the kynurenine pathway. This redundant association between elevated inflammation and cognitive alterations across psychiatric disorders hence suggests that a cross-disorder approach using pharmacological and nonpharmacological (ie, physical activity and nutrition) anti-inflammatory/immunomodulatory strategies should be considered in the management of cognition in psychiatry.","container-title":"CNS Spectrums","DOI":"10.1017/S1092852918001499","ISSN":"1092-8529, 2165-6509","issue":"1","journalAbbreviation":"CNS Spectr.","language":"en","license":"https://www.cambridge.org/core/terms","page":"4-15","source":"DOI.org (Crossref)","title":"Neuroinflammation and cognition across psychiatric conditions","volume":"24","author":[{"family":"Fourrier","given":"Célia"},{"family":"Singhal","given":"Gaurav"},{"family":"Baune","given":"Bernhard T."}],"issued":{"date-parts":[["2019",2]]}},"label":"page"},{"id":3985,"uris":["http://zotero.org/users/2945453/items/K3JARLKZ"],"itemData":{"id":3985,"type":"article-journal","container-title":"Pharmacology &amp; Therapeutics","DOI":"10.1016/j.pharmthera.2025.108825","ISSN":"01637258","journalAbbreviation":"Pharmacology &amp; Therapeutics","language":"en","page":"108825","source":"DOI.org (Crossref)","title":"The (neuro)inflammatory system in anxiety disorders and PTSD: Potential treatment targets","title-short":"The (neuro)inflammatory system in anxiety disorders and PTSD","volume":"269","author":[{"family":"Sah","given":"Anupam"},{"family":"Singewald","given":"Nicolas"}],"issued":{"date-parts":[["2025",5]]}},"label":"page"}],"schema":"https://github.com/citation-style-language/schema/raw/master/csl-citation.json"} </w:instrText>
      </w:r>
      <w:r w:rsidR="008C6D92" w:rsidRPr="00E45C93">
        <w:fldChar w:fldCharType="separate"/>
      </w:r>
      <w:r w:rsidR="00BD4FD0">
        <w:rPr>
          <w:noProof/>
        </w:rPr>
        <w:t>[12, 13]</w:t>
      </w:r>
      <w:r w:rsidR="008C6D92" w:rsidRPr="00E45C93">
        <w:fldChar w:fldCharType="end"/>
      </w:r>
      <w:r w:rsidRPr="00E45C93">
        <w:t>. While it is hypothesized that ON may also involve immune dysregulation, potentially via stress-related inflammation, no studies have examined cytokine profiles in ON to date. This represents a crucial gap, particularly given the physiological stress and nutritional restriction observed in ON behaviours</w:t>
      </w:r>
      <w:r w:rsidR="00945A09" w:rsidRPr="00E45C93">
        <w:t xml:space="preserve"> </w:t>
      </w:r>
      <w:r w:rsidR="00945A09" w:rsidRPr="00E45C93">
        <w:fldChar w:fldCharType="begin"/>
      </w:r>
      <w:r w:rsidR="00BD4FD0">
        <w:instrText xml:space="preserve"> ADDIN ZOTERO_ITEM CSL_CITATION {"citationID":"Z3fE6WTu","properties":{"formattedCitation":"[14]","plainCitation":"[14]","noteIndex":0},"citationItems":[{"id":3986,"uris":["http://zotero.org/users/2945453/items/648MM7CC"],"itemData":{"id":3986,"type":"article-journal","abstract":"Orthorexia nervosa, the pathological obsession with eating healthy, shares risks and significant comorbidity with other mental disorders. Based on a behavioral conceptualization of the overlap, emotion regulation, attachment style, and anxious-depressive-stress symptomatology are prominent but insufficiently researched endophenotypes for orthorexia nervosa. This study aimed at identifying ways in which difficulties in emotion regulation and attachment-related anxiety and avoidance become apparent in orthorexia nervosa and healthy orthorexia. Additionally, the moderating role of anxious, depressive, and stress symptoms was explored. A convenience sample of 399 adults (266 women) completed questionnaires to measure orthorexia nervosa and healthy orthorexia, difficulties in emotion regulation, partnership-related bond, and anxious-depressive-stress symptomatology. The healthy orthorexia subscale was negatively associated with lack of emotional awareness but no other subscale of difficulties in emotion regulation or attachment-related anxiety and avoidance. Orthorexia nervosa scores were positively linked to difficulties in emotion regulation as well as attachment-related anxiety and avoidance. Multiple linear regression indicated non-acceptance of emotional responses and impulse control difficulties to be the strongest predictors for orthorexia nervosa. Both subscales also mediated the effects of attachment style on orthorexia nervosa with anxious-depressive-stress symptomatology moderating some of these effects. Individuals with higher orthorexia nervosa tendencies showed difficulties in emotion regulation, a common feature also of affective and eating disorders. Improvement in understanding the psychological features of orthorexia nervosa can enable a better differentiation from other disorders, advances in the development of treatment approaches and treatment planning, and outlines directions for future research on mechanisms.","container-title":"Frontiers in Nutrition","DOI":"10.3389/fnut.2022.817047","ISSN":"2296-861X","journalAbbreviation":"Front. Nutr.","page":"817047","source":"DOI.org (Crossref)","title":"Psychological Correlates of Excessive Healthy and Orthorexic Eating: Emotion Regulation, Attachment, and Anxious-Depressive-Stress Symptomatology","title-short":"Psychological Correlates of Excessive Healthy and Orthorexic Eating","volume":"9","author":[{"family":"Strahler","given":"Jana"},{"family":"Wachten","given":"Hanna"},{"family":"Neuhofer","given":"Shanna"},{"family":"Zimmermann","given":"Peter"}],"issued":{"date-parts":[["2022",3,9]]}}}],"schema":"https://github.com/citation-style-language/schema/raw/master/csl-citation.json"} </w:instrText>
      </w:r>
      <w:r w:rsidR="00945A09" w:rsidRPr="00E45C93">
        <w:fldChar w:fldCharType="separate"/>
      </w:r>
      <w:r w:rsidR="00BD4FD0">
        <w:rPr>
          <w:noProof/>
        </w:rPr>
        <w:t>[14]</w:t>
      </w:r>
      <w:r w:rsidR="00945A09" w:rsidRPr="00E45C93">
        <w:fldChar w:fldCharType="end"/>
      </w:r>
      <w:r w:rsidRPr="00E45C93">
        <w:t>. Exploring ON’s immunological signature will clarify whether it shares an inflammatory basis with AN or represents a milder, unique profile.</w:t>
      </w:r>
    </w:p>
    <w:p w14:paraId="3F706786" w14:textId="77777777" w:rsidR="00900E1B" w:rsidRPr="00CA2EF9" w:rsidRDefault="00900E1B" w:rsidP="005A425F">
      <w:pPr>
        <w:spacing w:line="360" w:lineRule="auto"/>
        <w:jc w:val="both"/>
        <w:rPr>
          <w:i/>
          <w:iCs/>
          <w:u w:val="single"/>
        </w:rPr>
      </w:pPr>
      <w:r w:rsidRPr="00CA2EF9">
        <w:rPr>
          <w:i/>
          <w:iCs/>
          <w:u w:val="single"/>
        </w:rPr>
        <w:t>Gut Microbiome Disruptions</w:t>
      </w:r>
    </w:p>
    <w:p w14:paraId="56405925" w14:textId="185809BD" w:rsidR="00900E1B" w:rsidRPr="00E45C93" w:rsidRDefault="0058238F" w:rsidP="005A425F">
      <w:pPr>
        <w:spacing w:line="360" w:lineRule="auto"/>
        <w:jc w:val="both"/>
      </w:pPr>
      <w:r w:rsidRPr="0058238F">
        <w:t>This component is hypothesis-generating. Taxonomic findings will be interpreted descriptively and not treated as diagnostic or mechanistic inferences.</w:t>
      </w:r>
      <w:r>
        <w:t xml:space="preserve"> </w:t>
      </w:r>
      <w:r w:rsidR="00900E1B" w:rsidRPr="00E45C93">
        <w:t>The gut-brain axis is a key mechanism linking dietary behaviours, immune signalling, and mental health. Individuals with AN consistently demonstrate reduced microbial diversity, altered ratios of Firmicutes to Bacteroidetes, decreased short-chain fatty acid-producing bacteria</w:t>
      </w:r>
      <w:r w:rsidR="001B0659" w:rsidRPr="00E45C93">
        <w:t xml:space="preserve"> levels</w:t>
      </w:r>
      <w:r w:rsidR="00900E1B" w:rsidRPr="00E45C93">
        <w:t xml:space="preserve">, and increased presence of pro-inflammatory taxa such as </w:t>
      </w:r>
      <w:r w:rsidR="00900E1B" w:rsidRPr="00E45C93">
        <w:rPr>
          <w:i/>
          <w:iCs/>
        </w:rPr>
        <w:t>Proteobacteria</w:t>
      </w:r>
      <w:r w:rsidR="00900E1B" w:rsidRPr="00E45C93">
        <w:t xml:space="preserve"> and </w:t>
      </w:r>
      <w:r w:rsidR="00900E1B" w:rsidRPr="00E45C93">
        <w:rPr>
          <w:i/>
          <w:iCs/>
        </w:rPr>
        <w:t>Enterobacteriaceae</w:t>
      </w:r>
      <w:r w:rsidR="001B0659" w:rsidRPr="00E45C93">
        <w:t xml:space="preserve"> </w:t>
      </w:r>
      <w:r w:rsidR="001B0659" w:rsidRPr="00E45C93">
        <w:fldChar w:fldCharType="begin"/>
      </w:r>
      <w:r w:rsidR="00BD4FD0">
        <w:instrText xml:space="preserve"> ADDIN ZOTERO_ITEM CSL_CITATION {"citationID":"wGA2z09d","properties":{"formattedCitation":"[15\\uc0\\u8211{}17]","plainCitation":"[15–17]","noteIndex":0},"citationItems":[{"id":3865,"uris":["http://zotero.org/users/2945453/items/G5PPL3RR"],"itemData":{"id":3865,"type":"article-journal","abstract":"There is a growing recognition that both the gut microbiome and the immune system are involved in a number of psychiatric illnesses, including eating disorders. This should come as no surprise, given the important roles of diet composition, eating patterns, and daily caloric intake in modulating both biological systems. Here, we review the evidence that alterations in the gut microbiome and immune system may serve not only to maintain and exacerbate dysregulated eating behavior, characterized by caloric restriction in anorexia nervosa and binge eating in bulimia nervosa and binge eating disorder, but may also serve as biomarkers of increased risk for developing an eating disorder. We focus on studies examining gut dysbiosis, peripheral inflammation, and neuroinflammation in each of these eating disorders, and explore the available data from preclinical rodent models of anorexia and binge-like eating that may be useful in providing a better understanding of the biological mechanisms underlying eating disorders. Such knowledge is critical to developing novel, highly effective treatments for these often intractable and unremitting eating disorders.","container-title":"Nutrients","DOI":"10.3390/nu13020500","ISSN":"2072-6643","issue":"2","journalAbbreviation":"Nutrients","language":"eng","note":"PMID: 33546416\nPMCID: PMC7913528","page":"500","source":"PubMed","title":"The Role of the Gut Microbiome, Immunity, and Neuroinflammation in the Pathophysiology of Eating Disorders","volume":"13","author":[{"family":"Butler","given":"Michael J."},{"family":"Perrini","given":"Alexis A."},{"family":"Eckel","given":"Lisa A."}],"issued":{"date-parts":[["2021",2,3]]}},"label":"page"},{"id":3843,"uris":["http://zotero.org/users/2945453/items/FXMP9G7I"],"itemData":{"id":3843,"type":"article-journal","container-title":"Progress in Neuro-Psychopharmacology and Biological Psychiatry","DOI":"10.1016/j.pnpbp.2020.110114","ISSN":"02785846","journalAbbreviation":"Progress in Neuro-Psychopharmacology and Biological Psychiatry","language":"en","page":"110114","source":"DOI.org (Crossref)","title":"Anorexia nervosa and gut microbiota: A systematic review and quantitative synthesis of pooled microbiological data","title-short":"Anorexia nervosa and gut microbiota","volume":"106","author":[{"family":"Di Lodovico","given":"Laura"},{"family":"Mondot","given":"Stanislas"},{"family":"Doré","given":"Joël"},{"family":"Mack","given":"Isabelle"},{"family":"Hanachi","given":"Mouna"},{"family":"Gorwood","given":"Philip"}],"issued":{"date-parts":[["2021",3]]}},"label":"page"},{"id":3860,"uris":["http://zotero.org/users/2945453/items/6LUCUR7H"],"itemData":{"id":3860,"type":"article-journal","abstract":"Abstract\n            \n              Anorexia nervosa (AN) is an eating disorder with a high mortality. About 95% of cases are women and it has a population prevalence of about 1%, but evidence-based treatment is lacking. The pathogenesis of AN probably involves genetics and various environmental factors, and an altered gut microbiota has been observed in individuals with AN using amplicon sequencing and relatively small cohorts. Here we investigated whether a disrupted gut microbiota contributes to AN pathogenesis. Shotgun metagenomics and metabolomics were performed on faecal and serum samples, respectively, from a cohort of 77 females with AN and 70 healthy females. Multiple bacterial taxa (for example,\n              Clostridium\n              species) were altered in AN and correlated with estimates of eating behaviour and mental health. The gut virome was also altered in AN including a reduction in viral–bacterial interactions. Bacterial functional modules associated with the degradation of neurotransmitters were enriched in AN and various structural variants in bacteria were linked to metabolic features of AN. Serum metabolomics revealed an increase in metabolites associated with reduced food intake (for example, indole-3-propionic acid). Causal inference analyses implied that serum bacterial metabolites are potentially mediating the impact of an altered gut microbiota on AN behaviour. Further, we performed faecal microbiota transplantation from AN cases to germ-free mice under energy-restricted feeding to mirror AN eating behaviour. We found that the reduced weight gain and induced hypothalamic and adipose tissue gene expression were related to aberrant energy metabolism and eating behaviour. Our ‘omics’ and mechanistic studies imply that a disruptive gut microbiome may contribute to AN pathogenesis.","container-title":"Nature Microbiology","DOI":"10.1038/s41564-023-01355-5","ISSN":"2058-5276","issue":"5","journalAbbreviation":"Nat Microbiol","language":"en","page":"787-802","source":"DOI.org (Crossref)","title":"The gut microbiota contributes to the pathogenesis of anorexia nervosa in humans and mice","volume":"8","author":[{"family":"Fan","given":"Yong"},{"family":"Støving","given":"René Klinkby"},{"family":"Berreira Ibraim","given":"Samar"},{"family":"Hyötyläinen","given":"Tuulia"},{"family":"Thirion","given":"Florence"},{"family":"Arora","given":"Tulika"},{"family":"Lyu","given":"Liwei"},{"family":"Stankevic","given":"Evelina"},{"family":"Hansen","given":"Tue Haldor"},{"family":"Déchelotte","given":"Pierre"},{"family":"Sinioja","given":"Tim"},{"family":"Ragnarsdottir","given":"Oddny"},{"family":"Pons","given":"Nicolas"},{"family":"Galleron","given":"Nathalie"},{"family":"Quinquis","given":"Benoît"},{"family":"Levenez","given":"Florence"},{"family":"Roume","given":"Hugo"},{"family":"Falony","given":"Gwen"},{"family":"Vieira-Silva","given":"Sara"},{"family":"Raes","given":"Jeroen"},{"family":"Clausen","given":"Loa"},{"family":"Telléus","given":"Gry Kjaersdam"},{"family":"Bäckhed","given":"Fredrik"},{"family":"Oresic","given":"Matej"},{"family":"Ehrlich","given":"S. Dusko"},{"family":"Pedersen","given":"Oluf"}],"issued":{"date-parts":[["2023",4,17]]}},"label":"page"}],"schema":"https://github.com/citation-style-language/schema/raw/master/csl-citation.json"} </w:instrText>
      </w:r>
      <w:r w:rsidR="001B0659" w:rsidRPr="00E45C93">
        <w:fldChar w:fldCharType="separate"/>
      </w:r>
      <w:r w:rsidR="00BD4FD0" w:rsidRPr="00BD4FD0">
        <w:t>[15–17]</w:t>
      </w:r>
      <w:r w:rsidR="001B0659" w:rsidRPr="00E45C93">
        <w:fldChar w:fldCharType="end"/>
      </w:r>
      <w:r w:rsidR="00900E1B" w:rsidRPr="00E45C93">
        <w:t>. These alterations have been associated with increased intestinal permeability, systemic inflammation, and potential effects on appetite regulation and mood</w:t>
      </w:r>
      <w:r w:rsidR="001B0659" w:rsidRPr="00E45C93">
        <w:t xml:space="preserve"> </w:t>
      </w:r>
      <w:r w:rsidR="001B0659" w:rsidRPr="00E45C93">
        <w:fldChar w:fldCharType="begin"/>
      </w:r>
      <w:r w:rsidR="00BD4FD0">
        <w:instrText xml:space="preserve"> ADDIN ZOTERO_ITEM CSL_CITATION {"citationID":"dQsibrQm","properties":{"formattedCitation":"[18, 19]","plainCitation":"[18, 19]","noteIndex":0},"citationItems":[{"id":3991,"uris":["http://zotero.org/users/2945453/items/8FDWU7MP"],"itemData":{"id":3991,"type":"article-journal","container-title":"Neurobiology of Disease","DOI":"10.1016/j.nbd.2024.106460","ISSN":"09699961","journalAbbreviation":"Neurobiology of Disease","language":"en","page":"106460","source":"DOI.org (Crossref)","title":"Influence of the gut microbiome on appetite-regulating neuropeptides in the hypothalamus: Insight from conventional, antibiotic-treated, and germ-free mouse models of anorexia nervosa","title-short":"Influence of the gut microbiome on appetite-regulating neuropeptides in the hypothalamus","volume":"193","author":[{"family":"Roubalová","given":"Radka"},{"family":"Procházková","given":"Petra"},{"family":"Kovářová","given":"Tereza"},{"family":"Ježková","given":"Janet"},{"family":"Hrnčíř","given":"Tomáš"},{"family":"Tlaskalová-Hogenová","given":"Helena"},{"family":"Papežová","given":"Hana"}],"issued":{"date-parts":[["2024",4]]}},"label":"page"},{"id":3841,"uris":["http://zotero.org/users/2945453/items/4NHIQJP3"],"itemData":{"id":3841,"type":"article-journal","container-title":"Psychopharmacology","DOI":"10.1007/s00213-018-5159-2","ISSN":"0033-3158, 1432-2072","issue":"5","journalAbbreviation":"Psychopharmacology","language":"en","page":"1545-1558","source":"DOI.org (Crossref)","title":"The gut microbiome in anorexia nervosa: relevance for nutritional rehabilitation","title-short":"The gut microbiome in anorexia nervosa","volume":"236","author":[{"family":"Ruusunen","given":"Anu"},{"family":"Rocks","given":"Tetyana"},{"family":"Jacka","given":"Felice"},{"family":"Loughman","given":"Amy"}],"issued":{"date-parts":[["2019",5]]}},"label":"page"}],"schema":"https://github.com/citation-style-language/schema/raw/master/csl-citation.json"} </w:instrText>
      </w:r>
      <w:r w:rsidR="001B0659" w:rsidRPr="00E45C93">
        <w:fldChar w:fldCharType="separate"/>
      </w:r>
      <w:r w:rsidR="00BD4FD0">
        <w:rPr>
          <w:noProof/>
        </w:rPr>
        <w:t>[18, 19]</w:t>
      </w:r>
      <w:r w:rsidR="001B0659" w:rsidRPr="00E45C93">
        <w:fldChar w:fldCharType="end"/>
      </w:r>
      <w:r w:rsidR="00900E1B" w:rsidRPr="00E45C93">
        <w:t>. Given ON’s rigid and often restrictive dietary patterns — including elimination of entire food groups and reliance on limited “safe” foods — similar microbiome shifts may be expected. However, the gut microbiome has not yet been studied in ON, and it remains unclear whether ON is associated with the same degree of dysbiosis or reflects distinct microbial patterns related to orthorexic eating.</w:t>
      </w:r>
    </w:p>
    <w:p w14:paraId="7DA8B5A2" w14:textId="55573076" w:rsidR="00900E1B" w:rsidRPr="00CA2EF9" w:rsidRDefault="00900E1B" w:rsidP="005A425F">
      <w:pPr>
        <w:spacing w:line="360" w:lineRule="auto"/>
        <w:jc w:val="both"/>
        <w:rPr>
          <w:i/>
          <w:iCs/>
          <w:u w:val="single"/>
        </w:rPr>
      </w:pPr>
      <w:r w:rsidRPr="00CA2EF9">
        <w:rPr>
          <w:i/>
          <w:iCs/>
          <w:u w:val="single"/>
        </w:rPr>
        <w:t>Neurophysiological Abnormalities (EEG/ERP)</w:t>
      </w:r>
      <w:r w:rsidR="00D5213C">
        <w:rPr>
          <w:i/>
          <w:iCs/>
          <w:u w:val="single"/>
        </w:rPr>
        <w:t xml:space="preserve"> – exploratory component</w:t>
      </w:r>
    </w:p>
    <w:p w14:paraId="4C4CF5D9" w14:textId="4188655E" w:rsidR="00900E1B" w:rsidRDefault="00900E1B" w:rsidP="005A425F">
      <w:pPr>
        <w:spacing w:line="360" w:lineRule="auto"/>
        <w:jc w:val="both"/>
      </w:pPr>
      <w:r w:rsidRPr="00E45C93">
        <w:t>Neurophysiological studies using electroencephalography (EEG) have revealed that individuals with eating disorders, especially AN, exhibit altered patterns of resting-state brain activity and atypical event-related potentials (ERPs) in response to food- and emotion-related stimuli</w:t>
      </w:r>
      <w:r w:rsidR="001B0659" w:rsidRPr="00E45C93">
        <w:t xml:space="preserve"> </w:t>
      </w:r>
      <w:r w:rsidR="001B0659" w:rsidRPr="00E45C93">
        <w:fldChar w:fldCharType="begin"/>
      </w:r>
      <w:r w:rsidR="00BD4FD0">
        <w:instrText xml:space="preserve"> ADDIN ZOTERO_ITEM CSL_CITATION {"citationID":"KDHIdiIn","properties":{"formattedCitation":"[20, 21]","plainCitation":"[20, 21]","noteIndex":0},"citationItems":[{"id":3992,"uris":["http://zotero.org/users/2945453/items/EAPNV6YA"],"itemData":{"id":3992,"type":"article-journal","abstract":"Eating disorders (EDs), including anorexia nervosa (AN), bulimia nervosa (BN), binge-eating disorder (BED), and pica, are psychobehavioral conditions characterized by abnormal eating behaviors and an excessive preoccupation with weight and body shape. This review examines changes in brain regions and functional connectivity in ED patients over the past decade (2013-2023) using resting-state functional magnetic resonance imaging (rs-fMRI). Key findings highlight alterations in brain networks such as the default mode network (DMN), central executive network (CEN), and emotion regulation network (ERN). In individuals with AN, there is reduced functional connectivity in areas associated with facial information processing and social cognition, alongside increased connectivity in regions linked to sensory stimulation, aesthetic judgment, and social anxiety. Conversely, BED patients show diminished connectivity in the dorsal anterior cingulate cortex within the salience network and increased connectivity in the posterior cingulate cortex and medial prefrontal cortex within the DMN. These findings suggest that rs-fMRI could serve as a valuable biomarker for assessing brain function and predicting treatment outcomes in EDs, paving the way for personalized therapeutic strategies.","container-title":"BMC medical imaging","DOI":"10.1186/s12880-024-01432-z","ISSN":"1471-2342","issue":"1","journalAbbreviation":"BMC Med Imaging","language":"eng","note":"PMID: 39375605\nPMCID: PMC11460144","page":"265","source":"PubMed","title":"Neuroimaging studies of resting-state functional magnetic resonance imaging in eating disorders","volume":"24","author":[{"family":"Chen","given":"Xiong"},{"family":"Ai","given":"Chunqi"},{"family":"Liu","given":"Zhongchun"},{"family":"Wang","given":"Gang"}],"issued":{"date-parts":[["2024",10,7]]}},"label":"page"},{"id":3995,"uris":["http://zotero.org/users/2945453/items/8UA6VIFS"],"itemData":{"id":3995,"type":"article-journal","abstract":"Clinical applications of electroencephalography (EEG) are used with different objectives, EEG being a noninvasive and painless procedure. In respect of eating disorders, in the 1950s a new line of study about the neurological bases of anorexia nervosa was started and has since been developed. The purpose of this review is to update the existing literature data on the main findings in respect of EEG in eating disorders by means of a search conducted in PubMed. Despite the fact that weight gain tends to normalize some brain dysfunctions assessed by means of EEG, the specific effect of gaining weight remains controversial. Different studies have reported that cortical dysfunctions can be found in patients with anorexia nervosa even after weight gain, whereas others have reported a normalization of EEG in respect of the initial reduced alpha/ increased beta power in those patients with refeeding. Findings of studies that have analyzed the possible relationship between eating disorders and depression, based on sleep EEG disturbances, do not support the idea of eating disorders as a variant of depression or affective disorders. Some EEG findings are very consistent with previous neuroimaging results on patients with anorexia nervosa, reporting neural disturbances in response to stimuli that are relevant to the pathology (eg, stimuli like food exposure, different emotional situations, or body images).","container-title":"Neuropsychiatric Disease and Treatment","DOI":"10.2147/NDT.S27302","ISSN":"1178-2021","journalAbbreviation":"Neuropsychiatr Dis Treat","language":"eng","note":"PMID: 22275841\nPMCID: PMC3261648","page":"1-11","source":"PubMed","title":"Electroencephalography in eating disorders","volume":"8","author":[{"family":"Jáuregui-Lobera","given":"Ignacio"}],"issued":{"date-parts":[["2012"]]}},"label":"page"}],"schema":"https://github.com/citation-style-language/schema/raw/master/csl-citation.json"} </w:instrText>
      </w:r>
      <w:r w:rsidR="001B0659" w:rsidRPr="00E45C93">
        <w:fldChar w:fldCharType="separate"/>
      </w:r>
      <w:r w:rsidR="00BD4FD0">
        <w:rPr>
          <w:noProof/>
        </w:rPr>
        <w:t>[20, 21]</w:t>
      </w:r>
      <w:r w:rsidR="001B0659" w:rsidRPr="00E45C93">
        <w:fldChar w:fldCharType="end"/>
      </w:r>
      <w:r w:rsidRPr="00E45C93">
        <w:t>. ERP components such as the P300 (associated with attentional allocation and cognitive control), N200 (linked to conflict monitoring), and the Late Positive Potential (LPP, related to sustained emotional attention) are frequently disrupted</w:t>
      </w:r>
      <w:r w:rsidR="00CD17D9" w:rsidRPr="00E45C93">
        <w:t xml:space="preserve"> </w:t>
      </w:r>
      <w:r w:rsidR="00CD17D9" w:rsidRPr="00E45C93">
        <w:fldChar w:fldCharType="begin"/>
      </w:r>
      <w:r w:rsidR="00BD4FD0">
        <w:instrText xml:space="preserve"> ADDIN ZOTERO_ITEM CSL_CITATION {"citationID":"BAWnkoUk","properties":{"formattedCitation":"[22, 23]","plainCitation":"[22, 23]","noteIndex":0},"citationItems":[{"id":3999,"uris":["http://zotero.org/users/2945453/items/3HVE2D3M"],"itemData":{"id":3999,"type":"article-journal","container-title":"Appetite","DOI":"10.1016/j.appet.2018.05.135","ISSN":"01956663","journalAbbreviation":"Appetite","language":"en","page":"58-78","source":"DOI.org (Crossref)","title":"The utility of event-related potentials (ERPs) in understanding food-related cognition: A systematic review and recommendations","title-short":"The utility of event-related potentials (ERPs) in understanding food-related cognition","volume":"128","author":[{"family":"Carbine","given":"Kaylie A."},{"family":"Rodeback","given":"Rebekah"},{"family":"Modersitzki","given":"Erin"},{"family":"Miner","given":"Marshall"},{"family":"LeCheminant","given":"James D."},{"family":"Larson","given":"Michael J."}],"issued":{"date-parts":[["2018",9]]}},"label":"page"},{"id":3998,"uris":["http://zotero.org/users/2945453/items/ZMTQ2EIV"],"itemData":{"id":3998,"type":"article-journal","abstract":"Abstract\n            \n              Background\n              Anorexia nervosa (AN) is associated with altered processing of disorder‐relevant stimuli. Event‐related potentials (ERP) – such as the Late Positive Potential (LPP) – give information about the underlying mechanisms of central nervous stimulus processing.\n            \n            \n              Methods\n              Patients with AN (22 adolescents, 23 adults) and healthy controls (HCs; 17 adolescents, 24 adults) were included. Neutral, low, and high calorie food‐images were rated for valence and arousal; EEG activity was recorded and LPPs (early: 350–700 ms; late: 800–1200 ms) were extracted. Effects of patient status, age group, and stimulus category were analyzed via mixed 2 × 2 × 3‐AN(C)OVAs.\n            \n            \n              Results\n              Patients with AN rated high calorie stimuli lower in valence and higher in arousal than HCs. Controlling for hunger, food stimuli elicited higher early LPPs than neutral ones in patients and HCs. For the late LPP, patients with AN showed larger amplitudes.\n            \n            \n              Conclusion\n              Results suggest a highly automatic attentional bias towards low‐calorie foods. Patients with AN seem to have more intense cognitive processing independent of stimulus material. More research is needed to validate and clarify differences between early and late LPP measures as well as the operationalization and relevance of hunger status.\n            \n          , \n            Highlights\n            \n              \n                \n                  Processing of food stimuli in anorexia nervosa was examined with the help of Event Related Potentials.\n                \n                \n                  Food stimuli elicited a higher Late Positive Potential (early component) than neutral stimuli in patients with anorexia nervosa and healthy participants, reflecting automatic attention towards (especially low‐calorie) food.\n                \n                \n                  AN patients show larger LPP amplitudes (late component) for all – neutral and food – stimuli, pointing towards increased cognitive processing in adolescent and adult patients.","container-title":"European Eating Disorders Review","DOI":"10.1002/erv.3040","ISSN":"1072-4133, 1099-0968","issue":"2","journalAbbreviation":"Euro Eating Disorders Rev","language":"en","page":"281-297","source":"DOI.org (Crossref)","title":"Processing of food stimuli in anorexia nervosa: An ERP‐study comparing adolescents and adults","title-short":"Processing of food stimuli in anorexia nervosa","volume":"32","author":[{"family":"Stonawski","given":"Valeska"},{"family":"Mai‐Lippold","given":"Sandra A."},{"family":"Graap","given":"Holmer"},{"family":"Moll","given":"Gunther H."},{"family":"Kratz","given":"Oliver"},{"family":"Van Doren","given":"Jessica"},{"family":"Horndasch","given":"Stefanie"}],"issued":{"date-parts":[["2024",3]]}},"label":"page"}],"schema":"https://github.com/citation-style-language/schema/raw/master/csl-citation.json"} </w:instrText>
      </w:r>
      <w:r w:rsidR="00CD17D9" w:rsidRPr="00E45C93">
        <w:fldChar w:fldCharType="separate"/>
      </w:r>
      <w:r w:rsidR="00BD4FD0">
        <w:rPr>
          <w:noProof/>
        </w:rPr>
        <w:t>[22, 23]</w:t>
      </w:r>
      <w:r w:rsidR="00CD17D9" w:rsidRPr="00E45C93">
        <w:fldChar w:fldCharType="end"/>
      </w:r>
      <w:r w:rsidRPr="00E45C93">
        <w:t xml:space="preserve">. These abnormalities reflect broader deficits in executive functioning, affect regulation, and attentional flexibility, which mirror the rigid and perfectionistic thought patterns observed </w:t>
      </w:r>
      <w:r w:rsidR="00E61B4B" w:rsidRPr="00E45C93">
        <w:t>behaviourally</w:t>
      </w:r>
      <w:r w:rsidRPr="00E45C93">
        <w:t>. Given the strong psychological parallels between ON and AN</w:t>
      </w:r>
      <w:r w:rsidR="00E61B4B" w:rsidRPr="00E45C93">
        <w:t xml:space="preserve">, </w:t>
      </w:r>
      <w:r w:rsidRPr="00E45C93">
        <w:t>including heightened anxiety, obsessive traits, and cognitive inflexibility</w:t>
      </w:r>
      <w:r w:rsidR="00E61B4B" w:rsidRPr="00E45C93">
        <w:t xml:space="preserve"> </w:t>
      </w:r>
      <w:r w:rsidR="00E61B4B" w:rsidRPr="00E45C93">
        <w:fldChar w:fldCharType="begin"/>
      </w:r>
      <w:r w:rsidR="00BD4FD0">
        <w:instrText xml:space="preserve"> ADDIN ZOTERO_ITEM CSL_CITATION {"citationID":"fedrBveh","properties":{"formattedCitation":"[1, 7, 8]","plainCitation":"[1, 7, 8]","noteIndex":0},"citationItems":[{"id":3825,"uris":["http://zotero.org/users/2945453/items/XERDXM6K"],"itemData":{"id":3825,"type":"article-journal","abstract":"Orthorexia nervosa is an emerging and controversial eating disorder characterized by an obsessive preoccupation with healthy eating and an extreme fixation on food purity. Despite growing public interest in orthorexia, its classification as a distinct eating disorder remains a subject of ongoing debate in the mental health community. This paper comprehensively reviews the current literature on orthorexia nervosa, exploring the prevalence rates, risk factors, diagnosis, and treatment options. The paper offers an overview of orthorexia and its historical context and explores the challenges and considerations in diagnosing orthorexia and orthorexia nervosa. Specifically, the distinction between “orthorexia” and “orthorexia nervosa” is a debated issue in eating disorder research due to a lack of clear diagnostic criteria, making it challenging to accurately differentiate between an obsession with healthy eating and a more severe form with potential distress and impairment. Given the absence of formal diagnostic criteria, developing valid and reliable assessment tools is crucial to accurately identify and treat individuals experiencing these disorders. The paper’s final section covers the existing treatment approaches for orthorexia nervosa. Overall, the paper highlights the complex and multifaceted nature of orthorexia nervosa. This review contributes to the ongoing discourse surrounding orthorexia and provides valuable insights for clinicians, researchers, and stakeholders in the mental health and eating disorders fields.","container-title":"Nutrients","DOI":"10.3390/nu15173851","ISSN":"2072-6643","issue":"17","journalAbbreviation":"Nutrients","language":"en","license":"https://creativecommons.org/licenses/by/4.0/","page":"3851","source":"DOI.org (Crossref)","title":"Orthorexia and Orthorexia Nervosa: A Comprehensive Examination of Prevalence, Risk Factors, Diagnosis, and Treatment","title-short":"Orthorexia and Orthorexia Nervosa","volume":"15","author":[{"family":"Horovitz","given":"Omer"},{"family":"Argyrides","given":"Marios"}],"issued":{"date-parts":[["2023",9,3]]}},"label":"page"},{"id":3827,"uris":["http://zotero.org/users/2945453/items/V6VDNPNZ"],"itemData":{"id":3827,"type":"article-journal","abstract":"The term orthorexia nervosa (ON), presented in 1997 in Yoga Journal by Dr. Steven Bratman, sheds new light on the view on healthy eating habits. He showed that persistent thinking about nutrition does not necessarily have to be associated with anorexia or bulimia, and may turn into something so far unknown - obsessive control over the healthiest eating style, resulting in numerous self-imposed restrictions and in the long run, without appropriate therapy, leading to the deterioration of the current state of health. Orthorexia can have many consequences not only on mental health, but also on physical health. For this reason, the development of standard diagnostic and classification criteria for orthorexia nervosa is a priority. The problem of eating disorders should be the subject of epidemiological research, which will take into account demographic, cultural and socio-economic conditions appropriate for a given population, and will also take into account the pressure of factors related to the food market.","container-title":"Roczniki Państwowego Zakładu Higieny","DOI":"10.32394/rpzh.2022.0231","ISSN":"00357715, 24512311","journalAbbreviation":"Rocz Panstw Zakl Hig","page":"381-385","source":"DOI.org (Crossref)","title":"Orthorexia nervosa – the border between healthy eating and eating disorders","issued":{"date-parts":[["2022",12,21]]}},"label":"page"},{"id":3864,"uris":["http://zotero.org/users/2945453/items/PLV4L84Z"],"itemData":{"id":3864,"type":"article-journal","container-title":"Appetite","DOI":"10.1016/j.appet.2022.106134","ISSN":"01956663","journalAbbreviation":"Appetite","language":"en","page":"106134","source":"DOI.org (Crossref)","title":"Orthorexia nervosa and eating disorder behaviors: A systematic review of the literature","title-short":"Orthorexia nervosa and eating disorder behaviors","volume":"177","author":[{"family":"Atchison","given":"Anna E."},{"family":"Zickgraf","given":"Hana F."}],"issued":{"date-parts":[["2022",10]]}},"label":"page"}],"schema":"https://github.com/citation-style-language/schema/raw/master/csl-citation.json"} </w:instrText>
      </w:r>
      <w:r w:rsidR="00E61B4B" w:rsidRPr="00E45C93">
        <w:fldChar w:fldCharType="separate"/>
      </w:r>
      <w:r w:rsidR="00BD4FD0">
        <w:rPr>
          <w:noProof/>
        </w:rPr>
        <w:t>[1, 7, 8]</w:t>
      </w:r>
      <w:r w:rsidR="00E61B4B" w:rsidRPr="00E45C93">
        <w:fldChar w:fldCharType="end"/>
      </w:r>
      <w:r w:rsidR="00E61B4B" w:rsidRPr="00E45C93">
        <w:t xml:space="preserve">, </w:t>
      </w:r>
      <w:r w:rsidRPr="00E45C93">
        <w:t xml:space="preserve">it is plausible that ON may also exhibit similar EEG/ERP signatures. Yet, </w:t>
      </w:r>
      <w:r w:rsidR="00D5213C">
        <w:t xml:space="preserve">since </w:t>
      </w:r>
      <w:r w:rsidRPr="00E45C93">
        <w:t xml:space="preserve">no neurophysiological research has been conducted on </w:t>
      </w:r>
      <w:proofErr w:type="spellStart"/>
      <w:r w:rsidRPr="00E45C93">
        <w:t>ON</w:t>
      </w:r>
      <w:proofErr w:type="spellEnd"/>
      <w:r w:rsidRPr="00E45C93">
        <w:t xml:space="preserve">, </w:t>
      </w:r>
      <w:r w:rsidR="00D5213C" w:rsidRPr="00D5213C">
        <w:t xml:space="preserve">this component remains </w:t>
      </w:r>
      <w:r w:rsidR="00D5213C" w:rsidRPr="00D5213C">
        <w:rPr>
          <w:i/>
          <w:iCs/>
        </w:rPr>
        <w:t>exploratory</w:t>
      </w:r>
      <w:r w:rsidR="00D5213C" w:rsidRPr="00D5213C">
        <w:t xml:space="preserve"> due to the absence of prior ERP studies in ON. ERP results will be interpreted cautiously to guide future research on attentional and emotional processes in ideologically driven eating behaviours</w:t>
      </w:r>
      <w:r w:rsidRPr="00E45C93">
        <w:t>.</w:t>
      </w:r>
    </w:p>
    <w:p w14:paraId="006C583F" w14:textId="1E635C21" w:rsidR="00776452" w:rsidRDefault="00061205" w:rsidP="005A425F">
      <w:pPr>
        <w:spacing w:line="360" w:lineRule="auto"/>
        <w:jc w:val="both"/>
      </w:pPr>
      <w:r w:rsidRPr="00061205">
        <w:lastRenderedPageBreak/>
        <w:t xml:space="preserve">As no ERP studies have been conducted on </w:t>
      </w:r>
      <w:proofErr w:type="spellStart"/>
      <w:r w:rsidRPr="00061205">
        <w:t>ON</w:t>
      </w:r>
      <w:proofErr w:type="spellEnd"/>
      <w:r w:rsidRPr="00061205">
        <w:t>, neural markers will be selected based on well-established findings in related disorders such as AN and OCD</w:t>
      </w:r>
      <w:r w:rsidR="00991A54">
        <w:t xml:space="preserve"> </w:t>
      </w:r>
      <w:r w:rsidR="00776452">
        <w:fldChar w:fldCharType="begin"/>
      </w:r>
      <w:r w:rsidR="00776452">
        <w:instrText xml:space="preserve"> ADDIN ZOTERO_ITEM CSL_CITATION {"citationID":"vMjXZILH","properties":{"formattedCitation":"[1, 8, 9, 24]","plainCitation":"[1, 8, 9, 24]","noteIndex":0},"citationItems":[{"id":3825,"uris":["http://zotero.org/users/2945453/items/XERDXM6K"],"itemData":{"id":3825,"type":"article-journal","abstract":"Orthorexia nervosa is an emerging and controversial eating disorder characterized by an obsessive preoccupation with healthy eating and an extreme fixation on food purity. Despite growing public interest in orthorexia, its classification as a distinct eating disorder remains a subject of ongoing debate in the mental health community. This paper comprehensively reviews the current literature on orthorexia nervosa, exploring the prevalence rates, risk factors, diagnosis, and treatment options. The paper offers an overview of orthorexia and its historical context and explores the challenges and considerations in diagnosing orthorexia and orthorexia nervosa. Specifically, the distinction between “orthorexia” and “orthorexia nervosa” is a debated issue in eating disorder research due to a lack of clear diagnostic criteria, making it challenging to accurately differentiate between an obsession with healthy eating and a more severe form with potential distress and impairment. Given the absence of formal diagnostic criteria, developing valid and reliable assessment tools is crucial to accurately identify and treat individuals experiencing these disorders. The paper’s final section covers the existing treatment approaches for orthorexia nervosa. Overall, the paper highlights the complex and multifaceted nature of orthorexia nervosa. This review contributes to the ongoing discourse surrounding orthorexia and provides valuable insights for clinicians, researchers, and stakeholders in the mental health and eating disorders fields.","container-title":"Nutrients","DOI":"10.3390/nu15173851","ISSN":"2072-6643","issue":"17","journalAbbreviation":"Nutrients","language":"en","license":"https://creativecommons.org/licenses/by/4.0/","page":"3851","source":"DOI.org (Crossref)","title":"Orthorexia and Orthorexia Nervosa: A Comprehensive Examination of Prevalence, Risk Factors, Diagnosis, and Treatment","title-short":"Orthorexia and Orthorexia Nervosa","volume":"15","author":[{"family":"Horovitz","given":"Omer"},{"family":"Argyrides","given":"Marios"}],"issued":{"date-parts":[["2023",9,3]]}},"label":"page"},{"id":3864,"uris":["http://zotero.org/users/2945453/items/PLV4L84Z"],"itemData":{"id":3864,"type":"article-journal","container-title":"Appetite","DOI":"10.1016/j.appet.2022.106134","ISSN":"01956663","journalAbbreviation":"Appetite","language":"en","page":"106134","source":"DOI.org (Crossref)","title":"Orthorexia nervosa and eating disorder behaviors: A systematic review of the literature","title-short":"Orthorexia nervosa and eating disorder behaviors","volume":"177","author":[{"family":"Atchison","given":"Anna E."},{"family":"Zickgraf","given":"Hana F."}],"issued":{"date-parts":[["2022",10]]}},"label":"page"},{"id":3834,"uris":["http://zotero.org/users/2945453/items/5PEJZJL9"],"itemData":{"id":3834,"type":"article-journal","abstract":"Orthorexia nervosa (ON) is defined as an exaggerated, obsessive, pathological fixation on healthy food, healthy eating, or health-conscious eating behaviors. In the literature, there is an ongoing debate over whether ON should be considered simply a lifestyle phenomenon or a psychiatric disorder. In this vein, ON seems to share psychopathological characteristics with both eating disorders (EDs) and obsessive-compulsive disorder (OCD). However, there are insufficient data to reconcile the debate. The present study aimed at consolidating evidence on the clinical significance of ON and its relationship with EDs and OCD. A selective review of the literature published between January 2015 and March 2022 was conducted, following the Preferred Reporting Items for Systematic Reviews and Meta-Analyses (PRISMA) guidelines. Ten studies were included. Some of these studies suggested that ON might follow a full-syndrome DSM-5 ED. Other studies proposed that ON and DSM-5 EDs may co-occur. Finally, only two studies suggested a relationship between ON and OCD. To date, the clinical significance of ON and its relationship with EDs and other DSM-5 psychiatric disorders (e.g., OCD) appears complicated and unclear. Future longitudinal research on the possible clinical course of ON is needed.","container-title":"Journal of Clinical Medicine","DOI":"10.3390/jcm11206134","ISSN":"2077-0383","issue":"20","journalAbbreviation":"JCM","language":"en","license":"https://creativecommons.org/licenses/by/4.0/","page":"6134","source":"DOI.org (Crossref)","title":"Orthorexia Nervosa, Eating Disorders, and Obsessive-Compulsive Disorder: A Selective Review of the Last Seven Years","title-short":"Orthorexia Nervosa, Eating Disorders, and Obsessive-Compulsive Disorder","volume":"11","author":[{"family":"Pontillo","given":"Maria"},{"family":"Zanna","given":"Valeria"},{"family":"Demaria","given":"Francesco"},{"family":"Averna","given":"Roberto"},{"family":"Di Vincenzo","given":"Cristina"},{"family":"De Biase","given":"Margherita"},{"family":"Di Luzio","given":"Michelangelo"},{"family":"Foti","given":"Benedetta"},{"family":"Tata","given":"Maria Cristina"},{"family":"Vicari","given":"Stefano"}],"issued":{"date-parts":[["2022",10,18]]}},"label":"page"},{"id":3849,"uris":["http://zotero.org/users/2945453/items/QYH6H3AI"],"itemData":{"id":3849,"type":"article-journal","abstract":"Abstract\n            \n              Background\n              \n                Orthorexia Nervosa (ON) is a disordered eating style involving an unhealthy obsession with ‘healthy’ or ‘clean’ eating. Its aetiology is still poorly understood and is not yet recognised in diagnostic manuals. While ON has been associated with Obsessive Compulsive (OC) symptoms and perfectionism, no study to date has looked at the relationship between OC symptoms and ON tendencies\n                via\n                perfectionism, or the influence of two facets of perfectionism in this relationship, namely evaluative concern and achievement striving. Examining the potential role of perfectionism helps to understand the aetiology of ON as well as inform potential treatments tailored specifically for ON and comorbid OC symptoms.\n              \n            \n            \n              Methods\n              \n                In this cross sectional study, we tested 507 participants (\n                n\n                 = 70 males,\n                n\n                 = 69 at risk of ON) on questionnaires measuring OC symptoms, perfectionism and ON symptoms. We ran two mediation analyses to look at the overall relationship between perfectionism and OC and ON symptoms (Model 1) as well as the specific contribution of evaluative concern and achievement striving in the relationship between OC and ON symptoms (Model 2).\n              \n            \n            \n              Results\n              We found that perfectionism partially mediated the relationship between OC and ON symptoms. Specifically, we found that while achievement striving and evaluative concern were associated with OC symptoms, only achievement striving was significantly associated with ON symptoms, mediating the relationship between OC and ON symptoms.\n            \n            \n              Conclusions\n              This study highlighted the role of one key facet of perfectionism (achievement striving) in the aetiology of ON. The role of achievement striving was indicated as a transdiagnostic construct explaining the link between ON and OC symptoms. These findings are discussed in terms of their implications for treatment models, specifically in terms of the potential role of targeting perfectionism in ON treatment.","container-title":"Journal of Eating Disorders","DOI":"10.1186/s40337-024-01032-w","ISSN":"2050-2974","issue":"1","journalAbbreviation":"J Eat Disord","language":"en","page":"91","source":"DOI.org (Crossref)","title":"Striving for the perfect diet? The mediating role of perfectionism in the relationship between obsessive compulsive symptoms and traits of Orthorexia Nervosa","title-short":"Striving for the perfect diet?","volume":"12","author":[{"family":"Greville-Harris","given":"Maddy"},{"family":"Vuillier","given":"Laura"},{"family":"Goodall","given":"Summer"},{"family":"Talbot","given":"Catherine V."},{"family":"Walker","given":"Cliona"},{"family":"Appleton","given":"Katherine M."}],"issued":{"date-parts":[["2024",7,1]]}},"label":"page"}],"schema":"https://github.com/citation-style-language/schema/raw/master/csl-citation.json"} </w:instrText>
      </w:r>
      <w:r w:rsidR="00776452">
        <w:fldChar w:fldCharType="separate"/>
      </w:r>
      <w:r w:rsidR="00776452">
        <w:rPr>
          <w:noProof/>
        </w:rPr>
        <w:t>[1, 8, 9, 24]</w:t>
      </w:r>
      <w:r w:rsidR="00776452">
        <w:fldChar w:fldCharType="end"/>
      </w:r>
      <w:r>
        <w:t xml:space="preserve">, </w:t>
      </w:r>
      <w:r w:rsidRPr="00061205">
        <w:t xml:space="preserve">which share key psychological traits with ON. The </w:t>
      </w:r>
      <w:r>
        <w:t xml:space="preserve">dedicated neurophysiology section below describes the </w:t>
      </w:r>
      <w:r w:rsidRPr="00061205">
        <w:t>ERP rationale and task design</w:t>
      </w:r>
      <w:r>
        <w:t>.</w:t>
      </w:r>
      <w:r w:rsidR="00776452" w:rsidRPr="00776452">
        <w:t xml:space="preserve"> ERP research in AN has demonstrated attenuated P300 amplitudes and altered N200 responses during food-related and emotionally salient tasks, reflecting deficits in attentional control and emotional processing</w:t>
      </w:r>
      <w:r w:rsidR="00776452">
        <w:t xml:space="preserve"> </w:t>
      </w:r>
      <w:r w:rsidR="00776452">
        <w:fldChar w:fldCharType="begin"/>
      </w:r>
      <w:r w:rsidR="00776452">
        <w:instrText xml:space="preserve"> ADDIN ZOTERO_ITEM CSL_CITATION {"citationID":"edY4R688","properties":{"formattedCitation":"[23, 25]","plainCitation":"[23, 25]","noteIndex":0},"citationItems":[{"id":3998,"uris":["http://zotero.org/users/2945453/items/ZMTQ2EIV"],"itemData":{"id":3998,"type":"article-journal","abstract":"Abstract\n            \n              Background\n              Anorexia nervosa (AN) is associated with altered processing of disorder‐relevant stimuli. Event‐related potentials (ERP) – such as the Late Positive Potential (LPP) – give information about the underlying mechanisms of central nervous stimulus processing.\n            \n            \n              Methods\n              Patients with AN (22 adolescents, 23 adults) and healthy controls (HCs; 17 adolescents, 24 adults) were included. Neutral, low, and high calorie food‐images were rated for valence and arousal; EEG activity was recorded and LPPs (early: 350–700 ms; late: 800–1200 ms) were extracted. Effects of patient status, age group, and stimulus category were analyzed via mixed 2 × 2 × 3‐AN(C)OVAs.\n            \n            \n              Results\n              Patients with AN rated high calorie stimuli lower in valence and higher in arousal than HCs. Controlling for hunger, food stimuli elicited higher early LPPs than neutral ones in patients and HCs. For the late LPP, patients with AN showed larger amplitudes.\n            \n            \n              Conclusion\n              Results suggest a highly automatic attentional bias towards low‐calorie foods. Patients with AN seem to have more intense cognitive processing independent of stimulus material. More research is needed to validate and clarify differences between early and late LPP measures as well as the operationalization and relevance of hunger status.\n            \n          , \n            Highlights\n            \n              \n                \n                  Processing of food stimuli in anorexia nervosa was examined with the help of Event Related Potentials.\n                \n                \n                  Food stimuli elicited a higher Late Positive Potential (early component) than neutral stimuli in patients with anorexia nervosa and healthy participants, reflecting automatic attention towards (especially low‐calorie) food.\n                \n                \n                  AN patients show larger LPP amplitudes (late component) for all – neutral and food – stimuli, pointing towards increased cognitive processing in adolescent and adult patients.","container-title":"European Eating Disorders Review","DOI":"10.1002/erv.3040","ISSN":"1072-4133, 1099-0968","issue":"2","journalAbbreviation":"Euro Eating Disorders Rev","language":"en","page":"281-297","source":"DOI.org (Crossref)","title":"Processing of food stimuli in anorexia nervosa: An ERP‐study comparing adolescents and adults","title-short":"Processing of food stimuli in anorexia nervosa","volume":"32","author":[{"family":"Stonawski","given":"Valeska"},{"family":"Mai‐Lippold","given":"Sandra A."},{"family":"Graap","given":"Holmer"},{"family":"Moll","given":"Gunther H."},{"family":"Kratz","given":"Oliver"},{"family":"Van Doren","given":"Jessica"},{"family":"Horndasch","given":"Stefanie"}],"issued":{"date-parts":[["2024",3]]}},"label":"page"},{"id":4034,"uris":["http://zotero.org/users/2945453/items/KINUCEYR"],"itemData":{"id":4034,"type":"article-journal","container-title":"Eating Behaviors","DOI":"10.1016/j.eatbeh.2008.02.001","ISSN":"14710153","issue":"4","journalAbbreviation":"Eating Behaviors","language":"en","license":"https://www.elsevier.com/tdm/userlicense/1.0/","page":"381-388","source":"DOI.org (Crossref)","title":"Reduced perception of bodily signals in anorexia nervosa","volume":"9","author":[{"family":"Pollatos","given":"Olga"},{"family":"Kurz","given":"Anne-Lene"},{"family":"Albrecht","given":"Jessica"},{"family":"Schreder","given":"Tatjana"},{"family":"Kleemann","given":"Anna Maria"},{"family":"Schöpf","given":"Veronika"},{"family":"Kopietz","given":"Rainer"},{"family":"Wiesmann","given":"Martin"},{"family":"Schandry","given":"Rainer"}],"issued":{"date-parts":[["2008",12]]}},"label":"page"}],"schema":"https://github.com/citation-style-language/schema/raw/master/csl-citation.json"} </w:instrText>
      </w:r>
      <w:r w:rsidR="00776452">
        <w:fldChar w:fldCharType="separate"/>
      </w:r>
      <w:r w:rsidR="00776452">
        <w:rPr>
          <w:noProof/>
        </w:rPr>
        <w:t>[23, 25]</w:t>
      </w:r>
      <w:r w:rsidR="00776452">
        <w:fldChar w:fldCharType="end"/>
      </w:r>
      <w:r w:rsidR="00776452" w:rsidRPr="00776452">
        <w:t>. Similarly, OCD studies have revealed increased N200 negativity and shorter latencies for both N200 and P300 components, indicative of heightened conflict monitoring and stimulus sensitivity</w:t>
      </w:r>
      <w:r w:rsidR="00776452">
        <w:t xml:space="preserve"> </w:t>
      </w:r>
      <w:r w:rsidR="00776452">
        <w:fldChar w:fldCharType="begin"/>
      </w:r>
      <w:r w:rsidR="00776452">
        <w:instrText xml:space="preserve"> ADDIN ZOTERO_ITEM CSL_CITATION {"citationID":"zVuYfVre","properties":{"formattedCitation":"[26, 27]","plainCitation":"[26, 27]","noteIndex":0},"citationItems":[{"id":4035,"uris":["http://zotero.org/users/2945453/items/WYU8AZRL"],"itemData":{"id":4035,"type":"article-journal","abstract":"Twenty‐three unmedicated patients with obsessive–compulsive disorder (OCD) were compared with 12 unmedicated patients with social phobia (SP) and 18 age‐matched normal controls (C) using a two‐tone auditory oddball event‐related potentials (ERP) paradigm. The OCD group showed significantly shorter P300 latencies and shorter N200 latencies for target stimuli than the SP and the C groups. The OCD patients also tended to have greater N200 negativity compared with normal controls. However, there were no significant relationships between these ERP abnormalities in OCD patients and the type or severity of their OCD symptoms. In the mean ERP waveforms, increased N200 negativity for target stimuli, as well as the provocation in the later part of N200 for non‐target stimuli, were more commonly observed in the OCD and the SP groups compared with the C group. These results raise the possibility that the shorter N200 and P300 latencies in OCD patients may be an OCD‐specific phenomenon that is more closely related to the biological basis for OCD, rather than the characteristics of their OCD symptoms. On the other hand, increased negativity in the N200 region, even for non‐target stimuli, may represent the common abnormalities among anxiety disorders.","container-title":"Psychiatry and Clinical Neurosciences","DOI":"10.1046/j.1440-1819.1998.00427.x","ISSN":"1323-1316, 1440-1819","issue":"5","journalAbbreviation":"Psychiatry Clin Neurosci","language":"en","license":"http://onlinelibrary.wiley.com/termsAndConditions#vor","page":"513-518","source":"DOI.org (Crossref)","title":"Event‐related potentials in patients with obsessive–compulsive disorder","volume":"52","author":[{"literal":"Miyata"},{"literal":"Matsunaga"},{"literal":"Kiriike"},{"literal":"Iwasaki"},{"literal":"Takei"},{"literal":"Yamagami"}],"issued":{"date-parts":[["1998",9]]}},"label":"page"},{"id":4036,"uris":["http://zotero.org/users/2945453/items/MYSDATRP"],"itemData":{"id":4036,"type":"article-journal","abstract":"Neuropsychological studies indicate the presence of cognitive changes in patients with obsessive-compulsive disorder (OCD). Indeed, OCD may be included among the dysfunctions of the frontal lobes and their connections with the limbic system, associative cortex, and basal ganglia. P300 is a positive component of the human event-related potential (ERP); it is associated with processes of encoding, identification, and categorization constituting, as a whole, the superior cortical function of information processing. Thus, P300 explores several areas that are implicated in OCD pathophysiology. Our aim is to review all relevant studies on the P300 component of the human ERP in order to recognize any significant central nervous system (CNS) correlate of cognitive dysfunction in OCD. A PubMed-based literature search resulted in 35 articles assessing P300 in OCD and reporting neurophysiological correlates of response inhibition, cortical hyperarousal, and over-focused attention. A decreased P300 amplitude was reported in both adult and pediatric patients, with a trend toward normalization after pharmacological treatment. Source localization studies disclosed an association between P300 abnormalities and the functioning of brain regions involved in the pathophysiology of OCD. Moreover, studies converge on the evidence of neurophysiological dysfunction in the frontal areas with impairment of the normal inhibitory processes in OCD. At least some of these electrophysiological correlates might reflect the obsessive thoughts and compulsions that characterize this disorder. These findings may also support cognitive-behavioral therapy (CBT) approaches on over-focused attention and inflexibility of compulsive behaviors, which should be associated to pharmacological treatment in these patients.","container-title":"Frontiers in Psychiatry","DOI":"10.3389/fpsyt.2021.751215","ISSN":"1664-0640","journalAbbreviation":"Front. Psychiatry","page":"751215","source":"DOI.org (Crossref)","title":"A Review on P300 in Obsessive-Compulsive Disorder","volume":"12","author":[{"family":"Raggi","given":"Alberto"},{"family":"Lanza","given":"Giuseppe"},{"family":"Ferri","given":"Raffaele"}],"issued":{"date-parts":[["2021",11,23]]}},"label":"page"}],"schema":"https://github.com/citation-style-language/schema/raw/master/csl-citation.json"} </w:instrText>
      </w:r>
      <w:r w:rsidR="00776452">
        <w:fldChar w:fldCharType="separate"/>
      </w:r>
      <w:r w:rsidR="00776452">
        <w:rPr>
          <w:noProof/>
        </w:rPr>
        <w:t>[26, 27]</w:t>
      </w:r>
      <w:r w:rsidR="00776452">
        <w:fldChar w:fldCharType="end"/>
      </w:r>
      <w:r w:rsidR="00776452" w:rsidRPr="00776452">
        <w:t>. These findings provide a conceptual rationale for targeting similar ERP components in ON. However, due to ON’s unique ideological and health-oriented motivational structure, the paradigms will be validated during the pilot phase, and task modifications will be implemented to ensure construct sensitivity and psychometric reliability.</w:t>
      </w:r>
    </w:p>
    <w:p w14:paraId="4518562C" w14:textId="77777777" w:rsidR="002A04F2" w:rsidRPr="002A04F2" w:rsidRDefault="002A04F2" w:rsidP="005A425F">
      <w:pPr>
        <w:pBdr>
          <w:top w:val="single" w:sz="4" w:space="1" w:color="auto"/>
          <w:bottom w:val="single" w:sz="4" w:space="1" w:color="auto"/>
        </w:pBdr>
        <w:spacing w:line="360" w:lineRule="auto"/>
        <w:jc w:val="both"/>
        <w:rPr>
          <w:b/>
          <w:bCs/>
        </w:rPr>
      </w:pPr>
      <w:r w:rsidRPr="002A04F2">
        <w:rPr>
          <w:b/>
          <w:bCs/>
        </w:rPr>
        <w:t>Conceptual Approach and Diagnostic Considerations</w:t>
      </w:r>
    </w:p>
    <w:p w14:paraId="1E7E0BA5" w14:textId="4D069694" w:rsidR="000C276E" w:rsidRDefault="000C276E" w:rsidP="005A425F">
      <w:pPr>
        <w:spacing w:line="360" w:lineRule="auto"/>
        <w:jc w:val="both"/>
      </w:pPr>
      <w:r w:rsidRPr="000C276E">
        <w:t xml:space="preserve">We </w:t>
      </w:r>
      <w:r w:rsidR="00F62FE9">
        <w:t>aim not</w:t>
      </w:r>
      <w:r w:rsidRPr="000C276E">
        <w:t xml:space="preserve"> to confirm ON as a clinical entity but to map its biopsychological correlates </w:t>
      </w:r>
      <w:r w:rsidR="00BC3488">
        <w:t>compared to</w:t>
      </w:r>
      <w:r w:rsidRPr="000C276E">
        <w:t xml:space="preserve"> known disorders. The study adopts a construct</w:t>
      </w:r>
      <w:r w:rsidR="00F62FE9">
        <w:t xml:space="preserve"> </w:t>
      </w:r>
      <w:r w:rsidRPr="000C276E">
        <w:t>validity fr</w:t>
      </w:r>
      <w:r w:rsidR="00776452">
        <w:t>a</w:t>
      </w:r>
      <w:r w:rsidRPr="000C276E">
        <w:t xml:space="preserve">mework, recognizing </w:t>
      </w:r>
      <w:r w:rsidR="00566CFB">
        <w:t>ON’s</w:t>
      </w:r>
      <w:r w:rsidRPr="000C276E">
        <w:t xml:space="preserve"> fluidity and cultural embeddedness. This approach allows us to empirically investigate the construct without prematurely pathologizing health-oriented behavio</w:t>
      </w:r>
      <w:r>
        <w:t>u</w:t>
      </w:r>
      <w:r w:rsidRPr="000C276E">
        <w:t>rs that may lie on a normative–pathologic continuum</w:t>
      </w:r>
      <w:r>
        <w:t xml:space="preserve">. </w:t>
      </w:r>
    </w:p>
    <w:p w14:paraId="0021F0E9" w14:textId="3FC030E3" w:rsidR="002A04F2" w:rsidRPr="00E45C93" w:rsidRDefault="002A04F2" w:rsidP="005A425F">
      <w:pPr>
        <w:spacing w:line="360" w:lineRule="auto"/>
        <w:jc w:val="both"/>
      </w:pPr>
      <w:r w:rsidRPr="002A04F2">
        <w:t xml:space="preserve">Given that ON is not formally recognized in the DSM-5 or ICD-11, the current study does not assume its status as a diagnostic entity. Instead, the research is guided by an exploratory and transdiagnostic perspective that treats ON as a working construct characterized by ideologically driven dietary rigidity and health-obsession. This approach allows the investigation of ON’s biological and psychological correlates without prematurely framing it as a psychiatric disorder. </w:t>
      </w:r>
      <w:r w:rsidR="0091180A" w:rsidRPr="0091180A">
        <w:t>Findings may support, refine, or challenge current conceptualizations. However, this project explicitly avoids using the data to define ON as a clinical disorder. Instead, it aims to identify biologically and psychologically relevant patterns associated with orthorexic tendencies to inform, rather than determine, future diagnostic frameworks</w:t>
      </w:r>
      <w:r>
        <w:t xml:space="preserve">. </w:t>
      </w:r>
      <w:r w:rsidR="00BC3488" w:rsidRPr="00BC3488">
        <w:t>This stance aligns with emerging calls to understand new health-related phenomena as behavio</w:t>
      </w:r>
      <w:r w:rsidR="00BC3488">
        <w:t>u</w:t>
      </w:r>
      <w:r w:rsidR="00BC3488" w:rsidRPr="00BC3488">
        <w:t>rally and culturally situated syndromes, rather than prematurely categorizing them as disorders</w:t>
      </w:r>
      <w:r w:rsidR="00126494">
        <w:t xml:space="preserve"> </w:t>
      </w:r>
      <w:r w:rsidR="003263D6">
        <w:t>without</w:t>
      </w:r>
      <w:r w:rsidR="00126494">
        <w:t xml:space="preserve"> </w:t>
      </w:r>
      <w:r w:rsidR="00BC3488" w:rsidRPr="00BC3488">
        <w:t>mechanistic evidence or cross-cultural validation.</w:t>
      </w:r>
    </w:p>
    <w:p w14:paraId="3F80522F" w14:textId="77777777" w:rsidR="00900E1B" w:rsidRPr="00E45C93" w:rsidRDefault="00900E1B" w:rsidP="005A425F">
      <w:pPr>
        <w:pBdr>
          <w:top w:val="single" w:sz="4" w:space="1" w:color="auto"/>
          <w:bottom w:val="single" w:sz="4" w:space="1" w:color="auto"/>
        </w:pBdr>
        <w:spacing w:line="360" w:lineRule="auto"/>
        <w:jc w:val="both"/>
        <w:rPr>
          <w:b/>
          <w:bCs/>
        </w:rPr>
      </w:pPr>
      <w:r w:rsidRPr="00E45C93">
        <w:rPr>
          <w:b/>
          <w:bCs/>
        </w:rPr>
        <w:t>Integration and Innovation</w:t>
      </w:r>
    </w:p>
    <w:p w14:paraId="38DDB270" w14:textId="519AFE79" w:rsidR="00900E1B" w:rsidRPr="00E45C93" w:rsidRDefault="00CA2E19" w:rsidP="005A425F">
      <w:pPr>
        <w:spacing w:line="360" w:lineRule="auto"/>
        <w:jc w:val="both"/>
      </w:pPr>
      <w:r w:rsidRPr="00CA2E19">
        <w:t>No published research has systematically examined psychological, immune, and neurophysiological profiles to define ON’s biological architecture. While the gut microbiome may play a role in ideologically restrictive eating, it will be treated as an exploratory, hypothesis-generating component due to its complexity and interpretive limitations</w:t>
      </w:r>
      <w:r w:rsidR="00900E1B" w:rsidRPr="00E45C93">
        <w:t xml:space="preserve">. </w:t>
      </w:r>
      <w:r w:rsidR="0069454B">
        <w:t>This is also true concerning</w:t>
      </w:r>
      <w:r w:rsidR="00900E1B" w:rsidRPr="00E45C93">
        <w:t xml:space="preserve"> </w:t>
      </w:r>
      <w:r w:rsidR="0069454B">
        <w:t xml:space="preserve">a </w:t>
      </w:r>
      <w:r w:rsidR="00900E1B" w:rsidRPr="00E45C93">
        <w:t xml:space="preserve">multimodal </w:t>
      </w:r>
      <w:r w:rsidR="00900E1B" w:rsidRPr="00E45C93">
        <w:lastRenderedPageBreak/>
        <w:t>investigation of ON using these four domains in parallel. Such a framework aligns with recent calls in psychiatric research for transdiagnostic, biologically-informed approaches that can move beyond symptom descriptions to uncover mechanistic pathways and biomarkers.</w:t>
      </w:r>
    </w:p>
    <w:p w14:paraId="2C13329A" w14:textId="57C372F4" w:rsidR="00900E1B" w:rsidRPr="00E45C93" w:rsidRDefault="00900E1B" w:rsidP="005A425F">
      <w:pPr>
        <w:spacing w:line="360" w:lineRule="auto"/>
        <w:jc w:val="both"/>
      </w:pPr>
      <w:r w:rsidRPr="00E45C93">
        <w:t>Orthorexia AN share</w:t>
      </w:r>
      <w:r w:rsidR="00F62FE9">
        <w:t>s</w:t>
      </w:r>
      <w:r w:rsidRPr="00E45C93">
        <w:t xml:space="preserve"> several psychological and behavioral features, such as perfectionism, obsessive control over food intake, and elevated anxiety</w:t>
      </w:r>
      <w:r w:rsidR="00473F10" w:rsidRPr="00E45C93">
        <w:t xml:space="preserve"> </w:t>
      </w:r>
      <w:r w:rsidR="00473F10" w:rsidRPr="00E45C93">
        <w:fldChar w:fldCharType="begin"/>
      </w:r>
      <w:r w:rsidR="00F62FE9">
        <w:instrText xml:space="preserve"> ADDIN ZOTERO_ITEM CSL_CITATION {"citationID":"Oo4JHfkv","properties":{"formattedCitation":"[2, 3, 24]","plainCitation":"[2, 3, 24]","noteIndex":0},"citationItems":[{"id":3828,"uris":["http://zotero.org/users/2945453/items/RJLV7GNX"],"itemData":{"id":3828,"type":"article-journal","abstract":"Background: The purpose of this study is to compare and analyze research studies focused on orthorexia nervosa (ON) as a spectrum of eating disorders, and to summarize potential risk factors in different age and social groups. ON is characterized by an obsession with healthy eating, which leads to a restrictive diet and health problems. Methods: Due to a lack of comprehensive analyses, this review re-examined studies from 2006 to 2023, initially retrieving 53,134 articles. Upon refining the criteria and risk factors for eating disorders, 34 notable records were identified. These studies employed diagnostic tools such as ORTO and BOT, focusing on risk factors for ON. Results: Results indicate that individuals suffering from eating disorders, losing weight, exercising heavily, developing relationship problems, and suffering from body dysmorphic disorder are at high risk of developing ON. A significant correlation was found between ON, BMI, and gender, but not between ON and OCD. Interestingly, ON symptoms appear to overlap with those of other eating disorders, such as anorexia and bulimia, especially in terms of obsessive control over dieting and fear of gaining weight, indicating a close relationship between the two. Conclusions: Interestingly, orthorexia nervosa may serve as a coping mechanism for anorexia, providing a sense of control. However, further research on its long-term effects is required.","container-title":"Nutrients","DOI":"10.3390/nu16193304","ISSN":"2072-6643","issue":"19","journalAbbreviation":"Nutrients","language":"en","license":"https://creativecommons.org/licenses/by/4.0/","page":"3304","source":"DOI.org (Crossref)","title":"Orthorexia as an Eating Disorder Spectrum—A Review of the Literature","volume":"16","author":[{"family":"Łucka","given":"Izabela"},{"family":"Mazur","given":"Artur"},{"family":"Łucka","given":"Anna"},{"family":"Sarzyńska","given":"Izabela"},{"family":"Trojniak","given":"Julia"},{"family":"Kopańska","given":"Marta"}],"issued":{"date-parts":[["2024",9,29]]}},"label":"page"},{"id":3830,"uris":["http://zotero.org/users/2945453/items/JVE7BNAW"],"itemData":{"id":3830,"type":"article-journal","abstract":"Abstract\n            \n              Background\n              Orthorexia nervosa is a recently conceptualised pathological entity presenting as an obsessive focus on healthy eating with associated psychosocial impairment.\n            \n            \n              Aims\n              The present study investigated the differential associations between orthorexia nervosa and healthy orthorexia with distress and impairment.\n            \n            \n              Materials &amp; Methods\n              \n                With a community sample (\n                N\n                = 268) multiple measures of orthorexia nervosa and health orthorexia were compared as explanatory variables in mediation structural equation modelling (SEM). Outcome variables assessed and investigated were psychological distress while demographic variables were controlled. The mediating roles of perfectionism and health anxiety on orthorexia nervosa were examined with further preventative mediation role of mindfulness on distress.\n              \n            \n            \n              Results\n              Distinctive to other eating disorders, gender showed no significant effects on orthorexia nervosa and healthy orthorexia. Signalling measurement issues for this disorder, the different measures of orthorexia nervosa resulted in mixed findings regarding body mass index and age. Findings supported perfectionism and health anxiety as risk factors, as well as mindfulness acceptance as a preventative factor in both orthorexia nervosa and healthy orthorexia. Orthorexia nervosa and healthy orthorexia assessed by most measures, contrary to the expectations, had significant positive associations with psychological distress indicated by stress, anxiety, and depression.\n            \n            \n              Discussion &amp; Conclusion\n              The complexity in differentiating orthorexia nervosa from healthy orthorexia calls for further investigation. This research effort should serve to substantiate the status of orthorexia nervosa as a distinct clinical disorder.\n            \n          , \n            Key points\n            \n              \n                \n                  Both orthorexia nervosa and healthy orthorexia had significant positive associations with psychological distress indicated by stress, anxiety, and depression.\n                \n                \n                  Perfectionism and health anxiety were risk factors while mindfulness acceptance was a preventative factor in both orthorexia nervosa and healthy orthorexia.\n                \n                \n                  The measurement and complexity in differentiating orthorexia nervosa from healthy orthorexia calls for further investigation.","container-title":"European Eating Disorders Review","DOI":"10.1002/erv.3032","ISSN":"1072-4133, 1099-0968","issue":"1","journalAbbreviation":"Euro Eating Disorders Rev","language":"en","page":"130-147","source":"DOI.org (Crossref)","title":"Orthorexia nervosa versus healthy orthorexia: Anxiety, perfectionism, and mindfulness as risk and preventative factors of distress","title-short":"Orthorexia nervosa versus healthy orthorexia","volume":"32","author":[{"family":"Barlow","given":"Isabella Uma"},{"family":"Lee","given":"Eunro"},{"family":"Saling","given":"Lauren"}],"issued":{"date-parts":[["2024",1]]}},"label":"page"},{"id":3849,"uris":["http://zotero.org/users/2945453/items/QYH6H3AI"],"itemData":{"id":3849,"type":"article-journal","abstract":"Abstract\n            \n              Background\n              \n                Orthorexia Nervosa (ON) is a disordered eating style involving an unhealthy obsession with ‘healthy’ or ‘clean’ eating. Its aetiology is still poorly understood and is not yet recognised in diagnostic manuals. While ON has been associated with Obsessive Compulsive (OC) symptoms and perfectionism, no study to date has looked at the relationship between OC symptoms and ON tendencies\n                via\n                perfectionism, or the influence of two facets of perfectionism in this relationship, namely evaluative concern and achievement striving. Examining the potential role of perfectionism helps to understand the aetiology of ON as well as inform potential treatments tailored specifically for ON and comorbid OC symptoms.\n              \n            \n            \n              Methods\n              \n                In this cross sectional study, we tested 507 participants (\n                n\n                 = 70 males,\n                n\n                 = 69 at risk of ON) on questionnaires measuring OC symptoms, perfectionism and ON symptoms. We ran two mediation analyses to look at the overall relationship between perfectionism and OC and ON symptoms (Model 1) as well as the specific contribution of evaluative concern and achievement striving in the relationship between OC and ON symptoms (Model 2).\n              \n            \n            \n              Results\n              We found that perfectionism partially mediated the relationship between OC and ON symptoms. Specifically, we found that while achievement striving and evaluative concern were associated with OC symptoms, only achievement striving was significantly associated with ON symptoms, mediating the relationship between OC and ON symptoms.\n            \n            \n              Conclusions\n              This study highlighted the role of one key facet of perfectionism (achievement striving) in the aetiology of ON. The role of achievement striving was indicated as a transdiagnostic construct explaining the link between ON and OC symptoms. These findings are discussed in terms of their implications for treatment models, specifically in terms of the potential role of targeting perfectionism in ON treatment.","container-title":"Journal of Eating Disorders","DOI":"10.1186/s40337-024-01032-w","ISSN":"2050-2974","issue":"1","journalAbbreviation":"J Eat Disord","language":"en","page":"91","source":"DOI.org (Crossref)","title":"Striving for the perfect diet? The mediating role of perfectionism in the relationship between obsessive compulsive symptoms and traits of Orthorexia Nervosa","title-short":"Striving for the perfect diet?","volume":"12","author":[{"family":"Greville-Harris","given":"Maddy"},{"family":"Vuillier","given":"Laura"},{"family":"Goodall","given":"Summer"},{"family":"Talbot","given":"Catherine V."},{"family":"Walker","given":"Cliona"},{"family":"Appleton","given":"Katherine M."}],"issued":{"date-parts":[["2024",7,1]]}},"label":"page"}],"schema":"https://github.com/citation-style-language/schema/raw/master/csl-citation.json"} </w:instrText>
      </w:r>
      <w:r w:rsidR="00473F10" w:rsidRPr="00E45C93">
        <w:fldChar w:fldCharType="separate"/>
      </w:r>
      <w:r w:rsidR="00F62FE9">
        <w:rPr>
          <w:noProof/>
        </w:rPr>
        <w:t>[2, 3, 24]</w:t>
      </w:r>
      <w:r w:rsidR="00473F10" w:rsidRPr="00E45C93">
        <w:fldChar w:fldCharType="end"/>
      </w:r>
      <w:r w:rsidRPr="00E45C93">
        <w:t>. AN is thus a particularly informative comparison group for identifying overlapping and divergent biological profiles. In contrast, BN, while offering insights into the broader spectrum of disordered eating, is driven by different motivational and emotional processes (e.g., weight concerns and shame following binge episodes) and exhibits distinct biological patterns related to purging behaviours and binge cycles</w:t>
      </w:r>
      <w:r w:rsidR="002412CA" w:rsidRPr="00E45C93">
        <w:t xml:space="preserve"> </w:t>
      </w:r>
      <w:r w:rsidR="002412CA" w:rsidRPr="00E45C93">
        <w:fldChar w:fldCharType="begin"/>
      </w:r>
      <w:r w:rsidR="00776452">
        <w:instrText xml:space="preserve"> ADDIN ZOTERO_ITEM CSL_CITATION {"citationID":"3Cigv6hk","properties":{"formattedCitation":"[28]","plainCitation":"[28]","noteIndex":0},"citationItems":[{"id":3862,"uris":["http://zotero.org/users/2945453/items/4B9ML9QS"],"itemData":{"id":3862,"type":"article-journal","container-title":"Current Problems in Pediatrics","DOI":"10.1016/S0045-9380(06)80025-3","ISSN":"00459380","issue":"2","journalAbbreviation":"Current Problems in Pediatrics","language":"en","license":"https://www.elsevier.com/tdm/userlicense/1.0/","page":"67-89","source":"DOI.org (Crossref)","title":"A review of anorexia nervosa and bulimia nervosa","volume":"25","author":[{"family":"Blake Woodside","given":"D."}],"issued":{"date-parts":[["1995",2]]}},"label":"page"}],"schema":"https://github.com/citation-style-language/schema/raw/master/csl-citation.json"} </w:instrText>
      </w:r>
      <w:r w:rsidR="002412CA" w:rsidRPr="00E45C93">
        <w:fldChar w:fldCharType="separate"/>
      </w:r>
      <w:r w:rsidR="00776452">
        <w:rPr>
          <w:noProof/>
        </w:rPr>
        <w:t>[28]</w:t>
      </w:r>
      <w:r w:rsidR="002412CA" w:rsidRPr="00E45C93">
        <w:fldChar w:fldCharType="end"/>
      </w:r>
      <w:r w:rsidRPr="00E45C93">
        <w:t>. Thus, including AN and HO alongside healthy controls allows the proposed study to isolate ON-specific biological and psychological features and determine whether ON is best conceptualized as a distinct clinical entity or a variant within the eating disorder spectrum.</w:t>
      </w:r>
    </w:p>
    <w:p w14:paraId="77891575" w14:textId="107DC102" w:rsidR="00900E1B" w:rsidRDefault="00900E1B" w:rsidP="005A425F">
      <w:pPr>
        <w:spacing w:line="360" w:lineRule="auto"/>
        <w:jc w:val="both"/>
      </w:pPr>
      <w:r w:rsidRPr="00E45C93">
        <w:t>Given the increasing societal emphasis on “clean” eating, health optimization, and self-regulation</w:t>
      </w:r>
      <w:r w:rsidR="002412CA" w:rsidRPr="00E45C93">
        <w:t xml:space="preserve"> </w:t>
      </w:r>
      <w:r w:rsidR="002412CA" w:rsidRPr="00E45C93">
        <w:fldChar w:fldCharType="begin"/>
      </w:r>
      <w:r w:rsidR="00776452">
        <w:instrText xml:space="preserve"> ADDIN ZOTERO_ITEM CSL_CITATION {"citationID":"mNINlMax","properties":{"formattedCitation":"[29, 30]","plainCitation":"[29, 30]","noteIndex":0},"citationItems":[{"id":4001,"uris":["http://zotero.org/users/2945453/items/27RJ4U79"],"itemData":{"id":4001,"type":"book","collection-title":"Routledge critical leisure studies","event-place":"London New York","ISBN":"978-1-00-325602-1","language":"eng","note":"DOI: 10.4324/9781003256021","number-of-pages":"1","publisher":"Routledge","publisher-place":"London New York","source":"K10plus ISBN","title":"Digital wellness, health and fitness influencers: critical perspectives on digital guru media","title-short":"Digital wellness, health and fitness influencers","editor":[{"family":"Lawrence","given":"Stefan"}],"issued":{"date-parts":[["2022"]]}},"label":"page"},{"id":4000,"uris":["http://zotero.org/users/2945453/items/5F7ZXIEI"],"itemData":{"id":4000,"type":"article-journal","abstract":"In the world of wellness, food and eating are fundamentally important to one’s subjectivity: the self in this sphere is created and maintained through food consumption along a plant-based, ‘wholesome’ and healthy personal journey to well-being. This article focuses on the analysis of wellness food blogs run by women, aiming to map out the technologies of the self through which the ‘ideal wellness subject’ is created. The analysis examines technologies of subjectivity as they aspire towards (1) balance, (2) healing and (3) narrativization of the self. The article suggests that the subjectivities related to wellness culture draw from postfeminist and healthist ideologies and are based on a neoliberal discourse of individuality and self-control. The sociocultural indifference of wellness culture and its prerogative to police the self through culturally hegemonic pursuits based on (the right kind of) consumption makes the language of wellness a prominent neoliberal discourse.","container-title":"European Journal of Cultural Studies","DOI":"10.1177/13675494211055734","ISSN":"1367-5494, 1460-3551","issue":"6","journalAbbreviation":"European Journal of Cultural Studies","language":"en","page":"1382-1400","source":"DOI.org (Crossref)","title":"Fulfilling the self through food in wellness blogs: Governing the healthy subject","title-short":"Fulfilling the self through food in wellness blogs","volume":"24","author":[{"family":"Tiusanen","given":"Kaisa"}],"issued":{"date-parts":[["2021",12]]}},"label":"page"}],"schema":"https://github.com/citation-style-language/schema/raw/master/csl-citation.json"} </w:instrText>
      </w:r>
      <w:r w:rsidR="002412CA" w:rsidRPr="00E45C93">
        <w:fldChar w:fldCharType="separate"/>
      </w:r>
      <w:r w:rsidR="00776452">
        <w:rPr>
          <w:noProof/>
        </w:rPr>
        <w:t>[29, 30]</w:t>
      </w:r>
      <w:r w:rsidR="002412CA" w:rsidRPr="00E45C93">
        <w:fldChar w:fldCharType="end"/>
      </w:r>
      <w:r w:rsidRPr="00E45C93">
        <w:t xml:space="preserve">, ON may represent a culturally reinforced disorder with potentially widespread consequences. By incorporating cytokine profiling, microbiome sequencing, EEG/ERP measures, and psychometric evaluation in the same cohort, the proposed research offers a novel contribution to both clinical science and public health. This work </w:t>
      </w:r>
      <w:r w:rsidR="00106349" w:rsidRPr="00E45C93">
        <w:t>will</w:t>
      </w:r>
      <w:r w:rsidRPr="00E45C93">
        <w:t xml:space="preserve"> yield ON’s first evidence-based biological model, inform its classification and diagnosis, and guide early detection and intervention strategies. </w:t>
      </w:r>
    </w:p>
    <w:p w14:paraId="43622751" w14:textId="6D23B117" w:rsidR="00D5213C" w:rsidRPr="00E45C93" w:rsidRDefault="00E77952" w:rsidP="005A425F">
      <w:pPr>
        <w:spacing w:line="360" w:lineRule="auto"/>
        <w:jc w:val="both"/>
      </w:pPr>
      <w:r>
        <w:t>Including</w:t>
      </w:r>
      <w:r w:rsidR="00D5213C" w:rsidRPr="00D5213C">
        <w:t xml:space="preserve"> four domains—psychological, immune, neural, and microbiome—reflects an integrative systems approach to ideologically driven eating behaviours. For example, inflammatory cytokines (IL-6, TNF-α) have been linked to cognitive rigidity and anxiety</w:t>
      </w:r>
      <w:r w:rsidR="00D1355E">
        <w:t xml:space="preserve">, </w:t>
      </w:r>
      <w:r w:rsidR="00D5213C" w:rsidRPr="00D5213C">
        <w:t>core traits of ON. These traits may manifest as altered ERP responses (e.g., N200 or P300), indicating attentional and emotional dysregulation. Simultaneously, gut microbial profiles may reflect or even exacerbate this neuroinflammatory and cognitive-affective rigidity. By examining ON across these domains, the study can identify converging patterns that offer a multidimensional understanding of how ideological beliefs about purity may become biologically and psychologically entrenched</w:t>
      </w:r>
      <w:r w:rsidR="00D5213C">
        <w:t xml:space="preserve">. </w:t>
      </w:r>
    </w:p>
    <w:p w14:paraId="5F26CCE4" w14:textId="77777777" w:rsidR="00E734AC" w:rsidRPr="00E45C93" w:rsidRDefault="00E734AC" w:rsidP="005A425F">
      <w:pPr>
        <w:pBdr>
          <w:top w:val="single" w:sz="4" w:space="1" w:color="auto"/>
          <w:bottom w:val="single" w:sz="4" w:space="1" w:color="auto"/>
        </w:pBdr>
        <w:spacing w:line="360" w:lineRule="auto"/>
        <w:jc w:val="both"/>
        <w:rPr>
          <w:b/>
          <w:bCs/>
        </w:rPr>
      </w:pPr>
      <w:r w:rsidRPr="00E45C93">
        <w:rPr>
          <w:b/>
          <w:bCs/>
        </w:rPr>
        <w:t>Research Objectives and Expected Significance</w:t>
      </w:r>
    </w:p>
    <w:p w14:paraId="6E8F4096" w14:textId="77777777" w:rsidR="00E734AC" w:rsidRPr="00CA2EF9" w:rsidRDefault="00E734AC" w:rsidP="005A425F">
      <w:pPr>
        <w:spacing w:line="360" w:lineRule="auto"/>
        <w:jc w:val="both"/>
        <w:rPr>
          <w:i/>
          <w:iCs/>
          <w:u w:val="single"/>
        </w:rPr>
      </w:pPr>
      <w:r w:rsidRPr="00CA2EF9">
        <w:rPr>
          <w:i/>
          <w:iCs/>
          <w:u w:val="single"/>
        </w:rPr>
        <w:t>Research Objectives</w:t>
      </w:r>
    </w:p>
    <w:p w14:paraId="08AD9AB4" w14:textId="6C701752" w:rsidR="00E734AC" w:rsidRPr="00E45C93" w:rsidRDefault="00FA5332" w:rsidP="005A425F">
      <w:pPr>
        <w:spacing w:line="360" w:lineRule="auto"/>
        <w:jc w:val="both"/>
      </w:pPr>
      <w:r w:rsidRPr="00FA5332">
        <w:t>Th</w:t>
      </w:r>
      <w:r w:rsidR="00F62FE9">
        <w:t xml:space="preserve">is study’s </w:t>
      </w:r>
      <w:proofErr w:type="spellStart"/>
      <w:r w:rsidR="00F62FE9">
        <w:t>overa</w:t>
      </w:r>
      <w:proofErr w:type="spellEnd"/>
      <w:r w:rsidR="00FF4986">
        <w:t xml:space="preserve"> </w:t>
      </w:r>
      <w:proofErr w:type="spellStart"/>
      <w:r w:rsidR="00FF4986">
        <w:t>aim</w:t>
      </w:r>
      <w:r w:rsidR="00F62FE9">
        <w:t>lore</w:t>
      </w:r>
      <w:proofErr w:type="spellEnd"/>
      <w:r w:rsidR="00F62FE9">
        <w:t xml:space="preserve"> ON's biopsychological architecture</w:t>
      </w:r>
      <w:r w:rsidRPr="00FA5332">
        <w:t xml:space="preserve"> by integrating psychological, immunological, gut microbiome, and neurophysiological data. Although ON has received growing attention, its status as a distinct psychiatric entity remains under debate. This study adopts a cautious, exploratory stance to identify whether ON exhibits unique patterns across key biological and psychological domains and how it compares to HO, AN, and non-disordered controls (CG)</w:t>
      </w:r>
      <w:r w:rsidR="00E734AC" w:rsidRPr="00E45C93">
        <w:t>.</w:t>
      </w:r>
    </w:p>
    <w:p w14:paraId="0714A790" w14:textId="75BD1232" w:rsidR="00E734AC" w:rsidRPr="00CA2EF9" w:rsidRDefault="00E734AC" w:rsidP="005A425F">
      <w:pPr>
        <w:spacing w:line="360" w:lineRule="auto"/>
        <w:jc w:val="both"/>
        <w:rPr>
          <w:i/>
          <w:iCs/>
          <w:u w:val="single"/>
        </w:rPr>
      </w:pPr>
      <w:r w:rsidRPr="00CA2EF9">
        <w:rPr>
          <w:i/>
          <w:iCs/>
          <w:u w:val="single"/>
        </w:rPr>
        <w:lastRenderedPageBreak/>
        <w:t>Primary Objective</w:t>
      </w:r>
    </w:p>
    <w:p w14:paraId="3E6CED52" w14:textId="184295AC" w:rsidR="00E734AC" w:rsidRPr="00E45C93" w:rsidRDefault="00FA5332" w:rsidP="005A425F">
      <w:pPr>
        <w:spacing w:line="360" w:lineRule="auto"/>
        <w:jc w:val="both"/>
      </w:pPr>
      <w:r w:rsidRPr="00FA5332">
        <w:t>T</w:t>
      </w:r>
      <w:r w:rsidR="0013002F">
        <w:t>h</w:t>
      </w:r>
      <w:r w:rsidR="00193AA7">
        <w:t>is study aim</w:t>
      </w:r>
      <w:r w:rsidR="0013002F">
        <w:t>s t</w:t>
      </w:r>
      <w:r w:rsidRPr="00FA5332">
        <w:t>o investigate the core biopsychological features of ON by examining psychological, immunological, neurophysiological</w:t>
      </w:r>
      <w:r w:rsidR="00193AA7">
        <w:t xml:space="preserve">, and </w:t>
      </w:r>
      <w:r w:rsidR="00193AA7" w:rsidRPr="00FA5332">
        <w:t xml:space="preserve">gut microbiome </w:t>
      </w:r>
      <w:r w:rsidRPr="00FA5332">
        <w:t>markers and comparing them with HO, AN, and CG</w:t>
      </w:r>
      <w:r w:rsidR="00E734AC" w:rsidRPr="00E45C93">
        <w:t>.</w:t>
      </w:r>
    </w:p>
    <w:p w14:paraId="73D92A7E" w14:textId="7170104E" w:rsidR="00E734AC" w:rsidRPr="00CA2EF9" w:rsidRDefault="00E734AC" w:rsidP="005A425F">
      <w:pPr>
        <w:spacing w:line="360" w:lineRule="auto"/>
        <w:jc w:val="both"/>
        <w:rPr>
          <w:i/>
          <w:iCs/>
          <w:u w:val="single"/>
        </w:rPr>
      </w:pPr>
      <w:r w:rsidRPr="00CA2EF9">
        <w:rPr>
          <w:i/>
          <w:iCs/>
          <w:u w:val="single"/>
        </w:rPr>
        <w:t>Specific Objectives</w:t>
      </w:r>
    </w:p>
    <w:p w14:paraId="6D401D74" w14:textId="33C41D17" w:rsidR="00E734AC" w:rsidRPr="00E45C93" w:rsidRDefault="00E734AC" w:rsidP="005A425F">
      <w:pPr>
        <w:numPr>
          <w:ilvl w:val="0"/>
          <w:numId w:val="2"/>
        </w:numPr>
        <w:spacing w:line="360" w:lineRule="auto"/>
        <w:jc w:val="both"/>
      </w:pPr>
      <w:r w:rsidRPr="00E45C93">
        <w:rPr>
          <w:b/>
          <w:bCs/>
        </w:rPr>
        <w:t>Psychological Profiling:</w:t>
      </w:r>
      <w:r w:rsidRPr="00E45C93">
        <w:t xml:space="preserve"> </w:t>
      </w:r>
      <w:r w:rsidR="00FA5332" w:rsidRPr="00FA5332">
        <w:t>To identify cognitive, emotional, and behavioral traits—such as anxiety, perfectionism, rigidity, and obsessive-compulsive tendencies—that uniquely characterize ON, using validated psychometric instruments</w:t>
      </w:r>
      <w:r w:rsidRPr="00E45C93">
        <w:t>.</w:t>
      </w:r>
    </w:p>
    <w:p w14:paraId="4FB6EABE" w14:textId="221BAFCC" w:rsidR="00E734AC" w:rsidRPr="00E45C93" w:rsidRDefault="00E734AC" w:rsidP="005A425F">
      <w:pPr>
        <w:numPr>
          <w:ilvl w:val="0"/>
          <w:numId w:val="2"/>
        </w:numPr>
        <w:spacing w:line="360" w:lineRule="auto"/>
        <w:jc w:val="both"/>
      </w:pPr>
      <w:r w:rsidRPr="00E45C93">
        <w:rPr>
          <w:b/>
          <w:bCs/>
        </w:rPr>
        <w:t>Immunological Analysis:</w:t>
      </w:r>
      <w:r w:rsidRPr="00E45C93">
        <w:t xml:space="preserve"> </w:t>
      </w:r>
      <w:r w:rsidR="00FA5332" w:rsidRPr="00FA5332">
        <w:t>To characterize ON-specific inflammatory profiles by measuring circulating cytokines (e.g., IL-6, IL-1β, TNF-α, IL-10) and comparing them across ON, AN, HO, and CG groups</w:t>
      </w:r>
      <w:r w:rsidRPr="00E45C93">
        <w:t>.</w:t>
      </w:r>
    </w:p>
    <w:p w14:paraId="54AADDB6" w14:textId="6FA39FC5" w:rsidR="00E734AC" w:rsidRPr="00E45C93" w:rsidRDefault="00E734AC" w:rsidP="005A425F">
      <w:pPr>
        <w:numPr>
          <w:ilvl w:val="0"/>
          <w:numId w:val="2"/>
        </w:numPr>
        <w:spacing w:line="360" w:lineRule="auto"/>
        <w:jc w:val="both"/>
      </w:pPr>
      <w:r w:rsidRPr="00E45C93">
        <w:rPr>
          <w:b/>
          <w:bCs/>
        </w:rPr>
        <w:t>Neurophysiological Assessment:</w:t>
      </w:r>
      <w:r w:rsidRPr="00E45C93">
        <w:t xml:space="preserve"> </w:t>
      </w:r>
      <w:r w:rsidR="00FA5332" w:rsidRPr="00FA5332">
        <w:t>To examine resting-state EEG and event-related potential (ERP) responses to food-related and self-referential stimuli, identifying neural activity patterns that may distinguish ON from related conditions</w:t>
      </w:r>
      <w:r w:rsidRPr="00E45C93">
        <w:t>.</w:t>
      </w:r>
    </w:p>
    <w:p w14:paraId="4227F324" w14:textId="3C1D75F3" w:rsidR="00FA5332" w:rsidRPr="00FA5332" w:rsidRDefault="00FA5332" w:rsidP="005A425F">
      <w:pPr>
        <w:spacing w:line="360" w:lineRule="auto"/>
        <w:jc w:val="both"/>
        <w:rPr>
          <w:i/>
          <w:iCs/>
          <w:u w:val="single"/>
        </w:rPr>
      </w:pPr>
      <w:r w:rsidRPr="00FA5332">
        <w:rPr>
          <w:i/>
          <w:iCs/>
          <w:u w:val="single"/>
        </w:rPr>
        <w:t>Secondary (Exploratory) Objectives</w:t>
      </w:r>
    </w:p>
    <w:p w14:paraId="15E45F3F" w14:textId="2BE05E1D" w:rsidR="00D43D28" w:rsidRPr="00D43D28" w:rsidRDefault="00D43D28" w:rsidP="005A425F">
      <w:pPr>
        <w:numPr>
          <w:ilvl w:val="0"/>
          <w:numId w:val="2"/>
        </w:numPr>
        <w:spacing w:line="360" w:lineRule="auto"/>
        <w:jc w:val="both"/>
      </w:pPr>
      <w:r w:rsidRPr="00E45C93">
        <w:rPr>
          <w:b/>
          <w:bCs/>
        </w:rPr>
        <w:t>Gut Microbiome Characterization</w:t>
      </w:r>
      <w:r>
        <w:rPr>
          <w:b/>
          <w:bCs/>
        </w:rPr>
        <w:t xml:space="preserve"> (Exploratory)</w:t>
      </w:r>
      <w:r w:rsidRPr="00E45C93">
        <w:rPr>
          <w:b/>
          <w:bCs/>
        </w:rPr>
        <w:t>:</w:t>
      </w:r>
      <w:r w:rsidRPr="00E45C93">
        <w:t xml:space="preserve"> </w:t>
      </w:r>
      <w:r w:rsidRPr="00FA5332">
        <w:t xml:space="preserve">To </w:t>
      </w:r>
      <w:proofErr w:type="spellStart"/>
      <w:r w:rsidRPr="00FA5332">
        <w:t>analyze</w:t>
      </w:r>
      <w:proofErr w:type="spellEnd"/>
      <w:r w:rsidRPr="00FA5332">
        <w:t xml:space="preserve"> </w:t>
      </w:r>
      <w:r>
        <w:t xml:space="preserve">ON participants’ </w:t>
      </w:r>
      <w:r w:rsidRPr="00FA5332">
        <w:t>gut microbial diversity and taxonomic composition, assess associations with restrictive or ideologically driven dietary patterns, and compare findings across diagnostic groups</w:t>
      </w:r>
      <w:r w:rsidRPr="00E45C93">
        <w:t>.</w:t>
      </w:r>
    </w:p>
    <w:p w14:paraId="3A087C97" w14:textId="337E7893" w:rsidR="00E734AC" w:rsidRPr="00E45C93" w:rsidRDefault="00E734AC" w:rsidP="005A425F">
      <w:pPr>
        <w:numPr>
          <w:ilvl w:val="0"/>
          <w:numId w:val="2"/>
        </w:numPr>
        <w:spacing w:line="360" w:lineRule="auto"/>
        <w:jc w:val="both"/>
      </w:pPr>
      <w:r w:rsidRPr="00E45C93">
        <w:rPr>
          <w:b/>
          <w:bCs/>
        </w:rPr>
        <w:t>Multimodal Integration:</w:t>
      </w:r>
      <w:r w:rsidRPr="00E45C93">
        <w:t xml:space="preserve"> </w:t>
      </w:r>
      <w:r w:rsidR="00C452A7" w:rsidRPr="00C452A7">
        <w:t>If time and data quality permit, exploratory efforts will be made to integrate these findings into a preliminary model of ON’s biopsychological profile using traditional multivariate techniques (e.g., correlation matrices, linear regressions, PCA)</w:t>
      </w:r>
      <w:r w:rsidR="00C452A7">
        <w:t xml:space="preserve">. This step is </w:t>
      </w:r>
      <w:r w:rsidR="009530A0" w:rsidRPr="00C452A7">
        <w:rPr>
          <w:b/>
          <w:bCs/>
        </w:rPr>
        <w:t>deferred to Years 4–5</w:t>
      </w:r>
      <w:r w:rsidR="009530A0" w:rsidRPr="009530A0">
        <w:t xml:space="preserve"> of the project</w:t>
      </w:r>
      <w:r w:rsidR="00E90C96" w:rsidRPr="00E90C96">
        <w:t xml:space="preserve">. </w:t>
      </w:r>
      <w:r w:rsidR="009530A0" w:rsidRPr="009530A0">
        <w:t>This postponement allows for sufficient data accumulation, quality assessment, and preliminary validation of primary analyses before engaging in high-dimensional exploratory modelling</w:t>
      </w:r>
      <w:r w:rsidR="009530A0">
        <w:t xml:space="preserve">. </w:t>
      </w:r>
      <w:r w:rsidR="00E90C96" w:rsidRPr="00E90C96">
        <w:t>Primary analyses will be prioritized to avoid inflation of false discovery rates, with correction procedures (e.g., FDR control) implemented</w:t>
      </w:r>
      <w:r w:rsidRPr="00E45C93">
        <w:t>.</w:t>
      </w:r>
    </w:p>
    <w:p w14:paraId="72A06ECA" w14:textId="233B8825" w:rsidR="00E734AC" w:rsidRDefault="00E734AC" w:rsidP="005A425F">
      <w:pPr>
        <w:numPr>
          <w:ilvl w:val="0"/>
          <w:numId w:val="2"/>
        </w:numPr>
        <w:spacing w:line="360" w:lineRule="auto"/>
        <w:jc w:val="both"/>
      </w:pPr>
      <w:r w:rsidRPr="00E45C93">
        <w:rPr>
          <w:b/>
          <w:bCs/>
        </w:rPr>
        <w:t>Temporal Stability</w:t>
      </w:r>
      <w:r w:rsidR="00583960">
        <w:rPr>
          <w:b/>
          <w:bCs/>
        </w:rPr>
        <w:t xml:space="preserve"> (Longitudinal Follow-up)</w:t>
      </w:r>
      <w:r w:rsidRPr="00E45C93">
        <w:rPr>
          <w:b/>
          <w:bCs/>
        </w:rPr>
        <w:t>:</w:t>
      </w:r>
      <w:r w:rsidRPr="00E45C93">
        <w:t xml:space="preserve"> </w:t>
      </w:r>
      <w:r w:rsidR="00583960" w:rsidRPr="00583960">
        <w:t>To evaluate the 12-month stability of key psychological and biological markers in a subset of participants, assessing whether ON-related features represent enduring traits or state-dependent fluctuations</w:t>
      </w:r>
      <w:r w:rsidR="00C3229C">
        <w:t>.</w:t>
      </w:r>
      <w:r w:rsidR="00B9172E" w:rsidRPr="00B9172E">
        <w:t xml:space="preserve"> While the primary dataset is cross-sectional, the 12-month follow-up will provide preliminary insights into symptom and biomarker trajectories. However, we acknowledge that this limited follow-up in 30% of the sample cannot support strong causal claims. Rather, it is designed to identify potentially stable markers for future longitudinal or interventional studies. Findings will be </w:t>
      </w:r>
      <w:r w:rsidR="00B9172E" w:rsidRPr="00B9172E">
        <w:lastRenderedPageBreak/>
        <w:t xml:space="preserve">used to generate </w:t>
      </w:r>
      <w:proofErr w:type="spellStart"/>
      <w:r w:rsidR="00B9172E" w:rsidRPr="00B9172E">
        <w:t>hypot</w:t>
      </w:r>
      <w:proofErr w:type="spellEnd"/>
      <w:r w:rsidR="00B9172E" w:rsidRPr="00B9172E">
        <w:t xml:space="preserve"> ON progression and recovery rather than confirm long-term etiological pathways</w:t>
      </w:r>
      <w:r w:rsidR="00B9172E">
        <w:t xml:space="preserve">. </w:t>
      </w:r>
    </w:p>
    <w:p w14:paraId="68D1617B" w14:textId="462984DB" w:rsidR="00C3229C" w:rsidRPr="00E45C93" w:rsidRDefault="00C3229C" w:rsidP="005A425F">
      <w:pPr>
        <w:spacing w:line="360" w:lineRule="auto"/>
        <w:jc w:val="both"/>
      </w:pPr>
      <w:r w:rsidRPr="00C3229C">
        <w:t>An integrated analysis of psychological, immune, and neural data will allow us to move beyond symptom-level comparisons and identify latent ON profiles with theoretical implications for classification models and clinical differentiation</w:t>
      </w:r>
      <w:r>
        <w:t xml:space="preserve">. </w:t>
      </w:r>
    </w:p>
    <w:p w14:paraId="3C2436D1" w14:textId="77777777" w:rsidR="00E734AC" w:rsidRPr="00CA2EF9" w:rsidRDefault="00E734AC" w:rsidP="005A425F">
      <w:pPr>
        <w:spacing w:line="360" w:lineRule="auto"/>
        <w:jc w:val="both"/>
        <w:rPr>
          <w:i/>
          <w:iCs/>
          <w:u w:val="single"/>
        </w:rPr>
      </w:pPr>
      <w:r w:rsidRPr="00CA2EF9">
        <w:rPr>
          <w:i/>
          <w:iCs/>
          <w:u w:val="single"/>
        </w:rPr>
        <w:t>Expected Significance</w:t>
      </w:r>
    </w:p>
    <w:p w14:paraId="3DAAE065" w14:textId="77777777" w:rsidR="00E734AC" w:rsidRPr="00E45C93" w:rsidRDefault="00E734AC" w:rsidP="005A425F">
      <w:pPr>
        <w:pStyle w:val="ListParagraph"/>
        <w:numPr>
          <w:ilvl w:val="0"/>
          <w:numId w:val="3"/>
        </w:numPr>
        <w:spacing w:line="360" w:lineRule="auto"/>
        <w:jc w:val="both"/>
        <w:rPr>
          <w:rFonts w:ascii="Times New Roman" w:hAnsi="Times New Roman" w:cs="Times New Roman"/>
        </w:rPr>
      </w:pPr>
      <w:r w:rsidRPr="00E45C93">
        <w:rPr>
          <w:rFonts w:ascii="Times New Roman" w:hAnsi="Times New Roman" w:cs="Times New Roman"/>
          <w:b/>
          <w:bCs/>
        </w:rPr>
        <w:t xml:space="preserve">Diagnostic Precision and </w:t>
      </w:r>
      <w:proofErr w:type="spellStart"/>
      <w:r w:rsidRPr="00E45C93">
        <w:rPr>
          <w:rFonts w:ascii="Times New Roman" w:hAnsi="Times New Roman" w:cs="Times New Roman"/>
          <w:b/>
          <w:bCs/>
        </w:rPr>
        <w:t>Nosological</w:t>
      </w:r>
      <w:proofErr w:type="spellEnd"/>
      <w:r w:rsidRPr="00E45C93">
        <w:rPr>
          <w:rFonts w:ascii="Times New Roman" w:hAnsi="Times New Roman" w:cs="Times New Roman"/>
          <w:b/>
          <w:bCs/>
        </w:rPr>
        <w:t xml:space="preserve"> Clarification</w:t>
      </w:r>
      <w:r w:rsidRPr="00E45C93">
        <w:rPr>
          <w:rFonts w:ascii="Times New Roman" w:hAnsi="Times New Roman" w:cs="Times New Roman"/>
        </w:rPr>
        <w:t xml:space="preserve">: This research addresses the current lack of formal diagnostic criteria for ON. By identifying its distinct or overlapping biological and psychological features, the study will clarify whether ON represents a standalone clinical entity, a subtype of existing eating disorders, or a maladaptive variant of normative health behaviour. Such data will inform future </w:t>
      </w:r>
      <w:proofErr w:type="spellStart"/>
      <w:r w:rsidRPr="00E45C93">
        <w:rPr>
          <w:rFonts w:ascii="Times New Roman" w:hAnsi="Times New Roman" w:cs="Times New Roman"/>
        </w:rPr>
        <w:t>nosological</w:t>
      </w:r>
      <w:proofErr w:type="spellEnd"/>
      <w:r w:rsidRPr="00E45C93">
        <w:rPr>
          <w:rFonts w:ascii="Times New Roman" w:hAnsi="Times New Roman" w:cs="Times New Roman"/>
        </w:rPr>
        <w:t xml:space="preserve"> debates, including potential inclusion of ON in the DSM or ICD frameworks.</w:t>
      </w:r>
    </w:p>
    <w:p w14:paraId="051BC036" w14:textId="77777777" w:rsidR="00E734AC" w:rsidRPr="00E45C93" w:rsidRDefault="00E734AC" w:rsidP="005A425F">
      <w:pPr>
        <w:pStyle w:val="ListParagraph"/>
        <w:numPr>
          <w:ilvl w:val="0"/>
          <w:numId w:val="3"/>
        </w:numPr>
        <w:spacing w:line="360" w:lineRule="auto"/>
        <w:jc w:val="both"/>
        <w:rPr>
          <w:rFonts w:ascii="Times New Roman" w:hAnsi="Times New Roman" w:cs="Times New Roman"/>
        </w:rPr>
      </w:pPr>
      <w:r w:rsidRPr="00E45C93">
        <w:rPr>
          <w:rFonts w:ascii="Times New Roman" w:hAnsi="Times New Roman" w:cs="Times New Roman"/>
          <w:b/>
          <w:bCs/>
        </w:rPr>
        <w:t>Identification of Biomarkers for Early Detection and Risk Stratification</w:t>
      </w:r>
      <w:r w:rsidRPr="00E45C93">
        <w:rPr>
          <w:rFonts w:ascii="Times New Roman" w:hAnsi="Times New Roman" w:cs="Times New Roman"/>
        </w:rPr>
        <w:t>: Integrating immune, microbial, and neurophysiological measures offers a pathway to developing objective biomarkers for ON. These may facilitate early detection in at-risk individuals, particularly those initially exhibiting non-pathological health-oriented behaviours, and distinguish ON from both HO and traditional eating disorders. This is particularly relevant in the context of increasingly blurred boundaries between wellness culture and disordered eating.</w:t>
      </w:r>
    </w:p>
    <w:p w14:paraId="4DA72214" w14:textId="77777777" w:rsidR="00E734AC" w:rsidRPr="00E45C93" w:rsidRDefault="00E734AC" w:rsidP="005A425F">
      <w:pPr>
        <w:pStyle w:val="ListParagraph"/>
        <w:numPr>
          <w:ilvl w:val="0"/>
          <w:numId w:val="3"/>
        </w:numPr>
        <w:spacing w:line="360" w:lineRule="auto"/>
        <w:jc w:val="both"/>
        <w:rPr>
          <w:rFonts w:ascii="Times New Roman" w:hAnsi="Times New Roman" w:cs="Times New Roman"/>
        </w:rPr>
      </w:pPr>
      <w:r w:rsidRPr="00E45C93">
        <w:rPr>
          <w:rFonts w:ascii="Times New Roman" w:hAnsi="Times New Roman" w:cs="Times New Roman"/>
          <w:b/>
          <w:bCs/>
        </w:rPr>
        <w:t>Advancement of Gut-Brain-Axis and Neuroinflammation Models in Mental Health</w:t>
      </w:r>
      <w:r w:rsidRPr="00E45C93">
        <w:rPr>
          <w:rFonts w:ascii="Times New Roman" w:hAnsi="Times New Roman" w:cs="Times New Roman"/>
        </w:rPr>
        <w:t>: By connecting gut microbiota, immune markers, and brain-based EEG/ERP indices, this study will contribute to the broader scientific understanding of how diet, inflammation, and neural processing interact in the context of mental health. Findings could refine or expand current models of the gut-brain axis in eating disorders and obsessive-compulsive spectrum conditions.</w:t>
      </w:r>
    </w:p>
    <w:p w14:paraId="7BF18D2C" w14:textId="77777777" w:rsidR="00E734AC" w:rsidRPr="00E45C93" w:rsidRDefault="00E734AC" w:rsidP="005A425F">
      <w:pPr>
        <w:pStyle w:val="ListParagraph"/>
        <w:numPr>
          <w:ilvl w:val="0"/>
          <w:numId w:val="3"/>
        </w:numPr>
        <w:spacing w:line="360" w:lineRule="auto"/>
        <w:jc w:val="both"/>
        <w:rPr>
          <w:rFonts w:ascii="Times New Roman" w:hAnsi="Times New Roman" w:cs="Times New Roman"/>
        </w:rPr>
      </w:pPr>
      <w:r w:rsidRPr="00E45C93">
        <w:rPr>
          <w:rFonts w:ascii="Times New Roman" w:hAnsi="Times New Roman" w:cs="Times New Roman"/>
          <w:b/>
          <w:bCs/>
        </w:rPr>
        <w:t>Development of Targeted Prevention and Intervention Strategies</w:t>
      </w:r>
      <w:r w:rsidRPr="00E45C93">
        <w:rPr>
          <w:rFonts w:ascii="Times New Roman" w:hAnsi="Times New Roman" w:cs="Times New Roman"/>
        </w:rPr>
        <w:t>: Understanding ON’s biopsychological profile will support the design of targeted interventions aimed at improving emotional regulation, reducing dietary rigidity, and modulating physiological markers (e.g., inflammation, microbiome composition). It will also inform prevention strategies for individuals at risk of transitioning from healthy dietary interests to pathological patterns.</w:t>
      </w:r>
    </w:p>
    <w:p w14:paraId="54B462CA" w14:textId="77777777" w:rsidR="00E734AC" w:rsidRPr="00E45C93" w:rsidRDefault="00E734AC" w:rsidP="005A425F">
      <w:pPr>
        <w:pStyle w:val="ListParagraph"/>
        <w:numPr>
          <w:ilvl w:val="0"/>
          <w:numId w:val="3"/>
        </w:numPr>
        <w:spacing w:line="360" w:lineRule="auto"/>
        <w:jc w:val="both"/>
        <w:rPr>
          <w:rFonts w:ascii="Times New Roman" w:hAnsi="Times New Roman" w:cs="Times New Roman"/>
        </w:rPr>
      </w:pPr>
      <w:r w:rsidRPr="00E45C93">
        <w:rPr>
          <w:rFonts w:ascii="Times New Roman" w:hAnsi="Times New Roman" w:cs="Times New Roman"/>
          <w:b/>
          <w:bCs/>
        </w:rPr>
        <w:t>Public Health Relevance Amidst Global Wellness Trends</w:t>
      </w:r>
      <w:r w:rsidRPr="00E45C93">
        <w:rPr>
          <w:rFonts w:ascii="Times New Roman" w:hAnsi="Times New Roman" w:cs="Times New Roman"/>
        </w:rPr>
        <w:t xml:space="preserve">: With the global increase in wellness culture, plant-based dieting, and online “clean eating” communities, ON represents an emerging public health concern. This research responds to a pressing need for scientific </w:t>
      </w:r>
      <w:r w:rsidRPr="00E45C93">
        <w:rPr>
          <w:rFonts w:ascii="Times New Roman" w:hAnsi="Times New Roman" w:cs="Times New Roman"/>
        </w:rPr>
        <w:lastRenderedPageBreak/>
        <w:t>grounding in discussions of wellness-related psychopathology and offers policy-relevant insights for health education, clinical guidelines, and community-based interventions.</w:t>
      </w:r>
    </w:p>
    <w:p w14:paraId="3E83B1FC" w14:textId="70891D07" w:rsidR="00E734AC" w:rsidRDefault="00E734AC" w:rsidP="005A425F">
      <w:pPr>
        <w:pStyle w:val="ListParagraph"/>
        <w:numPr>
          <w:ilvl w:val="0"/>
          <w:numId w:val="3"/>
        </w:numPr>
        <w:spacing w:line="360" w:lineRule="auto"/>
        <w:jc w:val="both"/>
        <w:rPr>
          <w:rFonts w:ascii="Times New Roman" w:hAnsi="Times New Roman" w:cs="Times New Roman"/>
        </w:rPr>
      </w:pPr>
      <w:r w:rsidRPr="00E45C93">
        <w:rPr>
          <w:rFonts w:ascii="Times New Roman" w:hAnsi="Times New Roman" w:cs="Times New Roman"/>
          <w:b/>
          <w:bCs/>
        </w:rPr>
        <w:t>Methodological Innovation and Transdiagnostic Discovery</w:t>
      </w:r>
      <w:r w:rsidRPr="00E45C93">
        <w:rPr>
          <w:rFonts w:ascii="Times New Roman" w:hAnsi="Times New Roman" w:cs="Times New Roman"/>
        </w:rPr>
        <w:t xml:space="preserve">: The proposed study is methodologically innovative, integrating multimodal biological and psychological data in a unified framework. </w:t>
      </w:r>
    </w:p>
    <w:p w14:paraId="0B603078" w14:textId="4A05CEAD" w:rsidR="00647117" w:rsidRPr="00647117" w:rsidRDefault="00647117" w:rsidP="005A425F">
      <w:pPr>
        <w:spacing w:line="360" w:lineRule="auto"/>
        <w:jc w:val="both"/>
      </w:pPr>
      <w:r w:rsidRPr="00647117">
        <w:t xml:space="preserve">Findings will be synthesized into an </w:t>
      </w:r>
      <w:r w:rsidR="00FF4986">
        <w:t xml:space="preserve">online </w:t>
      </w:r>
      <w:r w:rsidRPr="00647117">
        <w:t xml:space="preserve">screening brief and disseminated to Israeli clinical dietitians, school counsellors, and primary care networks. The PI will coordinate with the Ministry of Health’s public education division </w:t>
      </w:r>
      <w:r w:rsidR="00CE53BE" w:rsidRPr="00CE53BE">
        <w:t>to disseminate findings through clinical workshops, briefings, and academic publications targeting dietitians, therapists, and primary care professionals</w:t>
      </w:r>
      <w:r>
        <w:t>.</w:t>
      </w:r>
    </w:p>
    <w:p w14:paraId="7552E598" w14:textId="77777777" w:rsidR="00D60DC6" w:rsidRPr="00E45C93" w:rsidRDefault="00D60DC6" w:rsidP="005A425F">
      <w:pPr>
        <w:pBdr>
          <w:top w:val="single" w:sz="4" w:space="1" w:color="auto"/>
          <w:bottom w:val="single" w:sz="4" w:space="1" w:color="auto"/>
        </w:pBdr>
        <w:spacing w:line="360" w:lineRule="auto"/>
        <w:jc w:val="both"/>
        <w:rPr>
          <w:b/>
          <w:bCs/>
        </w:rPr>
      </w:pPr>
      <w:r w:rsidRPr="00E45C93">
        <w:rPr>
          <w:b/>
          <w:bCs/>
        </w:rPr>
        <w:t>Detailed Description of the Proposed Research</w:t>
      </w:r>
    </w:p>
    <w:p w14:paraId="083EE53E" w14:textId="77777777" w:rsidR="00D60DC6" w:rsidRPr="00CA2EF9" w:rsidRDefault="00D60DC6" w:rsidP="005A425F">
      <w:pPr>
        <w:spacing w:line="360" w:lineRule="auto"/>
        <w:jc w:val="both"/>
        <w:rPr>
          <w:i/>
          <w:iCs/>
          <w:u w:val="single"/>
        </w:rPr>
      </w:pPr>
      <w:r w:rsidRPr="00CA2EF9">
        <w:rPr>
          <w:i/>
          <w:iCs/>
          <w:u w:val="single"/>
        </w:rPr>
        <w:t>Working Hypotheses</w:t>
      </w:r>
    </w:p>
    <w:p w14:paraId="6FED3A16" w14:textId="7A7B99D8" w:rsidR="00D60DC6" w:rsidRPr="00E45C93" w:rsidRDefault="00D60DC6" w:rsidP="005A425F">
      <w:pPr>
        <w:spacing w:line="360" w:lineRule="auto"/>
        <w:jc w:val="both"/>
      </w:pPr>
      <w:r w:rsidRPr="00E45C93">
        <w:t>The proposed project aims to decode the biopsychological underpinnings of ON, a condition that</w:t>
      </w:r>
      <w:r w:rsidR="005319EF">
        <w:t xml:space="preserve"> remains biologically uncharted</w:t>
      </w:r>
      <w:r w:rsidRPr="00E45C93">
        <w:t xml:space="preserve"> despite increasing clinical attention. We hypothesize that ON, compared to HO, AN, and CG, </w:t>
      </w:r>
      <w:r w:rsidR="00FF4986">
        <w:t xml:space="preserve">we hypothesize that ON </w:t>
      </w:r>
      <w:r w:rsidRPr="00E45C93">
        <w:t>will exhibit unique profiles across psychological, immunological, microbiome, and neurophysiological domains.</w:t>
      </w:r>
    </w:p>
    <w:p w14:paraId="0A56A29A" w14:textId="732E822F" w:rsidR="00D60DC6" w:rsidRPr="00E45C93" w:rsidRDefault="00D60DC6" w:rsidP="005A425F">
      <w:pPr>
        <w:spacing w:line="360" w:lineRule="auto"/>
        <w:jc w:val="both"/>
        <w:rPr>
          <w:i/>
          <w:iCs/>
        </w:rPr>
      </w:pPr>
      <w:r w:rsidRPr="00E45C93">
        <w:rPr>
          <w:i/>
          <w:iCs/>
        </w:rPr>
        <w:t>Primary Hypothesis</w:t>
      </w:r>
    </w:p>
    <w:p w14:paraId="38A8A086" w14:textId="6F71DFE7" w:rsidR="00D60DC6" w:rsidRPr="00E45C93" w:rsidRDefault="002A04F2" w:rsidP="005A425F">
      <w:pPr>
        <w:spacing w:line="360" w:lineRule="auto"/>
        <w:jc w:val="both"/>
      </w:pPr>
      <w:r w:rsidRPr="002A04F2">
        <w:t>Individuals identified with high orthorexic tendencies (as operationalized by the TOS) will exhibit psychological, immune, gut microbiome, and neural profiles that may differ from those observed in HO, AN, and CG. These differences will be examined to explore whether ON reflects a distinct biopsychological profile or shares transdiagnostic features with other eating- and obsession-related conditions</w:t>
      </w:r>
      <w:r w:rsidR="00D60DC6" w:rsidRPr="00E45C93">
        <w:t>.</w:t>
      </w:r>
    </w:p>
    <w:p w14:paraId="1E04DB6F" w14:textId="5A453D08" w:rsidR="001B4404" w:rsidRPr="005319EF" w:rsidRDefault="001B4404" w:rsidP="005A425F">
      <w:pPr>
        <w:spacing w:line="360" w:lineRule="auto"/>
        <w:jc w:val="both"/>
        <w:rPr>
          <w:i/>
          <w:iCs/>
        </w:rPr>
      </w:pPr>
      <w:r w:rsidRPr="005319EF">
        <w:rPr>
          <w:i/>
          <w:iCs/>
        </w:rPr>
        <w:t>Secondary Hypotheses</w:t>
      </w:r>
    </w:p>
    <w:p w14:paraId="3B62F942" w14:textId="03A1F41A" w:rsidR="001B4404" w:rsidRPr="00E45C93" w:rsidRDefault="001B4404" w:rsidP="005A425F">
      <w:pPr>
        <w:numPr>
          <w:ilvl w:val="0"/>
          <w:numId w:val="8"/>
        </w:numPr>
        <w:spacing w:line="360" w:lineRule="auto"/>
        <w:jc w:val="both"/>
      </w:pPr>
      <w:r w:rsidRPr="00E45C93">
        <w:t xml:space="preserve">ON and AN </w:t>
      </w:r>
      <w:proofErr w:type="gramStart"/>
      <w:r w:rsidRPr="00E45C93">
        <w:t>groups</w:t>
      </w:r>
      <w:proofErr w:type="gramEnd"/>
      <w:r w:rsidRPr="00E45C93">
        <w:t xml:space="preserve"> will exhibit significantly elevated psychological rigidity, anxiety, perfectionism, and obsessive-compulsive traits compared to HO and CG.</w:t>
      </w:r>
    </w:p>
    <w:p w14:paraId="5F011AD6" w14:textId="1085DF82" w:rsidR="001B4404" w:rsidRPr="00E45C93" w:rsidRDefault="001B4404" w:rsidP="005A425F">
      <w:pPr>
        <w:numPr>
          <w:ilvl w:val="0"/>
          <w:numId w:val="8"/>
        </w:numPr>
        <w:spacing w:line="360" w:lineRule="auto"/>
        <w:jc w:val="both"/>
      </w:pPr>
      <w:r w:rsidRPr="00E45C93">
        <w:t>Pro-inflammatory cytokines (IL-6, IL-1β, TNF-α) will be significantly higher in ON than in HO and CG, but lower than in AN</w:t>
      </w:r>
      <w:r w:rsidR="00A43777" w:rsidRPr="00E45C93">
        <w:t>.</w:t>
      </w:r>
    </w:p>
    <w:p w14:paraId="5021A919" w14:textId="5C0F11CA" w:rsidR="00A43777" w:rsidRPr="000A5579" w:rsidRDefault="001B4404" w:rsidP="005A425F">
      <w:pPr>
        <w:numPr>
          <w:ilvl w:val="0"/>
          <w:numId w:val="8"/>
        </w:numPr>
        <w:spacing w:line="360" w:lineRule="auto"/>
        <w:jc w:val="both"/>
        <w:rPr>
          <w:b/>
          <w:bCs/>
        </w:rPr>
      </w:pPr>
      <w:r w:rsidRPr="00E45C93">
        <w:t>Resting-state EEG and ERP responses (particularly N200, P300, and LPP) to food-related and self-referential stimuli will be altered in ON compared to HO and CG, reflecting disruptions in attentional control, emotion regulation, and conflict monitoring</w:t>
      </w:r>
      <w:r w:rsidR="00A43777" w:rsidRPr="00E45C93">
        <w:t>.</w:t>
      </w:r>
    </w:p>
    <w:p w14:paraId="4CC3BFE5" w14:textId="0C4E3D47" w:rsidR="000A5579" w:rsidRPr="000A5579" w:rsidRDefault="000A5579" w:rsidP="005A425F">
      <w:pPr>
        <w:spacing w:line="360" w:lineRule="auto"/>
        <w:jc w:val="both"/>
        <w:rPr>
          <w:i/>
          <w:iCs/>
        </w:rPr>
      </w:pPr>
      <w:r w:rsidRPr="000A5579">
        <w:rPr>
          <w:i/>
          <w:iCs/>
        </w:rPr>
        <w:t>Exploratory hypothesis</w:t>
      </w:r>
    </w:p>
    <w:p w14:paraId="492A4FE5" w14:textId="0E95AC6C" w:rsidR="000A5579" w:rsidRPr="000A5579" w:rsidRDefault="000A5579" w:rsidP="005A425F">
      <w:pPr>
        <w:pStyle w:val="ListParagraph"/>
        <w:numPr>
          <w:ilvl w:val="0"/>
          <w:numId w:val="29"/>
        </w:numPr>
        <w:spacing w:line="360" w:lineRule="auto"/>
        <w:jc w:val="both"/>
        <w:rPr>
          <w:rFonts w:ascii="Times New Roman" w:hAnsi="Times New Roman" w:cs="Times New Roman"/>
        </w:rPr>
      </w:pPr>
      <w:r w:rsidRPr="000A5579">
        <w:rPr>
          <w:rFonts w:ascii="Times New Roman" w:hAnsi="Times New Roman" w:cs="Times New Roman"/>
        </w:rPr>
        <w:t>ON may be associated with altered microbial diversity and increased pro-inflammatory taxa (e.g., Proteobacteria). These analyses will be treated as hypothesis-generating and conducted only if data quality and statistical power permit.</w:t>
      </w:r>
    </w:p>
    <w:p w14:paraId="11052BB3" w14:textId="3660FE39" w:rsidR="001B4404" w:rsidRPr="00E45C93" w:rsidRDefault="001B4404" w:rsidP="005A425F">
      <w:pPr>
        <w:pBdr>
          <w:top w:val="single" w:sz="4" w:space="1" w:color="auto"/>
          <w:bottom w:val="single" w:sz="4" w:space="1" w:color="auto"/>
        </w:pBdr>
        <w:spacing w:line="360" w:lineRule="auto"/>
        <w:jc w:val="both"/>
        <w:rPr>
          <w:b/>
          <w:bCs/>
        </w:rPr>
      </w:pPr>
      <w:r w:rsidRPr="00E45C93">
        <w:rPr>
          <w:b/>
          <w:bCs/>
        </w:rPr>
        <w:lastRenderedPageBreak/>
        <w:t>Research Design</w:t>
      </w:r>
    </w:p>
    <w:p w14:paraId="671EE2DE" w14:textId="6A248C0C" w:rsidR="009C395E" w:rsidRPr="009C395E" w:rsidRDefault="00E90C96" w:rsidP="005A425F">
      <w:pPr>
        <w:spacing w:line="360" w:lineRule="auto"/>
        <w:jc w:val="both"/>
      </w:pPr>
      <w:r w:rsidRPr="00E90C96">
        <w:t xml:space="preserve">This </w:t>
      </w:r>
      <w:r w:rsidRPr="00E90C96">
        <w:rPr>
          <w:b/>
          <w:bCs/>
        </w:rPr>
        <w:t>cross-sectional study</w:t>
      </w:r>
      <w:r>
        <w:t xml:space="preserve"> uses</w:t>
      </w:r>
      <w:r w:rsidRPr="00E90C96">
        <w:t xml:space="preserve"> a focused multimodal design, integrating psychological assessment, EEG/ERP neurophysiology, and immunological profiling as core domains. A </w:t>
      </w:r>
      <w:r w:rsidRPr="00E90C96">
        <w:rPr>
          <w:b/>
          <w:bCs/>
        </w:rPr>
        <w:t>12-month longitudinal follow-up</w:t>
      </w:r>
      <w:r w:rsidRPr="00E90C96">
        <w:t xml:space="preserve"> will be conducted in a subsample to assess temporal stability in key psychological and biological markers. </w:t>
      </w:r>
      <w:r w:rsidR="009C395E" w:rsidRPr="009C395E">
        <w:t xml:space="preserve">A priori power analysis was conducted using </w:t>
      </w:r>
      <w:r w:rsidR="009C395E" w:rsidRPr="009C395E">
        <w:rPr>
          <w:b/>
          <w:bCs/>
        </w:rPr>
        <w:t>G*Power 3.1</w:t>
      </w:r>
      <w:r w:rsidR="009C395E">
        <w:rPr>
          <w:b/>
          <w:bCs/>
        </w:rPr>
        <w:t>.9.6</w:t>
      </w:r>
      <w:r w:rsidR="009C395E" w:rsidRPr="009C395E">
        <w:t xml:space="preserve"> to determine the minimum sample size required for detecting medium effect sizes across between-group comparisons in the primary domains of interest (psychological measures, EEG/ERP, and immunological biomarkers). </w:t>
      </w:r>
      <w:r w:rsidR="009C395E">
        <w:t>A</w:t>
      </w:r>
      <w:r w:rsidR="009C395E" w:rsidRPr="009C395E">
        <w:t xml:space="preserve"> </w:t>
      </w:r>
      <w:r w:rsidR="009C395E" w:rsidRPr="009C395E">
        <w:rPr>
          <w:b/>
          <w:bCs/>
        </w:rPr>
        <w:t>one-way ANOVA</w:t>
      </w:r>
      <w:r w:rsidR="009C395E" w:rsidRPr="009C395E">
        <w:t xml:space="preserve"> comparing four independent groups (ON, HO, AN, CG) was specified</w:t>
      </w:r>
      <w:r w:rsidR="009C395E">
        <w:t xml:space="preserve"> for the primary analysis</w:t>
      </w:r>
      <w:r w:rsidR="009C395E" w:rsidRPr="009C395E">
        <w:t xml:space="preserve">, with an anticipated </w:t>
      </w:r>
      <w:r w:rsidR="009C395E" w:rsidRPr="009C395E">
        <w:rPr>
          <w:b/>
          <w:bCs/>
        </w:rPr>
        <w:t>medium effect size (f = 0.25)</w:t>
      </w:r>
      <w:r w:rsidR="009C395E" w:rsidRPr="009C395E">
        <w:t xml:space="preserve">, </w:t>
      </w:r>
      <w:r w:rsidR="009C395E" w:rsidRPr="009C395E">
        <w:rPr>
          <w:b/>
          <w:bCs/>
        </w:rPr>
        <w:t>alpha = .05</w:t>
      </w:r>
      <w:r w:rsidR="009C395E" w:rsidRPr="009C395E">
        <w:t xml:space="preserve">, and </w:t>
      </w:r>
      <w:r w:rsidR="009C395E" w:rsidRPr="009C395E">
        <w:rPr>
          <w:b/>
          <w:bCs/>
        </w:rPr>
        <w:t>power = 0.90</w:t>
      </w:r>
      <w:r w:rsidR="009C395E" w:rsidRPr="009C395E">
        <w:t xml:space="preserve">. This yielded a required total sample size of </w:t>
      </w:r>
      <w:r w:rsidR="009C395E" w:rsidRPr="009C395E">
        <w:rPr>
          <w:b/>
          <w:bCs/>
        </w:rPr>
        <w:t>approximately 280 participants</w:t>
      </w:r>
      <w:r w:rsidR="009C395E" w:rsidRPr="009C395E">
        <w:t xml:space="preserve">. To account for potential attrition, data loss (e.g., EEG </w:t>
      </w:r>
      <w:proofErr w:type="spellStart"/>
      <w:r w:rsidR="009C395E" w:rsidRPr="009C395E">
        <w:t>artifacts</w:t>
      </w:r>
      <w:proofErr w:type="spellEnd"/>
      <w:r w:rsidR="009C395E" w:rsidRPr="009C395E">
        <w:t xml:space="preserve">, unusable biological samples), and the inclusion of covariates in secondary analyses (e.g., age, BMI, menstrual phase), the final planned sample was increased to </w:t>
      </w:r>
      <w:r w:rsidR="009C395E" w:rsidRPr="009C395E">
        <w:rPr>
          <w:b/>
          <w:bCs/>
        </w:rPr>
        <w:t>n = 300</w:t>
      </w:r>
      <w:r w:rsidR="009C395E" w:rsidRPr="009C395E">
        <w:t xml:space="preserve"> (ON = 80, HO = 80, AN = 60, CG = 80). This allocation provides sufficient power to detect meaningful group differences in core psychological and biological outcomes. For the 12-month longitudinal follow-up (n ≈ 90), </w:t>
      </w:r>
      <w:r w:rsidR="009C395E" w:rsidRPr="009C395E">
        <w:rPr>
          <w:b/>
          <w:bCs/>
        </w:rPr>
        <w:t>linear mixed-effects models</w:t>
      </w:r>
      <w:r w:rsidR="009C395E" w:rsidRPr="009C395E">
        <w:t xml:space="preserve"> will be employed, which are robust to missing data and suitable for repeated-measures designs. Prior power simulations based on similar longitudinal EEG and cytokine studies indicate that this subsample size allows detection of within-person changes with medium effect sizes (Cohen’s </w:t>
      </w:r>
      <w:r w:rsidR="009C395E" w:rsidRPr="009C395E">
        <w:rPr>
          <w:i/>
          <w:iCs/>
        </w:rPr>
        <w:t>d</w:t>
      </w:r>
      <w:r w:rsidR="009C395E" w:rsidRPr="009C395E">
        <w:t xml:space="preserve"> ≥ 0.4) with power &gt; .80, assuming standard attrition rates</w:t>
      </w:r>
      <w:r w:rsidR="009C395E">
        <w:t>.</w:t>
      </w:r>
    </w:p>
    <w:p w14:paraId="0E6A2415" w14:textId="6BFD5338" w:rsidR="001B4404" w:rsidRPr="00E45C93" w:rsidRDefault="00E90C96" w:rsidP="005A425F">
      <w:pPr>
        <w:spacing w:line="360" w:lineRule="auto"/>
        <w:jc w:val="both"/>
      </w:pPr>
      <w:r w:rsidRPr="00E90C96">
        <w:t>T</w:t>
      </w:r>
      <w:r w:rsidR="009C395E">
        <w:t>hus, t</w:t>
      </w:r>
      <w:r w:rsidRPr="00E90C96">
        <w:t xml:space="preserve">he study will recruit </w:t>
      </w:r>
      <w:r w:rsidR="005319EF">
        <w:rPr>
          <w:b/>
          <w:bCs/>
        </w:rPr>
        <w:t>300</w:t>
      </w:r>
      <w:r w:rsidRPr="00E90C96">
        <w:rPr>
          <w:b/>
          <w:bCs/>
        </w:rPr>
        <w:t xml:space="preserve"> participants</w:t>
      </w:r>
      <w:r w:rsidRPr="00E90C96">
        <w:t xml:space="preserve"> across four groups</w:t>
      </w:r>
      <w:r w:rsidR="009C395E">
        <w:t xml:space="preserve"> as follows</w:t>
      </w:r>
      <w:r w:rsidR="001B4404" w:rsidRPr="00E45C93">
        <w:t>:</w:t>
      </w:r>
    </w:p>
    <w:p w14:paraId="18F6F9FF" w14:textId="213AA845" w:rsidR="001B4404" w:rsidRPr="00E45C93" w:rsidRDefault="001B4404" w:rsidP="005A425F">
      <w:pPr>
        <w:numPr>
          <w:ilvl w:val="0"/>
          <w:numId w:val="9"/>
        </w:numPr>
        <w:spacing w:line="360" w:lineRule="auto"/>
        <w:jc w:val="both"/>
      </w:pPr>
      <w:r w:rsidRPr="00E45C93">
        <w:rPr>
          <w:b/>
          <w:bCs/>
        </w:rPr>
        <w:t>ON Group (n=</w:t>
      </w:r>
      <w:r w:rsidR="00FA5332">
        <w:rPr>
          <w:b/>
          <w:bCs/>
        </w:rPr>
        <w:t>80</w:t>
      </w:r>
      <w:r w:rsidRPr="00E45C93">
        <w:rPr>
          <w:b/>
          <w:bCs/>
        </w:rPr>
        <w:t>):</w:t>
      </w:r>
      <w:r w:rsidRPr="00E45C93">
        <w:t xml:space="preserve"> Individuals meeting operational criteria for ON (via the </w:t>
      </w:r>
      <w:proofErr w:type="spellStart"/>
      <w:r w:rsidRPr="00E45C93">
        <w:t>Teruel</w:t>
      </w:r>
      <w:proofErr w:type="spellEnd"/>
      <w:r w:rsidRPr="00E45C93">
        <w:t xml:space="preserve"> Orthorexia Scale, TOS).</w:t>
      </w:r>
    </w:p>
    <w:p w14:paraId="55E1603C" w14:textId="681D4CB6" w:rsidR="001B4404" w:rsidRPr="00E45C93" w:rsidRDefault="001B4404" w:rsidP="005A425F">
      <w:pPr>
        <w:numPr>
          <w:ilvl w:val="0"/>
          <w:numId w:val="9"/>
        </w:numPr>
        <w:spacing w:line="360" w:lineRule="auto"/>
        <w:jc w:val="both"/>
      </w:pPr>
      <w:r w:rsidRPr="00E45C93">
        <w:rPr>
          <w:b/>
          <w:bCs/>
        </w:rPr>
        <w:t>HO Group (n=</w:t>
      </w:r>
      <w:r w:rsidR="00FA5332">
        <w:rPr>
          <w:b/>
          <w:bCs/>
        </w:rPr>
        <w:t>80</w:t>
      </w:r>
      <w:r w:rsidRPr="00E45C93">
        <w:rPr>
          <w:b/>
          <w:bCs/>
        </w:rPr>
        <w:t>):</w:t>
      </w:r>
      <w:r w:rsidRPr="00E45C93">
        <w:t xml:space="preserve"> Individuals highly interested in healthy eating without pathological impairment.</w:t>
      </w:r>
    </w:p>
    <w:p w14:paraId="4235CB44" w14:textId="62F25DD5" w:rsidR="001B4404" w:rsidRPr="00E45C93" w:rsidRDefault="001B4404" w:rsidP="005A425F">
      <w:pPr>
        <w:numPr>
          <w:ilvl w:val="0"/>
          <w:numId w:val="9"/>
        </w:numPr>
        <w:spacing w:line="360" w:lineRule="auto"/>
        <w:jc w:val="both"/>
      </w:pPr>
      <w:r w:rsidRPr="00E45C93">
        <w:rPr>
          <w:b/>
          <w:bCs/>
        </w:rPr>
        <w:t>AN Group (n=</w:t>
      </w:r>
      <w:r w:rsidR="009C395E">
        <w:rPr>
          <w:b/>
          <w:bCs/>
        </w:rPr>
        <w:t>60</w:t>
      </w:r>
      <w:r w:rsidRPr="00E45C93">
        <w:rPr>
          <w:b/>
          <w:bCs/>
        </w:rPr>
        <w:t>):</w:t>
      </w:r>
      <w:r w:rsidRPr="00E45C93">
        <w:t xml:space="preserve"> Individuals meeting DSM-5 criteria for Anorexia Nervosa.</w:t>
      </w:r>
      <w:r w:rsidR="00886EF6">
        <w:t xml:space="preserve"> </w:t>
      </w:r>
      <w:r w:rsidR="00886EF6" w:rsidRPr="00886EF6">
        <w:t>The smaller sample reflects both recruitment feasibility and the project's exploratory scope</w:t>
      </w:r>
      <w:r w:rsidR="00886EF6">
        <w:t xml:space="preserve">. </w:t>
      </w:r>
    </w:p>
    <w:p w14:paraId="24C3D801" w14:textId="32F24AC1" w:rsidR="001B4404" w:rsidRPr="00E45C93" w:rsidRDefault="001B4404" w:rsidP="005A425F">
      <w:pPr>
        <w:numPr>
          <w:ilvl w:val="0"/>
          <w:numId w:val="9"/>
        </w:numPr>
        <w:spacing w:line="360" w:lineRule="auto"/>
        <w:jc w:val="both"/>
      </w:pPr>
      <w:r w:rsidRPr="00E45C93">
        <w:rPr>
          <w:b/>
          <w:bCs/>
        </w:rPr>
        <w:t>Control Group (CG; n=</w:t>
      </w:r>
      <w:r w:rsidR="00FA5332">
        <w:rPr>
          <w:b/>
          <w:bCs/>
        </w:rPr>
        <w:t>80</w:t>
      </w:r>
      <w:r w:rsidRPr="00E45C93">
        <w:rPr>
          <w:b/>
          <w:bCs/>
        </w:rPr>
        <w:t>):</w:t>
      </w:r>
      <w:r w:rsidRPr="00E45C93">
        <w:t xml:space="preserve"> Non-eating-disordered healthy controls, age- and sex-matched.</w:t>
      </w:r>
    </w:p>
    <w:p w14:paraId="08427236" w14:textId="04852D4B" w:rsidR="001B4404" w:rsidRPr="00E45C93" w:rsidRDefault="001B4404" w:rsidP="005A425F">
      <w:pPr>
        <w:spacing w:line="360" w:lineRule="auto"/>
        <w:jc w:val="both"/>
      </w:pPr>
      <w:r w:rsidRPr="00E45C93">
        <w:t>Participants will complete psychological assessments and provide blood (cytokines), stool (microbiome), and EEG data. A subset (~30%) will undergo follow-up testing after 12 months.</w:t>
      </w:r>
    </w:p>
    <w:p w14:paraId="7631C55C" w14:textId="77777777" w:rsidR="001B4404" w:rsidRPr="00E45C93" w:rsidRDefault="001B4404" w:rsidP="005A425F">
      <w:pPr>
        <w:pBdr>
          <w:top w:val="single" w:sz="4" w:space="1" w:color="auto"/>
          <w:bottom w:val="single" w:sz="4" w:space="1" w:color="auto"/>
        </w:pBdr>
        <w:spacing w:line="360" w:lineRule="auto"/>
        <w:jc w:val="both"/>
        <w:rPr>
          <w:b/>
          <w:bCs/>
        </w:rPr>
      </w:pPr>
      <w:r w:rsidRPr="00E45C93">
        <w:rPr>
          <w:b/>
          <w:bCs/>
        </w:rPr>
        <w:t>Methods</w:t>
      </w:r>
    </w:p>
    <w:p w14:paraId="33E2EE5F" w14:textId="77777777" w:rsidR="006A7E57" w:rsidRPr="00CA2EF9" w:rsidRDefault="006A7E57" w:rsidP="005A425F">
      <w:pPr>
        <w:spacing w:line="360" w:lineRule="auto"/>
        <w:jc w:val="both"/>
        <w:rPr>
          <w:i/>
          <w:iCs/>
          <w:u w:val="single"/>
        </w:rPr>
      </w:pPr>
      <w:r w:rsidRPr="006A7E57">
        <w:rPr>
          <w:i/>
          <w:iCs/>
          <w:u w:val="single"/>
        </w:rPr>
        <w:t>Ethical Considerations</w:t>
      </w:r>
    </w:p>
    <w:p w14:paraId="31816E68" w14:textId="7AF051E0" w:rsidR="008A4C80" w:rsidRDefault="006104D6" w:rsidP="005A425F">
      <w:pPr>
        <w:spacing w:line="360" w:lineRule="auto"/>
        <w:jc w:val="both"/>
      </w:pPr>
      <w:r w:rsidRPr="006104D6">
        <w:t xml:space="preserve">The study will be conducted </w:t>
      </w:r>
      <w:r w:rsidR="008A4C80">
        <w:t>under</w:t>
      </w:r>
      <w:r w:rsidR="008A4C80" w:rsidRPr="006104D6">
        <w:t xml:space="preserve"> the Declaration of Helsinki and the ethical guidelines for human research established by the Israeli Ministry of Health. Ethical approval will be obtained from the </w:t>
      </w:r>
      <w:r w:rsidR="008A4C80" w:rsidRPr="006104D6">
        <w:lastRenderedPageBreak/>
        <w:t xml:space="preserve">Institutional Review Board (IRB) at Tel-Hai Academic College </w:t>
      </w:r>
      <w:r w:rsidR="008A4C80">
        <w:t>before</w:t>
      </w:r>
      <w:r w:rsidR="008A4C80" w:rsidRPr="006104D6">
        <w:t xml:space="preserve"> the commencement of participant recruitment. All participants will provide written informed consent after receiving detailed information about the procedures, risks, benefits, and their right to withdraw from the study at any stage without penalty</w:t>
      </w:r>
      <w:r w:rsidR="008A4C80">
        <w:t>.</w:t>
      </w:r>
    </w:p>
    <w:p w14:paraId="4D755669" w14:textId="46FEDADA" w:rsidR="008A4C80" w:rsidRPr="006104D6" w:rsidRDefault="008A4C80" w:rsidP="005A425F">
      <w:pPr>
        <w:spacing w:line="360" w:lineRule="auto"/>
        <w:jc w:val="both"/>
      </w:pPr>
      <w:r w:rsidRPr="006104D6">
        <w:t xml:space="preserve">Given the sensitive and potentially invasive nature of </w:t>
      </w:r>
      <w:r>
        <w:t>specific</w:t>
      </w:r>
      <w:r w:rsidRPr="006104D6">
        <w:t xml:space="preserve"> components of this research, the following risk mitigation strategies will be implemented:</w:t>
      </w:r>
    </w:p>
    <w:p w14:paraId="2980D0B0" w14:textId="3A1EC7D2" w:rsidR="008A4C80" w:rsidRPr="006104D6" w:rsidRDefault="008A4C80" w:rsidP="005A425F">
      <w:pPr>
        <w:numPr>
          <w:ilvl w:val="0"/>
          <w:numId w:val="25"/>
        </w:numPr>
        <w:spacing w:line="360" w:lineRule="auto"/>
        <w:jc w:val="both"/>
      </w:pPr>
      <w:r w:rsidRPr="006104D6">
        <w:rPr>
          <w:b/>
          <w:bCs/>
        </w:rPr>
        <w:t>Emotional Distress During ERP Tasks</w:t>
      </w:r>
      <w:r w:rsidRPr="006104D6">
        <w:t>: ERP paradigms involving food-related and self-referential stimuli may elicit emotional discomfort, particularly among participants with a history of disordered eating. All tasks will be piloted and designed with validated stimuli that minimize distress while capturing relevant cognitive-affective processes. Participants will be fully briefed and may skip any stimuli or withdraw from the task without penalty.</w:t>
      </w:r>
    </w:p>
    <w:p w14:paraId="17370365" w14:textId="2965D68C" w:rsidR="006104D6" w:rsidRPr="006104D6" w:rsidRDefault="008A4C80" w:rsidP="005A425F">
      <w:pPr>
        <w:numPr>
          <w:ilvl w:val="0"/>
          <w:numId w:val="25"/>
        </w:numPr>
        <w:spacing w:line="360" w:lineRule="auto"/>
        <w:jc w:val="both"/>
      </w:pPr>
      <w:r w:rsidRPr="006104D6">
        <w:rPr>
          <w:b/>
          <w:bCs/>
        </w:rPr>
        <w:t>Infection Risk from Blood Draws</w:t>
      </w:r>
      <w:r w:rsidRPr="006104D6">
        <w:t>: A licensed nurse trained in sterile technique</w:t>
      </w:r>
      <w:r>
        <w:t xml:space="preserve"> will perform all blood sampling</w:t>
      </w:r>
      <w:r w:rsidR="006104D6" w:rsidRPr="006104D6">
        <w:t>. Procedures will follow national biosafety protocols, and participants will be monitored for adverse reactions. All equipment (needles, tubes, gloves) will be single-use and disposed of according to clinical waste regulations.</w:t>
      </w:r>
    </w:p>
    <w:p w14:paraId="3489EF44" w14:textId="77777777" w:rsidR="006104D6" w:rsidRPr="006104D6" w:rsidRDefault="006104D6" w:rsidP="005A425F">
      <w:pPr>
        <w:numPr>
          <w:ilvl w:val="0"/>
          <w:numId w:val="25"/>
        </w:numPr>
        <w:spacing w:line="360" w:lineRule="auto"/>
        <w:jc w:val="both"/>
      </w:pPr>
      <w:r w:rsidRPr="006104D6">
        <w:rPr>
          <w:b/>
          <w:bCs/>
        </w:rPr>
        <w:t>Privacy and Dignity in Stool Sample Collection</w:t>
      </w:r>
      <w:r w:rsidRPr="006104D6">
        <w:t>: Participants will collect stool samples in the privacy of their own homes using sterile, pre-packaged kits with detailed written and visual instructions. They will return samples in sealed containers using secure collection boxes at designated locations.</w:t>
      </w:r>
    </w:p>
    <w:p w14:paraId="2AACD8AC" w14:textId="22F70433" w:rsidR="006104D6" w:rsidRPr="006104D6" w:rsidRDefault="006104D6" w:rsidP="005A425F">
      <w:pPr>
        <w:numPr>
          <w:ilvl w:val="0"/>
          <w:numId w:val="25"/>
        </w:numPr>
        <w:spacing w:line="360" w:lineRule="auto"/>
        <w:jc w:val="both"/>
      </w:pPr>
      <w:r w:rsidRPr="006104D6">
        <w:rPr>
          <w:b/>
          <w:bCs/>
        </w:rPr>
        <w:t>Participant Withdrawal and Vulnerability Protections</w:t>
      </w:r>
      <w:r w:rsidRPr="006104D6">
        <w:t xml:space="preserve">: Special attention will be given to participants with clinical diagnoses (e.g., AN), who may be psychologically or physically vulnerable. These individuals will be monitored throughout participation, with regular check-ins and optional breaks. A clinical psychologist will be available for consultation and referral if distress arises. All participants will be reminded of their right to withdraw </w:t>
      </w:r>
      <w:r w:rsidR="008A4C80">
        <w:t>without impacting</w:t>
      </w:r>
      <w:r w:rsidRPr="006104D6">
        <w:t xml:space="preserve"> any treatment or services they receive.</w:t>
      </w:r>
    </w:p>
    <w:p w14:paraId="44011793" w14:textId="57D996F7" w:rsidR="006104D6" w:rsidRPr="006104D6" w:rsidRDefault="006104D6" w:rsidP="005A425F">
      <w:pPr>
        <w:numPr>
          <w:ilvl w:val="0"/>
          <w:numId w:val="25"/>
        </w:numPr>
        <w:spacing w:line="360" w:lineRule="auto"/>
        <w:jc w:val="both"/>
      </w:pPr>
      <w:r w:rsidRPr="006104D6">
        <w:rPr>
          <w:b/>
          <w:bCs/>
        </w:rPr>
        <w:t>Data Confidentiality</w:t>
      </w:r>
      <w:r w:rsidRPr="006104D6">
        <w:t xml:space="preserve">: All data will be anonymized using unique participant codes. Identifying information will be stored separately from research data on password-protected, encrypted systems accessible only to the core research team. Data sharing and publication will </w:t>
      </w:r>
      <w:r w:rsidR="008A4C80">
        <w:t xml:space="preserve">only </w:t>
      </w:r>
      <w:r w:rsidRPr="006104D6">
        <w:t>be conducted at the group level, with no personally identifiable results.</w:t>
      </w:r>
    </w:p>
    <w:p w14:paraId="2DFF5EC2" w14:textId="13362FF5" w:rsidR="006104D6" w:rsidRPr="006A7E57" w:rsidRDefault="00340C48" w:rsidP="005A425F">
      <w:pPr>
        <w:spacing w:line="360" w:lineRule="auto"/>
        <w:jc w:val="both"/>
      </w:pPr>
      <w:r w:rsidRPr="00340C48">
        <w:t xml:space="preserve">All participants with a clinical diagnosis will be cleared for participation by their attending psychiatrist or physician. A licensed clinical psychologist will be available on-site for support. Emotional distress during food tasks will be closely monitored, with opt-out options and immediate </w:t>
      </w:r>
      <w:r w:rsidRPr="00340C48">
        <w:lastRenderedPageBreak/>
        <w:t>withdrawal allowed.</w:t>
      </w:r>
      <w:r>
        <w:t xml:space="preserve"> </w:t>
      </w:r>
      <w:r w:rsidR="006104D6" w:rsidRPr="006104D6">
        <w:t>These ethical safeguards are designed to balance the scientific value of this multimodal investigation with a strong commitment to participant safety, autonomy, and dignity</w:t>
      </w:r>
      <w:r w:rsidR="006104D6">
        <w:t xml:space="preserve">. </w:t>
      </w:r>
    </w:p>
    <w:p w14:paraId="6E6D4D96" w14:textId="168A876D" w:rsidR="001B4404" w:rsidRPr="00CA2EF9" w:rsidRDefault="001B4404" w:rsidP="005A425F">
      <w:pPr>
        <w:spacing w:line="360" w:lineRule="auto"/>
        <w:jc w:val="both"/>
        <w:rPr>
          <w:i/>
          <w:iCs/>
          <w:u w:val="single"/>
        </w:rPr>
      </w:pPr>
      <w:r w:rsidRPr="00CA2EF9">
        <w:rPr>
          <w:i/>
          <w:iCs/>
          <w:u w:val="single"/>
        </w:rPr>
        <w:t>Participants</w:t>
      </w:r>
    </w:p>
    <w:p w14:paraId="4D96A5C8" w14:textId="6EAFE9FA" w:rsidR="006A7E57" w:rsidRDefault="001B4404" w:rsidP="005A425F">
      <w:pPr>
        <w:spacing w:line="360" w:lineRule="auto"/>
        <w:jc w:val="both"/>
      </w:pPr>
      <w:r w:rsidRPr="00E45C93">
        <w:t>Participants will be recruited via eating disorder clinics, academic campuses, social media platforms, and community networks. Inclusion criteria include age 18–45, fluent Hebrew, and no neurological or major systemic illness. Exclusion criteria include active psychosis, recent antibiotic use (within 2 months), and substance use disorder.</w:t>
      </w:r>
    </w:p>
    <w:p w14:paraId="6DB01E7E" w14:textId="63B6F617" w:rsidR="005D2CE4" w:rsidRDefault="005D2CE4" w:rsidP="005A425F">
      <w:pPr>
        <w:spacing w:line="360" w:lineRule="auto"/>
        <w:jc w:val="both"/>
      </w:pPr>
      <w:r w:rsidRPr="005D2CE4">
        <w:t>The age range of 18–45 was selected to focus on adults capable of providing independent informed consent and reduce developmental variability in neurobiological and psychological measures. While ON may emerge in adolescence, this study targets adult expressions of ON to improve construct validity and control for maturational effects on EEG signals, immune response, and microbiome composition. Future studies may extend the findings to adolescent populations with adapted protocols and additional safeguards</w:t>
      </w:r>
      <w:r>
        <w:t xml:space="preserve">. </w:t>
      </w:r>
    </w:p>
    <w:p w14:paraId="2019406A" w14:textId="0C4A520B" w:rsidR="002C0E89" w:rsidRPr="002C0E89" w:rsidRDefault="002C0E89" w:rsidP="005A425F">
      <w:pPr>
        <w:spacing w:line="360" w:lineRule="auto"/>
        <w:jc w:val="both"/>
      </w:pPr>
      <w:r w:rsidRPr="002C0E89">
        <w:t>To strengthen construct validity and reduce reliance on self-report thresholds alone, structured clinical interviews will be expanded to a larger subset of participants (n=80; 40 ON and 40 HO). These will include DSM-5-aligned semi-structured diagnostic interviews, adapted from the EDE-Q and OCI modules, conducted by trained clinical psychologists. We will triangulate psychometric classifications (TOS) with clinical judgments to validate group assignments and detect ambiguous or overlapping cases.</w:t>
      </w:r>
      <w:r w:rsidR="001D69B6">
        <w:t xml:space="preserve"> </w:t>
      </w:r>
      <w:r w:rsidR="001D69B6" w:rsidRPr="001D69B6">
        <w:t xml:space="preserve">Despite prior validation of the Hebrew TOS, we acknowledge that self-report tools may not sufficiently differentiate ON from AN in clinically overlapping cases. To address this, we will triangulate self-report scores with structured clinical interviews and, if needed, refine classification post-hoc using latent profile analysis. </w:t>
      </w:r>
      <w:r w:rsidR="00A13D31" w:rsidRPr="00A13D31">
        <w:t>We also plan to document ambiguous or ‘</w:t>
      </w:r>
      <w:proofErr w:type="spellStart"/>
      <w:r w:rsidR="00A13D31" w:rsidRPr="00A13D31">
        <w:t>gray</w:t>
      </w:r>
      <w:proofErr w:type="spellEnd"/>
      <w:r w:rsidR="00A13D31" w:rsidRPr="00A13D31">
        <w:t xml:space="preserve"> zone’ cases and </w:t>
      </w:r>
      <w:proofErr w:type="spellStart"/>
      <w:r w:rsidR="00A13D31" w:rsidRPr="00A13D31">
        <w:t>analyze</w:t>
      </w:r>
      <w:proofErr w:type="spellEnd"/>
      <w:r w:rsidR="00A13D31" w:rsidRPr="00A13D31">
        <w:t xml:space="preserve"> them as a distinct subgroup. Importantly, we will conduct Latent Profile Analysis (LPA) across the entire sample—independent of TOS thresholds—to empirically identify ON- and HO-like profiles. These data-driven clusters will be compared to a priori groupings to validate or refine diagnostic classification. This step is central to the study’s goal of mapping construct-relevant patterns, rather than assuming rigid diagnostic boundaries</w:t>
      </w:r>
      <w:r w:rsidR="001D69B6" w:rsidRPr="001D69B6">
        <w:t>.</w:t>
      </w:r>
    </w:p>
    <w:p w14:paraId="65C149B0" w14:textId="5A1329C3" w:rsidR="00DA5120" w:rsidRPr="002C0E89" w:rsidRDefault="002C0E89" w:rsidP="005A425F">
      <w:pPr>
        <w:spacing w:line="360" w:lineRule="auto"/>
        <w:jc w:val="both"/>
      </w:pPr>
      <w:r w:rsidRPr="002C0E89">
        <w:t xml:space="preserve">Integrating psychometric thresholds and clinical interviews minimizes the risk of circular reasoning and ensures that self-report instrument scores do not solely drive ON/HO group distinctions. Latent profile analyses (LPA) will also be conducted on the entire sample to assess whether ON- and HO-like clusters emerge independently of pre-defined TOS </w:t>
      </w:r>
      <w:proofErr w:type="spellStart"/>
      <w:r w:rsidRPr="002C0E89">
        <w:t>cutoffs</w:t>
      </w:r>
      <w:proofErr w:type="spellEnd"/>
      <w:r w:rsidR="00DA5120" w:rsidRPr="002C0E89">
        <w:t xml:space="preserve">. </w:t>
      </w:r>
    </w:p>
    <w:p w14:paraId="1F25F3E4" w14:textId="77777777" w:rsidR="001B4404" w:rsidRPr="00CA2EF9" w:rsidRDefault="001B4404" w:rsidP="005A425F">
      <w:pPr>
        <w:spacing w:line="360" w:lineRule="auto"/>
        <w:jc w:val="both"/>
        <w:rPr>
          <w:i/>
          <w:iCs/>
          <w:u w:val="single"/>
        </w:rPr>
      </w:pPr>
      <w:r w:rsidRPr="00CA2EF9">
        <w:rPr>
          <w:i/>
          <w:iCs/>
          <w:u w:val="single"/>
        </w:rPr>
        <w:t>Psychological Measures</w:t>
      </w:r>
    </w:p>
    <w:p w14:paraId="0E0A38DD" w14:textId="77777777" w:rsidR="001B4404" w:rsidRPr="00E45C93" w:rsidRDefault="001B4404" w:rsidP="005A425F">
      <w:pPr>
        <w:spacing w:line="360" w:lineRule="auto"/>
        <w:jc w:val="both"/>
      </w:pPr>
      <w:r w:rsidRPr="00E45C93">
        <w:t>Participants will complete a validated battery of psychological instruments:</w:t>
      </w:r>
    </w:p>
    <w:p w14:paraId="7FEAE7F1" w14:textId="479CAAEF" w:rsidR="00BC5062" w:rsidRPr="00E45C93" w:rsidRDefault="002779AF" w:rsidP="005A425F">
      <w:pPr>
        <w:pStyle w:val="ListParagraph"/>
        <w:numPr>
          <w:ilvl w:val="0"/>
          <w:numId w:val="23"/>
        </w:numPr>
        <w:spacing w:line="360" w:lineRule="auto"/>
        <w:jc w:val="both"/>
        <w:rPr>
          <w:rFonts w:ascii="Times New Roman" w:hAnsi="Times New Roman" w:cs="Times New Roman"/>
        </w:rPr>
      </w:pPr>
      <w:r w:rsidRPr="00E45C93">
        <w:rPr>
          <w:rFonts w:ascii="Times New Roman" w:hAnsi="Times New Roman" w:cs="Times New Roman"/>
          <w:b/>
          <w:bCs/>
        </w:rPr>
        <w:lastRenderedPageBreak/>
        <w:t xml:space="preserve">The </w:t>
      </w:r>
      <w:proofErr w:type="spellStart"/>
      <w:r w:rsidR="001B4404" w:rsidRPr="00E45C93">
        <w:rPr>
          <w:rFonts w:ascii="Times New Roman" w:hAnsi="Times New Roman" w:cs="Times New Roman"/>
          <w:b/>
          <w:bCs/>
        </w:rPr>
        <w:t>Teruel</w:t>
      </w:r>
      <w:proofErr w:type="spellEnd"/>
      <w:r w:rsidR="001B4404" w:rsidRPr="00E45C93">
        <w:rPr>
          <w:rFonts w:ascii="Times New Roman" w:hAnsi="Times New Roman" w:cs="Times New Roman"/>
          <w:b/>
          <w:bCs/>
        </w:rPr>
        <w:t xml:space="preserve"> Orthorexia Scale (TOS)</w:t>
      </w:r>
      <w:r w:rsidR="001B4404" w:rsidRPr="00E45C93">
        <w:rPr>
          <w:rFonts w:ascii="Times New Roman" w:hAnsi="Times New Roman" w:cs="Times New Roman"/>
        </w:rPr>
        <w:t xml:space="preserve"> </w:t>
      </w:r>
      <w:r w:rsidRPr="00E45C93">
        <w:rPr>
          <w:rFonts w:ascii="Times New Roman" w:hAnsi="Times New Roman" w:cs="Times New Roman"/>
        </w:rPr>
        <w:t xml:space="preserve">is a 17-item self-report questionnaire that distinguishes between </w:t>
      </w:r>
      <w:r w:rsidRPr="00E45C93">
        <w:rPr>
          <w:rFonts w:ascii="Times New Roman" w:hAnsi="Times New Roman" w:cs="Times New Roman"/>
          <w:b/>
          <w:bCs/>
        </w:rPr>
        <w:t>Healthy Orthorexia</w:t>
      </w:r>
      <w:r w:rsidRPr="00E45C93">
        <w:rPr>
          <w:rFonts w:ascii="Times New Roman" w:hAnsi="Times New Roman" w:cs="Times New Roman"/>
        </w:rPr>
        <w:t xml:space="preserve"> and </w:t>
      </w:r>
      <w:r w:rsidRPr="00E45C93">
        <w:rPr>
          <w:rFonts w:ascii="Times New Roman" w:hAnsi="Times New Roman" w:cs="Times New Roman"/>
          <w:b/>
          <w:bCs/>
        </w:rPr>
        <w:t>Orthorexia Nervosa</w:t>
      </w:r>
      <w:r w:rsidRPr="00E45C93">
        <w:rPr>
          <w:rFonts w:ascii="Times New Roman" w:hAnsi="Times New Roman" w:cs="Times New Roman"/>
        </w:rPr>
        <w:t>. Items are rated on a 4-point scale.</w:t>
      </w:r>
      <w:r w:rsidRPr="00E45C93">
        <w:rPr>
          <w:rFonts w:ascii="Times New Roman" w:hAnsi="Times New Roman" w:cs="Times New Roman"/>
        </w:rPr>
        <w:br/>
        <w:t xml:space="preserve">Our lab translated and validated the Hebrew version, confirming its strong reliability and ability to differentiate between healthy and pathological eating behaviours in the Israeli population </w:t>
      </w:r>
      <w:r w:rsidRPr="00E45C93">
        <w:rPr>
          <w:rFonts w:ascii="Times New Roman" w:hAnsi="Times New Roman" w:cs="Times New Roman"/>
        </w:rPr>
        <w:fldChar w:fldCharType="begin"/>
      </w:r>
      <w:r w:rsidR="00F62FE9">
        <w:rPr>
          <w:rFonts w:ascii="Times New Roman" w:hAnsi="Times New Roman" w:cs="Times New Roman"/>
        </w:rPr>
        <w:instrText xml:space="preserve"> ADDIN ZOTERO_ITEM CSL_CITATION {"citationID":"XGvJahTO","properties":{"formattedCitation":"[6]","plainCitation":"[6]","noteIndex":0},"citationItems":[{"id":3868,"uris":["http://zotero.org/users/2945453/items/LXLVX64Z"],"itemData":{"id":3868,"type":"article-journal","container-title":"North American Journal of Psychology","issue":"4","page":"927-942","title":"Validation of a Hebrew Adaptation of the Teruel Orthorexia Scale (TOS) in Adults from Israel","volume":"26","author":[{"family":"Horovitz","given":"Omer"},{"family":"Agryrides","given":"Marios"}],"issued":{"date-parts":[["2024"]]}}}],"schema":"https://github.com/citation-style-language/schema/raw/master/csl-citation.json"} </w:instrText>
      </w:r>
      <w:r w:rsidRPr="00E45C93">
        <w:rPr>
          <w:rFonts w:ascii="Times New Roman" w:hAnsi="Times New Roman" w:cs="Times New Roman"/>
        </w:rPr>
        <w:fldChar w:fldCharType="separate"/>
      </w:r>
      <w:r w:rsidR="00F62FE9">
        <w:rPr>
          <w:rFonts w:ascii="Times New Roman" w:hAnsi="Times New Roman" w:cs="Times New Roman"/>
          <w:noProof/>
        </w:rPr>
        <w:t>[6]</w:t>
      </w:r>
      <w:r w:rsidRPr="00E45C93">
        <w:rPr>
          <w:rFonts w:ascii="Times New Roman" w:hAnsi="Times New Roman" w:cs="Times New Roman"/>
        </w:rPr>
        <w:fldChar w:fldCharType="end"/>
      </w:r>
      <w:r w:rsidR="001B4404" w:rsidRPr="00E45C93">
        <w:rPr>
          <w:rFonts w:ascii="Times New Roman" w:hAnsi="Times New Roman" w:cs="Times New Roman"/>
        </w:rPr>
        <w:t>.</w:t>
      </w:r>
    </w:p>
    <w:p w14:paraId="5D266882" w14:textId="18A85FA3" w:rsidR="00BC5062" w:rsidRPr="00E45C93" w:rsidRDefault="002779AF" w:rsidP="005A425F">
      <w:pPr>
        <w:pStyle w:val="ListParagraph"/>
        <w:numPr>
          <w:ilvl w:val="0"/>
          <w:numId w:val="23"/>
        </w:numPr>
        <w:spacing w:line="360" w:lineRule="auto"/>
        <w:jc w:val="both"/>
        <w:rPr>
          <w:rFonts w:ascii="Times New Roman" w:hAnsi="Times New Roman" w:cs="Times New Roman"/>
        </w:rPr>
      </w:pPr>
      <w:r w:rsidRPr="00E45C93">
        <w:rPr>
          <w:rFonts w:ascii="Times New Roman" w:hAnsi="Times New Roman" w:cs="Times New Roman"/>
          <w:b/>
          <w:bCs/>
        </w:rPr>
        <w:t xml:space="preserve">The </w:t>
      </w:r>
      <w:r w:rsidR="001B4404" w:rsidRPr="00E45C93">
        <w:rPr>
          <w:rFonts w:ascii="Times New Roman" w:hAnsi="Times New Roman" w:cs="Times New Roman"/>
          <w:b/>
          <w:bCs/>
        </w:rPr>
        <w:t>GAD-7</w:t>
      </w:r>
      <w:r w:rsidR="001B4404" w:rsidRPr="00E45C93">
        <w:rPr>
          <w:rFonts w:ascii="Times New Roman" w:hAnsi="Times New Roman" w:cs="Times New Roman"/>
        </w:rPr>
        <w:t xml:space="preserve"> </w:t>
      </w:r>
      <w:r w:rsidRPr="00E45C93">
        <w:rPr>
          <w:rFonts w:ascii="Times New Roman" w:hAnsi="Times New Roman" w:cs="Times New Roman"/>
        </w:rPr>
        <w:t xml:space="preserve">is a brief self-report tool to screen for and assess the severity of generalized anxiety disorder. It measures anxiety symptoms over the past two weeks, with seven items rated on a 4-point scale. Total scores (0–21) indicate severity, with </w:t>
      </w:r>
      <w:proofErr w:type="spellStart"/>
      <w:r w:rsidRPr="00E45C93">
        <w:rPr>
          <w:rFonts w:ascii="Times New Roman" w:hAnsi="Times New Roman" w:cs="Times New Roman"/>
        </w:rPr>
        <w:t>cutoffs</w:t>
      </w:r>
      <w:proofErr w:type="spellEnd"/>
      <w:r w:rsidRPr="00E45C93">
        <w:rPr>
          <w:rFonts w:ascii="Times New Roman" w:hAnsi="Times New Roman" w:cs="Times New Roman"/>
        </w:rPr>
        <w:t xml:space="preserve"> at 5 (mild), 10 (moderate), and 15 (severe). The GAD-7 has been translated and validated in Hebrew. It shows excellent reliability (Cronbach's α = .91) and is widely used in Israeli populations for clinical and research purposes </w:t>
      </w:r>
      <w:r w:rsidRPr="00E45C93">
        <w:rPr>
          <w:rFonts w:ascii="Times New Roman" w:hAnsi="Times New Roman" w:cs="Times New Roman"/>
        </w:rPr>
        <w:fldChar w:fldCharType="begin"/>
      </w:r>
      <w:r w:rsidR="00776452">
        <w:rPr>
          <w:rFonts w:ascii="Times New Roman" w:hAnsi="Times New Roman" w:cs="Times New Roman"/>
        </w:rPr>
        <w:instrText xml:space="preserve"> ADDIN ZOTERO_ITEM CSL_CITATION {"citationID":"7Hn7mr3W","properties":{"formattedCitation":"[31]","plainCitation":"[31]","noteIndex":0},"citationItems":[{"id":3871,"uris":["http://zotero.org/users/2945453/items/4ZM3CQQJ"],"itemData":{"id":3871,"type":"article-journal","container-title":"Archives of Internal Medicine","DOI":"10.1001/archinte.166.10.1092","ISSN":"0003-9926","issue":"10","journalAbbreviation":"Arch Intern Med","language":"en","page":"1092","source":"DOI.org (Crossref)","title":"A Brief Measure for Assessing Generalized Anxiety Disorder: The GAD-7","title-short":"A Brief Measure for Assessing Generalized Anxiety Disorder","volume":"166","author":[{"family":"Spitzer","given":"Robert L."},{"family":"Kroenke","given":"Kurt"},{"family":"Williams","given":"Janet B. W."},{"family":"Löwe","given":"Bernd"}],"issued":{"date-parts":[["2006",5,22]]}}}],"schema":"https://github.com/citation-style-language/schema/raw/master/csl-citation.json"} </w:instrText>
      </w:r>
      <w:r w:rsidRPr="00E45C93">
        <w:rPr>
          <w:rFonts w:ascii="Times New Roman" w:hAnsi="Times New Roman" w:cs="Times New Roman"/>
        </w:rPr>
        <w:fldChar w:fldCharType="separate"/>
      </w:r>
      <w:r w:rsidR="00776452">
        <w:rPr>
          <w:rFonts w:ascii="Times New Roman" w:hAnsi="Times New Roman" w:cs="Times New Roman"/>
          <w:noProof/>
        </w:rPr>
        <w:t>[31]</w:t>
      </w:r>
      <w:r w:rsidRPr="00E45C93">
        <w:rPr>
          <w:rFonts w:ascii="Times New Roman" w:hAnsi="Times New Roman" w:cs="Times New Roman"/>
        </w:rPr>
        <w:fldChar w:fldCharType="end"/>
      </w:r>
      <w:r w:rsidR="001B4404" w:rsidRPr="00E45C93">
        <w:rPr>
          <w:rFonts w:ascii="Times New Roman" w:hAnsi="Times New Roman" w:cs="Times New Roman"/>
        </w:rPr>
        <w:t>.</w:t>
      </w:r>
    </w:p>
    <w:p w14:paraId="6E7E6594" w14:textId="5246C874" w:rsidR="00BC5062" w:rsidRPr="00E45C93" w:rsidRDefault="002779AF" w:rsidP="005A425F">
      <w:pPr>
        <w:pStyle w:val="ListParagraph"/>
        <w:numPr>
          <w:ilvl w:val="0"/>
          <w:numId w:val="23"/>
        </w:numPr>
        <w:spacing w:line="360" w:lineRule="auto"/>
        <w:jc w:val="both"/>
        <w:rPr>
          <w:rFonts w:ascii="Times New Roman" w:hAnsi="Times New Roman" w:cs="Times New Roman"/>
        </w:rPr>
      </w:pPr>
      <w:r w:rsidRPr="00E45C93">
        <w:rPr>
          <w:rFonts w:ascii="Times New Roman" w:hAnsi="Times New Roman" w:cs="Times New Roman"/>
          <w:b/>
          <w:bCs/>
        </w:rPr>
        <w:t xml:space="preserve">The </w:t>
      </w:r>
      <w:r w:rsidR="001B4404" w:rsidRPr="00E45C93">
        <w:rPr>
          <w:rFonts w:ascii="Times New Roman" w:hAnsi="Times New Roman" w:cs="Times New Roman"/>
          <w:b/>
          <w:bCs/>
        </w:rPr>
        <w:t>BDI-II</w:t>
      </w:r>
      <w:r w:rsidRPr="00E45C93">
        <w:rPr>
          <w:rFonts w:ascii="Times New Roman" w:hAnsi="Times New Roman" w:cs="Times New Roman"/>
        </w:rPr>
        <w:t xml:space="preserve"> assesses the severity of depressive symptoms across clinical and non-clinical populations. It is a widely validated self-report instrument consisting of 21 items that reflect the cognitive, affective, and somatic components of depression. This tool will identify progressive symptom profiles and their associations with physiological, behavioral, or psychological variables of interest within the proposed research </w:t>
      </w:r>
      <w:r w:rsidRPr="00E45C93">
        <w:rPr>
          <w:rFonts w:ascii="Times New Roman" w:hAnsi="Times New Roman" w:cs="Times New Roman"/>
        </w:rPr>
        <w:fldChar w:fldCharType="begin"/>
      </w:r>
      <w:r w:rsidR="00776452">
        <w:rPr>
          <w:rFonts w:ascii="Times New Roman" w:hAnsi="Times New Roman" w:cs="Times New Roman"/>
        </w:rPr>
        <w:instrText xml:space="preserve"> ADDIN ZOTERO_ITEM CSL_CITATION {"citationID":"H1sL27pX","properties":{"formattedCitation":"[32]","plainCitation":"[32]","noteIndex":0},"citationItems":[{"id":4002,"uris":["http://zotero.org/users/2945453/items/VJC5ERLG"],"itemData":{"id":4002,"type":"chapter","container-title":"Encyclopedia of Behavioral Medicine","event-place":"New York, NY","ISBN":"978-1-4419-1004-2","language":"en","note":"DOI: 10.1007/978-1-4419-1005-9_441","page":"178-179","publisher":"Springer New York","publisher-place":"New York, NY","source":"DOI.org (Crossref)","title":"Beck Depression Inventory (BDI)","URL":"http://link.springer.com/10.1007/978-1-4419-1005-9_441","editor":[{"family":"Gellman","given":"Marc D."},{"family":"Turner","given":"J. Rick"}],"author":[{"family":"Wideman","given":"Timothy H."},{"family":"Sullivan","given":"Michael J. L."},{"family":"Inada","given":"Shuji"},{"family":"McIntyre","given":"David"},{"family":"Kumagai","given":"Masayoshi"},{"family":"Yahagi","given":"Naoya"},{"family":"Turner","given":"J. Rick"},{"family":"Upton","given":"Jane"},{"family":"Burns","given":"Rachel J."},{"family":"Rothman","given":"Alexander J."},{"family":"Michie","given":"Susan"},{"family":"Johnston","given":"Marie"},{"family":"Nakashima","given":"Misuzu"},{"family":"Vedhara","given":"Kavita"},{"family":"Dawe","given":"Karen"},{"family":"Wong","given":"Cara"},{"family":"Gellman","given":"Marc D."},{"family":"Brimmer","given":"Dana"},{"family":"Zielinski-Gutierrez","given":"Emily"},{"family":"Troxel","given":"Wendy"},{"family":"Drerup","given":"Michelle"},{"family":"Nakashima","given":"Misuzu"},{"family":"Barrett","given":"Chad"},{"family":"Gafni","given":"Amiram"},{"family":"Birch","given":"Stephen"},{"family":"Riley","given":"Kristen"},{"family":"Turner","given":"J. Rick"},{"family":"Gebel","given":"Klaus"},{"family":"Ding","given":"Ding"},{"family":"Hooker","given":"Stephanie Ann"},{"family":"Hidalgo","given":"Benjamin"},{"family":"Meneghini","given":"Luigi"},{"family":"Turner","given":"J. Rick"},{"family":"Borsari","given":"Brian"},{"family":"Hustad","given":"John"},{"family":"Sherry","given":"Simon"},{"family":"Fitzpatrick","given":"Skye"},{"family":"Benedict","given":"Catherine"},{"family":"Hashizume","given":"Masahiro"},{"family":"Shetty","given":"Vivek"},{"family":"Miles","given":"Eleanor"},{"family":"Baumann","given":"Linda C."},{"family":"Karel","given":"Alyssa"},{"family":"France","given":"Christopher"},{"family":"France","given":"Janis L."},{"family":"Carrillo","given":"Adriana"},{"family":"Gomez-Meade","given":"Carley"},{"family":"Ginty","given":"Annie T."},{"family":"Hughes","given":"Brian M."},{"family":"Ginty","given":"Annie T."},{"family":"Ginty","given":"Annie T."},{"family":"Messiah","given":"Sarah"},{"family":"Di Katie Sebastiano","given":"M."},{"family":"Millstein","given":"Rachel"},{"family":"Messiah","given":"Sarah"},{"family":"Messiah","given":"Sarah"},{"family":"Spiers","given":"Mary"},{"family":"Gidron","given":"Yori"},{"family":"Haney","given":"Alyssa"},{"family":"Okun","given":"Michele L."},{"family":"Beaton","given":"Elliott A."},{"family":"Beaton","given":"Elliott A."},{"family":"Roy","given":"Eric"},{"family":"Harms","given":"Victoria"},{"family":"Elias","given":"Lorin"},{"family":"Hamann","given":"Heidi"},{"family":"Stanton","given":"Annette L."},{"family":"Yanez","given":"Betina R."},{"family":"Masters","given":"Kevin S."},{"family":"Drobnjak","given":"Suzana"},{"family":"Baumann","given":"Linda C."},{"family":"Karel","given":"Alyssa"},{"family":"LaCaille","given":"Lara"},{"family":"Ding","given":"Ding"},{"family":"Patino-Fernandez","given":"Anna Maria"},{"family":"Kotlyar","given":"Michael"},{"family":"Vuchetich","given":"John P."},{"family":"Woltz","given":"Patricia"}],"accessed":{"date-parts":[["2025",5,6]]},"issued":{"date-parts":[["2013"]]}}}],"schema":"https://github.com/citation-style-language/schema/raw/master/csl-citation.json"} </w:instrText>
      </w:r>
      <w:r w:rsidRPr="00E45C93">
        <w:rPr>
          <w:rFonts w:ascii="Times New Roman" w:hAnsi="Times New Roman" w:cs="Times New Roman"/>
        </w:rPr>
        <w:fldChar w:fldCharType="separate"/>
      </w:r>
      <w:r w:rsidR="00776452">
        <w:rPr>
          <w:rFonts w:ascii="Times New Roman" w:hAnsi="Times New Roman" w:cs="Times New Roman"/>
          <w:noProof/>
        </w:rPr>
        <w:t>[32]</w:t>
      </w:r>
      <w:r w:rsidRPr="00E45C93">
        <w:rPr>
          <w:rFonts w:ascii="Times New Roman" w:hAnsi="Times New Roman" w:cs="Times New Roman"/>
        </w:rPr>
        <w:fldChar w:fldCharType="end"/>
      </w:r>
      <w:r w:rsidRPr="00E45C93">
        <w:rPr>
          <w:rFonts w:ascii="Times New Roman" w:hAnsi="Times New Roman" w:cs="Times New Roman"/>
        </w:rPr>
        <w:t>.</w:t>
      </w:r>
    </w:p>
    <w:p w14:paraId="2707CE08" w14:textId="5125B884" w:rsidR="00BC5062" w:rsidRPr="00E45C93" w:rsidRDefault="005D2A96" w:rsidP="005A425F">
      <w:pPr>
        <w:pStyle w:val="ListParagraph"/>
        <w:numPr>
          <w:ilvl w:val="0"/>
          <w:numId w:val="23"/>
        </w:numPr>
        <w:spacing w:line="360" w:lineRule="auto"/>
        <w:jc w:val="both"/>
        <w:rPr>
          <w:rFonts w:ascii="Times New Roman" w:hAnsi="Times New Roman" w:cs="Times New Roman"/>
        </w:rPr>
      </w:pPr>
      <w:r w:rsidRPr="00E45C93">
        <w:rPr>
          <w:rFonts w:ascii="Times New Roman" w:hAnsi="Times New Roman" w:cs="Times New Roman"/>
          <w:b/>
          <w:bCs/>
        </w:rPr>
        <w:t>The Multidimensional Perfectionism Scale (MPS)</w:t>
      </w:r>
      <w:r w:rsidRPr="00E45C93">
        <w:rPr>
          <w:rFonts w:ascii="Times New Roman" w:hAnsi="Times New Roman" w:cs="Times New Roman"/>
        </w:rPr>
        <w:t xml:space="preserve"> assesses distinct dimensions of perfectionism, including self-oriented, other-oriented, and socially prescribed perfectionism. The MPS provides a nuanced understanding of how perfectionistic tendencies relate to psychopathological outcomes, such as anxiety, depression, and disordered eating, making it a valuable tool for investigating individual differences in vulnerability and resilience </w:t>
      </w:r>
      <w:r w:rsidRPr="00E45C93">
        <w:rPr>
          <w:rFonts w:ascii="Times New Roman" w:hAnsi="Times New Roman" w:cs="Times New Roman"/>
        </w:rPr>
        <w:fldChar w:fldCharType="begin"/>
      </w:r>
      <w:r w:rsidR="00776452">
        <w:rPr>
          <w:rFonts w:ascii="Times New Roman" w:hAnsi="Times New Roman" w:cs="Times New Roman"/>
        </w:rPr>
        <w:instrText xml:space="preserve"> ADDIN ZOTERO_ITEM CSL_CITATION {"citationID":"n1BPxtxi","properties":{"formattedCitation":"[33]","plainCitation":"[33]","noteIndex":0},"citationItems":[{"id":4003,"uris":["http://zotero.org/users/2945453/items/MFGPQ38J"],"itemData":{"id":4003,"type":"article-journal","container-title":"Journal of Personality and Social Psychology","DOI":"10.1037/0022-3514.60.3.456","ISSN":"1939-1315, 0022-3514","issue":"3","journalAbbreviation":"Journal of Personality and Social Psychology","language":"en","page":"456-470","source":"DOI.org (Crossref)","title":"Perfectionism in the self and social contexts: Conceptualization, assessment, and association with psychopathology.","title-short":"Perfectionism in the self and social contexts","volume":"60","author":[{"family":"Hewitt","given":"Paul L."},{"family":"Flett","given":"Gordon L."}],"issued":{"date-parts":[["1991"]]}}}],"schema":"https://github.com/citation-style-language/schema/raw/master/csl-citation.json"} </w:instrText>
      </w:r>
      <w:r w:rsidRPr="00E45C93">
        <w:rPr>
          <w:rFonts w:ascii="Times New Roman" w:hAnsi="Times New Roman" w:cs="Times New Roman"/>
        </w:rPr>
        <w:fldChar w:fldCharType="separate"/>
      </w:r>
      <w:r w:rsidR="00776452">
        <w:rPr>
          <w:rFonts w:ascii="Times New Roman" w:hAnsi="Times New Roman" w:cs="Times New Roman"/>
          <w:noProof/>
        </w:rPr>
        <w:t>[33]</w:t>
      </w:r>
      <w:r w:rsidRPr="00E45C93">
        <w:rPr>
          <w:rFonts w:ascii="Times New Roman" w:hAnsi="Times New Roman" w:cs="Times New Roman"/>
        </w:rPr>
        <w:fldChar w:fldCharType="end"/>
      </w:r>
      <w:r w:rsidRPr="00E45C93">
        <w:rPr>
          <w:rFonts w:ascii="Times New Roman" w:hAnsi="Times New Roman" w:cs="Times New Roman"/>
        </w:rPr>
        <w:t>.</w:t>
      </w:r>
    </w:p>
    <w:p w14:paraId="5CFE9585" w14:textId="4C444DE7" w:rsidR="00BC5062" w:rsidRPr="00E45C93" w:rsidRDefault="0099392A" w:rsidP="005A425F">
      <w:pPr>
        <w:pStyle w:val="ListParagraph"/>
        <w:numPr>
          <w:ilvl w:val="0"/>
          <w:numId w:val="23"/>
        </w:numPr>
        <w:spacing w:line="360" w:lineRule="auto"/>
        <w:jc w:val="both"/>
        <w:rPr>
          <w:rFonts w:ascii="Times New Roman" w:hAnsi="Times New Roman" w:cs="Times New Roman"/>
        </w:rPr>
      </w:pPr>
      <w:r w:rsidRPr="00E45C93">
        <w:rPr>
          <w:rFonts w:ascii="Times New Roman" w:hAnsi="Times New Roman" w:cs="Times New Roman"/>
          <w:b/>
          <w:bCs/>
        </w:rPr>
        <w:t xml:space="preserve">The </w:t>
      </w:r>
      <w:r w:rsidR="001600EF" w:rsidRPr="00E45C93">
        <w:rPr>
          <w:rFonts w:ascii="Times New Roman" w:hAnsi="Times New Roman" w:cs="Times New Roman"/>
          <w:b/>
          <w:bCs/>
        </w:rPr>
        <w:t>Obsessive-Compulsive Inventory – Revised (OCI-R)</w:t>
      </w:r>
      <w:r w:rsidR="001600EF" w:rsidRPr="00E45C93">
        <w:rPr>
          <w:rFonts w:ascii="Times New Roman" w:hAnsi="Times New Roman" w:cs="Times New Roman"/>
        </w:rPr>
        <w:t xml:space="preserve"> will be employed to measure the severity and dimensional structure of obsessive-compulsive symptoms across both clinical and subclinical populations. This 18-item self-report scale assesses six symptom domains—washing, checking, ordering, obsessing, hoarding, and neutralizing—offering a reliable and valid tool for identifying obsessive-compulsive tendencies and their associations with related psychological or physiological variables </w:t>
      </w:r>
      <w:r w:rsidR="001600EF" w:rsidRPr="00E45C93">
        <w:rPr>
          <w:rFonts w:ascii="Times New Roman" w:hAnsi="Times New Roman" w:cs="Times New Roman"/>
        </w:rPr>
        <w:fldChar w:fldCharType="begin"/>
      </w:r>
      <w:r w:rsidR="00776452">
        <w:rPr>
          <w:rFonts w:ascii="Times New Roman" w:hAnsi="Times New Roman" w:cs="Times New Roman"/>
        </w:rPr>
        <w:instrText xml:space="preserve"> ADDIN ZOTERO_ITEM CSL_CITATION {"citationID":"maRrkvNP","properties":{"formattedCitation":"[34]","plainCitation":"[34]","noteIndex":0},"citationItems":[{"id":4004,"uris":["http://zotero.org/users/2945453/items/JYU7DBUW"],"itemData":{"id":4004,"type":"article-journal","container-title":"Psychological Assessment","DOI":"10.1037/1040-3590.14.4.485","ISSN":"1939-134X, 1040-3590","issue":"4","journalAbbreviation":"Psychological Assessment","language":"en","page":"485-496","source":"DOI.org (Crossref)","title":"The Obsessive-Compulsive Inventory: Development and validation of a short version.","title-short":"The Obsessive-Compulsive Inventory","volume":"14","author":[{"family":"Foa","given":"Edna B."},{"family":"Huppert","given":"Jonathan D."},{"family":"Leiberg","given":"Susanne"},{"family":"Langner","given":"Robert"},{"family":"Kichic","given":"Rafael"},{"family":"Hajcak","given":"Greg"},{"family":"Salkovskis","given":"Paul M."}],"issued":{"date-parts":[["2002"]]}}}],"schema":"https://github.com/citation-style-language/schema/raw/master/csl-citation.json"} </w:instrText>
      </w:r>
      <w:r w:rsidR="001600EF" w:rsidRPr="00E45C93">
        <w:rPr>
          <w:rFonts w:ascii="Times New Roman" w:hAnsi="Times New Roman" w:cs="Times New Roman"/>
        </w:rPr>
        <w:fldChar w:fldCharType="separate"/>
      </w:r>
      <w:r w:rsidR="00776452">
        <w:rPr>
          <w:rFonts w:ascii="Times New Roman" w:hAnsi="Times New Roman" w:cs="Times New Roman"/>
          <w:noProof/>
        </w:rPr>
        <w:t>[34]</w:t>
      </w:r>
      <w:r w:rsidR="001600EF" w:rsidRPr="00E45C93">
        <w:rPr>
          <w:rFonts w:ascii="Times New Roman" w:hAnsi="Times New Roman" w:cs="Times New Roman"/>
        </w:rPr>
        <w:fldChar w:fldCharType="end"/>
      </w:r>
      <w:r w:rsidR="001600EF" w:rsidRPr="00E45C93">
        <w:rPr>
          <w:rFonts w:ascii="Times New Roman" w:hAnsi="Times New Roman" w:cs="Times New Roman"/>
        </w:rPr>
        <w:t xml:space="preserve">. </w:t>
      </w:r>
    </w:p>
    <w:p w14:paraId="5A74B6C8" w14:textId="00664825" w:rsidR="00BC5062" w:rsidRPr="00E45C93" w:rsidRDefault="001600EF" w:rsidP="005A425F">
      <w:pPr>
        <w:pStyle w:val="ListParagraph"/>
        <w:numPr>
          <w:ilvl w:val="0"/>
          <w:numId w:val="23"/>
        </w:numPr>
        <w:spacing w:line="360" w:lineRule="auto"/>
        <w:jc w:val="both"/>
        <w:rPr>
          <w:rFonts w:ascii="Times New Roman" w:hAnsi="Times New Roman" w:cs="Times New Roman"/>
        </w:rPr>
      </w:pPr>
      <w:r w:rsidRPr="00E45C93">
        <w:rPr>
          <w:rFonts w:ascii="Times New Roman" w:hAnsi="Times New Roman" w:cs="Times New Roman"/>
          <w:b/>
          <w:bCs/>
        </w:rPr>
        <w:t xml:space="preserve">The </w:t>
      </w:r>
      <w:r w:rsidR="00B82FE3" w:rsidRPr="00E45C93">
        <w:rPr>
          <w:rFonts w:ascii="Times New Roman" w:hAnsi="Times New Roman" w:cs="Times New Roman"/>
          <w:b/>
          <w:bCs/>
        </w:rPr>
        <w:t>Eating Disorder Examination Questionnaire (EDE-Q)</w:t>
      </w:r>
      <w:r w:rsidR="00B82FE3" w:rsidRPr="00E45C93">
        <w:rPr>
          <w:rFonts w:ascii="Times New Roman" w:hAnsi="Times New Roman" w:cs="Times New Roman"/>
        </w:rPr>
        <w:t xml:space="preserve"> assesses core features of eating disorder psychopathology, including restraint, eating concern, shape concern, and weight concern. As a widely used and psychometrically validated self-report measure, the EDE-Q enables the evaluation of symptom severity and behavioral patterns in clinical and non-clinical populations, supporting the investigation of disordered eating concerning psychological, physiological, and sociocultural variables </w:t>
      </w:r>
      <w:r w:rsidR="00B82FE3" w:rsidRPr="00E45C93">
        <w:rPr>
          <w:rFonts w:ascii="Times New Roman" w:hAnsi="Times New Roman" w:cs="Times New Roman"/>
        </w:rPr>
        <w:fldChar w:fldCharType="begin"/>
      </w:r>
      <w:r w:rsidR="00776452">
        <w:rPr>
          <w:rFonts w:ascii="Times New Roman" w:hAnsi="Times New Roman" w:cs="Times New Roman"/>
        </w:rPr>
        <w:instrText xml:space="preserve"> ADDIN ZOTERO_ITEM CSL_CITATION {"citationID":"Kw6pGTFf","properties":{"formattedCitation":"[35]","plainCitation":"[35]","noteIndex":0},"citationItems":[{"id":4005,"uris":["http://zotero.org/users/2945453/items/CSYFVIYH"],"itemData":{"id":4005,"type":"dataset","DOI":"10.1037/t03974-000","language":"en","note":"Institution: American Psychological Association","source":"DOI.org (Crossref)","title":"Eating Disorder Examination Questionnaire","URL":"https://doi.apa.org/doi/10.1037/t03974-000","author":[{"family":"Fairburn","given":"Christopher G."},{"family":"Beglin","given":"Sarah J."}],"accessed":{"date-parts":[["2025",5,6]]},"issued":{"date-parts":[["2011",9,12]]}}}],"schema":"https://github.com/citation-style-language/schema/raw/master/csl-citation.json"} </w:instrText>
      </w:r>
      <w:r w:rsidR="00B82FE3" w:rsidRPr="00E45C93">
        <w:rPr>
          <w:rFonts w:ascii="Times New Roman" w:hAnsi="Times New Roman" w:cs="Times New Roman"/>
        </w:rPr>
        <w:fldChar w:fldCharType="separate"/>
      </w:r>
      <w:r w:rsidR="00776452">
        <w:rPr>
          <w:rFonts w:ascii="Times New Roman" w:hAnsi="Times New Roman" w:cs="Times New Roman"/>
          <w:noProof/>
        </w:rPr>
        <w:t>[35]</w:t>
      </w:r>
      <w:r w:rsidR="00B82FE3" w:rsidRPr="00E45C93">
        <w:rPr>
          <w:rFonts w:ascii="Times New Roman" w:hAnsi="Times New Roman" w:cs="Times New Roman"/>
        </w:rPr>
        <w:fldChar w:fldCharType="end"/>
      </w:r>
      <w:r w:rsidR="00B82FE3" w:rsidRPr="00E45C93">
        <w:rPr>
          <w:rFonts w:ascii="Times New Roman" w:hAnsi="Times New Roman" w:cs="Times New Roman"/>
        </w:rPr>
        <w:t>.</w:t>
      </w:r>
    </w:p>
    <w:p w14:paraId="7A20AD66" w14:textId="125E8E15" w:rsidR="00E70A20" w:rsidRPr="00E45C93" w:rsidRDefault="00E70A20" w:rsidP="005A425F">
      <w:pPr>
        <w:pStyle w:val="ListParagraph"/>
        <w:numPr>
          <w:ilvl w:val="0"/>
          <w:numId w:val="23"/>
        </w:numPr>
        <w:spacing w:line="360" w:lineRule="auto"/>
        <w:jc w:val="both"/>
        <w:rPr>
          <w:rFonts w:ascii="Times New Roman" w:hAnsi="Times New Roman" w:cs="Times New Roman"/>
        </w:rPr>
      </w:pPr>
      <w:r w:rsidRPr="00E45C93">
        <w:rPr>
          <w:rFonts w:ascii="Times New Roman" w:hAnsi="Times New Roman" w:cs="Times New Roman"/>
          <w:b/>
          <w:bCs/>
        </w:rPr>
        <w:lastRenderedPageBreak/>
        <w:t>The Food Frequency Questionnaire (FFQ)</w:t>
      </w:r>
      <w:r w:rsidRPr="00E45C93">
        <w:rPr>
          <w:rFonts w:ascii="Times New Roman" w:hAnsi="Times New Roman" w:cs="Times New Roman"/>
        </w:rPr>
        <w:t xml:space="preserve"> assesses participants' habitual dietary intake, focusing on food variety and dietary patterns over a defined period. As a standardized and widely used dietary assessment tool, the FFQ enables the identification of nutritional profiles, associations with health outcomes, and dietary influences on psychological and physiological variables relevant to the proposed research </w:t>
      </w:r>
      <w:r w:rsidR="00405D5E" w:rsidRPr="00E45C93">
        <w:rPr>
          <w:rFonts w:ascii="Times New Roman" w:hAnsi="Times New Roman" w:cs="Times New Roman"/>
        </w:rPr>
        <w:fldChar w:fldCharType="begin"/>
      </w:r>
      <w:r w:rsidR="00776452">
        <w:rPr>
          <w:rFonts w:ascii="Times New Roman" w:hAnsi="Times New Roman" w:cs="Times New Roman"/>
        </w:rPr>
        <w:instrText xml:space="preserve"> ADDIN ZOTERO_ITEM CSL_CITATION {"citationID":"4cACej72","properties":{"formattedCitation":"[36, 37]","plainCitation":"[36, 37]","noteIndex":0},"citationItems":[{"id":4006,"uris":["http://zotero.org/users/2945453/items/PT63U2SA"],"itemData":{"id":4006,"type":"article-journal","container-title":"American Journal of Epidemiology","DOI":"10.1093/oxfordjournals.aje.a114086","ISSN":"1476-6256, 0002-9262","issue":"1","language":"en","page":"51-65","source":"DOI.org (Crossref)","title":"REPRODUCIBILITY AND VALIDITY OF A SEMIQUANTITATIVE FOOD FREQUENCY QUESTIONNAIRE","volume":"122","author":[{"family":"Willett","given":"Walter C."},{"family":"Sampson","given":"Laura"},{"family":"Stampfer","given":"Meir J."},{"family":"Rosner","given":"Bernard"},{"family":"Bain","given":"Christopher"},{"family":"Witschi","given":"Jelia"},{"family":"Hennekens","given":"Charles H."},{"family":"Speizer","given":"Frank E."}],"issued":{"date-parts":[["1985",7]]}},"label":"page"},{"id":4007,"uris":["http://zotero.org/users/2945453/items/KG3DB544"],"itemData":{"id":4007,"type":"article-journal","container-title":"European Journal of Epidemiology","DOI":"10.1023/A:1025634020718","ISSN":"03932990","issue":"9","page":"855-861","source":"DOI.org (Crossref)","title":"[No title found]","volume":"18","author":[{"family":"Shahar","given":"Danit"},{"family":"Shai","given":"Iris"},{"family":"Vardi","given":"Hillel"},{"family":"Brener‐Azrad","given":"Ayelet"},{"family":"Fraser","given":"Drora"}],"issued":{"date-parts":[["2003"]]}},"label":"page"}],"schema":"https://github.com/citation-style-language/schema/raw/master/csl-citation.json"} </w:instrText>
      </w:r>
      <w:r w:rsidR="00405D5E" w:rsidRPr="00E45C93">
        <w:rPr>
          <w:rFonts w:ascii="Times New Roman" w:hAnsi="Times New Roman" w:cs="Times New Roman"/>
        </w:rPr>
        <w:fldChar w:fldCharType="separate"/>
      </w:r>
      <w:r w:rsidR="00776452">
        <w:rPr>
          <w:rFonts w:ascii="Times New Roman" w:hAnsi="Times New Roman" w:cs="Times New Roman"/>
          <w:noProof/>
        </w:rPr>
        <w:t>[36, 37]</w:t>
      </w:r>
      <w:r w:rsidR="00405D5E" w:rsidRPr="00E45C93">
        <w:rPr>
          <w:rFonts w:ascii="Times New Roman" w:hAnsi="Times New Roman" w:cs="Times New Roman"/>
        </w:rPr>
        <w:fldChar w:fldCharType="end"/>
      </w:r>
      <w:r w:rsidR="00405D5E" w:rsidRPr="00E45C93">
        <w:rPr>
          <w:rFonts w:ascii="Times New Roman" w:hAnsi="Times New Roman" w:cs="Times New Roman"/>
        </w:rPr>
        <w:t xml:space="preserve">. </w:t>
      </w:r>
    </w:p>
    <w:p w14:paraId="4A2FBE54" w14:textId="77777777" w:rsidR="005C1EC3" w:rsidRPr="00CA2EF9" w:rsidRDefault="005C1EC3" w:rsidP="005A425F">
      <w:pPr>
        <w:spacing w:line="360" w:lineRule="auto"/>
        <w:jc w:val="both"/>
        <w:rPr>
          <w:i/>
          <w:iCs/>
          <w:u w:val="single"/>
        </w:rPr>
      </w:pPr>
      <w:r w:rsidRPr="00CA2EF9">
        <w:rPr>
          <w:i/>
          <w:iCs/>
          <w:u w:val="single"/>
        </w:rPr>
        <w:t>Immunological Profiling</w:t>
      </w:r>
    </w:p>
    <w:p w14:paraId="24A56EA4" w14:textId="1E7E7117" w:rsidR="005C1EC3" w:rsidRPr="00E45C93" w:rsidRDefault="005C1EC3" w:rsidP="005A425F">
      <w:pPr>
        <w:spacing w:line="360" w:lineRule="auto"/>
        <w:jc w:val="both"/>
      </w:pPr>
      <w:r w:rsidRPr="00E45C93">
        <w:t>To investigate potential immunological mechanisms underlying ON, the study will assess both pro-inflammatory and anti-inflammatory cytokines as markers of immune system balance across four groups: ON, HO, AN, and CG. This approach is grounded in growing evidence linking immune dysregulation to affective, cognitive, and behavioral symptoms observed in eating disorders.</w:t>
      </w:r>
    </w:p>
    <w:p w14:paraId="7992400C" w14:textId="77777777" w:rsidR="005C1EC3" w:rsidRPr="00E45C93" w:rsidRDefault="005C1EC3" w:rsidP="005A425F">
      <w:pPr>
        <w:spacing w:line="360" w:lineRule="auto"/>
        <w:jc w:val="both"/>
      </w:pPr>
      <w:r w:rsidRPr="00E45C93">
        <w:t xml:space="preserve">The selected </w:t>
      </w:r>
      <w:r w:rsidRPr="00E45C93">
        <w:rPr>
          <w:b/>
          <w:bCs/>
        </w:rPr>
        <w:t>pro-inflammatory cytokines</w:t>
      </w:r>
      <w:r w:rsidRPr="00E45C93">
        <w:t xml:space="preserve"> include:</w:t>
      </w:r>
    </w:p>
    <w:p w14:paraId="7AB00E95" w14:textId="046BE502" w:rsidR="005C1EC3" w:rsidRPr="00E45C93" w:rsidRDefault="005C1EC3" w:rsidP="005A425F">
      <w:pPr>
        <w:numPr>
          <w:ilvl w:val="0"/>
          <w:numId w:val="12"/>
        </w:numPr>
        <w:spacing w:line="360" w:lineRule="auto"/>
        <w:jc w:val="both"/>
      </w:pPr>
      <w:r w:rsidRPr="00E45C93">
        <w:rPr>
          <w:b/>
          <w:bCs/>
        </w:rPr>
        <w:t>Interleukin-6 (IL-6)</w:t>
      </w:r>
      <w:r w:rsidR="00106349" w:rsidRPr="00E45C93">
        <w:rPr>
          <w:b/>
          <w:bCs/>
        </w:rPr>
        <w:t xml:space="preserve"> </w:t>
      </w:r>
      <w:r w:rsidR="00106349" w:rsidRPr="00447F27">
        <w:t>is</w:t>
      </w:r>
      <w:r w:rsidR="00106349" w:rsidRPr="00E45C93">
        <w:rPr>
          <w:b/>
          <w:bCs/>
        </w:rPr>
        <w:t xml:space="preserve"> </w:t>
      </w:r>
      <w:r w:rsidR="00106349" w:rsidRPr="00447F27">
        <w:t>a</w:t>
      </w:r>
      <w:r w:rsidR="00447F27" w:rsidRPr="00447F27">
        <w:t>n elevated cytokine</w:t>
      </w:r>
      <w:r w:rsidR="00361945" w:rsidRPr="00E45C93">
        <w:t xml:space="preserve"> in</w:t>
      </w:r>
      <w:r w:rsidR="00106349" w:rsidRPr="00E45C93">
        <w:t xml:space="preserve"> malnutrition and chronic psychological stress. It is</w:t>
      </w:r>
      <w:r w:rsidRPr="00E45C93">
        <w:t xml:space="preserve"> associated with symptoms such as fatigue, anxiety, and impaired cognitive performance.</w:t>
      </w:r>
    </w:p>
    <w:p w14:paraId="4F2C5EA4" w14:textId="77777777" w:rsidR="005C1EC3" w:rsidRPr="00E45C93" w:rsidRDefault="005C1EC3" w:rsidP="005A425F">
      <w:pPr>
        <w:numPr>
          <w:ilvl w:val="0"/>
          <w:numId w:val="12"/>
        </w:numPr>
        <w:spacing w:line="360" w:lineRule="auto"/>
        <w:jc w:val="both"/>
      </w:pPr>
      <w:r w:rsidRPr="00E45C93">
        <w:rPr>
          <w:b/>
          <w:bCs/>
        </w:rPr>
        <w:t>Interleukin-1β (IL-1β):</w:t>
      </w:r>
      <w:r w:rsidRPr="00E45C93">
        <w:t xml:space="preserve"> A potent mediator of neuroinflammation, often elevated in stress-related conditions and implicated in the disruption of gut-brain communication.</w:t>
      </w:r>
    </w:p>
    <w:p w14:paraId="7437A4CC" w14:textId="5B197B5B" w:rsidR="005C1EC3" w:rsidRPr="00E45C93" w:rsidRDefault="005C1EC3" w:rsidP="005A425F">
      <w:pPr>
        <w:numPr>
          <w:ilvl w:val="0"/>
          <w:numId w:val="12"/>
        </w:numPr>
        <w:spacing w:line="360" w:lineRule="auto"/>
        <w:jc w:val="both"/>
      </w:pPr>
      <w:proofErr w:type="spellStart"/>
      <w:r w:rsidRPr="00E45C93">
        <w:rPr>
          <w:b/>
          <w:bCs/>
        </w:rPr>
        <w:t>Tumor</w:t>
      </w:r>
      <w:proofErr w:type="spellEnd"/>
      <w:r w:rsidRPr="00E45C93">
        <w:rPr>
          <w:b/>
          <w:bCs/>
        </w:rPr>
        <w:t xml:space="preserve"> Necrosis Factor-alpha (TNF-α)</w:t>
      </w:r>
      <w:r w:rsidR="00447F27">
        <w:rPr>
          <w:b/>
          <w:bCs/>
        </w:rPr>
        <w:t xml:space="preserve"> </w:t>
      </w:r>
      <w:r w:rsidR="00447F27">
        <w:t>is</w:t>
      </w:r>
      <w:r w:rsidRPr="00E45C93">
        <w:t xml:space="preserve"> </w:t>
      </w:r>
      <w:r w:rsidR="00447F27">
        <w:t xml:space="preserve">a </w:t>
      </w:r>
      <w:r w:rsidRPr="00E45C93">
        <w:t>systemic inflammatory marker associated with mood disorders and anorexia nervosa, involved in appetite regulation and catabolic processes.</w:t>
      </w:r>
    </w:p>
    <w:p w14:paraId="15BA238B" w14:textId="77777777" w:rsidR="005C1EC3" w:rsidRPr="00E45C93" w:rsidRDefault="005C1EC3" w:rsidP="005A425F">
      <w:pPr>
        <w:spacing w:line="360" w:lineRule="auto"/>
        <w:jc w:val="both"/>
      </w:pPr>
      <w:r w:rsidRPr="00E45C93">
        <w:t xml:space="preserve">To capture regulatory immune responses, two key </w:t>
      </w:r>
      <w:r w:rsidRPr="00E45C93">
        <w:rPr>
          <w:b/>
          <w:bCs/>
        </w:rPr>
        <w:t>anti-inflammatory cytokines</w:t>
      </w:r>
      <w:r w:rsidRPr="00E45C93">
        <w:t xml:space="preserve"> will also be measured:</w:t>
      </w:r>
    </w:p>
    <w:p w14:paraId="20F241AC" w14:textId="0E1C6EF4" w:rsidR="005C1EC3" w:rsidRPr="00E45C93" w:rsidRDefault="005C1EC3" w:rsidP="005A425F">
      <w:pPr>
        <w:numPr>
          <w:ilvl w:val="0"/>
          <w:numId w:val="13"/>
        </w:numPr>
        <w:spacing w:line="360" w:lineRule="auto"/>
        <w:jc w:val="both"/>
      </w:pPr>
      <w:r w:rsidRPr="00E45C93">
        <w:rPr>
          <w:b/>
          <w:bCs/>
        </w:rPr>
        <w:t>Interleukin-10 (IL-10)</w:t>
      </w:r>
      <w:r w:rsidR="00447F27">
        <w:rPr>
          <w:b/>
          <w:bCs/>
        </w:rPr>
        <w:t xml:space="preserve"> </w:t>
      </w:r>
      <w:r w:rsidR="00447F27">
        <w:t>is a</w:t>
      </w:r>
      <w:r w:rsidRPr="00E45C93">
        <w:t xml:space="preserve"> critical immunomodulatory cytokine that downregulates inflammation. Lower IL-10 levels may reflect impaired capacity to counterbalance pro-inflammatory responses.</w:t>
      </w:r>
    </w:p>
    <w:p w14:paraId="738CC2B0" w14:textId="63087380" w:rsidR="005C1EC3" w:rsidRPr="00E45C93" w:rsidRDefault="005C1EC3" w:rsidP="005A425F">
      <w:pPr>
        <w:numPr>
          <w:ilvl w:val="0"/>
          <w:numId w:val="13"/>
        </w:numPr>
        <w:spacing w:line="360" w:lineRule="auto"/>
        <w:jc w:val="both"/>
      </w:pPr>
      <w:r w:rsidRPr="00E45C93">
        <w:rPr>
          <w:b/>
          <w:bCs/>
        </w:rPr>
        <w:t>Transforming Growth Factor-beta (TGF-β)</w:t>
      </w:r>
      <w:r w:rsidR="00447F27">
        <w:t xml:space="preserve"> </w:t>
      </w:r>
      <w:r w:rsidR="00447F27" w:rsidRPr="00447F27">
        <w:t>is a</w:t>
      </w:r>
      <w:r w:rsidRPr="00E45C93">
        <w:t xml:space="preserve"> multifunctional cytokine that maintains mucosal immunity, intestinal barrier integrity, and gut microbiota balance—functions particularly relevant to gut-brain axis dynamics.</w:t>
      </w:r>
    </w:p>
    <w:p w14:paraId="7A15C7EE" w14:textId="03DC922E" w:rsidR="005C1EC3" w:rsidRPr="00E45C93" w:rsidRDefault="00BF06CC" w:rsidP="005A425F">
      <w:pPr>
        <w:spacing w:line="360" w:lineRule="auto"/>
        <w:jc w:val="both"/>
      </w:pPr>
      <w:r w:rsidRPr="00BF06CC">
        <w:t xml:space="preserve">Blood samples will be collected in the morning to control for circadian fluctuations in cytokine levels. </w:t>
      </w:r>
      <w:r w:rsidRPr="00BF06CC">
        <w:rPr>
          <w:b/>
          <w:bCs/>
        </w:rPr>
        <w:t>All blood draws will be performed by a licensed nurse, specifically trained for the procedure, who will be compensated for their services as part of the study budget.</w:t>
      </w:r>
      <w:r w:rsidRPr="00BF06CC">
        <w:t xml:space="preserve"> Samples will be centrifuged to isolate serum, which will be aliquoted and stored at –80°C until analysis. Cytokine concentrations will be quantified using multiplex bead-based immunoassays, such as Luminex </w:t>
      </w:r>
      <w:proofErr w:type="spellStart"/>
      <w:r w:rsidRPr="00BF06CC">
        <w:t>xMAP</w:t>
      </w:r>
      <w:proofErr w:type="spellEnd"/>
      <w:r w:rsidRPr="00BF06CC">
        <w:t>® Technology, allowing simultaneous, high-sensitivity detection of multiple targets in small volumes. This method enhances analytical efficiency and reduces inter-assay variability, participant burden, and sample requirements</w:t>
      </w:r>
      <w:r w:rsidR="005C1EC3" w:rsidRPr="00E45C93">
        <w:t>.</w:t>
      </w:r>
    </w:p>
    <w:p w14:paraId="78CA5E72" w14:textId="34E8970D" w:rsidR="00B566A6" w:rsidRPr="00E45C93" w:rsidRDefault="005C1EC3" w:rsidP="005A425F">
      <w:pPr>
        <w:spacing w:line="360" w:lineRule="auto"/>
        <w:jc w:val="both"/>
      </w:pPr>
      <w:r w:rsidRPr="00E45C93">
        <w:rPr>
          <w:b/>
          <w:bCs/>
        </w:rPr>
        <w:lastRenderedPageBreak/>
        <w:t>General Linear Models (GLMs)</w:t>
      </w:r>
      <w:r w:rsidRPr="00E45C93">
        <w:t xml:space="preserve"> will be employed to compare cytokine concentrations across the four groups for statistical analysis. Age, sex, and body mass index (BMI) will be covariates to control for known confounders. If distributional assumptions are violated, cytokine values will be </w:t>
      </w:r>
      <w:r w:rsidRPr="00E45C93">
        <w:rPr>
          <w:b/>
          <w:bCs/>
        </w:rPr>
        <w:t>log-transformed</w:t>
      </w:r>
      <w:r w:rsidRPr="00E45C93">
        <w:t xml:space="preserve"> to improve normality. Additionally, </w:t>
      </w:r>
      <w:r w:rsidRPr="00E45C93">
        <w:rPr>
          <w:b/>
          <w:bCs/>
        </w:rPr>
        <w:t>exploratory cluster analyses</w:t>
      </w:r>
      <w:r w:rsidRPr="00E45C93">
        <w:t xml:space="preserve"> may be conducted to identify biologically meaningful immune subtypes that cut across diagnostic categories, providing insight into transdiagnostic inflammatory profiles potentially relevant to disordered eating phenotypes.</w:t>
      </w:r>
      <w:r w:rsidR="008E6390">
        <w:t xml:space="preserve"> </w:t>
      </w:r>
    </w:p>
    <w:p w14:paraId="39C5F0A3" w14:textId="77777777" w:rsidR="001D4453" w:rsidRPr="00CA2EF9" w:rsidRDefault="001D4453" w:rsidP="005A425F">
      <w:pPr>
        <w:spacing w:line="360" w:lineRule="auto"/>
        <w:jc w:val="both"/>
        <w:rPr>
          <w:i/>
          <w:iCs/>
          <w:u w:val="single"/>
        </w:rPr>
      </w:pPr>
      <w:r w:rsidRPr="00CA2EF9">
        <w:rPr>
          <w:i/>
          <w:iCs/>
          <w:u w:val="single"/>
        </w:rPr>
        <w:t>Neurophysiological (EEG/ERP) Recording</w:t>
      </w:r>
    </w:p>
    <w:p w14:paraId="79AD66A4" w14:textId="0334833D" w:rsidR="001D4453" w:rsidRPr="00E45C93" w:rsidRDefault="00484A3E" w:rsidP="005A425F">
      <w:pPr>
        <w:spacing w:line="360" w:lineRule="auto"/>
        <w:jc w:val="both"/>
      </w:pPr>
      <w:r>
        <w:t>H</w:t>
      </w:r>
      <w:r w:rsidR="00106349" w:rsidRPr="00E45C93">
        <w:t xml:space="preserve">igh-resolution electroencephalography (EEG) </w:t>
      </w:r>
      <w:r w:rsidR="002730D9">
        <w:t xml:space="preserve">will </w:t>
      </w:r>
      <w:r w:rsidR="00106349" w:rsidRPr="00E45C93">
        <w:t>examine the neural mechanisms underlying attentional control, emotional regulation, and self-relevant food processing</w:t>
      </w:r>
      <w:r w:rsidR="002730D9">
        <w:t>.</w:t>
      </w:r>
      <w:r w:rsidR="00106349" w:rsidRPr="00E45C93">
        <w:t xml:space="preserve"> ON</w:t>
      </w:r>
      <w:r w:rsidR="00894FE7">
        <w:t xml:space="preserve"> r</w:t>
      </w:r>
      <w:r w:rsidR="001D4453" w:rsidRPr="00E45C93">
        <w:t xml:space="preserve">ecordings will be conducted using a </w:t>
      </w:r>
      <w:r w:rsidR="001D4453" w:rsidRPr="00E45C93">
        <w:rPr>
          <w:b/>
          <w:bCs/>
        </w:rPr>
        <w:t xml:space="preserve">32-channel </w:t>
      </w:r>
      <w:proofErr w:type="spellStart"/>
      <w:r w:rsidR="001D4453" w:rsidRPr="00E45C93">
        <w:rPr>
          <w:b/>
          <w:bCs/>
        </w:rPr>
        <w:t>gTech</w:t>
      </w:r>
      <w:proofErr w:type="spellEnd"/>
      <w:r w:rsidR="001D4453" w:rsidRPr="00E45C93">
        <w:rPr>
          <w:b/>
          <w:bCs/>
        </w:rPr>
        <w:t xml:space="preserve"> Nautilus wireless EEG system</w:t>
      </w:r>
      <w:r w:rsidR="001D4453" w:rsidRPr="00E45C93">
        <w:t>, which provides high signal fidelity and participant comfort, essential for capturing naturalistic cognitive and emotional responses.</w:t>
      </w:r>
    </w:p>
    <w:p w14:paraId="0C47A215" w14:textId="77777777" w:rsidR="001D4453" w:rsidRPr="00E45C93" w:rsidRDefault="001D4453" w:rsidP="005A425F">
      <w:pPr>
        <w:spacing w:line="360" w:lineRule="auto"/>
        <w:jc w:val="both"/>
      </w:pPr>
      <w:r w:rsidRPr="00E45C93">
        <w:t>The EEG assessment will include two components:</w:t>
      </w:r>
    </w:p>
    <w:p w14:paraId="3321C6E3" w14:textId="77777777" w:rsidR="001D4453" w:rsidRPr="00E45C93" w:rsidRDefault="001D4453" w:rsidP="005A425F">
      <w:pPr>
        <w:numPr>
          <w:ilvl w:val="0"/>
          <w:numId w:val="15"/>
        </w:numPr>
        <w:spacing w:line="360" w:lineRule="auto"/>
        <w:jc w:val="both"/>
      </w:pPr>
      <w:r w:rsidRPr="00E45C93">
        <w:rPr>
          <w:b/>
          <w:bCs/>
        </w:rPr>
        <w:t>Resting-State EEG:</w:t>
      </w:r>
      <w:r w:rsidRPr="00E45C93">
        <w:t xml:space="preserve"> Participants will undergo a 5-minute recording session under both </w:t>
      </w:r>
      <w:r w:rsidRPr="00E45C93">
        <w:rPr>
          <w:b/>
          <w:bCs/>
        </w:rPr>
        <w:t>eyes-open</w:t>
      </w:r>
      <w:r w:rsidRPr="00E45C93">
        <w:t xml:space="preserve"> and </w:t>
      </w:r>
      <w:r w:rsidRPr="00E45C93">
        <w:rPr>
          <w:b/>
          <w:bCs/>
        </w:rPr>
        <w:t>eyes-closed</w:t>
      </w:r>
      <w:r w:rsidRPr="00E45C93">
        <w:t xml:space="preserve"> conditions. These baseline measures allow for the analysis of intrinsic brain activity, including frequency band power (e.g., alpha, theta) and connectivity patterns. Alterations in resting-state dynamics have been previously associated with eating disorders and obsessive-compulsive traits, particularly in individuals with Anorexia Nervosa (AN) and Binge Eating Disorder [12,14,17].</w:t>
      </w:r>
    </w:p>
    <w:p w14:paraId="098D939F" w14:textId="7B9FB5BD" w:rsidR="004F61E2" w:rsidRPr="004F61E2" w:rsidRDefault="001D4453" w:rsidP="005A425F">
      <w:pPr>
        <w:numPr>
          <w:ilvl w:val="0"/>
          <w:numId w:val="15"/>
        </w:numPr>
        <w:spacing w:line="360" w:lineRule="auto"/>
        <w:jc w:val="both"/>
      </w:pPr>
      <w:r w:rsidRPr="00E45C93">
        <w:rPr>
          <w:b/>
          <w:bCs/>
        </w:rPr>
        <w:t>Event-Related Potential (ERP) Task:</w:t>
      </w:r>
      <w:r w:rsidRPr="00E45C93">
        <w:t xml:space="preserve"> </w:t>
      </w:r>
      <w:r w:rsidR="004F61E2" w:rsidRPr="004F61E2">
        <w:t>Participants will complete the Adult Food Preference Paradigm (AFPP), a cognitive-affective task developed in our lab to probe emotional responses to food-related and self-referential stimuli</w:t>
      </w:r>
      <w:r w:rsidR="004F61E2">
        <w:t xml:space="preserve"> </w:t>
      </w:r>
      <w:r w:rsidR="004F61E2" w:rsidRPr="00E45C93">
        <w:fldChar w:fldCharType="begin"/>
      </w:r>
      <w:r w:rsidR="00776452">
        <w:instrText xml:space="preserve"> ADDIN ZOTERO_ITEM CSL_CITATION {"citationID":"KcvwM0Ls","properties":{"formattedCitation":"[38]","plainCitation":"[38]","noteIndex":0},"citationItems":[{"id":3869,"uris":["http://zotero.org/users/2945453/items/NQFF6KKA"],"itemData":{"id":3869,"type":"article-journal","abstract":"The study investigates the behavioral manifestations of the “Theory of Food” (ToF), a novel theoretical framework centered on the early development of food perceptions. The ToF posits that childhood experiences with food shape cognitive networks influencing adult dietary choices. Stemming from the “Theory of Mind,” the ToF hypothesizes that individuals construct an associative world of food images and representations mirroring the socio-cognitive world shaped by proper theory of mind development. The study, involving 249 healthy adults, employs the Cognitive Food Preference Questionnaire (CFPQ) and the Adult Food Preference Profile (AFPP) to explore the correlation between childhood and adult food preferences across diet groups (omnivores, vegetarians, and vegans). Results reveal robust correlations in omnivores, varied patterns in vegetarians, and mixed outcomes in vegans. Notably, omnivores show correlations in grains, fast food, dairy products, vegetables, meat, soft drinks, and snack consumption. Vegetarians exhibit correlations in grains, fast food, dairy products, vegetables, snacks, and, surprisingly, meat consumption. Vegans display correlations in grains, fast food, vegetables, and snacks. The study suggests that childhood dietary habits tend to influence adult food choices, offering insights for future research in the field of theory of food (ToF).","container-title":"Nutrients","DOI":"10.3390/nu16030428","ISSN":"2072-6643","issue":"3","journalAbbreviation":"Nutrients","language":"en","license":"https://creativecommons.org/licenses/by/4.0/","page":"428","source":"DOI.org (Crossref)","title":"Theory of Food: Unravelling the Lifelong Impact of Childhood Dietary Habits on Adult Food Preferences across Different Diet Groups","title-short":"Theory of Food","volume":"16","author":[{"family":"Horovitz","given":"Omer"}],"issued":{"date-parts":[["2024",1,31]]}}}],"schema":"https://github.com/citation-style-language/schema/raw/master/csl-citation.json"} </w:instrText>
      </w:r>
      <w:r w:rsidR="004F61E2" w:rsidRPr="00E45C93">
        <w:fldChar w:fldCharType="separate"/>
      </w:r>
      <w:r w:rsidR="00776452">
        <w:rPr>
          <w:noProof/>
        </w:rPr>
        <w:t>[38]</w:t>
      </w:r>
      <w:r w:rsidR="004F61E2" w:rsidRPr="00E45C93">
        <w:fldChar w:fldCharType="end"/>
      </w:r>
      <w:r w:rsidR="004F61E2" w:rsidRPr="00E45C93">
        <w:t>.</w:t>
      </w:r>
      <w:r w:rsidR="004F61E2" w:rsidRPr="004F61E2">
        <w:t xml:space="preserve"> </w:t>
      </w:r>
      <w:r w:rsidR="003D713D" w:rsidRPr="004F61E2">
        <w:t xml:space="preserve">Preliminary pilot data </w:t>
      </w:r>
      <w:r w:rsidR="003D713D">
        <w:t>will be collected to affirm</w:t>
      </w:r>
      <w:r w:rsidR="003D713D" w:rsidRPr="004F61E2">
        <w:t xml:space="preserve"> that the AFPP elicits robust N200, P300, and LPP components </w:t>
      </w:r>
      <w:r w:rsidR="003D713D">
        <w:t>concerning</w:t>
      </w:r>
      <w:r w:rsidR="003D713D" w:rsidRPr="004F61E2">
        <w:t xml:space="preserve"> health-labelled and emotionally significant food stimuli</w:t>
      </w:r>
      <w:r w:rsidR="003D713D">
        <w:t>, alongside completing</w:t>
      </w:r>
      <w:r w:rsidR="003D713D" w:rsidRPr="003D713D">
        <w:t xml:space="preserve"> a validated ERP task used in eating disorder research</w:t>
      </w:r>
      <w:r w:rsidR="003D713D">
        <w:t xml:space="preserve"> </w:t>
      </w:r>
      <w:r w:rsidR="003D713D">
        <w:fldChar w:fldCharType="begin"/>
      </w:r>
      <w:r w:rsidR="003D713D">
        <w:instrText xml:space="preserve"> ADDIN ZOTERO_ITEM CSL_CITATION {"citationID":"fkOvnKBv","properties":{"formattedCitation":"[e.g., the Food Dot-Probe Task or Food-Categorization Task; , 22]","plainCitation":"[e.g., the Food Dot-Probe Task or Food-Categorization Task; , 22]","noteIndex":0},"citationItems":[{"id":3999,"uris":["http://zotero.org/users/2945453/items/3HVE2D3M"],"itemData":{"id":3999,"type":"article-journal","container-title":"Appetite","DOI":"10.1016/j.appet.2018.05.135","ISSN":"01956663","journalAbbreviation":"Appetite","language":"en","page":"58-78","source":"DOI.org (Crossref)","title":"The utility of event-related potentials (ERPs) in understanding food-related cognition: A systematic review and recommendations","title-short":"The utility of event-related potentials (ERPs) in understanding food-related cognition","volume":"128","author":[{"family":"Carbine","given":"Kaylie A."},{"family":"Rodeback","given":"Rebekah"},{"family":"Modersitzki","given":"Erin"},{"family":"Miner","given":"Marshall"},{"family":"LeCheminant","given":"James D."},{"family":"Larson","given":"Michael J."}],"issued":{"date-parts":[["2018",9]]}},"prefix":"e.g., the Food Dot-Probe Task or Food-Categorization Task;"}],"schema":"https://github.com/citation-style-language/schema/raw/master/csl-citation.json"} </w:instrText>
      </w:r>
      <w:r w:rsidR="003D713D">
        <w:fldChar w:fldCharType="separate"/>
      </w:r>
      <w:r w:rsidR="003D713D">
        <w:rPr>
          <w:noProof/>
        </w:rPr>
        <w:t>[e.g., the Food Dot-Probe Task or Food-Categorization Task; , 22]</w:t>
      </w:r>
      <w:r w:rsidR="003D713D">
        <w:fldChar w:fldCharType="end"/>
      </w:r>
      <w:r w:rsidR="004F61E2" w:rsidRPr="004F61E2">
        <w:t xml:space="preserve">. Full validation and reliability testing will be part of the </w:t>
      </w:r>
      <w:r w:rsidR="004F61E2">
        <w:t xml:space="preserve">project’s </w:t>
      </w:r>
      <w:r w:rsidR="004F61E2" w:rsidRPr="004F61E2">
        <w:t>pilot phase in Year 1.</w:t>
      </w:r>
      <w:r w:rsidR="003D713D">
        <w:t xml:space="preserve"> </w:t>
      </w:r>
      <w:r w:rsidR="00602907" w:rsidRPr="00602907">
        <w:t>Year 1 will be devoted to full validation of the AFPP, including assessment of reliability and ERP component sensitivity (e.g., N200, P300, LPP). If AFPP fails to meet validation criteria (e.g., low effect size, low internal consistency), a pre-specified fallback task—such as the Food Dot-Probe or Food-Categorization Task, both validated in eating disorder populations—will be used as the primary ERP measure. This ensures data interpretability and comparability to existing literature</w:t>
      </w:r>
      <w:r w:rsidR="003D713D">
        <w:t xml:space="preserve">. </w:t>
      </w:r>
    </w:p>
    <w:p w14:paraId="3D474F35" w14:textId="77777777" w:rsidR="001D4453" w:rsidRPr="00E45C93" w:rsidRDefault="001D4453" w:rsidP="005A425F">
      <w:pPr>
        <w:spacing w:line="360" w:lineRule="auto"/>
        <w:jc w:val="both"/>
      </w:pPr>
      <w:r w:rsidRPr="00E45C93">
        <w:lastRenderedPageBreak/>
        <w:t>Key ERP components of interest include:</w:t>
      </w:r>
    </w:p>
    <w:p w14:paraId="73B688A8" w14:textId="0D46E471" w:rsidR="001D4453" w:rsidRPr="00E45C93" w:rsidRDefault="001D4453" w:rsidP="005A425F">
      <w:pPr>
        <w:numPr>
          <w:ilvl w:val="0"/>
          <w:numId w:val="16"/>
        </w:numPr>
        <w:spacing w:line="360" w:lineRule="auto"/>
        <w:jc w:val="both"/>
      </w:pPr>
      <w:r w:rsidRPr="00E45C93">
        <w:rPr>
          <w:b/>
          <w:bCs/>
        </w:rPr>
        <w:t>N200</w:t>
      </w:r>
      <w:r w:rsidR="00C84854">
        <w:rPr>
          <w:b/>
          <w:bCs/>
        </w:rPr>
        <w:t xml:space="preserve">: </w:t>
      </w:r>
      <w:r w:rsidR="00C84854">
        <w:t>A</w:t>
      </w:r>
      <w:r w:rsidR="00C84854" w:rsidRPr="00C84854">
        <w:t xml:space="preserve">ssociated with conflict detection and cognitive control, </w:t>
      </w:r>
      <w:r w:rsidR="00C84854" w:rsidRPr="00C84854">
        <w:rPr>
          <w:b/>
          <w:bCs/>
        </w:rPr>
        <w:t>particularly relevant for evaluating the neural cost of violating internalized food rules or moral purity ideologies</w:t>
      </w:r>
      <w:r w:rsidR="00C84854">
        <w:rPr>
          <w:b/>
          <w:bCs/>
        </w:rPr>
        <w:t xml:space="preserve">, </w:t>
      </w:r>
      <w:r w:rsidR="00C84854" w:rsidRPr="00C84854">
        <w:t>as hypothesized in ON</w:t>
      </w:r>
      <w:r w:rsidRPr="00E45C93">
        <w:t>.</w:t>
      </w:r>
    </w:p>
    <w:p w14:paraId="3CA57E28" w14:textId="20FB11EF" w:rsidR="001D4453" w:rsidRPr="00E45C93" w:rsidRDefault="001D4453" w:rsidP="005A425F">
      <w:pPr>
        <w:numPr>
          <w:ilvl w:val="0"/>
          <w:numId w:val="16"/>
        </w:numPr>
        <w:spacing w:line="360" w:lineRule="auto"/>
        <w:jc w:val="both"/>
      </w:pPr>
      <w:r w:rsidRPr="00E45C93">
        <w:rPr>
          <w:b/>
          <w:bCs/>
        </w:rPr>
        <w:t>P300:</w:t>
      </w:r>
      <w:r w:rsidRPr="00E45C93">
        <w:t xml:space="preserve"> </w:t>
      </w:r>
      <w:r w:rsidR="00C84854" w:rsidRPr="00C84854">
        <w:t xml:space="preserve">Reflects attentional allocation and executive processing. </w:t>
      </w:r>
      <w:r w:rsidR="00C84854" w:rsidRPr="00C84854">
        <w:rPr>
          <w:b/>
          <w:bCs/>
        </w:rPr>
        <w:t>Altered P300 responses in eating disorders have been linked to stimulus salience and self-referential bias, supporting its inclusion as a potential biomarker of ideologically charged dietary restriction</w:t>
      </w:r>
      <w:r w:rsidRPr="00E45C93">
        <w:t>.</w:t>
      </w:r>
    </w:p>
    <w:p w14:paraId="33E59861" w14:textId="2ED6707D" w:rsidR="001D4453" w:rsidRPr="00E45C93" w:rsidRDefault="001D4453" w:rsidP="005A425F">
      <w:pPr>
        <w:numPr>
          <w:ilvl w:val="0"/>
          <w:numId w:val="16"/>
        </w:numPr>
        <w:spacing w:line="360" w:lineRule="auto"/>
        <w:jc w:val="both"/>
      </w:pPr>
      <w:r w:rsidRPr="00E45C93">
        <w:rPr>
          <w:b/>
          <w:bCs/>
        </w:rPr>
        <w:t>Late Positive Potential (LPP):</w:t>
      </w:r>
      <w:r w:rsidRPr="00E45C93">
        <w:t xml:space="preserve"> </w:t>
      </w:r>
      <w:r w:rsidR="00C84854" w:rsidRPr="00C84854">
        <w:t xml:space="preserve">Measures sustained emotional engagement, </w:t>
      </w:r>
      <w:r w:rsidR="00C84854" w:rsidRPr="00C84854">
        <w:rPr>
          <w:b/>
          <w:bCs/>
        </w:rPr>
        <w:t>which may be heightened in individuals with ON when confronted with norm-violating food images or ambiguous “healthy/unhealthy” categorizations</w:t>
      </w:r>
      <w:r w:rsidRPr="00E45C93">
        <w:t>.</w:t>
      </w:r>
    </w:p>
    <w:p w14:paraId="0A137E89" w14:textId="1224EA13" w:rsidR="001D4453" w:rsidRPr="00E45C93" w:rsidRDefault="001D4453" w:rsidP="005A425F">
      <w:pPr>
        <w:spacing w:line="360" w:lineRule="auto"/>
        <w:jc w:val="both"/>
      </w:pPr>
      <w:r w:rsidRPr="00E45C93">
        <w:t xml:space="preserve">All EEG data will undergo rigorous pre-processing, including </w:t>
      </w:r>
      <w:r w:rsidRPr="00E45C93">
        <w:rPr>
          <w:b/>
          <w:bCs/>
        </w:rPr>
        <w:t>Independent Component Analysis (ICA)</w:t>
      </w:r>
      <w:r w:rsidRPr="00E45C93">
        <w:t xml:space="preserve"> to remove ocular and muscle </w:t>
      </w:r>
      <w:proofErr w:type="spellStart"/>
      <w:r w:rsidRPr="00E45C93">
        <w:t>artifacts</w:t>
      </w:r>
      <w:proofErr w:type="spellEnd"/>
      <w:r w:rsidRPr="00E45C93">
        <w:t xml:space="preserve">, and </w:t>
      </w:r>
      <w:r w:rsidRPr="00E45C93">
        <w:rPr>
          <w:b/>
          <w:bCs/>
        </w:rPr>
        <w:t>bandpass filtering</w:t>
      </w:r>
      <w:r w:rsidRPr="00E45C93">
        <w:t xml:space="preserve"> (0.1–30 Hz). Data epochs will be time-locked to stimulus onset and baseline-corrected for ERP analysis.</w:t>
      </w:r>
    </w:p>
    <w:p w14:paraId="28E9F136" w14:textId="085A6416" w:rsidR="001D4453" w:rsidRPr="00E45C93" w:rsidRDefault="001D4453" w:rsidP="005A425F">
      <w:pPr>
        <w:spacing w:line="360" w:lineRule="auto"/>
        <w:jc w:val="both"/>
      </w:pPr>
      <w:r w:rsidRPr="00E45C93">
        <w:t xml:space="preserve">Statistical analysis will include </w:t>
      </w:r>
      <w:r w:rsidRPr="00E45C93">
        <w:rPr>
          <w:b/>
          <w:bCs/>
        </w:rPr>
        <w:t>repeated-measures ANOVA</w:t>
      </w:r>
      <w:r w:rsidRPr="00E45C93">
        <w:t xml:space="preserve"> to evaluate group differences in ERP amplitude and latency, with within-subject factors such as stimulus type (e.g., healthy vs. unhealthy food) and between-subject factors (diagnostic group). Additional </w:t>
      </w:r>
      <w:r w:rsidRPr="00E45C93">
        <w:rPr>
          <w:b/>
          <w:bCs/>
        </w:rPr>
        <w:t>time–frequency analyses</w:t>
      </w:r>
      <w:r w:rsidRPr="00E45C93">
        <w:t xml:space="preserve"> (e.g., wavelet transforms) and </w:t>
      </w:r>
      <w:r w:rsidRPr="00E45C93">
        <w:rPr>
          <w:b/>
          <w:bCs/>
        </w:rPr>
        <w:t>source localization techniques</w:t>
      </w:r>
      <w:r w:rsidRPr="00E45C93">
        <w:t xml:space="preserve"> (e.g., </w:t>
      </w:r>
      <w:proofErr w:type="spellStart"/>
      <w:r w:rsidRPr="00E45C93">
        <w:t>sLORETA</w:t>
      </w:r>
      <w:proofErr w:type="spellEnd"/>
      <w:r w:rsidRPr="00E45C93">
        <w:t>) may be applied to explore oscillatory dynamics and cortical generators of observed effects</w:t>
      </w:r>
      <w:r w:rsidR="004B401B" w:rsidRPr="00E45C93">
        <w:t xml:space="preserve">. </w:t>
      </w:r>
    </w:p>
    <w:p w14:paraId="197392C5" w14:textId="14E0F199" w:rsidR="005C1EC3" w:rsidRPr="00E45C93" w:rsidRDefault="001D4453" w:rsidP="005A425F">
      <w:pPr>
        <w:spacing w:line="360" w:lineRule="auto"/>
        <w:jc w:val="both"/>
      </w:pPr>
      <w:r w:rsidRPr="00E45C93">
        <w:t>This neurophysiological component will provide novel insights into how individuals with ON process food and self-relevant stimuli at the neural level. By comparing these responses with those in the HO, AN, and CG groups, the study will help delineate whether ON is marked by unique cognitive-affective processing patterns or shares underlying neural dysfunctions with established eating and obsessive-compulsive disorders</w:t>
      </w:r>
      <w:r w:rsidR="005C1EC3" w:rsidRPr="00E45C93">
        <w:t>.</w:t>
      </w:r>
    </w:p>
    <w:p w14:paraId="59F7A0AB" w14:textId="77777777" w:rsidR="00800000" w:rsidRPr="00CA2EF9" w:rsidRDefault="00800000" w:rsidP="005A425F">
      <w:pPr>
        <w:spacing w:line="360" w:lineRule="auto"/>
        <w:jc w:val="both"/>
        <w:rPr>
          <w:i/>
          <w:iCs/>
          <w:u w:val="single"/>
        </w:rPr>
      </w:pPr>
      <w:r w:rsidRPr="00CA2EF9">
        <w:rPr>
          <w:i/>
          <w:iCs/>
          <w:u w:val="single"/>
        </w:rPr>
        <w:t>Gut Microbiome Analysis</w:t>
      </w:r>
    </w:p>
    <w:p w14:paraId="38A3B4C9" w14:textId="1819B5FE" w:rsidR="00800000" w:rsidRPr="00800000" w:rsidRDefault="00F6597F" w:rsidP="005A425F">
      <w:pPr>
        <w:spacing w:line="360" w:lineRule="auto"/>
        <w:jc w:val="both"/>
      </w:pPr>
      <w:r w:rsidRPr="00F6597F">
        <w:t>This microbiome component is exploratory and subject to strict feasibility and interpretability criteria. Stool samples will be collected from a subsample of ~90 participants. Sequencing will proceed only if sufficient DNA quality and funding are available. It will not be included in primary outcome analyses unless Year 2 pilot results demonstrate high DNA yield, robust taxonomic resolution, and adequate group differentiation. If pilot outcomes fall below predefined thresholds (e.g., &lt;80% sample viability, insufficient intergroup variance), this component will be suspended, and funds will be reallocated. Results will be published only as secondary, hypothesis-generating findings, not confirmatory biomarkers</w:t>
      </w:r>
      <w:r w:rsidR="00800000" w:rsidRPr="00800000">
        <w:t xml:space="preserve">. </w:t>
      </w:r>
    </w:p>
    <w:p w14:paraId="0BDB9CE3" w14:textId="5E5904CB" w:rsidR="00800000" w:rsidRDefault="00800000" w:rsidP="005A425F">
      <w:pPr>
        <w:spacing w:line="360" w:lineRule="auto"/>
        <w:jc w:val="both"/>
      </w:pPr>
      <w:r w:rsidRPr="001A6ED5">
        <w:lastRenderedPageBreak/>
        <w:t xml:space="preserve">While microbiome disruptions are a hypothesized correlate of ideologically restrictive eating, this component will be treated as exploratory due to variability in dietary control, lower power for complex community-level comparisons, and resource constraints. </w:t>
      </w:r>
      <w:r>
        <w:t>Microbiome sequencing findings will primarily</w:t>
      </w:r>
      <w:r w:rsidRPr="001A6ED5">
        <w:t xml:space="preserve"> inform future mechanistic models and generate hypotheses, rather than test definitive diagnostic criteria</w:t>
      </w:r>
      <w:r w:rsidR="008A59F8">
        <w:t xml:space="preserve">. </w:t>
      </w:r>
      <w:r w:rsidR="008A59F8" w:rsidRPr="008A59F8">
        <w:t>Given its exploratory nature, microbiome-related expenditures (e.g., sequencing, analysis) are contingent and may be scaled back based on pilot findings reviewed in Year 3. A contingency clause in the budget will permit reallocation of these funds toward higher-yield components (e.g., ERP replication or extended follow-up)</w:t>
      </w:r>
      <w:r w:rsidR="008A59F8">
        <w:t xml:space="preserve">. </w:t>
      </w:r>
      <w:r>
        <w:t xml:space="preserve"> </w:t>
      </w:r>
    </w:p>
    <w:p w14:paraId="031E5F00" w14:textId="77777777" w:rsidR="00800000" w:rsidRPr="00E45C93" w:rsidRDefault="00800000" w:rsidP="005A425F">
      <w:pPr>
        <w:spacing w:line="360" w:lineRule="auto"/>
        <w:jc w:val="both"/>
      </w:pPr>
      <w:r w:rsidRPr="00E45C93">
        <w:t xml:space="preserve">To investigate the role of gut microbiota in ON, participants will be asked to collect stool samples using standardized, sterile at-home collection kits provided by the research team. This </w:t>
      </w:r>
      <w:r>
        <w:t>study component</w:t>
      </w:r>
      <w:r w:rsidRPr="00E45C93">
        <w:t xml:space="preserve"> aims to characterize microbiome diversity and composition across individuals with ON, HO, </w:t>
      </w:r>
      <w:r>
        <w:t>AN</w:t>
      </w:r>
      <w:r w:rsidRPr="00E45C93">
        <w:t>, and CG, and to identify microbial signatures potentially associated with restrictive or pathological eating patterns.</w:t>
      </w:r>
    </w:p>
    <w:p w14:paraId="3F2F2EC2" w14:textId="77777777" w:rsidR="00800000" w:rsidRPr="00E45C93" w:rsidRDefault="00800000" w:rsidP="005A425F">
      <w:pPr>
        <w:spacing w:line="360" w:lineRule="auto"/>
        <w:jc w:val="both"/>
      </w:pPr>
      <w:r w:rsidRPr="00E45C93">
        <w:t xml:space="preserve">Microbial DNA will be extracted from stool samples and subjected to </w:t>
      </w:r>
      <w:r w:rsidRPr="00E45C93">
        <w:rPr>
          <w:b/>
          <w:bCs/>
        </w:rPr>
        <w:t>16S ribosomal RNA (rRNA) gene sequencing</w:t>
      </w:r>
      <w:r w:rsidRPr="00E45C93">
        <w:t xml:space="preserve">, explicitly targeting the V3–V4 hypervariable regions, which provide robust taxonomic resolution for bacterial community profiling. Sequencing will be performed using Illumina platforms, and raw reads will be processed using the </w:t>
      </w:r>
      <w:r w:rsidRPr="00E45C93">
        <w:rPr>
          <w:b/>
          <w:bCs/>
        </w:rPr>
        <w:t>QIIME2</w:t>
      </w:r>
      <w:r w:rsidRPr="00E45C93">
        <w:t xml:space="preserve"> bioinformatics pipeline, an established open-source platform for microbiome data analysis.</w:t>
      </w:r>
    </w:p>
    <w:p w14:paraId="1021A551" w14:textId="77777777" w:rsidR="00800000" w:rsidRPr="00E45C93" w:rsidRDefault="00800000" w:rsidP="005A425F">
      <w:pPr>
        <w:spacing w:line="360" w:lineRule="auto"/>
        <w:jc w:val="both"/>
      </w:pPr>
      <w:r w:rsidRPr="00E45C93">
        <w:t>The following analytical approaches will be employed:</w:t>
      </w:r>
    </w:p>
    <w:p w14:paraId="75CFE0ED" w14:textId="77777777" w:rsidR="00800000" w:rsidRPr="00E45C93" w:rsidRDefault="00800000" w:rsidP="005A425F">
      <w:pPr>
        <w:numPr>
          <w:ilvl w:val="0"/>
          <w:numId w:val="14"/>
        </w:numPr>
        <w:spacing w:line="360" w:lineRule="auto"/>
        <w:jc w:val="both"/>
      </w:pPr>
      <w:r w:rsidRPr="00E45C93">
        <w:rPr>
          <w:b/>
          <w:bCs/>
        </w:rPr>
        <w:t>Alpha diversity metrics</w:t>
      </w:r>
      <w:r w:rsidRPr="00E45C93">
        <w:t xml:space="preserve"> (e.g., Shannon and Simpson indices) will assess within-sample microbial richness and evenness, offering insight into the diversity of bacterial communities within each participant.</w:t>
      </w:r>
    </w:p>
    <w:p w14:paraId="42F4CF65" w14:textId="77777777" w:rsidR="00800000" w:rsidRPr="00E45C93" w:rsidRDefault="00800000" w:rsidP="005A425F">
      <w:pPr>
        <w:numPr>
          <w:ilvl w:val="0"/>
          <w:numId w:val="14"/>
        </w:numPr>
        <w:spacing w:line="360" w:lineRule="auto"/>
        <w:jc w:val="both"/>
      </w:pPr>
      <w:r w:rsidRPr="00E45C93">
        <w:rPr>
          <w:b/>
          <w:bCs/>
        </w:rPr>
        <w:t>Beta diversity metrics</w:t>
      </w:r>
      <w:r w:rsidRPr="00E45C93">
        <w:t xml:space="preserve"> (e.g., Bray-Curtis dissimilarity and </w:t>
      </w:r>
      <w:proofErr w:type="spellStart"/>
      <w:r w:rsidRPr="00E45C93">
        <w:t>UniFrac</w:t>
      </w:r>
      <w:proofErr w:type="spellEnd"/>
      <w:r w:rsidRPr="00E45C93">
        <w:t xml:space="preserve"> distances) will evaluate between-sample differences in community composition, allowing group-level comparisons across ON, HO, AN, and CG.</w:t>
      </w:r>
    </w:p>
    <w:p w14:paraId="44C533BA" w14:textId="77777777" w:rsidR="00800000" w:rsidRPr="00E45C93" w:rsidRDefault="00800000" w:rsidP="005A425F">
      <w:pPr>
        <w:numPr>
          <w:ilvl w:val="0"/>
          <w:numId w:val="14"/>
        </w:numPr>
        <w:spacing w:line="360" w:lineRule="auto"/>
        <w:jc w:val="both"/>
      </w:pPr>
      <w:proofErr w:type="spellStart"/>
      <w:r w:rsidRPr="00E45C93">
        <w:rPr>
          <w:b/>
          <w:bCs/>
        </w:rPr>
        <w:t>LEfSe</w:t>
      </w:r>
      <w:proofErr w:type="spellEnd"/>
      <w:r w:rsidRPr="00E45C93">
        <w:rPr>
          <w:b/>
          <w:bCs/>
        </w:rPr>
        <w:t xml:space="preserve"> (Linear Discriminant Analysis Effect Size)</w:t>
      </w:r>
      <w:r w:rsidRPr="00E45C93">
        <w:t xml:space="preserve"> will be used to identify differentially abundant taxa between groups, enabling detection of microbial biomarkers with statistical significance and biological relevance.</w:t>
      </w:r>
    </w:p>
    <w:p w14:paraId="5C5E3ED6" w14:textId="77777777" w:rsidR="00800000" w:rsidRPr="00E45C93" w:rsidRDefault="00800000" w:rsidP="005A425F">
      <w:pPr>
        <w:spacing w:line="360" w:lineRule="auto"/>
        <w:jc w:val="both"/>
      </w:pPr>
      <w:r w:rsidRPr="00E45C93">
        <w:t>Beyond taxonomic profiling, exploratory analyses may include predictive functional inference using tools such as PICRUSt2, providing insight into metabolic pathways potentially altered in ON (e.g., those involved in short-chain fatty acid production, inflammation, or neurotransmitter synthesis).</w:t>
      </w:r>
    </w:p>
    <w:p w14:paraId="269D7089" w14:textId="77777777" w:rsidR="00800000" w:rsidRDefault="00800000" w:rsidP="005A425F">
      <w:pPr>
        <w:spacing w:line="360" w:lineRule="auto"/>
        <w:jc w:val="both"/>
      </w:pPr>
      <w:r w:rsidRPr="00E45C93">
        <w:t xml:space="preserve">This approach will allow for identifying gut microbial patterns associated with restrictive and ideologically driven eating behaviours. Given the established microbiome disturbances observed in </w:t>
      </w:r>
      <w:r w:rsidRPr="00E45C93">
        <w:lastRenderedPageBreak/>
        <w:t xml:space="preserve">AN and the hypothesized overlap with ON [9–11,21], this analysis may reveal whether ON exhibits similar reductions in diversity and enrichment of pro-inflammatory taxa or reflects a distinct microbial ecology linked to health-focused dietary restriction. These findings will contribute to a broader understanding of how gut-brain interactions may underlie emerging eating disorders in wellness culture. </w:t>
      </w:r>
    </w:p>
    <w:p w14:paraId="039F78AD" w14:textId="42D8C5EA" w:rsidR="00800000" w:rsidRDefault="00800000" w:rsidP="005A425F">
      <w:pPr>
        <w:spacing w:line="360" w:lineRule="auto"/>
        <w:jc w:val="both"/>
      </w:pPr>
      <w:r w:rsidRPr="00B566A6">
        <w:t xml:space="preserve">Additionally, </w:t>
      </w:r>
      <w:r>
        <w:t xml:space="preserve">we will not conduct complete metagenomic sequencing </w:t>
      </w:r>
      <w:r w:rsidRPr="00B566A6">
        <w:t>due to resource constraints of the microbiome component. Instead, taxonomic profiles will be cautiously interpreted alongside psychometric data. We acknowledge this limitation and treat microbiome results as hypothesis-generating rather than confirmatory</w:t>
      </w:r>
      <w:r>
        <w:t xml:space="preserve">. </w:t>
      </w:r>
      <w:r w:rsidR="001F0E4F" w:rsidRPr="001F0E4F">
        <w:t>Given the exploratory nature of this component, and the sensitivity of the microbiome to dietary variability, dietary intake will be assessed using the Food Frequency Questionnaire (FFQ) and statistically controlled in microbiome analyses (e.g., via covariate-adjusted PERMANOVA). The inclusion of the microbiome component is justified by ON’s unique dietary rigidity, which may shape microbial ecology in distinct ways. Even as hypothesis-generating, this component offers critical insight into potential gut-brain-immune pathways underlying ideologically driven eating behaviours</w:t>
      </w:r>
      <w:r w:rsidRPr="008E6390">
        <w:t>. In such cases, descriptive analyses and subgroup comparisons will be prioritized, and results will be interpreted cautiously to inform future hypothesis generation rather than confirmatory claims</w:t>
      </w:r>
      <w:r>
        <w:t>.</w:t>
      </w:r>
    </w:p>
    <w:p w14:paraId="212BE937" w14:textId="039EF166" w:rsidR="00126494" w:rsidRPr="00126494" w:rsidRDefault="00126494" w:rsidP="005A425F">
      <w:pPr>
        <w:spacing w:line="360" w:lineRule="auto"/>
        <w:jc w:val="both"/>
        <w:rPr>
          <w:i/>
          <w:iCs/>
          <w:u w:val="single"/>
        </w:rPr>
      </w:pPr>
      <w:r w:rsidRPr="00126494">
        <w:rPr>
          <w:i/>
          <w:iCs/>
          <w:u w:val="single"/>
        </w:rPr>
        <w:t>Multimodal Data Integration Strategy</w:t>
      </w:r>
    </w:p>
    <w:p w14:paraId="39CB663B" w14:textId="1390907E" w:rsidR="00895167" w:rsidRPr="00895167" w:rsidRDefault="00895167" w:rsidP="005A425F">
      <w:pPr>
        <w:spacing w:line="360" w:lineRule="auto"/>
        <w:jc w:val="both"/>
      </w:pPr>
      <w:r w:rsidRPr="00895167">
        <w:t>To ensure feasibility, the multimodal integration phase has been simplified and staged. Initial analyses (PCA, GLMs) will focus on three core domains: psychological measures, EEG data, and cytokine profiles. CCA and clustering will only proceed if adequate variance contribution (&gt;5%) and group differentiation are demonstrated in preliminary analyses. This stepwise approach minimizes overfitting risk and maximizes interpretability.</w:t>
      </w:r>
    </w:p>
    <w:p w14:paraId="4B1DC052" w14:textId="77777777" w:rsidR="00895167" w:rsidRPr="00895167" w:rsidRDefault="00895167" w:rsidP="005A425F">
      <w:pPr>
        <w:spacing w:line="360" w:lineRule="auto"/>
        <w:jc w:val="both"/>
      </w:pPr>
      <w:r w:rsidRPr="00895167">
        <w:t>We will employ three complementary analytical methods to explore cross-domain relationships and identify distinct biopsychological profiles of ON. Principal Component Analysis (PCA) will reduce dimensionality and extract core latent components across domains. Cluster analysis (k-means or hierarchical) will then be applied to identify participant subgroups with shared profiles. Canonical Correlation Analysis (CCA) or Partial Least Squares (PLS) will assess shared variance between biological and psychological markers.</w:t>
      </w:r>
    </w:p>
    <w:p w14:paraId="1556F63D" w14:textId="2542ED26" w:rsidR="00126494" w:rsidRPr="00895167" w:rsidRDefault="00895167" w:rsidP="005A425F">
      <w:pPr>
        <w:spacing w:line="360" w:lineRule="auto"/>
        <w:jc w:val="both"/>
      </w:pPr>
      <w:r w:rsidRPr="00895167">
        <w:t>To support this phase, a statistical consultant will be contracted for 12 months across Years 4–5 at 0.25 FTE. Consultant deliverables will include: (1) development of a dimensionality reduction pipeline; (2) stability and validity checks for cluster solutions; and (3) robustness analyses, including cross-validation and outlier detection. A subcontracting plan is outlined in the budget section</w:t>
      </w:r>
      <w:r w:rsidR="00126494" w:rsidRPr="00895167">
        <w:t xml:space="preserve">. </w:t>
      </w:r>
    </w:p>
    <w:p w14:paraId="663F9754" w14:textId="673D0203" w:rsidR="0025682A" w:rsidRDefault="0025682A" w:rsidP="005A425F">
      <w:pPr>
        <w:spacing w:line="360" w:lineRule="auto"/>
        <w:jc w:val="both"/>
      </w:pPr>
      <w:r w:rsidRPr="0025682A">
        <w:lastRenderedPageBreak/>
        <w:t>Multimodal integration (PCA, clustering, CCA) will be conducted primarily across psychological, immunological, and EEG domains. Microbiome data will be incorporated only if sequencing quality, sample size, and statistical variance contribution meet predefined thresholds (e.g., &gt;5% variance explained in PCA components)</w:t>
      </w:r>
      <w:r>
        <w:t>.</w:t>
      </w:r>
    </w:p>
    <w:p w14:paraId="2A830EA6" w14:textId="366BD759" w:rsidR="00E92E2B" w:rsidRDefault="00E92E2B" w:rsidP="005A425F">
      <w:pPr>
        <w:spacing w:line="360" w:lineRule="auto"/>
        <w:jc w:val="both"/>
      </w:pPr>
      <w:r w:rsidRPr="00E92E2B">
        <w:t>We recognize that the integration of four high-dimensional datasets presents substantial complexity. To mitigate this, integration will proceed in stages, starting with psychological, EEG, and cytokine data. Microbiome data will be included only if sequencing quality, taxonomic resolution, and contribution to explained variance meet predefined thresholds. This staged approach ensures interpretability and minimizes the risk of spurious or uninterpretable findings due to noisy or low-yield components</w:t>
      </w:r>
      <w:r>
        <w:t xml:space="preserve">. </w:t>
      </w:r>
    </w:p>
    <w:p w14:paraId="5A978D19" w14:textId="15BF157F" w:rsidR="00986173" w:rsidRPr="00986173" w:rsidRDefault="00986173" w:rsidP="005A425F">
      <w:pPr>
        <w:spacing w:line="360" w:lineRule="auto"/>
        <w:jc w:val="both"/>
      </w:pPr>
      <w:r w:rsidRPr="00986173">
        <w:t>All analytic thresholds, component inclusion rules, and planned analyses will be pre-registered on the Open Science Framework (OSF) at project onset. Criteria for proceeding with full multimodal integration include: (a) ≥10% explained variance for principal components, (b) ≥.70 reliability for EEG/ERP components, and (c) minimum 5% unique contribution from each domain in preliminary PCA. If any domain fails to meet these thresholds, it will be excluded from CCA or clustering analyses. This pre-registration plan prioritizes primary hypotheses and safeguards against exploratory overreach.</w:t>
      </w:r>
    </w:p>
    <w:p w14:paraId="1016492A" w14:textId="46D0FD70" w:rsidR="004E773F" w:rsidRDefault="004E773F" w:rsidP="005A425F">
      <w:pPr>
        <w:spacing w:line="360" w:lineRule="auto"/>
        <w:jc w:val="both"/>
      </w:pPr>
      <w:r w:rsidRPr="004E773F">
        <w:rPr>
          <w:i/>
          <w:iCs/>
        </w:rPr>
        <w:t>Enhanced Integration Plan and Expert Support</w:t>
      </w:r>
    </w:p>
    <w:p w14:paraId="76E8B3E5" w14:textId="77777777" w:rsidR="00B77691" w:rsidRPr="00B77691" w:rsidRDefault="00B77691" w:rsidP="005A425F">
      <w:pPr>
        <w:spacing w:line="360" w:lineRule="auto"/>
        <w:jc w:val="both"/>
      </w:pPr>
      <w:r w:rsidRPr="00B77691">
        <w:t>Recognizing the complexity of integrating psychological, immunological, microbiome, and neurophysiological data, we have expanded our integration strategy into a structured, phased plan.</w:t>
      </w:r>
    </w:p>
    <w:p w14:paraId="584A5BB0" w14:textId="77777777" w:rsidR="00B77691" w:rsidRPr="00B77691" w:rsidRDefault="00B77691" w:rsidP="005A425F">
      <w:pPr>
        <w:numPr>
          <w:ilvl w:val="0"/>
          <w:numId w:val="26"/>
        </w:numPr>
        <w:spacing w:line="360" w:lineRule="auto"/>
        <w:jc w:val="both"/>
      </w:pPr>
      <w:r w:rsidRPr="00B77691">
        <w:rPr>
          <w:b/>
          <w:bCs/>
        </w:rPr>
        <w:t>Years 2–3:</w:t>
      </w:r>
      <w:r w:rsidRPr="00B77691">
        <w:t xml:space="preserve"> Data harmonization and dimensionality reduction (e.g., factor analysis, ICA, taxonomic aggregation) across domains.</w:t>
      </w:r>
    </w:p>
    <w:p w14:paraId="37AC66C0" w14:textId="77777777" w:rsidR="00B77691" w:rsidRPr="00B77691" w:rsidRDefault="00B77691" w:rsidP="005A425F">
      <w:pPr>
        <w:numPr>
          <w:ilvl w:val="0"/>
          <w:numId w:val="26"/>
        </w:numPr>
        <w:spacing w:line="360" w:lineRule="auto"/>
        <w:jc w:val="both"/>
      </w:pPr>
      <w:r w:rsidRPr="00B77691">
        <w:rPr>
          <w:b/>
          <w:bCs/>
        </w:rPr>
        <w:t>Years 3–4:</w:t>
      </w:r>
      <w:r w:rsidRPr="00B77691">
        <w:t xml:space="preserve"> Multivariate and clustering techniques (e.g., CCA, PLS, latent profile analysis) will model cross-domain phenotypes.</w:t>
      </w:r>
    </w:p>
    <w:p w14:paraId="6BEE983B" w14:textId="77777777" w:rsidR="00B77691" w:rsidRPr="00B77691" w:rsidRDefault="00B77691" w:rsidP="005A425F">
      <w:pPr>
        <w:numPr>
          <w:ilvl w:val="0"/>
          <w:numId w:val="26"/>
        </w:numPr>
        <w:spacing w:line="360" w:lineRule="auto"/>
        <w:jc w:val="both"/>
      </w:pPr>
      <w:r w:rsidRPr="00B77691">
        <w:rPr>
          <w:b/>
          <w:bCs/>
        </w:rPr>
        <w:t>Year 5:</w:t>
      </w:r>
      <w:r w:rsidRPr="00B77691">
        <w:t xml:space="preserve"> Predictive validity testing and robustness checks using longitudinal data.</w:t>
      </w:r>
    </w:p>
    <w:p w14:paraId="5701D128" w14:textId="7BC1BDA6" w:rsidR="00B77691" w:rsidRPr="00B77691" w:rsidRDefault="00B77691" w:rsidP="005A425F">
      <w:pPr>
        <w:spacing w:line="360" w:lineRule="auto"/>
        <w:jc w:val="both"/>
        <w:rPr>
          <w:i/>
          <w:iCs/>
        </w:rPr>
      </w:pPr>
      <w:r w:rsidRPr="00B77691">
        <w:rPr>
          <w:i/>
          <w:iCs/>
        </w:rPr>
        <w:t>Expert Consultation</w:t>
      </w:r>
    </w:p>
    <w:p w14:paraId="29A82AB8" w14:textId="608A7B1F" w:rsidR="004E773F" w:rsidRDefault="00B77691" w:rsidP="005A425F">
      <w:pPr>
        <w:spacing w:line="360" w:lineRule="auto"/>
        <w:jc w:val="both"/>
      </w:pPr>
      <w:r w:rsidRPr="00B77691">
        <w:t xml:space="preserve">To enhance statistical and methodological integrity, we will formally engage a biostatistics consultant specializing in multimodal integration and machine learning in clinical research. This individual will participate in model development, validation, and interpretation stages, ensuring </w:t>
      </w:r>
      <w:r w:rsidR="00816626">
        <w:t>data coherence</w:t>
      </w:r>
      <w:r w:rsidR="00756A62">
        <w:t>.</w:t>
      </w:r>
    </w:p>
    <w:p w14:paraId="63228049" w14:textId="3FD34196" w:rsidR="00756A62" w:rsidRDefault="00756A62" w:rsidP="005A425F">
      <w:pPr>
        <w:spacing w:line="360" w:lineRule="auto"/>
        <w:jc w:val="both"/>
      </w:pPr>
      <w:r w:rsidRPr="00756A62">
        <w:t xml:space="preserve">The theoretical contribution of this integration plan lies in its capacity to uncover latent profiles of Orthorexic </w:t>
      </w:r>
      <w:proofErr w:type="spellStart"/>
      <w:r w:rsidRPr="00756A62">
        <w:t>behavior</w:t>
      </w:r>
      <w:proofErr w:type="spellEnd"/>
      <w:r w:rsidRPr="00756A62">
        <w:t xml:space="preserve"> that are not detectable through single-domain analyses. For example, clustering may reveal distinct ON subtypes — such as 'inflammatory-rigid' vs. 'anxious-restrictive' — that differ in biological and psychological configuration. PCA and CCA will enable us to explore whether </w:t>
      </w:r>
      <w:r w:rsidRPr="00756A62">
        <w:lastRenderedPageBreak/>
        <w:t>psychological traits like perfectionism and obsessive-compulsive tendencies align with specific neurophysiological (ERP) and immunological markers, providing empirical support for transdiagnostic models of ON. Ultimately, these multivariate patterns will inform whether ON is best understood as a unitary syndrome, a spectrum of ideologically-driven behavio</w:t>
      </w:r>
      <w:r w:rsidR="00816626">
        <w:t>u</w:t>
      </w:r>
      <w:r w:rsidRPr="00756A62">
        <w:t>rs, or a biopsychological phenotype overlapping with AN and OCD. This insight is essential for refining dimensional models of ON and guiding the development of tailored prevention and intervention strategies</w:t>
      </w:r>
      <w:r>
        <w:t>.</w:t>
      </w:r>
    </w:p>
    <w:p w14:paraId="2687DDDA" w14:textId="506E13F9" w:rsidR="00816626" w:rsidRPr="00126494" w:rsidRDefault="00816626" w:rsidP="005A425F">
      <w:pPr>
        <w:spacing w:line="360" w:lineRule="auto"/>
        <w:jc w:val="both"/>
      </w:pPr>
      <w:r w:rsidRPr="00816626">
        <w:t>Should data complexity exceed projections, we are prepared to increase consultant support using flexible contingency funds already built into the budget. Additionally, one PhD student will be trained in R and multivariate modelling under the consultant's guidance to support longer-term data integration and reduce reliance on external personnel</w:t>
      </w:r>
      <w:r>
        <w:t xml:space="preserve">. </w:t>
      </w:r>
    </w:p>
    <w:p w14:paraId="7CE91349" w14:textId="15205B30" w:rsidR="00B66A9E" w:rsidRPr="00CA2EF9" w:rsidRDefault="00B66A9E" w:rsidP="005A425F">
      <w:pPr>
        <w:spacing w:line="360" w:lineRule="auto"/>
        <w:jc w:val="both"/>
        <w:rPr>
          <w:i/>
          <w:iCs/>
          <w:u w:val="single"/>
        </w:rPr>
      </w:pPr>
      <w:r w:rsidRPr="00CA2EF9">
        <w:rPr>
          <w:i/>
          <w:iCs/>
          <w:u w:val="single"/>
        </w:rPr>
        <w:t>Longitudinal Follow-Up</w:t>
      </w:r>
    </w:p>
    <w:p w14:paraId="1495D34E" w14:textId="17F47D9B" w:rsidR="00B66A9E" w:rsidRPr="00E45C93" w:rsidRDefault="00B66A9E" w:rsidP="005A425F">
      <w:pPr>
        <w:spacing w:line="360" w:lineRule="auto"/>
        <w:jc w:val="both"/>
      </w:pPr>
      <w:r w:rsidRPr="00E45C93">
        <w:t xml:space="preserve">A subset comprising approximately </w:t>
      </w:r>
      <w:r w:rsidRPr="00E45C93">
        <w:rPr>
          <w:b/>
          <w:bCs/>
        </w:rPr>
        <w:t>30% of participants from each group</w:t>
      </w:r>
      <w:r w:rsidRPr="00E45C93">
        <w:t xml:space="preserve"> (ON, HO, AN, and CG) will be </w:t>
      </w:r>
      <w:r w:rsidRPr="00E45C93">
        <w:rPr>
          <w:b/>
          <w:bCs/>
        </w:rPr>
        <w:t>reassessed to evaluate the temporal stability and predictive utility of key psychological and biological markers after 12 months</w:t>
      </w:r>
      <w:r w:rsidRPr="00E45C93">
        <w:t>. This follow-up phase will investigate whether observed profiles—particularly those related to inflammation, microbiome composition, neural activity, and psychological traits—represent stable, trait-like characteristics or fluctuate over time concerning symptom severity or recovery trajectories.</w:t>
      </w:r>
    </w:p>
    <w:p w14:paraId="52D80D82" w14:textId="606282FB" w:rsidR="00B66A9E" w:rsidRDefault="00B66A9E" w:rsidP="005A425F">
      <w:pPr>
        <w:spacing w:line="360" w:lineRule="auto"/>
        <w:jc w:val="both"/>
      </w:pPr>
      <w:r w:rsidRPr="00E45C93">
        <w:t>Participants will undergo the same battery of assessments as at baseline, including psychological questionnaires, blood sampling for cytokines, stool collection for microbiome analysis, and EEG recording. This repeated-measures design is essential for capturing intra-individual variability and identifying biomarkers with potential prognostic value.</w:t>
      </w:r>
    </w:p>
    <w:p w14:paraId="3E47D2E4" w14:textId="0A769972" w:rsidR="00647117" w:rsidRPr="00E45C93" w:rsidRDefault="00647117" w:rsidP="005A425F">
      <w:pPr>
        <w:spacing w:line="360" w:lineRule="auto"/>
        <w:jc w:val="both"/>
      </w:pPr>
      <w:r>
        <w:t>T</w:t>
      </w:r>
      <w:r w:rsidRPr="00647117">
        <w:t>o reduce attrition, we will implement: (a) biannual check-ins via SMS/email, (b) flexible scheduling, (c) transportation stipends, and (d) bonus compensation upon study completion. Prior lab studies using similar protocols achieved &gt;85% retention at 6–12 months</w:t>
      </w:r>
      <w:r>
        <w:t xml:space="preserve">. </w:t>
      </w:r>
    </w:p>
    <w:p w14:paraId="458B1A94" w14:textId="14C8FD80" w:rsidR="00B66A9E" w:rsidRPr="00E45C93" w:rsidRDefault="00B66A9E" w:rsidP="005A425F">
      <w:pPr>
        <w:spacing w:line="360" w:lineRule="auto"/>
        <w:jc w:val="both"/>
      </w:pPr>
      <w:r w:rsidRPr="00E45C93">
        <w:rPr>
          <w:b/>
          <w:bCs/>
        </w:rPr>
        <w:t>Linear mixed-effects models (LMMs)</w:t>
      </w:r>
      <w:r w:rsidRPr="00E45C93">
        <w:t xml:space="preserve"> will be used to </w:t>
      </w:r>
      <w:proofErr w:type="spellStart"/>
      <w:r w:rsidRPr="00E45C93">
        <w:t>analyze</w:t>
      </w:r>
      <w:proofErr w:type="spellEnd"/>
      <w:r w:rsidRPr="00E45C93">
        <w:t xml:space="preserve"> longitudinal data, offering a robust statistical framework for handling repeated measures, missing data, and individual variability. These models will assess both </w:t>
      </w:r>
      <w:r w:rsidRPr="00E45C93">
        <w:rPr>
          <w:b/>
          <w:bCs/>
        </w:rPr>
        <w:t>within-subject changes</w:t>
      </w:r>
      <w:r w:rsidRPr="00E45C93">
        <w:t xml:space="preserve"> over time and </w:t>
      </w:r>
      <w:r w:rsidRPr="00E45C93">
        <w:rPr>
          <w:b/>
          <w:bCs/>
        </w:rPr>
        <w:t>between-group differences</w:t>
      </w:r>
      <w:r w:rsidRPr="00E45C93">
        <w:t xml:space="preserve"> in the evolution of biological and psychological variables. Importantly, LMMs will also allow identifying baseline features, such as elevated IL-6 or altered ERP patterns, that predict persistence, remission, or escalation of orthorexic symptoms over time.</w:t>
      </w:r>
    </w:p>
    <w:p w14:paraId="04877E41" w14:textId="296F8BF7" w:rsidR="00B66A9E" w:rsidRPr="00E45C93" w:rsidRDefault="00B66A9E" w:rsidP="005A425F">
      <w:pPr>
        <w:spacing w:line="360" w:lineRule="auto"/>
        <w:jc w:val="both"/>
      </w:pPr>
      <w:r w:rsidRPr="00E45C93">
        <w:t xml:space="preserve">This longitudinal component enhances the scientific and clinical significance of the project by moving beyond static cross-sectional comparisons to a more dynamic understanding of ON’s </w:t>
      </w:r>
      <w:r w:rsidRPr="00E45C93">
        <w:lastRenderedPageBreak/>
        <w:t xml:space="preserve">trajectory and its biological correlates. Findings may inform the development of </w:t>
      </w:r>
      <w:r w:rsidRPr="00E45C93">
        <w:rPr>
          <w:b/>
          <w:bCs/>
        </w:rPr>
        <w:t>early identification tools</w:t>
      </w:r>
      <w:r w:rsidRPr="00E45C93">
        <w:t xml:space="preserve">, </w:t>
      </w:r>
      <w:r w:rsidRPr="00E45C93">
        <w:rPr>
          <w:b/>
          <w:bCs/>
        </w:rPr>
        <w:t>risk models</w:t>
      </w:r>
      <w:r w:rsidRPr="00E45C93">
        <w:t xml:space="preserve">, and </w:t>
      </w:r>
      <w:r w:rsidRPr="00E45C93">
        <w:rPr>
          <w:b/>
          <w:bCs/>
        </w:rPr>
        <w:t>targeted intervention strategies</w:t>
      </w:r>
      <w:r w:rsidRPr="00E45C93">
        <w:t xml:space="preserve"> for individuals vulnerable to developing or maintaining pathological health-related eating behaviours.</w:t>
      </w:r>
    </w:p>
    <w:p w14:paraId="5E0B3BD5" w14:textId="77777777" w:rsidR="008B4A7C" w:rsidRPr="00E45C93" w:rsidRDefault="008B4A7C" w:rsidP="005A425F">
      <w:pPr>
        <w:pBdr>
          <w:top w:val="single" w:sz="4" w:space="1" w:color="auto"/>
          <w:bottom w:val="single" w:sz="4" w:space="1" w:color="auto"/>
        </w:pBdr>
        <w:spacing w:line="360" w:lineRule="auto"/>
        <w:jc w:val="both"/>
        <w:rPr>
          <w:b/>
          <w:bCs/>
        </w:rPr>
      </w:pPr>
      <w:r w:rsidRPr="00E45C93">
        <w:rPr>
          <w:b/>
          <w:bCs/>
        </w:rPr>
        <w:t>Data Analysis Plan</w:t>
      </w:r>
    </w:p>
    <w:p w14:paraId="70034AB2" w14:textId="30658A72" w:rsidR="008B4A7C" w:rsidRPr="00E45C93" w:rsidRDefault="008B4A7C" w:rsidP="005A425F">
      <w:pPr>
        <w:spacing w:line="360" w:lineRule="auto"/>
        <w:jc w:val="both"/>
      </w:pPr>
      <w:r w:rsidRPr="00E45C93">
        <w:t xml:space="preserve">The proposed study will generate a rich, multimodal dataset spanning psychological, immunological, microbiome, and neurophysiological domains. </w:t>
      </w:r>
      <w:r w:rsidR="00500126" w:rsidRPr="00E45C93">
        <w:t>A</w:t>
      </w:r>
      <w:r w:rsidRPr="00E45C93">
        <w:t xml:space="preserve"> rigorous and tailored statistical approach will be applied to each domain</w:t>
      </w:r>
      <w:r w:rsidR="00500126" w:rsidRPr="00E45C93">
        <w:t xml:space="preserve"> to maximize th</w:t>
      </w:r>
      <w:r w:rsidR="00CA2EF9">
        <w:t>e</w:t>
      </w:r>
      <w:r w:rsidR="00500126" w:rsidRPr="00E45C93">
        <w:t xml:space="preserve"> data's interpretability and scientific value. Integrative analyses will follow thi</w:t>
      </w:r>
      <w:r w:rsidRPr="00E45C93">
        <w:t>s to identify transdiagnostic patterns and potential ON</w:t>
      </w:r>
      <w:r w:rsidR="00500126" w:rsidRPr="00E45C93">
        <w:t xml:space="preserve"> biomarker signatures</w:t>
      </w:r>
      <w:r w:rsidRPr="00E45C93">
        <w:t>.</w:t>
      </w:r>
    </w:p>
    <w:p w14:paraId="37ED70CB" w14:textId="77777777" w:rsidR="00E45C93" w:rsidRPr="00E45C93" w:rsidRDefault="008B4A7C" w:rsidP="005A425F">
      <w:pPr>
        <w:pStyle w:val="ListParagraph"/>
        <w:numPr>
          <w:ilvl w:val="0"/>
          <w:numId w:val="24"/>
        </w:numPr>
        <w:spacing w:line="360" w:lineRule="auto"/>
        <w:jc w:val="both"/>
        <w:rPr>
          <w:rFonts w:ascii="Times New Roman" w:hAnsi="Times New Roman" w:cs="Times New Roman"/>
        </w:rPr>
      </w:pPr>
      <w:r w:rsidRPr="00E45C93">
        <w:rPr>
          <w:rFonts w:ascii="Times New Roman" w:hAnsi="Times New Roman" w:cs="Times New Roman"/>
          <w:b/>
          <w:bCs/>
        </w:rPr>
        <w:t>Psychological Data:</w:t>
      </w:r>
      <w:r w:rsidR="00500126" w:rsidRPr="00E45C93">
        <w:rPr>
          <w:rFonts w:ascii="Times New Roman" w:hAnsi="Times New Roman" w:cs="Times New Roman"/>
        </w:rPr>
        <w:t xml:space="preserve"> </w:t>
      </w:r>
      <w:r w:rsidRPr="00E45C93">
        <w:rPr>
          <w:rFonts w:ascii="Times New Roman" w:hAnsi="Times New Roman" w:cs="Times New Roman"/>
        </w:rPr>
        <w:t>Multivariate analyses of variance (</w:t>
      </w:r>
      <w:r w:rsidRPr="00E45C93">
        <w:rPr>
          <w:rFonts w:ascii="Times New Roman" w:hAnsi="Times New Roman" w:cs="Times New Roman"/>
          <w:b/>
          <w:bCs/>
        </w:rPr>
        <w:t>MANOVA</w:t>
      </w:r>
      <w:r w:rsidRPr="00E45C93">
        <w:rPr>
          <w:rFonts w:ascii="Times New Roman" w:hAnsi="Times New Roman" w:cs="Times New Roman"/>
        </w:rPr>
        <w:t xml:space="preserve">) will be used to assess group differences across psychological constructs, including anxiety, perfectionism, obsessive-compulsive traits, and disordered eating symptoms. Where significant multivariate effects are found, </w:t>
      </w:r>
      <w:r w:rsidRPr="00E45C93">
        <w:rPr>
          <w:rFonts w:ascii="Times New Roman" w:hAnsi="Times New Roman" w:cs="Times New Roman"/>
          <w:b/>
          <w:bCs/>
        </w:rPr>
        <w:t>Bonferroni-adjusted post-hoc comparisons</w:t>
      </w:r>
      <w:r w:rsidRPr="00E45C93">
        <w:rPr>
          <w:rFonts w:ascii="Times New Roman" w:hAnsi="Times New Roman" w:cs="Times New Roman"/>
        </w:rPr>
        <w:t xml:space="preserve"> will identify specific group contrasts (e.g., ON vs. HO, ON vs. AN).</w:t>
      </w:r>
    </w:p>
    <w:p w14:paraId="2E0D81A2" w14:textId="52E93DD6" w:rsidR="00E45C93" w:rsidRPr="00AC3FE2" w:rsidRDefault="008B4A7C" w:rsidP="005A425F">
      <w:pPr>
        <w:pStyle w:val="ListParagraph"/>
        <w:numPr>
          <w:ilvl w:val="0"/>
          <w:numId w:val="24"/>
        </w:numPr>
        <w:spacing w:line="360" w:lineRule="auto"/>
        <w:jc w:val="both"/>
        <w:rPr>
          <w:rFonts w:ascii="Times New Roman" w:hAnsi="Times New Roman" w:cs="Times New Roman"/>
        </w:rPr>
      </w:pPr>
      <w:r w:rsidRPr="00AC3FE2">
        <w:rPr>
          <w:rFonts w:ascii="Times New Roman" w:hAnsi="Times New Roman" w:cs="Times New Roman"/>
          <w:b/>
          <w:bCs/>
        </w:rPr>
        <w:t>Immunological (Cytokine) Data:</w:t>
      </w:r>
      <w:r w:rsidR="00500126" w:rsidRPr="00AC3FE2">
        <w:rPr>
          <w:rFonts w:ascii="Times New Roman" w:hAnsi="Times New Roman" w:cs="Times New Roman"/>
        </w:rPr>
        <w:t xml:space="preserve"> </w:t>
      </w:r>
      <w:r w:rsidRPr="00AC3FE2">
        <w:rPr>
          <w:rFonts w:ascii="Times New Roman" w:hAnsi="Times New Roman" w:cs="Times New Roman"/>
          <w:b/>
          <w:bCs/>
        </w:rPr>
        <w:t xml:space="preserve">General </w:t>
      </w:r>
      <w:r w:rsidR="00500126" w:rsidRPr="00AC3FE2">
        <w:rPr>
          <w:rFonts w:ascii="Times New Roman" w:hAnsi="Times New Roman" w:cs="Times New Roman"/>
          <w:b/>
          <w:bCs/>
        </w:rPr>
        <w:t>linear m</w:t>
      </w:r>
      <w:r w:rsidRPr="00AC3FE2">
        <w:rPr>
          <w:rFonts w:ascii="Times New Roman" w:hAnsi="Times New Roman" w:cs="Times New Roman"/>
          <w:b/>
          <w:bCs/>
        </w:rPr>
        <w:t>odels (GLMs)</w:t>
      </w:r>
      <w:r w:rsidRPr="00AC3FE2">
        <w:rPr>
          <w:rFonts w:ascii="Times New Roman" w:hAnsi="Times New Roman" w:cs="Times New Roman"/>
        </w:rPr>
        <w:t xml:space="preserve"> will be employed to evaluate between-group differences in pro- and anti-inflammatory cytokines (e.g., IL-6, TNF-α, IL-10) while controlling for relevant covariates such as age, sex, and BMI. Cytokine values will be </w:t>
      </w:r>
      <w:r w:rsidRPr="00AC3FE2">
        <w:rPr>
          <w:rFonts w:ascii="Times New Roman" w:hAnsi="Times New Roman" w:cs="Times New Roman"/>
          <w:b/>
          <w:bCs/>
        </w:rPr>
        <w:t>log-transformed</w:t>
      </w:r>
      <w:r w:rsidRPr="00AC3FE2">
        <w:rPr>
          <w:rFonts w:ascii="Times New Roman" w:hAnsi="Times New Roman" w:cs="Times New Roman"/>
        </w:rPr>
        <w:t xml:space="preserve"> to correct for non-normal distributions and heteroscedasticity.</w:t>
      </w:r>
      <w:r w:rsidR="00AC3FE2" w:rsidRPr="00AC3FE2">
        <w:rPr>
          <w:rFonts w:ascii="Times New Roman" w:hAnsi="Times New Roman" w:cs="Times New Roman"/>
        </w:rPr>
        <w:t xml:space="preserve"> Menstrual cycle phase, sleep quality, and medication use will be recorded and included as covariates in all cytokine and EEG analyses. All blood draws will occur between 8</w:t>
      </w:r>
      <w:r w:rsidR="00AC3FE2">
        <w:rPr>
          <w:rFonts w:ascii="Times New Roman" w:hAnsi="Times New Roman" w:cs="Times New Roman"/>
        </w:rPr>
        <w:t xml:space="preserve">-10 </w:t>
      </w:r>
      <w:r w:rsidR="00AC3FE2" w:rsidRPr="00AC3FE2">
        <w:rPr>
          <w:rFonts w:ascii="Times New Roman" w:hAnsi="Times New Roman" w:cs="Times New Roman"/>
        </w:rPr>
        <w:t>am after fasting.</w:t>
      </w:r>
    </w:p>
    <w:p w14:paraId="06952351" w14:textId="77777777" w:rsidR="00E45C93" w:rsidRPr="00E45C93" w:rsidRDefault="008B4A7C" w:rsidP="005A425F">
      <w:pPr>
        <w:pStyle w:val="ListParagraph"/>
        <w:numPr>
          <w:ilvl w:val="0"/>
          <w:numId w:val="24"/>
        </w:numPr>
        <w:spacing w:line="360" w:lineRule="auto"/>
        <w:jc w:val="both"/>
        <w:rPr>
          <w:rFonts w:ascii="Times New Roman" w:hAnsi="Times New Roman" w:cs="Times New Roman"/>
        </w:rPr>
      </w:pPr>
      <w:r w:rsidRPr="00E45C93">
        <w:rPr>
          <w:rFonts w:ascii="Times New Roman" w:hAnsi="Times New Roman" w:cs="Times New Roman"/>
          <w:b/>
          <w:bCs/>
        </w:rPr>
        <w:t>Gut Microbiome Data:</w:t>
      </w:r>
      <w:r w:rsidR="00500126" w:rsidRPr="00E45C93">
        <w:rPr>
          <w:rFonts w:ascii="Times New Roman" w:hAnsi="Times New Roman" w:cs="Times New Roman"/>
        </w:rPr>
        <w:t xml:space="preserve"> </w:t>
      </w:r>
      <w:r w:rsidRPr="00E45C93">
        <w:rPr>
          <w:rFonts w:ascii="Times New Roman" w:hAnsi="Times New Roman" w:cs="Times New Roman"/>
        </w:rPr>
        <w:t xml:space="preserve">Community-level differences in microbiome composition will be </w:t>
      </w:r>
      <w:proofErr w:type="spellStart"/>
      <w:r w:rsidRPr="00E45C93">
        <w:rPr>
          <w:rFonts w:ascii="Times New Roman" w:hAnsi="Times New Roman" w:cs="Times New Roman"/>
        </w:rPr>
        <w:t>analyzed</w:t>
      </w:r>
      <w:proofErr w:type="spellEnd"/>
      <w:r w:rsidRPr="00E45C93">
        <w:rPr>
          <w:rFonts w:ascii="Times New Roman" w:hAnsi="Times New Roman" w:cs="Times New Roman"/>
        </w:rPr>
        <w:t xml:space="preserve"> using </w:t>
      </w:r>
      <w:r w:rsidRPr="00E45C93">
        <w:rPr>
          <w:rFonts w:ascii="Times New Roman" w:hAnsi="Times New Roman" w:cs="Times New Roman"/>
          <w:b/>
          <w:bCs/>
        </w:rPr>
        <w:t>Permutational Multivariate Analysis of Variance (PERMANOVA)</w:t>
      </w:r>
      <w:r w:rsidRPr="00E45C93">
        <w:rPr>
          <w:rFonts w:ascii="Times New Roman" w:hAnsi="Times New Roman" w:cs="Times New Roman"/>
        </w:rPr>
        <w:t xml:space="preserve"> on beta diversity metrics (e.g., Bray-Curtis, </w:t>
      </w:r>
      <w:proofErr w:type="spellStart"/>
      <w:r w:rsidRPr="00E45C93">
        <w:rPr>
          <w:rFonts w:ascii="Times New Roman" w:hAnsi="Times New Roman" w:cs="Times New Roman"/>
        </w:rPr>
        <w:t>UniFrac</w:t>
      </w:r>
      <w:proofErr w:type="spellEnd"/>
      <w:r w:rsidRPr="00E45C93">
        <w:rPr>
          <w:rFonts w:ascii="Times New Roman" w:hAnsi="Times New Roman" w:cs="Times New Roman"/>
        </w:rPr>
        <w:t xml:space="preserve">). </w:t>
      </w:r>
      <w:r w:rsidR="00500126" w:rsidRPr="00E45C93">
        <w:rPr>
          <w:rFonts w:ascii="Times New Roman" w:hAnsi="Times New Roman" w:cs="Times New Roman"/>
        </w:rPr>
        <w:t>W</w:t>
      </w:r>
      <w:r w:rsidRPr="00E45C93">
        <w:rPr>
          <w:rFonts w:ascii="Times New Roman" w:hAnsi="Times New Roman" w:cs="Times New Roman"/>
        </w:rPr>
        <w:t xml:space="preserve">e will use </w:t>
      </w:r>
      <w:proofErr w:type="spellStart"/>
      <w:r w:rsidRPr="00E45C93">
        <w:rPr>
          <w:rFonts w:ascii="Times New Roman" w:hAnsi="Times New Roman" w:cs="Times New Roman"/>
          <w:b/>
          <w:bCs/>
        </w:rPr>
        <w:t>LEfSe</w:t>
      </w:r>
      <w:proofErr w:type="spellEnd"/>
      <w:r w:rsidRPr="00E45C93">
        <w:rPr>
          <w:rFonts w:ascii="Times New Roman" w:hAnsi="Times New Roman" w:cs="Times New Roman"/>
          <w:b/>
          <w:bCs/>
        </w:rPr>
        <w:t xml:space="preserve"> (Linear Discriminant Analysis Effect Size)</w:t>
      </w:r>
      <w:r w:rsidR="00500126" w:rsidRPr="00E45C93">
        <w:rPr>
          <w:rFonts w:ascii="Times New Roman" w:hAnsi="Times New Roman" w:cs="Times New Roman"/>
          <w:b/>
          <w:bCs/>
        </w:rPr>
        <w:t xml:space="preserve"> to identify taxonomic features that differentiate diagnostic groups</w:t>
      </w:r>
      <w:r w:rsidRPr="00E45C93">
        <w:rPr>
          <w:rFonts w:ascii="Times New Roman" w:hAnsi="Times New Roman" w:cs="Times New Roman"/>
        </w:rPr>
        <w:t>, which combines statistical significance with biological relevance to highlight discriminatory taxa.</w:t>
      </w:r>
    </w:p>
    <w:p w14:paraId="788657E3" w14:textId="73D524D3" w:rsidR="00E45C93" w:rsidRPr="008D79D9" w:rsidRDefault="008B4A7C" w:rsidP="005A425F">
      <w:pPr>
        <w:pStyle w:val="ListParagraph"/>
        <w:numPr>
          <w:ilvl w:val="0"/>
          <w:numId w:val="24"/>
        </w:numPr>
        <w:spacing w:line="360" w:lineRule="auto"/>
        <w:jc w:val="both"/>
        <w:rPr>
          <w:rFonts w:ascii="Times New Roman" w:hAnsi="Times New Roman" w:cs="Times New Roman"/>
        </w:rPr>
      </w:pPr>
      <w:r w:rsidRPr="008D79D9">
        <w:rPr>
          <w:rFonts w:ascii="Times New Roman" w:hAnsi="Times New Roman" w:cs="Times New Roman"/>
          <w:b/>
          <w:bCs/>
        </w:rPr>
        <w:t>Neurophysiological (EEG/ERP) Data:</w:t>
      </w:r>
      <w:r w:rsidR="00500126" w:rsidRPr="008D79D9">
        <w:rPr>
          <w:rFonts w:ascii="Times New Roman" w:hAnsi="Times New Roman" w:cs="Times New Roman"/>
        </w:rPr>
        <w:t xml:space="preserve"> </w:t>
      </w:r>
      <w:r w:rsidRPr="008D79D9">
        <w:rPr>
          <w:rFonts w:ascii="Times New Roman" w:hAnsi="Times New Roman" w:cs="Times New Roman"/>
        </w:rPr>
        <w:t xml:space="preserve">EEG data will be </w:t>
      </w:r>
      <w:proofErr w:type="spellStart"/>
      <w:r w:rsidRPr="008D79D9">
        <w:rPr>
          <w:rFonts w:ascii="Times New Roman" w:hAnsi="Times New Roman" w:cs="Times New Roman"/>
        </w:rPr>
        <w:t>analyzed</w:t>
      </w:r>
      <w:proofErr w:type="spellEnd"/>
      <w:r w:rsidRPr="008D79D9">
        <w:rPr>
          <w:rFonts w:ascii="Times New Roman" w:hAnsi="Times New Roman" w:cs="Times New Roman"/>
        </w:rPr>
        <w:t xml:space="preserve"> using </w:t>
      </w:r>
      <w:r w:rsidRPr="008D79D9">
        <w:rPr>
          <w:rFonts w:ascii="Times New Roman" w:hAnsi="Times New Roman" w:cs="Times New Roman"/>
          <w:b/>
          <w:bCs/>
        </w:rPr>
        <w:t>repeated-measures ANOVA</w:t>
      </w:r>
      <w:r w:rsidRPr="008D79D9">
        <w:rPr>
          <w:rFonts w:ascii="Times New Roman" w:hAnsi="Times New Roman" w:cs="Times New Roman"/>
        </w:rPr>
        <w:t xml:space="preserve"> to examine group differences in ERP components (N200, P300, LPP) across stimulus types. Additional analyses will include </w:t>
      </w:r>
      <w:r w:rsidRPr="008D79D9">
        <w:rPr>
          <w:rFonts w:ascii="Times New Roman" w:hAnsi="Times New Roman" w:cs="Times New Roman"/>
          <w:b/>
          <w:bCs/>
        </w:rPr>
        <w:t>time–frequency decomposition</w:t>
      </w:r>
      <w:r w:rsidRPr="008D79D9">
        <w:rPr>
          <w:rFonts w:ascii="Times New Roman" w:hAnsi="Times New Roman" w:cs="Times New Roman"/>
        </w:rPr>
        <w:t xml:space="preserve"> (e.g., wavelet transforms) to explore changes in oscillatory power, and </w:t>
      </w:r>
      <w:r w:rsidRPr="008D79D9">
        <w:rPr>
          <w:rFonts w:ascii="Times New Roman" w:hAnsi="Times New Roman" w:cs="Times New Roman"/>
          <w:b/>
          <w:bCs/>
        </w:rPr>
        <w:t>topographical mapping</w:t>
      </w:r>
      <w:r w:rsidRPr="008D79D9">
        <w:rPr>
          <w:rFonts w:ascii="Times New Roman" w:hAnsi="Times New Roman" w:cs="Times New Roman"/>
        </w:rPr>
        <w:t xml:space="preserve"> to examine spatial distributions of neural activity. Advanced analyses such as </w:t>
      </w:r>
      <w:r w:rsidRPr="008D79D9">
        <w:rPr>
          <w:rFonts w:ascii="Times New Roman" w:hAnsi="Times New Roman" w:cs="Times New Roman"/>
          <w:b/>
          <w:bCs/>
        </w:rPr>
        <w:t>source localization</w:t>
      </w:r>
      <w:r w:rsidRPr="008D79D9">
        <w:rPr>
          <w:rFonts w:ascii="Times New Roman" w:hAnsi="Times New Roman" w:cs="Times New Roman"/>
        </w:rPr>
        <w:t xml:space="preserve"> (e.g., </w:t>
      </w:r>
      <w:proofErr w:type="spellStart"/>
      <w:r w:rsidRPr="008D79D9">
        <w:rPr>
          <w:rFonts w:ascii="Times New Roman" w:hAnsi="Times New Roman" w:cs="Times New Roman"/>
        </w:rPr>
        <w:t>sLORETA</w:t>
      </w:r>
      <w:proofErr w:type="spellEnd"/>
      <w:r w:rsidRPr="008D79D9">
        <w:rPr>
          <w:rFonts w:ascii="Times New Roman" w:hAnsi="Times New Roman" w:cs="Times New Roman"/>
        </w:rPr>
        <w:t xml:space="preserve">) may be applied to identify cortical generators underlying ERP </w:t>
      </w:r>
      <w:r w:rsidRPr="008D79D9">
        <w:rPr>
          <w:rFonts w:ascii="Times New Roman" w:hAnsi="Times New Roman" w:cs="Times New Roman"/>
        </w:rPr>
        <w:lastRenderedPageBreak/>
        <w:t>effects.</w:t>
      </w:r>
      <w:r w:rsidR="008D79D9" w:rsidRPr="008D79D9">
        <w:rPr>
          <w:rFonts w:ascii="Times New Roman" w:hAnsi="Times New Roman" w:cs="Times New Roman"/>
        </w:rPr>
        <w:t xml:space="preserve"> EEG sessions will be conducted at fixed times (10</w:t>
      </w:r>
      <w:r w:rsidR="008D79D9">
        <w:rPr>
          <w:rFonts w:ascii="Times New Roman" w:hAnsi="Times New Roman" w:cs="Times New Roman"/>
        </w:rPr>
        <w:t xml:space="preserve"> </w:t>
      </w:r>
      <w:r w:rsidR="008D79D9" w:rsidRPr="008D79D9">
        <w:rPr>
          <w:rFonts w:ascii="Times New Roman" w:hAnsi="Times New Roman" w:cs="Times New Roman"/>
        </w:rPr>
        <w:t>am-2</w:t>
      </w:r>
      <w:r w:rsidR="008D79D9">
        <w:rPr>
          <w:rFonts w:ascii="Times New Roman" w:hAnsi="Times New Roman" w:cs="Times New Roman"/>
        </w:rPr>
        <w:t xml:space="preserve"> </w:t>
      </w:r>
      <w:r w:rsidR="008D79D9" w:rsidRPr="008D79D9">
        <w:rPr>
          <w:rFonts w:ascii="Times New Roman" w:hAnsi="Times New Roman" w:cs="Times New Roman"/>
        </w:rPr>
        <w:t xml:space="preserve">pm) to control for diurnal variation. Rest periods and noise calibration will minimize fatigue and </w:t>
      </w:r>
      <w:proofErr w:type="spellStart"/>
      <w:r w:rsidR="008D79D9" w:rsidRPr="008D79D9">
        <w:rPr>
          <w:rFonts w:ascii="Times New Roman" w:hAnsi="Times New Roman" w:cs="Times New Roman"/>
        </w:rPr>
        <w:t>artifacts</w:t>
      </w:r>
      <w:proofErr w:type="spellEnd"/>
      <w:r w:rsidR="008D79D9" w:rsidRPr="008D79D9">
        <w:rPr>
          <w:rFonts w:ascii="Times New Roman" w:hAnsi="Times New Roman" w:cs="Times New Roman"/>
        </w:rPr>
        <w:t xml:space="preserve">. </w:t>
      </w:r>
    </w:p>
    <w:p w14:paraId="1DC85293" w14:textId="5819CAD1" w:rsidR="008B4A7C" w:rsidRPr="00E45C93" w:rsidRDefault="008B4A7C" w:rsidP="005A425F">
      <w:pPr>
        <w:pStyle w:val="ListParagraph"/>
        <w:numPr>
          <w:ilvl w:val="0"/>
          <w:numId w:val="24"/>
        </w:numPr>
        <w:spacing w:line="360" w:lineRule="auto"/>
        <w:jc w:val="both"/>
        <w:rPr>
          <w:rFonts w:ascii="Times New Roman" w:hAnsi="Times New Roman" w:cs="Times New Roman"/>
        </w:rPr>
      </w:pPr>
      <w:r w:rsidRPr="00E356B5">
        <w:rPr>
          <w:rFonts w:ascii="Times New Roman" w:hAnsi="Times New Roman" w:cs="Times New Roman"/>
          <w:b/>
          <w:bCs/>
        </w:rPr>
        <w:t>Longitudinal Data:</w:t>
      </w:r>
      <w:r w:rsidR="00500126" w:rsidRPr="00E356B5">
        <w:rPr>
          <w:rFonts w:ascii="Times New Roman" w:hAnsi="Times New Roman" w:cs="Times New Roman"/>
        </w:rPr>
        <w:t xml:space="preserve"> </w:t>
      </w:r>
      <w:r w:rsidRPr="00E356B5">
        <w:rPr>
          <w:rFonts w:ascii="Times New Roman" w:hAnsi="Times New Roman" w:cs="Times New Roman"/>
        </w:rPr>
        <w:t xml:space="preserve">For the 12-month follow-up subsample, </w:t>
      </w:r>
      <w:r w:rsidR="00500126" w:rsidRPr="00E356B5">
        <w:rPr>
          <w:rFonts w:ascii="Times New Roman" w:hAnsi="Times New Roman" w:cs="Times New Roman"/>
        </w:rPr>
        <w:t>linear mixed</w:t>
      </w:r>
      <w:r w:rsidR="00500126" w:rsidRPr="00E45C93">
        <w:rPr>
          <w:rFonts w:ascii="Times New Roman" w:hAnsi="Times New Roman" w:cs="Times New Roman"/>
        </w:rPr>
        <w:t xml:space="preserve">-effects </w:t>
      </w:r>
      <w:r w:rsidR="00500126" w:rsidRPr="007301A8">
        <w:rPr>
          <w:rFonts w:ascii="Times New Roman" w:hAnsi="Times New Roman" w:cs="Times New Roman"/>
        </w:rPr>
        <w:t>m</w:t>
      </w:r>
      <w:r w:rsidRPr="007301A8">
        <w:rPr>
          <w:rFonts w:ascii="Times New Roman" w:hAnsi="Times New Roman" w:cs="Times New Roman"/>
        </w:rPr>
        <w:t>odels (LMMs)</w:t>
      </w:r>
      <w:r w:rsidRPr="00E45C93">
        <w:rPr>
          <w:rFonts w:ascii="Times New Roman" w:hAnsi="Times New Roman" w:cs="Times New Roman"/>
        </w:rPr>
        <w:t xml:space="preserve"> will be used to model within-person change over time and examine the predictive value of baseline markers (e.g., cytokines, ERP features, microbiome diversity) for clinical outcomes. LMMs offer robust handling of repeated measures and missing data, making them ideal for longitudinal </w:t>
      </w:r>
      <w:r w:rsidR="00500126" w:rsidRPr="00E45C93">
        <w:rPr>
          <w:rFonts w:ascii="Times New Roman" w:hAnsi="Times New Roman" w:cs="Times New Roman"/>
        </w:rPr>
        <w:t>modelling</w:t>
      </w:r>
      <w:r w:rsidRPr="00E45C93">
        <w:rPr>
          <w:rFonts w:ascii="Times New Roman" w:hAnsi="Times New Roman" w:cs="Times New Roman"/>
        </w:rPr>
        <w:t>.</w:t>
      </w:r>
    </w:p>
    <w:p w14:paraId="2914893A" w14:textId="03E8CB0C" w:rsidR="008B4A7C" w:rsidRPr="00E45C93" w:rsidRDefault="008B4A7C" w:rsidP="005A425F">
      <w:pPr>
        <w:spacing w:line="360" w:lineRule="auto"/>
        <w:jc w:val="both"/>
      </w:pPr>
      <w:r w:rsidRPr="00E45C93">
        <w:t xml:space="preserve">This comprehensive and multi-tiered analytical strategy ensures that the study can detect both group-level differences and nuanced transdiagnostic patterns, ultimately contributing to a refined, biologically grounded model of </w:t>
      </w:r>
      <w:r w:rsidR="007301A8">
        <w:t>ON</w:t>
      </w:r>
      <w:r w:rsidR="00500126" w:rsidRPr="00E45C93">
        <w:t>.</w:t>
      </w:r>
      <w:r w:rsidR="007008D0">
        <w:t xml:space="preserve"> </w:t>
      </w:r>
      <w:r w:rsidR="007008D0" w:rsidRPr="007008D0">
        <w:t>Analytical thresholds for model inclusion will be pre-registered (e.g., ≥10% variance explained for PCA components; reliability coefficients ≥.70 for ERP measures). Multivariate corrections (e.g., FDR control, Bonferroni adjustment) will be applied to reduce false discovery risk in all hypothesis-testing analyses.</w:t>
      </w:r>
    </w:p>
    <w:p w14:paraId="37595168" w14:textId="2949DB5D" w:rsidR="00B66A9E" w:rsidRPr="00E45C93" w:rsidRDefault="00FF5C02" w:rsidP="005A425F">
      <w:pPr>
        <w:pBdr>
          <w:top w:val="single" w:sz="4" w:space="1" w:color="auto"/>
          <w:bottom w:val="single" w:sz="4" w:space="1" w:color="auto"/>
        </w:pBdr>
        <w:spacing w:line="360" w:lineRule="auto"/>
        <w:jc w:val="both"/>
        <w:rPr>
          <w:b/>
          <w:bCs/>
        </w:rPr>
      </w:pPr>
      <w:r w:rsidRPr="00E45C93">
        <w:rPr>
          <w:b/>
          <w:bCs/>
        </w:rPr>
        <w:t>Preliminary Results</w:t>
      </w:r>
    </w:p>
    <w:p w14:paraId="20B50AF1" w14:textId="4DDD3B20" w:rsidR="008D0F7C" w:rsidRPr="00E45C93" w:rsidRDefault="00994843" w:rsidP="005A425F">
      <w:pPr>
        <w:spacing w:line="360" w:lineRule="auto"/>
        <w:jc w:val="both"/>
      </w:pPr>
      <w:r>
        <w:t>Figure 1 presents o</w:t>
      </w:r>
      <w:r w:rsidR="008D0F7C" w:rsidRPr="00E45C93">
        <w:t>ur preliminary findings indicat</w:t>
      </w:r>
      <w:r>
        <w:t>ing</w:t>
      </w:r>
      <w:r w:rsidR="008D0F7C" w:rsidRPr="00E45C93">
        <w:t xml:space="preserve"> a consistent and meaningful pattern: higher ON symptoms</w:t>
      </w:r>
      <w:r w:rsidR="00EC62E4">
        <w:t xml:space="preserve"> levels</w:t>
      </w:r>
      <w:r w:rsidR="008D0F7C" w:rsidRPr="00E45C93">
        <w:t xml:space="preserve"> are associated with lower scores across several key dimensions of psychological and embodied well-being. Specifically, individuals with more pronounced orthorexic tendencies report reduced body appreciation, lower levels of intuitive eating, decreased embodiment, and a diminished sense of control. These results suggest that, contrary to popular assumptions, orthorexic behaviours—often perceived as disciplined or health-promoting—may compromise one’s psychological flexibility, body trust, and regulatory capacities</w:t>
      </w:r>
      <w:r w:rsidR="00EF0FA1" w:rsidRPr="00E45C93">
        <w:t xml:space="preserve"> </w:t>
      </w:r>
      <w:r w:rsidR="00EF0FA1" w:rsidRPr="00E45C93">
        <w:fldChar w:fldCharType="begin"/>
      </w:r>
      <w:r w:rsidR="00F62FE9">
        <w:instrText xml:space="preserve"> ADDIN ZOTERO_ITEM CSL_CITATION {"citationID":"xjuh6WQU","properties":{"formattedCitation":"[6]","plainCitation":"[6]","noteIndex":0},"citationItems":[{"id":3868,"uris":["http://zotero.org/users/2945453/items/LXLVX64Z"],"itemData":{"id":3868,"type":"article-journal","container-title":"North American Journal of Psychology","issue":"4","page":"927-942","title":"Validation of a Hebrew Adaptation of the Teruel Orthorexia Scale (TOS) in Adults from Israel","volume":"26","author":[{"family":"Horovitz","given":"Omer"},{"family":"Agryrides","given":"Marios"}],"issued":{"date-parts":[["2024"]]}}}],"schema":"https://github.com/citation-style-language/schema/raw/master/csl-citation.json"} </w:instrText>
      </w:r>
      <w:r w:rsidR="00EF0FA1" w:rsidRPr="00E45C93">
        <w:fldChar w:fldCharType="separate"/>
      </w:r>
      <w:r w:rsidR="00F62FE9">
        <w:rPr>
          <w:noProof/>
        </w:rPr>
        <w:t>[6]</w:t>
      </w:r>
      <w:r w:rsidR="00EF0FA1" w:rsidRPr="00E45C93">
        <w:fldChar w:fldCharType="end"/>
      </w:r>
      <w:r w:rsidR="008D0F7C" w:rsidRPr="00E45C9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8D0F7C" w:rsidRPr="00E45C93" w14:paraId="09702D09" w14:textId="77777777" w:rsidTr="00944AE6">
        <w:trPr>
          <w:jc w:val="center"/>
        </w:trPr>
        <w:tc>
          <w:tcPr>
            <w:tcW w:w="9020" w:type="dxa"/>
          </w:tcPr>
          <w:p w14:paraId="5C718109" w14:textId="77777777" w:rsidR="008D0F7C" w:rsidRPr="00E45C93" w:rsidRDefault="008D0F7C" w:rsidP="005A425F">
            <w:pPr>
              <w:spacing w:line="360" w:lineRule="auto"/>
              <w:jc w:val="center"/>
              <w:rPr>
                <w:b/>
                <w:bCs/>
                <w:sz w:val="16"/>
                <w:szCs w:val="16"/>
              </w:rPr>
            </w:pPr>
            <w:r w:rsidRPr="00E45C93">
              <w:rPr>
                <w:b/>
                <w:bCs/>
                <w:noProof/>
                <w:sz w:val="16"/>
                <w:szCs w:val="16"/>
              </w:rPr>
              <w:drawing>
                <wp:inline distT="0" distB="0" distL="0" distR="0" wp14:anchorId="22185A6B" wp14:editId="44A6A939">
                  <wp:extent cx="3077570" cy="2169994"/>
                  <wp:effectExtent l="0" t="0" r="0" b="190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re-result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6248" cy="2176113"/>
                          </a:xfrm>
                          <a:prstGeom prst="rect">
                            <a:avLst/>
                          </a:prstGeom>
                        </pic:spPr>
                      </pic:pic>
                    </a:graphicData>
                  </a:graphic>
                </wp:inline>
              </w:drawing>
            </w:r>
          </w:p>
        </w:tc>
      </w:tr>
      <w:tr w:rsidR="008D0F7C" w:rsidRPr="00E45C93" w14:paraId="51C588A7" w14:textId="77777777" w:rsidTr="00944AE6">
        <w:trPr>
          <w:jc w:val="center"/>
        </w:trPr>
        <w:tc>
          <w:tcPr>
            <w:tcW w:w="9020" w:type="dxa"/>
          </w:tcPr>
          <w:p w14:paraId="2F7C61ED" w14:textId="598FF58D" w:rsidR="008D0F7C" w:rsidRPr="00E45C93" w:rsidRDefault="00944AE6" w:rsidP="005A425F">
            <w:pPr>
              <w:spacing w:line="360" w:lineRule="auto"/>
              <w:jc w:val="both"/>
              <w:rPr>
                <w:sz w:val="20"/>
                <w:szCs w:val="20"/>
              </w:rPr>
            </w:pPr>
            <w:r w:rsidRPr="00944AE6">
              <w:rPr>
                <w:b/>
                <w:bCs/>
                <w:sz w:val="20"/>
                <w:szCs w:val="20"/>
              </w:rPr>
              <w:t>Figure 1</w:t>
            </w:r>
            <w:r>
              <w:rPr>
                <w:sz w:val="20"/>
                <w:szCs w:val="20"/>
              </w:rPr>
              <w:t xml:space="preserve">. </w:t>
            </w:r>
            <w:r w:rsidR="008D0F7C" w:rsidRPr="00E45C93">
              <w:rPr>
                <w:sz w:val="20"/>
                <w:szCs w:val="20"/>
              </w:rPr>
              <w:t>Pearson correlation coefficients between Orthorexia Nervosa and four psychological constructs: Experience of Embodiment (r = –.49), Sense of Control (r = –.29), Body Appreciation (r = –.46), and Intuitive Eating (r = –.54). All correlations were statistically significant at p &lt; .01, indicating that higher ON levels are associated with lower levels of these positive psychological constructs.</w:t>
            </w:r>
          </w:p>
        </w:tc>
      </w:tr>
    </w:tbl>
    <w:p w14:paraId="78DC254D" w14:textId="5CE0B280" w:rsidR="001E4D46" w:rsidRPr="00723A1F" w:rsidRDefault="00723A1F" w:rsidP="005A425F">
      <w:pPr>
        <w:spacing w:line="360" w:lineRule="auto"/>
        <w:jc w:val="both"/>
      </w:pPr>
      <w:r w:rsidRPr="00723A1F">
        <w:lastRenderedPageBreak/>
        <w:t xml:space="preserve">While we have not yet conducted pilot biological sampling due to resource and timing constraints, the proposed methodology is grounded in robust, peer-reviewed literature. Prior studies have demonstrated elevated pro-inflammatory cytokines (IL-6, TNF-α) in </w:t>
      </w:r>
      <w:r>
        <w:t>AN</w:t>
      </w:r>
      <w:r w:rsidRPr="00723A1F">
        <w:t xml:space="preserve"> and </w:t>
      </w:r>
      <w:r>
        <w:t>OCD</w:t>
      </w:r>
      <w:r w:rsidRPr="00723A1F">
        <w:t xml:space="preserve">, both of which share key traits with </w:t>
      </w:r>
      <w:r>
        <w:t>ON</w:t>
      </w:r>
      <w:r w:rsidRPr="00723A1F">
        <w:t>, such as perfectionism, cognitive rigidity, and anxiety</w:t>
      </w:r>
      <w:r>
        <w:t xml:space="preserve"> </w:t>
      </w:r>
      <w:r>
        <w:fldChar w:fldCharType="begin"/>
      </w:r>
      <w:r>
        <w:instrText xml:space="preserve"> ADDIN ZOTERO_ITEM CSL_CITATION {"citationID":"b13mEbX4","properties":{"formattedCitation":"[10, 12]","plainCitation":"[10, 12]","noteIndex":0},"citationItems":[{"id":3837,"uris":["http://zotero.org/users/2945453/items/WYQPW7VD"],"itemData":{"id":3837,"type":"article-journal","container-title":"Psychoneuroendocrinology","DOI":"10.1016/S0306-4530(02)00021-5","ISSN":"03064530","issue":"3","journalAbbreviation":"Psychoneuroendocrinology","language":"en","license":"https://www.elsevier.com/tdm/userlicense/1.0/","page":"229-249","source":"DOI.org (Crossref)","title":"Involvement of cytokines in eating disorders: a critical review of the human literature","title-short":"Involvement of cytokines in eating disorders","volume":"28","author":[{"family":"Corcos","given":"M."},{"family":"Guilbaud","given":"O."},{"family":"Paterniti","given":"S."},{"family":"Moussa","given":"M."},{"family":"Chambry","given":"J."},{"family":"Chaouat","given":"G."},{"family":"Consoli","given":"S.M."},{"family":"Jeammet","given":"P."}],"issued":{"date-parts":[["2003",4]]}},"label":"page"},{"id":3983,"uris":["http://zotero.org/users/2945453/items/DDU6IHNT"],"itemData":{"id":3983,"type":"article-journal","abstract":"Cognitive impairments reported across psychiatric conditions (ie, major depressive disorder, bipolar disorder, schizophrenia, and posttraumatic stress disorder) strongly impair the quality of life of patients and the recovery of those conditions. There is therefore a great need for consideration for cognitive dysfunction in the management of psychiatric disorders. The redundant pattern of cognitive impairments across such conditions suggests possible shared mechanisms potentially leading to their development. Here, we review for the first time the possible role of inflammation in cognitive dysfunctions across psychiatric disorders. Raised inflammatory processes (microglia activation and elevated cytokine levels) across diagnoses could therefore disrupt neurobiological mechanisms regulating cognition, including Hebbian and homeostatic plasticity, neurogenesis, neurotrophic factor, the HPA axis, and the kynurenine pathway. This redundant association between elevated inflammation and cognitive alterations across psychiatric disorders hence suggests that a cross-disorder approach using pharmacological and nonpharmacological (ie, physical activity and nutrition) anti-inflammatory/immunomodulatory strategies should be considered in the management of cognition in psychiatry.","container-title":"CNS Spectrums","DOI":"10.1017/S1092852918001499","ISSN":"1092-8529, 2165-6509","issue":"1","journalAbbreviation":"CNS Spectr.","language":"en","license":"https://www.cambridge.org/core/terms","page":"4-15","source":"DOI.org (Crossref)","title":"Neuroinflammation and cognition across psychiatric conditions","volume":"24","author":[{"family":"Fourrier","given":"Célia"},{"family":"Singhal","given":"Gaurav"},{"family":"Baune","given":"Bernhard T."}],"issued":{"date-parts":[["2019",2]]}},"label":"page"}],"schema":"https://github.com/citation-style-language/schema/raw/master/csl-citation.json"} </w:instrText>
      </w:r>
      <w:r>
        <w:fldChar w:fldCharType="separate"/>
      </w:r>
      <w:r>
        <w:rPr>
          <w:noProof/>
        </w:rPr>
        <w:t>[10, 12]</w:t>
      </w:r>
      <w:r>
        <w:fldChar w:fldCharType="end"/>
      </w:r>
      <w:r w:rsidRPr="00723A1F">
        <w:t xml:space="preserve">. EEG studies in AN population have also revealed reduced P300 amplitudes and altered N200 responses during food-related decision-making tasks, reflecting attentional and emotional dysregulation </w:t>
      </w:r>
      <w:r>
        <w:fldChar w:fldCharType="begin"/>
      </w:r>
      <w:r>
        <w:instrText xml:space="preserve"> ADDIN ZOTERO_ITEM CSL_CITATION {"citationID":"CS4TJEkp","properties":{"formattedCitation":"[22, 23]","plainCitation":"[22, 23]","noteIndex":0},"citationItems":[{"id":3999,"uris":["http://zotero.org/users/2945453/items/3HVE2D3M"],"itemData":{"id":3999,"type":"article-journal","container-title":"Appetite","DOI":"10.1016/j.appet.2018.05.135","ISSN":"01956663","journalAbbreviation":"Appetite","language":"en","page":"58-78","source":"DOI.org (Crossref)","title":"The utility of event-related potentials (ERPs) in understanding food-related cognition: A systematic review and recommendations","title-short":"The utility of event-related potentials (ERPs) in understanding food-related cognition","volume":"128","author":[{"family":"Carbine","given":"Kaylie A."},{"family":"Rodeback","given":"Rebekah"},{"family":"Modersitzki","given":"Erin"},{"family":"Miner","given":"Marshall"},{"family":"LeCheminant","given":"James D."},{"family":"Larson","given":"Michael J."}],"issued":{"date-parts":[["2018",9]]}},"label":"page"},{"id":3998,"uris":["http://zotero.org/users/2945453/items/ZMTQ2EIV"],"itemData":{"id":3998,"type":"article-journal","abstract":"Abstract\n            \n              Background\n              Anorexia nervosa (AN) is associated with altered processing of disorder‐relevant stimuli. Event‐related potentials (ERP) – such as the Late Positive Potential (LPP) – give information about the underlying mechanisms of central nervous stimulus processing.\n            \n            \n              Methods\n              Patients with AN (22 adolescents, 23 adults) and healthy controls (HCs; 17 adolescents, 24 adults) were included. Neutral, low, and high calorie food‐images were rated for valence and arousal; EEG activity was recorded and LPPs (early: 350–700 ms; late: 800–1200 ms) were extracted. Effects of patient status, age group, and stimulus category were analyzed via mixed 2 × 2 × 3‐AN(C)OVAs.\n            \n            \n              Results\n              Patients with AN rated high calorie stimuli lower in valence and higher in arousal than HCs. Controlling for hunger, food stimuli elicited higher early LPPs than neutral ones in patients and HCs. For the late LPP, patients with AN showed larger amplitudes.\n            \n            \n              Conclusion\n              Results suggest a highly automatic attentional bias towards low‐calorie foods. Patients with AN seem to have more intense cognitive processing independent of stimulus material. More research is needed to validate and clarify differences between early and late LPP measures as well as the operationalization and relevance of hunger status.\n            \n          , \n            Highlights\n            \n              \n                \n                  Processing of food stimuli in anorexia nervosa was examined with the help of Event Related Potentials.\n                \n                \n                  Food stimuli elicited a higher Late Positive Potential (early component) than neutral stimuli in patients with anorexia nervosa and healthy participants, reflecting automatic attention towards (especially low‐calorie) food.\n                \n                \n                  AN patients show larger LPP amplitudes (late component) for all – neutral and food – stimuli, pointing towards increased cognitive processing in adolescent and adult patients.","container-title":"European Eating Disorders Review","DOI":"10.1002/erv.3040","ISSN":"1072-4133, 1099-0968","issue":"2","journalAbbreviation":"Euro Eating Disorders Rev","language":"en","page":"281-297","source":"DOI.org (Crossref)","title":"Processing of food stimuli in anorexia nervosa: An ERP‐study comparing adolescents and adults","title-short":"Processing of food stimuli in anorexia nervosa","volume":"32","author":[{"family":"Stonawski","given":"Valeska"},{"family":"Mai‐Lippold","given":"Sandra A."},{"family":"Graap","given":"Holmer"},{"family":"Moll","given":"Gunther H."},{"family":"Kratz","given":"Oliver"},{"family":"Van Doren","given":"Jessica"},{"family":"Horndasch","given":"Stefanie"}],"issued":{"date-parts":[["2024",3]]}},"label":"page"}],"schema":"https://github.com/citation-style-language/schema/raw/master/csl-citation.json"} </w:instrText>
      </w:r>
      <w:r>
        <w:fldChar w:fldCharType="separate"/>
      </w:r>
      <w:r>
        <w:rPr>
          <w:noProof/>
        </w:rPr>
        <w:t>[22, 23]</w:t>
      </w:r>
      <w:r>
        <w:fldChar w:fldCharType="end"/>
      </w:r>
      <w:r>
        <w:t>.</w:t>
      </w:r>
      <w:r w:rsidRPr="00723A1F">
        <w:t xml:space="preserve"> These findings support the feasibility of our proposed biomarkers and reinforce the likelihood that ON may exhibit comparable, yet distinct, biological signatures</w:t>
      </w:r>
      <w:r>
        <w:t xml:space="preserve">. </w:t>
      </w:r>
    </w:p>
    <w:p w14:paraId="47372411" w14:textId="30595699" w:rsidR="001E4D46" w:rsidRPr="00E45C93" w:rsidRDefault="001E4D46" w:rsidP="005A425F">
      <w:pPr>
        <w:pBdr>
          <w:top w:val="single" w:sz="4" w:space="1" w:color="auto"/>
          <w:bottom w:val="single" w:sz="4" w:space="1" w:color="auto"/>
        </w:pBdr>
        <w:spacing w:line="360" w:lineRule="auto"/>
        <w:jc w:val="both"/>
        <w:rPr>
          <w:b/>
          <w:bCs/>
        </w:rPr>
      </w:pPr>
      <w:r w:rsidRPr="00E45C93">
        <w:rPr>
          <w:b/>
          <w:bCs/>
        </w:rPr>
        <w:t xml:space="preserve">Facilities and Resources Available for the Execution of the Research </w:t>
      </w:r>
    </w:p>
    <w:p w14:paraId="296F7406" w14:textId="2A6596A9" w:rsidR="001E4D46" w:rsidRPr="00E45C93" w:rsidRDefault="001E4D46" w:rsidP="005A425F">
      <w:pPr>
        <w:spacing w:line="360" w:lineRule="auto"/>
        <w:jc w:val="both"/>
      </w:pPr>
      <w:r w:rsidRPr="00E45C93">
        <w:t xml:space="preserve">The proposed research will be conducted at the </w:t>
      </w:r>
      <w:r w:rsidRPr="00E45C93">
        <w:rPr>
          <w:b/>
          <w:bCs/>
        </w:rPr>
        <w:t>Laboratory of Physiology and Behavio</w:t>
      </w:r>
      <w:r w:rsidR="00517D83" w:rsidRPr="00E45C93">
        <w:rPr>
          <w:b/>
          <w:bCs/>
        </w:rPr>
        <w:t>u</w:t>
      </w:r>
      <w:r w:rsidRPr="00E45C93">
        <w:rPr>
          <w:b/>
          <w:bCs/>
        </w:rPr>
        <w:t>r</w:t>
      </w:r>
      <w:r w:rsidR="00517D83" w:rsidRPr="00E45C93">
        <w:rPr>
          <w:b/>
          <w:bCs/>
        </w:rPr>
        <w:t>—</w:t>
      </w:r>
      <w:r w:rsidRPr="00E45C93">
        <w:rPr>
          <w:b/>
          <w:bCs/>
        </w:rPr>
        <w:t>Nutritional Psychology</w:t>
      </w:r>
      <w:r w:rsidRPr="00E45C93">
        <w:t xml:space="preserve"> at </w:t>
      </w:r>
      <w:r w:rsidRPr="00E45C93">
        <w:rPr>
          <w:b/>
          <w:bCs/>
        </w:rPr>
        <w:t>Tel-Hai Academic College</w:t>
      </w:r>
      <w:r w:rsidRPr="00E45C93">
        <w:t xml:space="preserve">, under the direction of </w:t>
      </w:r>
      <w:proofErr w:type="spellStart"/>
      <w:r w:rsidRPr="00E45C93">
        <w:rPr>
          <w:b/>
          <w:bCs/>
        </w:rPr>
        <w:t>Dr.</w:t>
      </w:r>
      <w:proofErr w:type="spellEnd"/>
      <w:r w:rsidRPr="00E45C93">
        <w:rPr>
          <w:b/>
          <w:bCs/>
        </w:rPr>
        <w:t xml:space="preserve"> Omer Horovitz</w:t>
      </w:r>
      <w:r w:rsidRPr="00E45C93">
        <w:t xml:space="preserve"> (Principal Investigator). The laboratory is fully equipped </w:t>
      </w:r>
      <w:r w:rsidR="00A6581D" w:rsidRPr="00E45C93">
        <w:t>to</w:t>
      </w:r>
      <w:r w:rsidRPr="00E45C93">
        <w:t xml:space="preserve"> execut</w:t>
      </w:r>
      <w:r w:rsidR="00A6581D" w:rsidRPr="00E45C93">
        <w:t>e</w:t>
      </w:r>
      <w:r w:rsidRPr="00E45C93">
        <w:t xml:space="preserve"> the proposed multimodal study, </w:t>
      </w:r>
      <w:r w:rsidR="00517D83" w:rsidRPr="00E45C93">
        <w:t>which integrates</w:t>
      </w:r>
      <w:r w:rsidRPr="00E45C93">
        <w:t xml:space="preserve"> psychological, neurophysiological, immunological, and microbiome methodologies.</w:t>
      </w:r>
    </w:p>
    <w:p w14:paraId="33C2C779" w14:textId="77777777" w:rsidR="001E4D46" w:rsidRPr="00E45C93" w:rsidRDefault="001E4D46" w:rsidP="005A425F">
      <w:pPr>
        <w:spacing w:line="360" w:lineRule="auto"/>
        <w:jc w:val="both"/>
      </w:pPr>
      <w:r w:rsidRPr="00E45C93">
        <w:t>The lab infrastructure includes:</w:t>
      </w:r>
    </w:p>
    <w:p w14:paraId="526B36C3" w14:textId="2F2B745C" w:rsidR="001E4D46" w:rsidRPr="00E45C93" w:rsidRDefault="00517D83" w:rsidP="005A425F">
      <w:pPr>
        <w:numPr>
          <w:ilvl w:val="0"/>
          <w:numId w:val="17"/>
        </w:numPr>
        <w:spacing w:line="360" w:lineRule="auto"/>
        <w:jc w:val="both"/>
      </w:pPr>
      <w:r w:rsidRPr="00E45C93">
        <w:t>Two</w:t>
      </w:r>
      <w:r w:rsidR="001E4D46" w:rsidRPr="00E45C93">
        <w:t xml:space="preserve"> </w:t>
      </w:r>
      <w:r w:rsidR="001E4D46" w:rsidRPr="00E45C93">
        <w:rPr>
          <w:b/>
          <w:bCs/>
        </w:rPr>
        <w:t xml:space="preserve">32-channel </w:t>
      </w:r>
      <w:proofErr w:type="spellStart"/>
      <w:proofErr w:type="gramStart"/>
      <w:r w:rsidR="001E4D46" w:rsidRPr="00E45C93">
        <w:rPr>
          <w:b/>
          <w:bCs/>
        </w:rPr>
        <w:t>g.Tec</w:t>
      </w:r>
      <w:proofErr w:type="spellEnd"/>
      <w:proofErr w:type="gramEnd"/>
      <w:r w:rsidR="001E4D46" w:rsidRPr="00E45C93">
        <w:rPr>
          <w:b/>
          <w:bCs/>
        </w:rPr>
        <w:t xml:space="preserve"> Nautilus wireless EEG system</w:t>
      </w:r>
      <w:r w:rsidRPr="00E45C93">
        <w:rPr>
          <w:b/>
          <w:bCs/>
        </w:rPr>
        <w:t>s</w:t>
      </w:r>
      <w:r w:rsidR="00106349" w:rsidRPr="00E45C93">
        <w:rPr>
          <w:b/>
          <w:bCs/>
        </w:rPr>
        <w:t xml:space="preserve"> are</w:t>
      </w:r>
      <w:r w:rsidR="001E4D46" w:rsidRPr="00E45C93">
        <w:t xml:space="preserve"> suitable for high-resolution resting-state and ERP recordings.</w:t>
      </w:r>
    </w:p>
    <w:p w14:paraId="7620AD74" w14:textId="77777777" w:rsidR="001E4D46" w:rsidRPr="00E45C93" w:rsidRDefault="001E4D46" w:rsidP="005A425F">
      <w:pPr>
        <w:numPr>
          <w:ilvl w:val="0"/>
          <w:numId w:val="17"/>
        </w:numPr>
        <w:spacing w:line="360" w:lineRule="auto"/>
        <w:jc w:val="both"/>
      </w:pPr>
      <w:r w:rsidRPr="00E45C93">
        <w:t xml:space="preserve">A </w:t>
      </w:r>
      <w:r w:rsidRPr="00E45C93">
        <w:rPr>
          <w:b/>
          <w:bCs/>
        </w:rPr>
        <w:t>sound-attenuated experimental room</w:t>
      </w:r>
      <w:r w:rsidRPr="00E45C93">
        <w:t>, optimized for EEG recordings under controlled conditions.</w:t>
      </w:r>
    </w:p>
    <w:p w14:paraId="5EAB3A71" w14:textId="311BC564" w:rsidR="001E4D46" w:rsidRPr="00E45C93" w:rsidRDefault="001E4D46" w:rsidP="005A425F">
      <w:pPr>
        <w:numPr>
          <w:ilvl w:val="0"/>
          <w:numId w:val="17"/>
        </w:numPr>
        <w:spacing w:line="360" w:lineRule="auto"/>
        <w:jc w:val="both"/>
      </w:pPr>
      <w:r w:rsidRPr="00E45C93">
        <w:t xml:space="preserve">Access to advanced </w:t>
      </w:r>
      <w:r w:rsidRPr="00E45C93">
        <w:rPr>
          <w:b/>
          <w:bCs/>
        </w:rPr>
        <w:t>computational infrastructure</w:t>
      </w:r>
      <w:r w:rsidRPr="00E45C93">
        <w:t xml:space="preserve">, including data servers and software for signal processing, statistical </w:t>
      </w:r>
      <w:r w:rsidR="00517D83" w:rsidRPr="00E45C93">
        <w:t>modelling</w:t>
      </w:r>
      <w:r w:rsidRPr="00E45C93">
        <w:t xml:space="preserve"> (e.g., MATLAB, SPSS, R, QIIME2).</w:t>
      </w:r>
    </w:p>
    <w:p w14:paraId="69EDF244" w14:textId="04D3F611" w:rsidR="001E4D46" w:rsidRPr="00E45C93" w:rsidRDefault="00023A44" w:rsidP="005A425F">
      <w:pPr>
        <w:numPr>
          <w:ilvl w:val="0"/>
          <w:numId w:val="17"/>
        </w:numPr>
        <w:spacing w:line="360" w:lineRule="auto"/>
        <w:jc w:val="both"/>
      </w:pPr>
      <w:r w:rsidRPr="00023A44">
        <w:t>Established collaborations with laboratories (</w:t>
      </w:r>
      <w:r>
        <w:t>i.e</w:t>
      </w:r>
      <w:r w:rsidRPr="00023A44">
        <w:t xml:space="preserve">., Prof. </w:t>
      </w:r>
      <w:proofErr w:type="spellStart"/>
      <w:r w:rsidRPr="00023A44">
        <w:t>Snait</w:t>
      </w:r>
      <w:proofErr w:type="spellEnd"/>
      <w:r w:rsidRPr="00023A44">
        <w:t xml:space="preserve"> Tamir’s Lab at MIGAL) will ensure high-quality, domain-specific supervision and processing of cytokine and microbiome samples</w:t>
      </w:r>
      <w:r w:rsidR="001E4D46" w:rsidRPr="00E45C93">
        <w:t>.</w:t>
      </w:r>
    </w:p>
    <w:p w14:paraId="68740626" w14:textId="29441823" w:rsidR="001E4D46" w:rsidRPr="00E45C93" w:rsidRDefault="00023A44" w:rsidP="005A425F">
      <w:pPr>
        <w:spacing w:line="360" w:lineRule="auto"/>
        <w:jc w:val="both"/>
      </w:pPr>
      <w:r w:rsidRPr="00023A44">
        <w:t xml:space="preserve">The project team will also include three graduate research students (two M.A. and </w:t>
      </w:r>
      <w:r w:rsidR="00542F9A">
        <w:t>two</w:t>
      </w:r>
      <w:r w:rsidRPr="00023A44">
        <w:t xml:space="preserve"> Ph.D. candidate</w:t>
      </w:r>
      <w:r w:rsidR="00542F9A">
        <w:t>s</w:t>
      </w:r>
      <w:r w:rsidRPr="00023A44">
        <w:t>) who will assist with data collection, pre-processing, and analysis across the project's domains. EEG and ERP acquisition, pre</w:t>
      </w:r>
      <w:r w:rsidR="00CB2257">
        <w:t>-</w:t>
      </w:r>
      <w:r w:rsidRPr="00023A44">
        <w:t xml:space="preserve">processing (e.g., ICA, filtering, </w:t>
      </w:r>
      <w:proofErr w:type="spellStart"/>
      <w:r w:rsidRPr="00023A44">
        <w:t>epoching</w:t>
      </w:r>
      <w:proofErr w:type="spellEnd"/>
      <w:r w:rsidRPr="00023A44">
        <w:t>), and interpretation will be led and supervised directly by the PI, who has extensive expertise in EEG methods, including a published ERP study on cognitive-affective processing</w:t>
      </w:r>
      <w:r>
        <w:t xml:space="preserve"> </w:t>
      </w:r>
      <w:r>
        <w:fldChar w:fldCharType="begin"/>
      </w:r>
      <w:r w:rsidR="00776452">
        <w:instrText xml:space="preserve"> ADDIN ZOTERO_ITEM CSL_CITATION {"citationID":"yfSjfWaW","properties":{"formattedCitation":"[39]","plainCitation":"[39]","noteIndex":0},"citationItems":[{"id":4032,"uris":["http://zotero.org/users/2945453/items/62MYKMUN"],"itemData":{"id":4032,"type":"article-journal","abstract":"The ability to learn to differentiate safety from danger matures gradually, particularly when such learning occurs over an extended time period. And yet, most research on fear learning examines the early phases of such learning and mainly in adults. The current study examined fear conditioning and extinction, as well as one form of extended learning, return of fear (ROF). Thirty-three typically developing children (age range: 7-14 years) completed fear conditioning and extinction; self-reports and psychophysiological indices were measured at this point. Two weeks later, children completed a ROF test (n = 23), and event-related potentials (ERPs) were recorded. Results indicated successful fear acquisition and extinction. Moreover, participants reported greater fear of the conditioned stimulus (CS+) than the safety stimulus (CS-) in the ROF test 2 weeks later. In electrophysiology data, ROF manifested as a larger late positive potential (LPP) response to the CS+ than the CS-. Finally, these differences in LPP responses were positively correlated with poorer extinction, as indicated by the GSR responses 2 weeks earlier. This is the first ERP study to demonstrate ROF in children. The LPP measure may index an interplay between inhibitory and excitatory brain-related processes underlying the long-term effects of fear learning.","container-title":"Developmental Psychobiology","DOI":"10.1002/dev.22189","ISSN":"1098-2302","issue":"7","journalAbbreviation":"Dev Psychobiol","language":"eng","note":"PMID: 34674235\nPMCID: PMC10238916","page":"e22189","source":"PubMed","title":"Return of fear following extinction in youth: An event-related potential study","title-short":"Return of fear following extinction in youth","volume":"63","author":[{"family":"Danon-Kraun","given":"Shani"},{"family":"Horovitz","given":"Omer"},{"family":"Frenkel","given":"Tahl"},{"family":"Richter-Levin","given":"Gal"},{"family":"Pine","given":"Daniel S."},{"family":"Shechner","given":"Tomer"}],"issued":{"date-parts":[["2021",11]]}}}],"schema":"https://github.com/citation-style-language/schema/raw/master/csl-citation.json"} </w:instrText>
      </w:r>
      <w:r>
        <w:fldChar w:fldCharType="separate"/>
      </w:r>
      <w:r w:rsidR="00776452">
        <w:rPr>
          <w:noProof/>
        </w:rPr>
        <w:t>[39]</w:t>
      </w:r>
      <w:r>
        <w:fldChar w:fldCharType="end"/>
      </w:r>
      <w:r w:rsidRPr="00023A44">
        <w:t>. This ensures that the neurophysiological component of the project will be conducted with scientific rigor and without the need for external supervision or consultants</w:t>
      </w:r>
      <w:r w:rsidR="001E4D46" w:rsidRPr="00E45C93">
        <w:t>.</w:t>
      </w:r>
    </w:p>
    <w:p w14:paraId="59C26151" w14:textId="41CE9FF2" w:rsidR="001E4D46" w:rsidRPr="00E45C93" w:rsidRDefault="001E4D46" w:rsidP="005A425F">
      <w:pPr>
        <w:spacing w:line="360" w:lineRule="auto"/>
        <w:jc w:val="both"/>
      </w:pPr>
      <w:proofErr w:type="spellStart"/>
      <w:r w:rsidRPr="00E45C93">
        <w:t>Dr.</w:t>
      </w:r>
      <w:proofErr w:type="spellEnd"/>
      <w:r w:rsidRPr="00E45C93">
        <w:t xml:space="preserve"> Horovitz has extensive experience supervising graduate students and leading interdisciplinary research programs, which ensures that the proposed project will be executed with scientific rigor, administrative efficiency, and high-quality mentorship</w:t>
      </w:r>
      <w:r w:rsidR="00517D83" w:rsidRPr="00E45C93">
        <w:t>.</w:t>
      </w:r>
    </w:p>
    <w:p w14:paraId="44274845" w14:textId="77777777" w:rsidR="00517D83" w:rsidRPr="00E45C93" w:rsidRDefault="00517D83" w:rsidP="005A425F">
      <w:pPr>
        <w:pBdr>
          <w:top w:val="single" w:sz="4" w:space="1" w:color="auto"/>
          <w:bottom w:val="single" w:sz="4" w:space="1" w:color="auto"/>
        </w:pBdr>
        <w:spacing w:line="360" w:lineRule="auto"/>
        <w:jc w:val="both"/>
        <w:rPr>
          <w:b/>
          <w:bCs/>
        </w:rPr>
      </w:pPr>
      <w:r w:rsidRPr="00E45C93">
        <w:rPr>
          <w:b/>
          <w:bCs/>
        </w:rPr>
        <w:lastRenderedPageBreak/>
        <w:t>Expected Results and Potential Pitfalls</w:t>
      </w:r>
    </w:p>
    <w:p w14:paraId="320C6040" w14:textId="77777777" w:rsidR="00517D83" w:rsidRPr="00CA2EF9" w:rsidRDefault="00517D83" w:rsidP="005A425F">
      <w:pPr>
        <w:spacing w:line="360" w:lineRule="auto"/>
        <w:jc w:val="both"/>
        <w:rPr>
          <w:i/>
          <w:iCs/>
          <w:u w:val="single"/>
        </w:rPr>
      </w:pPr>
      <w:r w:rsidRPr="00CA2EF9">
        <w:rPr>
          <w:i/>
          <w:iCs/>
          <w:u w:val="single"/>
        </w:rPr>
        <w:t>Expected Results</w:t>
      </w:r>
    </w:p>
    <w:p w14:paraId="1FD54148" w14:textId="33A1D2B3" w:rsidR="00517D83" w:rsidRPr="00E45C93" w:rsidRDefault="00517D83" w:rsidP="005A425F">
      <w:pPr>
        <w:spacing w:line="360" w:lineRule="auto"/>
        <w:jc w:val="both"/>
      </w:pPr>
      <w:r w:rsidRPr="00E45C93">
        <w:t>The proposed study is expected to yield novel, integrative findings that will significantly advance our understanding of ON as a potential distinct clinical entity. Specifically, we anticipate the following outcomes:</w:t>
      </w:r>
    </w:p>
    <w:p w14:paraId="53362C50" w14:textId="77777777" w:rsidR="00517D83" w:rsidRPr="00E45C93" w:rsidRDefault="00517D83" w:rsidP="005A425F">
      <w:pPr>
        <w:numPr>
          <w:ilvl w:val="0"/>
          <w:numId w:val="18"/>
        </w:numPr>
        <w:spacing w:line="360" w:lineRule="auto"/>
        <w:jc w:val="both"/>
      </w:pPr>
      <w:r w:rsidRPr="00E45C93">
        <w:rPr>
          <w:b/>
          <w:bCs/>
        </w:rPr>
        <w:t>Psychological Profile</w:t>
      </w:r>
      <w:r w:rsidRPr="00E45C93">
        <w:t>: Individuals with ON will demonstrate significantly higher levels of perfectionism, anxiety, obsessive-compulsive traits, and cognitive rigidity compared to HO and healthy controls, and in patterns partially overlapping with AN.</w:t>
      </w:r>
    </w:p>
    <w:p w14:paraId="604EEC00" w14:textId="77777777" w:rsidR="00517D83" w:rsidRPr="00E45C93" w:rsidRDefault="00517D83" w:rsidP="005A425F">
      <w:pPr>
        <w:numPr>
          <w:ilvl w:val="0"/>
          <w:numId w:val="18"/>
        </w:numPr>
        <w:spacing w:line="360" w:lineRule="auto"/>
        <w:jc w:val="both"/>
      </w:pPr>
      <w:r w:rsidRPr="00E45C93">
        <w:rPr>
          <w:b/>
          <w:bCs/>
        </w:rPr>
        <w:t>Immunological Findings</w:t>
      </w:r>
      <w:r w:rsidRPr="00E45C93">
        <w:t>: ON participants will show elevated pro-inflammatory cytokines (e.g., IL-6, IL-1β, TNF-α) relative to HO and CG, though likely to a lesser extent than in AN, suggesting a gradient of immune activation across groups.</w:t>
      </w:r>
    </w:p>
    <w:p w14:paraId="4EC0AE44" w14:textId="3252EE09" w:rsidR="00517D83" w:rsidRPr="00E45C93" w:rsidRDefault="00517D83" w:rsidP="005A425F">
      <w:pPr>
        <w:numPr>
          <w:ilvl w:val="0"/>
          <w:numId w:val="18"/>
        </w:numPr>
        <w:spacing w:line="360" w:lineRule="auto"/>
        <w:jc w:val="both"/>
      </w:pPr>
      <w:r w:rsidRPr="00E45C93">
        <w:rPr>
          <w:b/>
          <w:bCs/>
        </w:rPr>
        <w:t>Microbiome Signatures</w:t>
      </w:r>
      <w:r w:rsidRPr="00E45C93">
        <w:t xml:space="preserve">: ON </w:t>
      </w:r>
      <w:proofErr w:type="gramStart"/>
      <w:r w:rsidRPr="00E45C93">
        <w:t>will</w:t>
      </w:r>
      <w:proofErr w:type="gramEnd"/>
      <w:r w:rsidRPr="00E45C93">
        <w:t xml:space="preserve"> be associated with reduced microbial diversity and specific pro-inflammatory taxa, reflecting restrictive dietary patterns. Distinct microbial profiles may emerge that differentiate ON from AN and HO.</w:t>
      </w:r>
    </w:p>
    <w:p w14:paraId="50EA409E" w14:textId="77777777" w:rsidR="00517D83" w:rsidRPr="00E45C93" w:rsidRDefault="00517D83" w:rsidP="005A425F">
      <w:pPr>
        <w:numPr>
          <w:ilvl w:val="0"/>
          <w:numId w:val="18"/>
        </w:numPr>
        <w:spacing w:line="360" w:lineRule="auto"/>
        <w:jc w:val="both"/>
      </w:pPr>
      <w:r w:rsidRPr="00E45C93">
        <w:rPr>
          <w:b/>
          <w:bCs/>
        </w:rPr>
        <w:t>Neurophysiological Markers</w:t>
      </w:r>
      <w:r w:rsidRPr="00E45C93">
        <w:t>: ERP components (N200, P300, LPP) will reflect altered attentional and emotional processing in ON, particularly in response to food and self-related stimuli, with patterns resembling but not identical to those observed in AN.</w:t>
      </w:r>
    </w:p>
    <w:p w14:paraId="1C6342E7" w14:textId="621CF059" w:rsidR="00517D83" w:rsidRPr="00E45C93" w:rsidRDefault="00517D83" w:rsidP="005A425F">
      <w:pPr>
        <w:numPr>
          <w:ilvl w:val="0"/>
          <w:numId w:val="18"/>
        </w:numPr>
        <w:spacing w:line="360" w:lineRule="auto"/>
        <w:jc w:val="both"/>
      </w:pPr>
      <w:r w:rsidRPr="00E45C93">
        <w:rPr>
          <w:b/>
          <w:bCs/>
        </w:rPr>
        <w:t>Longitudinal Predictors</w:t>
      </w:r>
      <w:r w:rsidRPr="00E45C93">
        <w:t>: Follow-up data will inform whether baseline biological and psychological markers predict persistence or remission of orthorexic behavio</w:t>
      </w:r>
      <w:r w:rsidR="00CB2257">
        <w:t>u</w:t>
      </w:r>
      <w:r w:rsidRPr="00E45C93">
        <w:t>rs, supporting potential prognostic tools.</w:t>
      </w:r>
    </w:p>
    <w:p w14:paraId="270A6685" w14:textId="77777777" w:rsidR="00517D83" w:rsidRPr="00CA2EF9" w:rsidRDefault="00517D83" w:rsidP="005A425F">
      <w:pPr>
        <w:spacing w:line="360" w:lineRule="auto"/>
        <w:jc w:val="both"/>
        <w:rPr>
          <w:i/>
          <w:iCs/>
          <w:u w:val="single"/>
        </w:rPr>
      </w:pPr>
      <w:r w:rsidRPr="00CA2EF9">
        <w:rPr>
          <w:i/>
          <w:iCs/>
          <w:u w:val="single"/>
        </w:rPr>
        <w:t>Potential Pitfalls and Alternative Strategies</w:t>
      </w:r>
    </w:p>
    <w:p w14:paraId="550BC48C" w14:textId="77777777" w:rsidR="00517D83" w:rsidRPr="00E45C93" w:rsidRDefault="00517D83" w:rsidP="005A425F">
      <w:pPr>
        <w:spacing w:line="360" w:lineRule="auto"/>
        <w:jc w:val="both"/>
      </w:pPr>
      <w:r w:rsidRPr="00E45C93">
        <w:t>While the project is grounded in robust preliminary data and relies on validated methods, several challenges may arise:</w:t>
      </w:r>
    </w:p>
    <w:p w14:paraId="36D68135" w14:textId="77777777" w:rsidR="000A60DD" w:rsidRDefault="00517D83" w:rsidP="005A425F">
      <w:pPr>
        <w:numPr>
          <w:ilvl w:val="0"/>
          <w:numId w:val="19"/>
        </w:numPr>
        <w:spacing w:line="360" w:lineRule="auto"/>
        <w:jc w:val="both"/>
      </w:pPr>
      <w:r w:rsidRPr="00E45C93">
        <w:rPr>
          <w:b/>
          <w:bCs/>
        </w:rPr>
        <w:t>Recruitment of Clinical Participants (AN group)</w:t>
      </w:r>
    </w:p>
    <w:p w14:paraId="3F800C98" w14:textId="6B4E5317" w:rsidR="00517D83" w:rsidRPr="00E45C93" w:rsidRDefault="00517D83" w:rsidP="005A425F">
      <w:pPr>
        <w:spacing w:line="360" w:lineRule="auto"/>
        <w:ind w:left="360"/>
        <w:jc w:val="both"/>
      </w:pPr>
      <w:r w:rsidRPr="00E45C93">
        <w:rPr>
          <w:i/>
          <w:iCs/>
        </w:rPr>
        <w:t>Pitfall</w:t>
      </w:r>
      <w:r w:rsidRPr="00E45C93">
        <w:t>: Difficulty in recruiting sufficient numbers of participants with a formal AN diagnosis.</w:t>
      </w:r>
      <w:r w:rsidRPr="00E45C93">
        <w:br/>
      </w:r>
      <w:r w:rsidRPr="00E45C93">
        <w:rPr>
          <w:i/>
          <w:iCs/>
        </w:rPr>
        <w:t>Mitigation</w:t>
      </w:r>
      <w:r w:rsidRPr="00E45C93">
        <w:t xml:space="preserve">: Collaborations with local eating disorder clinics and university counselling </w:t>
      </w:r>
      <w:proofErr w:type="spellStart"/>
      <w:r w:rsidRPr="00E45C93">
        <w:t>centers</w:t>
      </w:r>
      <w:proofErr w:type="spellEnd"/>
      <w:r w:rsidRPr="00E45C93">
        <w:t xml:space="preserve"> are already in place. Oversampling in the HO and ON groups will allow for adjusted comparisons if AN </w:t>
      </w:r>
      <w:proofErr w:type="gramStart"/>
      <w:r w:rsidRPr="00E45C93">
        <w:t>numbers</w:t>
      </w:r>
      <w:proofErr w:type="gramEnd"/>
      <w:r w:rsidRPr="00E45C93">
        <w:t xml:space="preserve"> are lower.</w:t>
      </w:r>
    </w:p>
    <w:p w14:paraId="01DDF548" w14:textId="77777777" w:rsidR="000A60DD" w:rsidRDefault="00517D83" w:rsidP="005A425F">
      <w:pPr>
        <w:numPr>
          <w:ilvl w:val="0"/>
          <w:numId w:val="19"/>
        </w:numPr>
        <w:spacing w:line="360" w:lineRule="auto"/>
      </w:pPr>
      <w:r w:rsidRPr="00E45C93">
        <w:rPr>
          <w:b/>
          <w:bCs/>
        </w:rPr>
        <w:t>EEG Data Quality</w:t>
      </w:r>
    </w:p>
    <w:p w14:paraId="2E7005FA" w14:textId="3104026E" w:rsidR="00517D83" w:rsidRPr="00E45C93" w:rsidRDefault="00517D83" w:rsidP="005A425F">
      <w:pPr>
        <w:spacing w:line="360" w:lineRule="auto"/>
        <w:ind w:left="360"/>
        <w:jc w:val="both"/>
      </w:pPr>
      <w:r w:rsidRPr="00E45C93">
        <w:rPr>
          <w:i/>
          <w:iCs/>
        </w:rPr>
        <w:t>Pitfall</w:t>
      </w:r>
      <w:r w:rsidRPr="00E45C93">
        <w:t xml:space="preserve">: EEG data may be affected by motion </w:t>
      </w:r>
      <w:proofErr w:type="spellStart"/>
      <w:r w:rsidRPr="00E45C93">
        <w:t>artifacts</w:t>
      </w:r>
      <w:proofErr w:type="spellEnd"/>
      <w:r w:rsidRPr="00E45C93">
        <w:t xml:space="preserve"> or participant fatigue.</w:t>
      </w:r>
      <w:r w:rsidRPr="00E45C93">
        <w:br/>
      </w:r>
      <w:r w:rsidRPr="00E45C93">
        <w:rPr>
          <w:i/>
          <w:iCs/>
        </w:rPr>
        <w:t>Mitigation</w:t>
      </w:r>
      <w:r w:rsidRPr="00E45C93">
        <w:t xml:space="preserve">: Extensive technician training, standardized protocols, and pre-screening for suitability will ensure data integrity. ICA and </w:t>
      </w:r>
      <w:proofErr w:type="spellStart"/>
      <w:r w:rsidRPr="00E45C93">
        <w:t>artifact</w:t>
      </w:r>
      <w:proofErr w:type="spellEnd"/>
      <w:r w:rsidRPr="00E45C93">
        <w:t xml:space="preserve"> correction methods will also help.</w:t>
      </w:r>
    </w:p>
    <w:p w14:paraId="6E4BE1D3" w14:textId="77777777" w:rsidR="000A60DD" w:rsidRDefault="00517D83" w:rsidP="005A425F">
      <w:pPr>
        <w:numPr>
          <w:ilvl w:val="0"/>
          <w:numId w:val="19"/>
        </w:numPr>
        <w:spacing w:line="360" w:lineRule="auto"/>
      </w:pPr>
      <w:r w:rsidRPr="00E45C93">
        <w:rPr>
          <w:b/>
          <w:bCs/>
        </w:rPr>
        <w:t>Variability in Microbiome Samples</w:t>
      </w:r>
    </w:p>
    <w:p w14:paraId="1AA20ABC" w14:textId="0C6DE08B" w:rsidR="00517D83" w:rsidRPr="00E45C93" w:rsidRDefault="00517D83" w:rsidP="005A425F">
      <w:pPr>
        <w:spacing w:line="360" w:lineRule="auto"/>
        <w:ind w:left="360"/>
        <w:jc w:val="both"/>
      </w:pPr>
      <w:r w:rsidRPr="00E45C93">
        <w:rPr>
          <w:i/>
          <w:iCs/>
        </w:rPr>
        <w:lastRenderedPageBreak/>
        <w:t>Pitfall</w:t>
      </w:r>
      <w:r w:rsidRPr="00E45C93">
        <w:t>: Dietary or environmental factors may introduce noise in microbiome data.</w:t>
      </w:r>
      <w:r w:rsidRPr="00E45C93">
        <w:br/>
      </w:r>
      <w:r w:rsidRPr="00E45C93">
        <w:rPr>
          <w:i/>
          <w:iCs/>
        </w:rPr>
        <w:t>Mitigation</w:t>
      </w:r>
      <w:r w:rsidRPr="00E45C93">
        <w:t>: Clear instructions for standardized stool sample collection, dietary recall control (FFQ), and exclusion of recent antibiotic users.</w:t>
      </w:r>
    </w:p>
    <w:p w14:paraId="1AAC9AEA" w14:textId="77777777" w:rsidR="000A60DD" w:rsidRDefault="00517D83" w:rsidP="005A425F">
      <w:pPr>
        <w:numPr>
          <w:ilvl w:val="0"/>
          <w:numId w:val="19"/>
        </w:numPr>
        <w:spacing w:line="360" w:lineRule="auto"/>
      </w:pPr>
      <w:r w:rsidRPr="00E45C93">
        <w:rPr>
          <w:b/>
          <w:bCs/>
        </w:rPr>
        <w:t>Cytokine Assay Sensitivity</w:t>
      </w:r>
    </w:p>
    <w:p w14:paraId="558289A4" w14:textId="16E99959" w:rsidR="00517D83" w:rsidRPr="00E45C93" w:rsidRDefault="00517D83" w:rsidP="005A425F">
      <w:pPr>
        <w:spacing w:line="360" w:lineRule="auto"/>
        <w:ind w:left="360"/>
        <w:jc w:val="both"/>
      </w:pPr>
      <w:r w:rsidRPr="00E45C93">
        <w:rPr>
          <w:i/>
          <w:iCs/>
        </w:rPr>
        <w:t>Pitfall</w:t>
      </w:r>
      <w:r w:rsidRPr="00E45C93">
        <w:t>: Low cytokine concentrations may challenge detection.</w:t>
      </w:r>
      <w:r w:rsidRPr="00E45C93">
        <w:br/>
      </w:r>
      <w:r w:rsidRPr="00E45C93">
        <w:rPr>
          <w:i/>
          <w:iCs/>
        </w:rPr>
        <w:t>Mitigation</w:t>
      </w:r>
      <w:r w:rsidRPr="00E45C93">
        <w:t xml:space="preserve">: </w:t>
      </w:r>
      <w:r w:rsidR="00106349" w:rsidRPr="00E45C93">
        <w:t>Using</w:t>
      </w:r>
      <w:r w:rsidRPr="00E45C93">
        <w:t xml:space="preserve"> highly sensitive multiplex bead-based assays (e.g., Luminex </w:t>
      </w:r>
      <w:proofErr w:type="spellStart"/>
      <w:r w:rsidRPr="00E45C93">
        <w:t>xMAP</w:t>
      </w:r>
      <w:proofErr w:type="spellEnd"/>
      <w:r w:rsidRPr="00E45C93">
        <w:t>) and batch processing</w:t>
      </w:r>
      <w:r w:rsidR="00106349" w:rsidRPr="00E45C93">
        <w:t xml:space="preserve"> to minimize variability</w:t>
      </w:r>
      <w:r w:rsidRPr="00E45C93">
        <w:t>.</w:t>
      </w:r>
    </w:p>
    <w:p w14:paraId="24BAC31A" w14:textId="77777777" w:rsidR="000A60DD" w:rsidRDefault="00517D83" w:rsidP="005A425F">
      <w:pPr>
        <w:numPr>
          <w:ilvl w:val="0"/>
          <w:numId w:val="19"/>
        </w:numPr>
        <w:spacing w:line="360" w:lineRule="auto"/>
      </w:pPr>
      <w:r w:rsidRPr="00E45C93">
        <w:rPr>
          <w:b/>
          <w:bCs/>
        </w:rPr>
        <w:t>Interpretation of Multimodal Data</w:t>
      </w:r>
    </w:p>
    <w:p w14:paraId="0BE72D07" w14:textId="59BF8E16" w:rsidR="00517D83" w:rsidRPr="00E45C93" w:rsidRDefault="00517D83" w:rsidP="005A425F">
      <w:pPr>
        <w:spacing w:line="360" w:lineRule="auto"/>
        <w:ind w:left="360"/>
        <w:jc w:val="both"/>
      </w:pPr>
      <w:r w:rsidRPr="00E45C93">
        <w:rPr>
          <w:i/>
          <w:iCs/>
        </w:rPr>
        <w:t>Pitfall</w:t>
      </w:r>
      <w:r w:rsidRPr="00E45C93">
        <w:t>: High dimensionality and complexity may limit clear interpretation.</w:t>
      </w:r>
      <w:r w:rsidRPr="00E45C93">
        <w:br/>
      </w:r>
      <w:r w:rsidRPr="00E45C93">
        <w:rPr>
          <w:i/>
          <w:iCs/>
        </w:rPr>
        <w:t>Mitigation</w:t>
      </w:r>
      <w:r w:rsidRPr="00E45C93">
        <w:t>: Expert consultation in biostatistics</w:t>
      </w:r>
      <w:r w:rsidR="00106349" w:rsidRPr="00E45C93">
        <w:t>,</w:t>
      </w:r>
      <w:r w:rsidRPr="00E45C93">
        <w:t xml:space="preserve"> dimensionality reduction</w:t>
      </w:r>
      <w:r w:rsidR="00106349" w:rsidRPr="00E45C93">
        <w:t>,</w:t>
      </w:r>
      <w:r w:rsidRPr="00E45C93">
        <w:t xml:space="preserve"> and unsupervised clustering will support robust, interpretable findings.</w:t>
      </w:r>
    </w:p>
    <w:p w14:paraId="7D0AB26D" w14:textId="77777777" w:rsidR="000A60DD" w:rsidRDefault="00517D83" w:rsidP="005A425F">
      <w:pPr>
        <w:numPr>
          <w:ilvl w:val="0"/>
          <w:numId w:val="19"/>
        </w:numPr>
        <w:spacing w:line="360" w:lineRule="auto"/>
      </w:pPr>
      <w:r w:rsidRPr="00E45C93">
        <w:rPr>
          <w:b/>
          <w:bCs/>
        </w:rPr>
        <w:t>Participant Attrition in Follow-Up</w:t>
      </w:r>
    </w:p>
    <w:p w14:paraId="3EB70DDB" w14:textId="1EB76782" w:rsidR="00517D83" w:rsidRDefault="00517D83" w:rsidP="005A425F">
      <w:pPr>
        <w:spacing w:line="360" w:lineRule="auto"/>
        <w:ind w:left="360"/>
        <w:jc w:val="both"/>
      </w:pPr>
      <w:r w:rsidRPr="00E45C93">
        <w:rPr>
          <w:i/>
          <w:iCs/>
        </w:rPr>
        <w:t>Pitfall</w:t>
      </w:r>
      <w:r w:rsidRPr="00E45C93">
        <w:t>: Loss of participants at the 12-month follow-up may reduce statistical power.</w:t>
      </w:r>
      <w:r w:rsidRPr="00E45C93">
        <w:br/>
      </w:r>
      <w:r w:rsidRPr="00E45C93">
        <w:rPr>
          <w:i/>
          <w:iCs/>
        </w:rPr>
        <w:t>Mitigation</w:t>
      </w:r>
      <w:r w:rsidRPr="00E45C93">
        <w:t>: Over-recruitment and use of participant engagement strategies (e.g., reminders, flexible scheduling, incentives) to maximize retention.</w:t>
      </w:r>
    </w:p>
    <w:p w14:paraId="6F323F07" w14:textId="77777777" w:rsidR="000A60DD" w:rsidRDefault="0006078F" w:rsidP="005A425F">
      <w:pPr>
        <w:numPr>
          <w:ilvl w:val="0"/>
          <w:numId w:val="19"/>
        </w:numPr>
        <w:spacing w:line="360" w:lineRule="auto"/>
      </w:pPr>
      <w:r w:rsidRPr="0006078F">
        <w:rPr>
          <w:b/>
          <w:bCs/>
        </w:rPr>
        <w:t>Analytic Overreach and Scope Creep</w:t>
      </w:r>
    </w:p>
    <w:p w14:paraId="7542AC5A" w14:textId="77777777" w:rsidR="00F83279" w:rsidRDefault="0006078F" w:rsidP="005A425F">
      <w:pPr>
        <w:spacing w:line="360" w:lineRule="auto"/>
        <w:ind w:left="360"/>
        <w:jc w:val="both"/>
      </w:pPr>
      <w:r w:rsidRPr="0006078F">
        <w:rPr>
          <w:i/>
          <w:iCs/>
        </w:rPr>
        <w:t>Pitfall:</w:t>
      </w:r>
      <w:r>
        <w:t xml:space="preserve"> </w:t>
      </w:r>
      <w:r w:rsidRPr="0006078F">
        <w:t>Integrating four high-dimensional data modalities in a single project risks overextension and diluted interpretability</w:t>
      </w:r>
      <w:r>
        <w:t>.</w:t>
      </w:r>
    </w:p>
    <w:p w14:paraId="6A9808B7" w14:textId="350AAAAE" w:rsidR="0006078F" w:rsidRDefault="0006078F" w:rsidP="005A425F">
      <w:pPr>
        <w:spacing w:line="360" w:lineRule="auto"/>
        <w:ind w:left="360"/>
        <w:jc w:val="both"/>
      </w:pPr>
      <w:r w:rsidRPr="0006078F">
        <w:rPr>
          <w:i/>
          <w:iCs/>
        </w:rPr>
        <w:t>Mitigation:</w:t>
      </w:r>
      <w:r>
        <w:t xml:space="preserve"> T</w:t>
      </w:r>
      <w:r w:rsidRPr="0006078F">
        <w:t xml:space="preserve">he project has been refocused around </w:t>
      </w:r>
      <w:r w:rsidR="000F0A74">
        <w:t>four</w:t>
      </w:r>
      <w:r w:rsidRPr="0006078F">
        <w:t xml:space="preserve"> core domains (psychology, immunology, EEG</w:t>
      </w:r>
      <w:r w:rsidR="000F0A74">
        <w:t>, microbiome</w:t>
      </w:r>
      <w:r w:rsidRPr="0006078F">
        <w:t xml:space="preserve">). </w:t>
      </w:r>
      <w:r w:rsidR="000F0A74">
        <w:t xml:space="preserve">The </w:t>
      </w:r>
      <w:r w:rsidR="000A60DD">
        <w:t xml:space="preserve">data will </w:t>
      </w:r>
      <w:r w:rsidR="00051E72">
        <w:t xml:space="preserve">only </w:t>
      </w:r>
      <w:r w:rsidR="000A60DD">
        <w:t>be integrated</w:t>
      </w:r>
      <w:r w:rsidR="000F0A74">
        <w:t xml:space="preserve"> into a model</w:t>
      </w:r>
      <w:r w:rsidRPr="0006078F">
        <w:t xml:space="preserve"> when data quality and statistical power allow</w:t>
      </w:r>
      <w:r>
        <w:t>.</w:t>
      </w:r>
    </w:p>
    <w:p w14:paraId="7C38B32A" w14:textId="77777777" w:rsidR="00F83279" w:rsidRDefault="00F83279" w:rsidP="005A425F">
      <w:pPr>
        <w:spacing w:line="360" w:lineRule="auto"/>
        <w:jc w:val="both"/>
      </w:pPr>
    </w:p>
    <w:p w14:paraId="7707FF33" w14:textId="19DADC0E" w:rsidR="000A60DD" w:rsidRDefault="00051E72" w:rsidP="005A425F">
      <w:pPr>
        <w:spacing w:line="360" w:lineRule="auto"/>
        <w:jc w:val="both"/>
      </w:pPr>
      <w:r w:rsidRPr="00051E72">
        <w:t>All data model</w:t>
      </w:r>
      <w:r w:rsidR="00B634F7">
        <w:t>l</w:t>
      </w:r>
      <w:r w:rsidRPr="00051E72">
        <w:t>ing decisions—including exclusion thresholds, feature selection, and analytic criteria—will be transparently documented in a public pre-registration. Secondary outcomes will be excluded from primary publication or integration models if effect sizes fall below Cohen’s d = 0.3 or statistical power is &lt; 0.70. This ensures analytical transparency and guards against confirmatory bias</w:t>
      </w:r>
      <w:r>
        <w:t xml:space="preserve">. </w:t>
      </w:r>
    </w:p>
    <w:p w14:paraId="11715AA7" w14:textId="57551B5F" w:rsidR="00FF5C02" w:rsidRPr="00E45C93" w:rsidRDefault="003401CA" w:rsidP="005A425F">
      <w:pPr>
        <w:spacing w:line="360" w:lineRule="auto"/>
        <w:jc w:val="both"/>
      </w:pPr>
      <w:r w:rsidRPr="003401CA">
        <w:t>Given the complexity and resource demands, microbiome results will be treated as hypothesis-generating and may be omitted from primary outcome publications pending data quality and power.</w:t>
      </w:r>
      <w:r>
        <w:t xml:space="preserve"> </w:t>
      </w:r>
      <w:r w:rsidR="00517D83" w:rsidRPr="00E45C93">
        <w:t>By proactively addressing these potential obstacles and integrating flexible, validated data collection and analysis strategies, the project is well-positioned to achieve its objectives and make a meaningful contribution to psychiatric and nutritional science.</w:t>
      </w:r>
    </w:p>
    <w:p w14:paraId="4984BAB1" w14:textId="225F6F51" w:rsidR="00C2003C" w:rsidRDefault="00C2003C" w:rsidP="005A425F">
      <w:pPr>
        <w:pBdr>
          <w:top w:val="single" w:sz="4" w:space="1" w:color="auto"/>
          <w:bottom w:val="single" w:sz="4" w:space="1" w:color="auto"/>
        </w:pBdr>
        <w:spacing w:line="360" w:lineRule="auto"/>
        <w:jc w:val="both"/>
        <w:rPr>
          <w:b/>
          <w:bCs/>
        </w:rPr>
      </w:pPr>
      <w:r>
        <w:rPr>
          <w:b/>
          <w:bCs/>
        </w:rPr>
        <w:t>Work plan</w:t>
      </w:r>
    </w:p>
    <w:p w14:paraId="401A6080" w14:textId="15A56646" w:rsidR="00C82E58" w:rsidRPr="00C82E58" w:rsidRDefault="00C82E58" w:rsidP="005A425F">
      <w:pPr>
        <w:spacing w:line="360" w:lineRule="auto"/>
        <w:jc w:val="both"/>
      </w:pPr>
      <w:r w:rsidRPr="00C82E58">
        <w:lastRenderedPageBreak/>
        <w:t xml:space="preserve">The project is structured over </w:t>
      </w:r>
      <w:r>
        <w:t>five years</w:t>
      </w:r>
      <w:r w:rsidRPr="00C82E58">
        <w:t xml:space="preserve"> and is divided into clearly defined and interdependent phases. Each phase aligns with the study's objectives and methodological components, including participant recruitment, multimodal data collection (psychological, immunological, microbiome, EEG/ERP), longitudinal follow-up, and comprehensive data analysis.</w:t>
      </w:r>
      <w:r w:rsidR="009530A0">
        <w:t xml:space="preserve"> </w:t>
      </w:r>
      <w:r w:rsidR="000F0A74">
        <w:t xml:space="preserve"> </w:t>
      </w:r>
      <w:r w:rsidRPr="00C82E58">
        <w:t>The timeline below outlines the major tasks and milestones for each project year. Tasks will be carried out by a dedicated interdisciplinary team, including the PI, graduate students, and trained research technicians. Parallel data collection and analysis streams will be implemented to maximize efficiency and ensure timely progress</w:t>
      </w:r>
      <w:r>
        <w:t xml:space="preserve"> (please see Fig</w:t>
      </w:r>
      <w:r w:rsidR="00FF61D0">
        <w:t>ure</w:t>
      </w:r>
      <w:r>
        <w:t xml:space="preserve"> </w:t>
      </w:r>
      <w:r w:rsidR="00FF61D0">
        <w:t>2</w:t>
      </w:r>
      <w:r>
        <w:t>).</w:t>
      </w:r>
    </w:p>
    <w:p w14:paraId="423E29FA" w14:textId="77777777" w:rsidR="00C2003C" w:rsidRPr="00C2003C" w:rsidRDefault="00C2003C" w:rsidP="005A425F">
      <w:pPr>
        <w:spacing w:line="36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C82E58" w14:paraId="2C9970BA" w14:textId="77777777" w:rsidTr="00173F69">
        <w:tc>
          <w:tcPr>
            <w:tcW w:w="10450" w:type="dxa"/>
          </w:tcPr>
          <w:p w14:paraId="7F3B9A3F" w14:textId="390EA345" w:rsidR="00C82E58" w:rsidRDefault="00173F69" w:rsidP="005A425F">
            <w:pPr>
              <w:spacing w:line="360" w:lineRule="auto"/>
              <w:jc w:val="center"/>
              <w:rPr>
                <w:b/>
                <w:bCs/>
              </w:rPr>
            </w:pPr>
            <w:r>
              <w:rPr>
                <w:noProof/>
              </w:rPr>
              <w:drawing>
                <wp:inline distT="0" distB="0" distL="0" distR="0" wp14:anchorId="019A722D" wp14:editId="29FE552D">
                  <wp:extent cx="6353033" cy="2159635"/>
                  <wp:effectExtent l="0" t="0" r="0"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C82E58" w14:paraId="5FA67CE7" w14:textId="77777777" w:rsidTr="00173F69">
        <w:tc>
          <w:tcPr>
            <w:tcW w:w="10450" w:type="dxa"/>
          </w:tcPr>
          <w:p w14:paraId="15866391" w14:textId="7C2C49DE" w:rsidR="00C82E58" w:rsidRPr="00FF61D0" w:rsidRDefault="00173F69" w:rsidP="005A425F">
            <w:pPr>
              <w:spacing w:line="360" w:lineRule="auto"/>
              <w:jc w:val="both"/>
              <w:rPr>
                <w:sz w:val="20"/>
                <w:szCs w:val="20"/>
              </w:rPr>
            </w:pPr>
            <w:r w:rsidRPr="00173F69">
              <w:rPr>
                <w:b/>
                <w:bCs/>
                <w:sz w:val="20"/>
                <w:szCs w:val="20"/>
              </w:rPr>
              <w:t>Fig</w:t>
            </w:r>
            <w:r w:rsidR="00FF61D0" w:rsidRPr="00FF61D0">
              <w:rPr>
                <w:b/>
                <w:bCs/>
                <w:sz w:val="20"/>
                <w:szCs w:val="20"/>
              </w:rPr>
              <w:t>ure</w:t>
            </w:r>
            <w:r w:rsidRPr="00173F69">
              <w:rPr>
                <w:b/>
                <w:bCs/>
                <w:sz w:val="20"/>
                <w:szCs w:val="20"/>
              </w:rPr>
              <w:t xml:space="preserve"> </w:t>
            </w:r>
            <w:r w:rsidR="00FF61D0" w:rsidRPr="00FF61D0">
              <w:rPr>
                <w:b/>
                <w:bCs/>
                <w:sz w:val="20"/>
                <w:szCs w:val="20"/>
              </w:rPr>
              <w:t>2</w:t>
            </w:r>
            <w:r w:rsidRPr="00173F69">
              <w:rPr>
                <w:b/>
                <w:bCs/>
                <w:sz w:val="20"/>
                <w:szCs w:val="20"/>
              </w:rPr>
              <w:t xml:space="preserve">. </w:t>
            </w:r>
            <w:r w:rsidRPr="00173F69">
              <w:rPr>
                <w:sz w:val="20"/>
                <w:szCs w:val="20"/>
              </w:rPr>
              <w:t>Work Plan Timeline</w:t>
            </w:r>
            <w:r w:rsidRPr="00FF61D0">
              <w:rPr>
                <w:sz w:val="20"/>
                <w:szCs w:val="20"/>
              </w:rPr>
              <w:t xml:space="preserve"> - The Gantt chart displays the scheduled timeline for each project phase across a 60-month period. Bars represent the duration (in months) of key research activities, including protocol finalization, data collection, follow-up assessments, data analysis, and dissemination. The chart facilitates visual tracking of task overlap, sequence, and duration, supporting efficient project planning and execution</w:t>
            </w:r>
          </w:p>
        </w:tc>
      </w:tr>
    </w:tbl>
    <w:p w14:paraId="6C8C915A" w14:textId="651F6EEA" w:rsidR="00106349" w:rsidRPr="00E45C93" w:rsidRDefault="00106349" w:rsidP="005A425F">
      <w:pPr>
        <w:pBdr>
          <w:top w:val="single" w:sz="4" w:space="1" w:color="auto"/>
          <w:bottom w:val="single" w:sz="4" w:space="1" w:color="auto"/>
        </w:pBdr>
        <w:spacing w:line="360" w:lineRule="auto"/>
        <w:jc w:val="both"/>
        <w:rPr>
          <w:b/>
          <w:bCs/>
        </w:rPr>
      </w:pPr>
      <w:r w:rsidRPr="00E45C93">
        <w:rPr>
          <w:b/>
          <w:bCs/>
        </w:rPr>
        <w:t>Research Timeline and Phases</w:t>
      </w:r>
    </w:p>
    <w:p w14:paraId="67B108DA" w14:textId="31D806C0" w:rsidR="00106349" w:rsidRPr="00E45C93" w:rsidRDefault="00106349" w:rsidP="005A425F">
      <w:pPr>
        <w:spacing w:line="360" w:lineRule="auto"/>
        <w:jc w:val="both"/>
      </w:pPr>
      <w:r w:rsidRPr="00E45C93">
        <w:t>The proposed project is structured across five years, each year dedicated to clearly defined and interdependent stages. The timeline reflects the methodological complexity of the study, including participant recruitment, multimodal data collection (psychological, immunological, microbiome, and EEG/ERP), longitudinal follow-up, data pre-processing, statistical analysis, and dissemination of results.</w:t>
      </w:r>
    </w:p>
    <w:p w14:paraId="0DAD876A" w14:textId="4A1AD2D8" w:rsidR="00106349" w:rsidRDefault="00106349" w:rsidP="005A425F">
      <w:pPr>
        <w:spacing w:line="360" w:lineRule="auto"/>
        <w:jc w:val="both"/>
      </w:pPr>
      <w:r w:rsidRPr="00E45C93">
        <w:t xml:space="preserve">A core team, including the PI, graduate students, trained technicians, and clinical collaborators, will ensure the timely execution of each phase. Parallel processing of biological and EEG data will be implemented to optimize efficiency. </w:t>
      </w:r>
      <w:r w:rsidR="0087213C" w:rsidRPr="0087213C">
        <w:t>The following table presents specific milestones and deliverables at each project stage, offering transparency into when key datasets, analyses, and outputs will be completed</w:t>
      </w:r>
      <w:r w:rsidR="00944AE6">
        <w:t xml:space="preserve"> (see Table 1)</w:t>
      </w:r>
      <w:r w:rsidRPr="00E45C93">
        <w:t>.</w:t>
      </w:r>
    </w:p>
    <w:p w14:paraId="0217726D" w14:textId="77777777" w:rsidR="008A1A59" w:rsidRPr="00E45C93" w:rsidRDefault="008A1A59" w:rsidP="005A425F">
      <w:pPr>
        <w:spacing w:line="360" w:lineRule="auto"/>
        <w:jc w:val="both"/>
      </w:pPr>
    </w:p>
    <w:tbl>
      <w:tblPr>
        <w:tblStyle w:val="TableGrid"/>
        <w:tblW w:w="5000" w:type="pct"/>
        <w:tblLook w:val="04A0" w:firstRow="1" w:lastRow="0" w:firstColumn="1" w:lastColumn="0" w:noHBand="0" w:noVBand="1"/>
      </w:tblPr>
      <w:tblGrid>
        <w:gridCol w:w="1000"/>
        <w:gridCol w:w="999"/>
        <w:gridCol w:w="2375"/>
        <w:gridCol w:w="5248"/>
      </w:tblGrid>
      <w:tr w:rsidR="00446511" w:rsidRPr="00E45C93" w14:paraId="1B9245DE" w14:textId="77777777" w:rsidTr="00E9360F">
        <w:tc>
          <w:tcPr>
            <w:tcW w:w="520" w:type="pct"/>
            <w:hideMark/>
          </w:tcPr>
          <w:p w14:paraId="14732A20" w14:textId="77777777" w:rsidR="00446511" w:rsidRPr="00E45C93" w:rsidRDefault="00446511" w:rsidP="005A425F">
            <w:pPr>
              <w:spacing w:line="360" w:lineRule="auto"/>
              <w:jc w:val="center"/>
              <w:rPr>
                <w:b/>
                <w:bCs/>
                <w:sz w:val="20"/>
                <w:szCs w:val="20"/>
              </w:rPr>
            </w:pPr>
            <w:r w:rsidRPr="00E45C93">
              <w:rPr>
                <w:b/>
                <w:bCs/>
                <w:sz w:val="20"/>
                <w:szCs w:val="20"/>
              </w:rPr>
              <w:lastRenderedPageBreak/>
              <w:t>Year</w:t>
            </w:r>
          </w:p>
        </w:tc>
        <w:tc>
          <w:tcPr>
            <w:tcW w:w="519" w:type="pct"/>
            <w:hideMark/>
          </w:tcPr>
          <w:p w14:paraId="2123C8BF" w14:textId="77777777" w:rsidR="00446511" w:rsidRPr="00E45C93" w:rsidRDefault="00446511" w:rsidP="005A425F">
            <w:pPr>
              <w:spacing w:line="360" w:lineRule="auto"/>
              <w:jc w:val="center"/>
              <w:rPr>
                <w:b/>
                <w:bCs/>
                <w:sz w:val="20"/>
                <w:szCs w:val="20"/>
              </w:rPr>
            </w:pPr>
            <w:r w:rsidRPr="00E45C93">
              <w:rPr>
                <w:b/>
                <w:bCs/>
                <w:sz w:val="20"/>
                <w:szCs w:val="20"/>
              </w:rPr>
              <w:t>Months</w:t>
            </w:r>
          </w:p>
        </w:tc>
        <w:tc>
          <w:tcPr>
            <w:tcW w:w="1234" w:type="pct"/>
            <w:hideMark/>
          </w:tcPr>
          <w:p w14:paraId="74D906EC" w14:textId="77777777" w:rsidR="00446511" w:rsidRPr="00E45C93" w:rsidRDefault="00446511" w:rsidP="005A425F">
            <w:pPr>
              <w:spacing w:line="360" w:lineRule="auto"/>
              <w:jc w:val="center"/>
              <w:rPr>
                <w:b/>
                <w:bCs/>
                <w:sz w:val="20"/>
                <w:szCs w:val="20"/>
              </w:rPr>
            </w:pPr>
            <w:r w:rsidRPr="00E45C93">
              <w:rPr>
                <w:b/>
                <w:bCs/>
                <w:sz w:val="20"/>
                <w:szCs w:val="20"/>
              </w:rPr>
              <w:t>Phase</w:t>
            </w:r>
          </w:p>
        </w:tc>
        <w:tc>
          <w:tcPr>
            <w:tcW w:w="2727" w:type="pct"/>
            <w:hideMark/>
          </w:tcPr>
          <w:p w14:paraId="44EB8D23" w14:textId="77777777" w:rsidR="00446511" w:rsidRPr="00E45C93" w:rsidRDefault="00446511" w:rsidP="005A425F">
            <w:pPr>
              <w:spacing w:line="360" w:lineRule="auto"/>
              <w:jc w:val="center"/>
              <w:rPr>
                <w:b/>
                <w:bCs/>
                <w:sz w:val="20"/>
                <w:szCs w:val="20"/>
              </w:rPr>
            </w:pPr>
            <w:r w:rsidRPr="00E45C93">
              <w:rPr>
                <w:b/>
                <w:bCs/>
                <w:sz w:val="20"/>
                <w:szCs w:val="20"/>
              </w:rPr>
              <w:t>Activities</w:t>
            </w:r>
          </w:p>
        </w:tc>
      </w:tr>
      <w:tr w:rsidR="00446511" w:rsidRPr="00E45C93" w14:paraId="35E8F810" w14:textId="77777777" w:rsidTr="00E9360F">
        <w:tc>
          <w:tcPr>
            <w:tcW w:w="520" w:type="pct"/>
            <w:hideMark/>
          </w:tcPr>
          <w:p w14:paraId="558F1A6E" w14:textId="77777777" w:rsidR="00446511" w:rsidRPr="00E45C93" w:rsidRDefault="00446511" w:rsidP="005A425F">
            <w:pPr>
              <w:spacing w:line="360" w:lineRule="auto"/>
              <w:rPr>
                <w:sz w:val="20"/>
                <w:szCs w:val="20"/>
              </w:rPr>
            </w:pPr>
            <w:r w:rsidRPr="00E45C93">
              <w:rPr>
                <w:sz w:val="20"/>
                <w:szCs w:val="20"/>
              </w:rPr>
              <w:t>Year 1</w:t>
            </w:r>
          </w:p>
        </w:tc>
        <w:tc>
          <w:tcPr>
            <w:tcW w:w="519" w:type="pct"/>
            <w:hideMark/>
          </w:tcPr>
          <w:p w14:paraId="6DF5E46C" w14:textId="77777777" w:rsidR="00446511" w:rsidRPr="00E45C93" w:rsidRDefault="00446511" w:rsidP="005A425F">
            <w:pPr>
              <w:spacing w:line="360" w:lineRule="auto"/>
              <w:rPr>
                <w:sz w:val="20"/>
                <w:szCs w:val="20"/>
              </w:rPr>
            </w:pPr>
            <w:r w:rsidRPr="00E45C93">
              <w:rPr>
                <w:sz w:val="20"/>
                <w:szCs w:val="20"/>
              </w:rPr>
              <w:t>1–6</w:t>
            </w:r>
          </w:p>
        </w:tc>
        <w:tc>
          <w:tcPr>
            <w:tcW w:w="1234" w:type="pct"/>
            <w:hideMark/>
          </w:tcPr>
          <w:p w14:paraId="0D48E3BF" w14:textId="77777777" w:rsidR="00446511" w:rsidRPr="00E45C93" w:rsidRDefault="00446511" w:rsidP="005A425F">
            <w:pPr>
              <w:spacing w:line="360" w:lineRule="auto"/>
              <w:rPr>
                <w:sz w:val="20"/>
                <w:szCs w:val="20"/>
              </w:rPr>
            </w:pPr>
            <w:r w:rsidRPr="00E45C93">
              <w:rPr>
                <w:sz w:val="20"/>
                <w:szCs w:val="20"/>
              </w:rPr>
              <w:t>Preparation</w:t>
            </w:r>
          </w:p>
        </w:tc>
        <w:tc>
          <w:tcPr>
            <w:tcW w:w="2727" w:type="pct"/>
            <w:hideMark/>
          </w:tcPr>
          <w:p w14:paraId="4055C811" w14:textId="1E81170F" w:rsidR="00446511" w:rsidRPr="00E45C93" w:rsidRDefault="002E3C69" w:rsidP="005A425F">
            <w:pPr>
              <w:spacing w:line="360" w:lineRule="auto"/>
              <w:rPr>
                <w:sz w:val="20"/>
                <w:szCs w:val="20"/>
              </w:rPr>
            </w:pPr>
            <w:r w:rsidRPr="002E3C69">
              <w:rPr>
                <w:sz w:val="20"/>
                <w:szCs w:val="20"/>
              </w:rPr>
              <w:t>Finalize study protocol, ethics approval obtained, EEG system tested and calibrated</w:t>
            </w:r>
          </w:p>
        </w:tc>
      </w:tr>
      <w:tr w:rsidR="00446511" w:rsidRPr="00E45C93" w14:paraId="1A164B46" w14:textId="77777777" w:rsidTr="00E9360F">
        <w:tc>
          <w:tcPr>
            <w:tcW w:w="520" w:type="pct"/>
            <w:hideMark/>
          </w:tcPr>
          <w:p w14:paraId="45814704" w14:textId="77777777" w:rsidR="00446511" w:rsidRPr="00E45C93" w:rsidRDefault="00446511" w:rsidP="005A425F">
            <w:pPr>
              <w:spacing w:line="360" w:lineRule="auto"/>
              <w:rPr>
                <w:sz w:val="20"/>
                <w:szCs w:val="20"/>
              </w:rPr>
            </w:pPr>
          </w:p>
        </w:tc>
        <w:tc>
          <w:tcPr>
            <w:tcW w:w="519" w:type="pct"/>
            <w:hideMark/>
          </w:tcPr>
          <w:p w14:paraId="0B8E500E" w14:textId="77777777" w:rsidR="00446511" w:rsidRPr="00E45C93" w:rsidRDefault="00446511" w:rsidP="005A425F">
            <w:pPr>
              <w:spacing w:line="360" w:lineRule="auto"/>
              <w:rPr>
                <w:sz w:val="20"/>
                <w:szCs w:val="20"/>
              </w:rPr>
            </w:pPr>
            <w:r w:rsidRPr="00E45C93">
              <w:rPr>
                <w:sz w:val="20"/>
                <w:szCs w:val="20"/>
              </w:rPr>
              <w:t>7–12</w:t>
            </w:r>
          </w:p>
        </w:tc>
        <w:tc>
          <w:tcPr>
            <w:tcW w:w="1234" w:type="pct"/>
            <w:hideMark/>
          </w:tcPr>
          <w:p w14:paraId="6DA1D644" w14:textId="77777777" w:rsidR="00446511" w:rsidRPr="00E45C93" w:rsidRDefault="00446511" w:rsidP="005A425F">
            <w:pPr>
              <w:spacing w:line="360" w:lineRule="auto"/>
              <w:rPr>
                <w:sz w:val="20"/>
                <w:szCs w:val="20"/>
              </w:rPr>
            </w:pPr>
            <w:r w:rsidRPr="00E45C93">
              <w:rPr>
                <w:sz w:val="20"/>
                <w:szCs w:val="20"/>
              </w:rPr>
              <w:t>Extended Pilot</w:t>
            </w:r>
          </w:p>
        </w:tc>
        <w:tc>
          <w:tcPr>
            <w:tcW w:w="2727" w:type="pct"/>
            <w:hideMark/>
          </w:tcPr>
          <w:p w14:paraId="74A5DCD8" w14:textId="68E07C16" w:rsidR="00446511" w:rsidRPr="00E45C93" w:rsidRDefault="002E3C69" w:rsidP="005A425F">
            <w:pPr>
              <w:spacing w:line="360" w:lineRule="auto"/>
              <w:rPr>
                <w:sz w:val="20"/>
                <w:szCs w:val="20"/>
              </w:rPr>
            </w:pPr>
            <w:r w:rsidRPr="002E3C69">
              <w:rPr>
                <w:sz w:val="20"/>
                <w:szCs w:val="20"/>
              </w:rPr>
              <w:t>Pilot complete for 20 participants (EEG, cytokine, microbiome, psychometrics); finalize ERP paradigm</w:t>
            </w:r>
          </w:p>
        </w:tc>
      </w:tr>
      <w:tr w:rsidR="00446511" w:rsidRPr="00E45C93" w14:paraId="199054DD" w14:textId="77777777" w:rsidTr="00E9360F">
        <w:tc>
          <w:tcPr>
            <w:tcW w:w="520" w:type="pct"/>
            <w:hideMark/>
          </w:tcPr>
          <w:p w14:paraId="64527932" w14:textId="77777777" w:rsidR="00446511" w:rsidRPr="00E45C93" w:rsidRDefault="00446511" w:rsidP="005A425F">
            <w:pPr>
              <w:spacing w:line="360" w:lineRule="auto"/>
              <w:rPr>
                <w:sz w:val="20"/>
                <w:szCs w:val="20"/>
              </w:rPr>
            </w:pPr>
            <w:r w:rsidRPr="00E45C93">
              <w:rPr>
                <w:sz w:val="20"/>
                <w:szCs w:val="20"/>
              </w:rPr>
              <w:t>Year 2</w:t>
            </w:r>
          </w:p>
        </w:tc>
        <w:tc>
          <w:tcPr>
            <w:tcW w:w="519" w:type="pct"/>
            <w:hideMark/>
          </w:tcPr>
          <w:p w14:paraId="4B0058EB" w14:textId="77777777" w:rsidR="00446511" w:rsidRPr="00E45C93" w:rsidRDefault="00446511" w:rsidP="005A425F">
            <w:pPr>
              <w:spacing w:line="360" w:lineRule="auto"/>
              <w:rPr>
                <w:sz w:val="20"/>
                <w:szCs w:val="20"/>
              </w:rPr>
            </w:pPr>
            <w:r w:rsidRPr="00E45C93">
              <w:rPr>
                <w:sz w:val="20"/>
                <w:szCs w:val="20"/>
              </w:rPr>
              <w:t>1–12</w:t>
            </w:r>
          </w:p>
        </w:tc>
        <w:tc>
          <w:tcPr>
            <w:tcW w:w="1234" w:type="pct"/>
            <w:hideMark/>
          </w:tcPr>
          <w:p w14:paraId="675FFC78" w14:textId="77777777" w:rsidR="00446511" w:rsidRPr="00E45C93" w:rsidRDefault="00446511" w:rsidP="005A425F">
            <w:pPr>
              <w:spacing w:line="360" w:lineRule="auto"/>
              <w:rPr>
                <w:sz w:val="20"/>
                <w:szCs w:val="20"/>
              </w:rPr>
            </w:pPr>
            <w:r w:rsidRPr="00E45C93">
              <w:rPr>
                <w:sz w:val="20"/>
                <w:szCs w:val="20"/>
              </w:rPr>
              <w:t>Recruitment Phase I</w:t>
            </w:r>
          </w:p>
        </w:tc>
        <w:tc>
          <w:tcPr>
            <w:tcW w:w="2727" w:type="pct"/>
            <w:hideMark/>
          </w:tcPr>
          <w:p w14:paraId="68658446" w14:textId="18F14F40" w:rsidR="00446511" w:rsidRPr="00E45C93" w:rsidRDefault="002E3C69" w:rsidP="005A425F">
            <w:pPr>
              <w:spacing w:line="360" w:lineRule="auto"/>
              <w:rPr>
                <w:sz w:val="20"/>
                <w:szCs w:val="20"/>
              </w:rPr>
            </w:pPr>
            <w:r w:rsidRPr="002E3C69">
              <w:rPr>
                <w:sz w:val="20"/>
                <w:szCs w:val="20"/>
              </w:rPr>
              <w:t>Recruit and assess 50% of total sample (n=</w:t>
            </w:r>
            <w:r w:rsidR="008A1A59">
              <w:rPr>
                <w:sz w:val="20"/>
                <w:szCs w:val="20"/>
              </w:rPr>
              <w:t>150</w:t>
            </w:r>
            <w:r w:rsidRPr="002E3C69">
              <w:rPr>
                <w:sz w:val="20"/>
                <w:szCs w:val="20"/>
              </w:rPr>
              <w:t>); begin cytokine and EEG data acquisition</w:t>
            </w:r>
          </w:p>
        </w:tc>
      </w:tr>
      <w:tr w:rsidR="00446511" w:rsidRPr="00E45C93" w14:paraId="603FC3FB" w14:textId="77777777" w:rsidTr="00E9360F">
        <w:tc>
          <w:tcPr>
            <w:tcW w:w="520" w:type="pct"/>
            <w:hideMark/>
          </w:tcPr>
          <w:p w14:paraId="5114572F" w14:textId="77777777" w:rsidR="00446511" w:rsidRPr="00E45C93" w:rsidRDefault="00446511" w:rsidP="005A425F">
            <w:pPr>
              <w:spacing w:line="360" w:lineRule="auto"/>
              <w:rPr>
                <w:sz w:val="20"/>
                <w:szCs w:val="20"/>
              </w:rPr>
            </w:pPr>
            <w:r w:rsidRPr="00E45C93">
              <w:rPr>
                <w:sz w:val="20"/>
                <w:szCs w:val="20"/>
              </w:rPr>
              <w:t>Year 3</w:t>
            </w:r>
          </w:p>
        </w:tc>
        <w:tc>
          <w:tcPr>
            <w:tcW w:w="519" w:type="pct"/>
            <w:hideMark/>
          </w:tcPr>
          <w:p w14:paraId="1461890F" w14:textId="77777777" w:rsidR="00446511" w:rsidRPr="00E45C93" w:rsidRDefault="00446511" w:rsidP="005A425F">
            <w:pPr>
              <w:spacing w:line="360" w:lineRule="auto"/>
              <w:rPr>
                <w:sz w:val="20"/>
                <w:szCs w:val="20"/>
              </w:rPr>
            </w:pPr>
            <w:r w:rsidRPr="00E45C93">
              <w:rPr>
                <w:sz w:val="20"/>
                <w:szCs w:val="20"/>
              </w:rPr>
              <w:t>1–12</w:t>
            </w:r>
          </w:p>
        </w:tc>
        <w:tc>
          <w:tcPr>
            <w:tcW w:w="1234" w:type="pct"/>
            <w:hideMark/>
          </w:tcPr>
          <w:p w14:paraId="7CD3B5E6" w14:textId="77777777" w:rsidR="00446511" w:rsidRPr="00E45C93" w:rsidRDefault="00446511" w:rsidP="005A425F">
            <w:pPr>
              <w:spacing w:line="360" w:lineRule="auto"/>
              <w:rPr>
                <w:sz w:val="20"/>
                <w:szCs w:val="20"/>
              </w:rPr>
            </w:pPr>
            <w:r w:rsidRPr="00E45C93">
              <w:rPr>
                <w:sz w:val="20"/>
                <w:szCs w:val="20"/>
              </w:rPr>
              <w:t>Recruitment Phase II</w:t>
            </w:r>
          </w:p>
        </w:tc>
        <w:tc>
          <w:tcPr>
            <w:tcW w:w="2727" w:type="pct"/>
            <w:hideMark/>
          </w:tcPr>
          <w:p w14:paraId="60F63442" w14:textId="2A939844" w:rsidR="00446511" w:rsidRPr="00E45C93" w:rsidRDefault="002E3C69" w:rsidP="005A425F">
            <w:pPr>
              <w:spacing w:line="360" w:lineRule="auto"/>
              <w:rPr>
                <w:sz w:val="20"/>
                <w:szCs w:val="20"/>
              </w:rPr>
            </w:pPr>
            <w:r w:rsidRPr="002E3C69">
              <w:rPr>
                <w:sz w:val="20"/>
                <w:szCs w:val="20"/>
              </w:rPr>
              <w:t>Complete recruitment (n=</w:t>
            </w:r>
            <w:r w:rsidR="008A1A59">
              <w:rPr>
                <w:sz w:val="20"/>
                <w:szCs w:val="20"/>
              </w:rPr>
              <w:t>300</w:t>
            </w:r>
            <w:r w:rsidRPr="002E3C69">
              <w:rPr>
                <w:sz w:val="20"/>
                <w:szCs w:val="20"/>
              </w:rPr>
              <w:t>); complete psychological and EEG/ERP testing for all participants</w:t>
            </w:r>
          </w:p>
        </w:tc>
      </w:tr>
      <w:tr w:rsidR="00446511" w:rsidRPr="00E45C93" w14:paraId="364F6CE8" w14:textId="77777777" w:rsidTr="00E9360F">
        <w:tc>
          <w:tcPr>
            <w:tcW w:w="520" w:type="pct"/>
            <w:hideMark/>
          </w:tcPr>
          <w:p w14:paraId="094E65A1" w14:textId="77777777" w:rsidR="00446511" w:rsidRPr="00E45C93" w:rsidRDefault="00446511" w:rsidP="005A425F">
            <w:pPr>
              <w:spacing w:line="360" w:lineRule="auto"/>
              <w:rPr>
                <w:sz w:val="20"/>
                <w:szCs w:val="20"/>
              </w:rPr>
            </w:pPr>
            <w:r w:rsidRPr="00E45C93">
              <w:rPr>
                <w:sz w:val="20"/>
                <w:szCs w:val="20"/>
              </w:rPr>
              <w:t>Year 4</w:t>
            </w:r>
          </w:p>
        </w:tc>
        <w:tc>
          <w:tcPr>
            <w:tcW w:w="519" w:type="pct"/>
            <w:hideMark/>
          </w:tcPr>
          <w:p w14:paraId="1F9D851E" w14:textId="77777777" w:rsidR="00446511" w:rsidRPr="00E45C93" w:rsidRDefault="00446511" w:rsidP="005A425F">
            <w:pPr>
              <w:spacing w:line="360" w:lineRule="auto"/>
              <w:rPr>
                <w:sz w:val="20"/>
                <w:szCs w:val="20"/>
              </w:rPr>
            </w:pPr>
            <w:r w:rsidRPr="00E45C93">
              <w:rPr>
                <w:sz w:val="20"/>
                <w:szCs w:val="20"/>
              </w:rPr>
              <w:t>1–6</w:t>
            </w:r>
          </w:p>
        </w:tc>
        <w:tc>
          <w:tcPr>
            <w:tcW w:w="1234" w:type="pct"/>
            <w:hideMark/>
          </w:tcPr>
          <w:p w14:paraId="79088924" w14:textId="77777777" w:rsidR="00446511" w:rsidRPr="00E45C93" w:rsidRDefault="00446511" w:rsidP="005A425F">
            <w:pPr>
              <w:spacing w:line="360" w:lineRule="auto"/>
              <w:rPr>
                <w:sz w:val="20"/>
                <w:szCs w:val="20"/>
              </w:rPr>
            </w:pPr>
            <w:r w:rsidRPr="00E45C93">
              <w:rPr>
                <w:sz w:val="20"/>
                <w:szCs w:val="20"/>
              </w:rPr>
              <w:t>Completion of Data Collection</w:t>
            </w:r>
          </w:p>
        </w:tc>
        <w:tc>
          <w:tcPr>
            <w:tcW w:w="2727" w:type="pct"/>
            <w:hideMark/>
          </w:tcPr>
          <w:p w14:paraId="57822196" w14:textId="635D1864" w:rsidR="00446511" w:rsidRPr="00E45C93" w:rsidRDefault="000D1A48" w:rsidP="005A425F">
            <w:pPr>
              <w:spacing w:line="360" w:lineRule="auto"/>
              <w:rPr>
                <w:sz w:val="20"/>
                <w:szCs w:val="20"/>
              </w:rPr>
            </w:pPr>
            <w:r w:rsidRPr="000D1A48">
              <w:rPr>
                <w:sz w:val="20"/>
                <w:szCs w:val="20"/>
              </w:rPr>
              <w:t>By Month 42, cytokine assays will be completed. Microbiome sequencing will only be initiated if pilot data (e.g., sample integrity, DNA yield) and funding availability support meaningful exploratory analysis</w:t>
            </w:r>
          </w:p>
        </w:tc>
      </w:tr>
      <w:tr w:rsidR="00446511" w:rsidRPr="00E45C93" w14:paraId="544ADA44" w14:textId="77777777" w:rsidTr="00E9360F">
        <w:tc>
          <w:tcPr>
            <w:tcW w:w="520" w:type="pct"/>
            <w:hideMark/>
          </w:tcPr>
          <w:p w14:paraId="2011CBF6" w14:textId="77777777" w:rsidR="00446511" w:rsidRPr="00E45C93" w:rsidRDefault="00446511" w:rsidP="005A425F">
            <w:pPr>
              <w:spacing w:line="360" w:lineRule="auto"/>
              <w:rPr>
                <w:sz w:val="20"/>
                <w:szCs w:val="20"/>
              </w:rPr>
            </w:pPr>
          </w:p>
        </w:tc>
        <w:tc>
          <w:tcPr>
            <w:tcW w:w="519" w:type="pct"/>
            <w:hideMark/>
          </w:tcPr>
          <w:p w14:paraId="65CA6160" w14:textId="77777777" w:rsidR="00446511" w:rsidRPr="00E45C93" w:rsidRDefault="00446511" w:rsidP="005A425F">
            <w:pPr>
              <w:spacing w:line="360" w:lineRule="auto"/>
              <w:rPr>
                <w:sz w:val="20"/>
                <w:szCs w:val="20"/>
              </w:rPr>
            </w:pPr>
            <w:r w:rsidRPr="00E45C93">
              <w:rPr>
                <w:sz w:val="20"/>
                <w:szCs w:val="20"/>
              </w:rPr>
              <w:t>7–12</w:t>
            </w:r>
          </w:p>
        </w:tc>
        <w:tc>
          <w:tcPr>
            <w:tcW w:w="1234" w:type="pct"/>
            <w:hideMark/>
          </w:tcPr>
          <w:p w14:paraId="200684E1" w14:textId="77777777" w:rsidR="00446511" w:rsidRPr="00E45C93" w:rsidRDefault="00446511" w:rsidP="005A425F">
            <w:pPr>
              <w:spacing w:line="360" w:lineRule="auto"/>
              <w:rPr>
                <w:sz w:val="20"/>
                <w:szCs w:val="20"/>
              </w:rPr>
            </w:pPr>
            <w:r w:rsidRPr="00E45C93">
              <w:rPr>
                <w:sz w:val="20"/>
                <w:szCs w:val="20"/>
              </w:rPr>
              <w:t>Longitudinal Follow-Up</w:t>
            </w:r>
          </w:p>
        </w:tc>
        <w:tc>
          <w:tcPr>
            <w:tcW w:w="2727" w:type="pct"/>
            <w:hideMark/>
          </w:tcPr>
          <w:p w14:paraId="35247FE2" w14:textId="7840D270" w:rsidR="00446511" w:rsidRPr="00E45C93" w:rsidRDefault="002E3C69" w:rsidP="005A425F">
            <w:pPr>
              <w:spacing w:line="360" w:lineRule="auto"/>
              <w:rPr>
                <w:sz w:val="20"/>
                <w:szCs w:val="20"/>
              </w:rPr>
            </w:pPr>
            <w:r w:rsidRPr="002E3C69">
              <w:rPr>
                <w:sz w:val="20"/>
                <w:szCs w:val="20"/>
              </w:rPr>
              <w:t>Conduct 12-month follow-up for ~30% of sample (n≈</w:t>
            </w:r>
            <w:r w:rsidR="008A1A59">
              <w:rPr>
                <w:sz w:val="20"/>
                <w:szCs w:val="20"/>
              </w:rPr>
              <w:t>90</w:t>
            </w:r>
            <w:r w:rsidRPr="002E3C69">
              <w:rPr>
                <w:sz w:val="20"/>
                <w:szCs w:val="20"/>
              </w:rPr>
              <w:t>); initiate EEG and biological retesting</w:t>
            </w:r>
          </w:p>
        </w:tc>
      </w:tr>
      <w:tr w:rsidR="00446511" w:rsidRPr="00E45C93" w14:paraId="54AA27D4" w14:textId="77777777" w:rsidTr="00E9360F">
        <w:tc>
          <w:tcPr>
            <w:tcW w:w="520" w:type="pct"/>
            <w:hideMark/>
          </w:tcPr>
          <w:p w14:paraId="56A44263" w14:textId="77777777" w:rsidR="00446511" w:rsidRPr="00E45C93" w:rsidRDefault="00446511" w:rsidP="005A425F">
            <w:pPr>
              <w:spacing w:line="360" w:lineRule="auto"/>
              <w:rPr>
                <w:sz w:val="20"/>
                <w:szCs w:val="20"/>
              </w:rPr>
            </w:pPr>
            <w:r w:rsidRPr="00E45C93">
              <w:rPr>
                <w:sz w:val="20"/>
                <w:szCs w:val="20"/>
              </w:rPr>
              <w:t>Year 5</w:t>
            </w:r>
          </w:p>
        </w:tc>
        <w:tc>
          <w:tcPr>
            <w:tcW w:w="519" w:type="pct"/>
            <w:hideMark/>
          </w:tcPr>
          <w:p w14:paraId="7693A814" w14:textId="77777777" w:rsidR="00446511" w:rsidRPr="00E45C93" w:rsidRDefault="00446511" w:rsidP="005A425F">
            <w:pPr>
              <w:spacing w:line="360" w:lineRule="auto"/>
              <w:rPr>
                <w:sz w:val="20"/>
                <w:szCs w:val="20"/>
              </w:rPr>
            </w:pPr>
            <w:r w:rsidRPr="00E45C93">
              <w:rPr>
                <w:sz w:val="20"/>
                <w:szCs w:val="20"/>
              </w:rPr>
              <w:t>1–8</w:t>
            </w:r>
          </w:p>
        </w:tc>
        <w:tc>
          <w:tcPr>
            <w:tcW w:w="1234" w:type="pct"/>
            <w:hideMark/>
          </w:tcPr>
          <w:p w14:paraId="19A3F87C" w14:textId="77777777" w:rsidR="00446511" w:rsidRPr="00E45C93" w:rsidRDefault="00446511" w:rsidP="005A425F">
            <w:pPr>
              <w:spacing w:line="360" w:lineRule="auto"/>
              <w:rPr>
                <w:sz w:val="20"/>
                <w:szCs w:val="20"/>
              </w:rPr>
            </w:pPr>
            <w:r w:rsidRPr="00E45C93">
              <w:rPr>
                <w:sz w:val="20"/>
                <w:szCs w:val="20"/>
              </w:rPr>
              <w:t>Data Processing &amp; Analysis</w:t>
            </w:r>
          </w:p>
        </w:tc>
        <w:tc>
          <w:tcPr>
            <w:tcW w:w="2727" w:type="pct"/>
            <w:hideMark/>
          </w:tcPr>
          <w:p w14:paraId="42807235" w14:textId="6FE3DE88" w:rsidR="00446511" w:rsidRPr="00E45C93" w:rsidRDefault="002E3C69" w:rsidP="005A425F">
            <w:pPr>
              <w:spacing w:line="360" w:lineRule="auto"/>
              <w:rPr>
                <w:sz w:val="20"/>
                <w:szCs w:val="20"/>
              </w:rPr>
            </w:pPr>
            <w:r w:rsidRPr="002E3C69">
              <w:rPr>
                <w:sz w:val="20"/>
                <w:szCs w:val="20"/>
              </w:rPr>
              <w:t>EEG/ERP pre</w:t>
            </w:r>
            <w:r>
              <w:rPr>
                <w:sz w:val="20"/>
                <w:szCs w:val="20"/>
              </w:rPr>
              <w:t>-</w:t>
            </w:r>
            <w:r w:rsidRPr="002E3C69">
              <w:rPr>
                <w:sz w:val="20"/>
                <w:szCs w:val="20"/>
              </w:rPr>
              <w:t>processing complete (Month 52); cytokine/microbiome integration complete (Month 54)</w:t>
            </w:r>
          </w:p>
        </w:tc>
      </w:tr>
      <w:tr w:rsidR="00446511" w:rsidRPr="00E45C93" w14:paraId="5D8879C8" w14:textId="77777777" w:rsidTr="00E9360F">
        <w:tc>
          <w:tcPr>
            <w:tcW w:w="520" w:type="pct"/>
            <w:hideMark/>
          </w:tcPr>
          <w:p w14:paraId="1EC6E249" w14:textId="77777777" w:rsidR="00446511" w:rsidRPr="00E45C93" w:rsidRDefault="00446511" w:rsidP="005A425F">
            <w:pPr>
              <w:spacing w:line="360" w:lineRule="auto"/>
              <w:rPr>
                <w:sz w:val="20"/>
                <w:szCs w:val="20"/>
              </w:rPr>
            </w:pPr>
          </w:p>
        </w:tc>
        <w:tc>
          <w:tcPr>
            <w:tcW w:w="519" w:type="pct"/>
            <w:hideMark/>
          </w:tcPr>
          <w:p w14:paraId="4EE3BE12" w14:textId="77777777" w:rsidR="00446511" w:rsidRPr="00E45C93" w:rsidRDefault="00446511" w:rsidP="005A425F">
            <w:pPr>
              <w:spacing w:line="360" w:lineRule="auto"/>
              <w:rPr>
                <w:sz w:val="20"/>
                <w:szCs w:val="20"/>
              </w:rPr>
            </w:pPr>
            <w:r w:rsidRPr="00E45C93">
              <w:rPr>
                <w:sz w:val="20"/>
                <w:szCs w:val="20"/>
              </w:rPr>
              <w:t>9–12</w:t>
            </w:r>
          </w:p>
        </w:tc>
        <w:tc>
          <w:tcPr>
            <w:tcW w:w="1234" w:type="pct"/>
            <w:hideMark/>
          </w:tcPr>
          <w:p w14:paraId="11FF912F" w14:textId="77777777" w:rsidR="00446511" w:rsidRPr="00E45C93" w:rsidRDefault="00446511" w:rsidP="005A425F">
            <w:pPr>
              <w:spacing w:line="360" w:lineRule="auto"/>
              <w:rPr>
                <w:sz w:val="20"/>
                <w:szCs w:val="20"/>
              </w:rPr>
            </w:pPr>
            <w:r w:rsidRPr="00E45C93">
              <w:rPr>
                <w:sz w:val="20"/>
                <w:szCs w:val="20"/>
              </w:rPr>
              <w:t>Dissemination</w:t>
            </w:r>
          </w:p>
        </w:tc>
        <w:tc>
          <w:tcPr>
            <w:tcW w:w="2727" w:type="pct"/>
            <w:hideMark/>
          </w:tcPr>
          <w:p w14:paraId="147166FB" w14:textId="5603EE90" w:rsidR="00446511" w:rsidRPr="00E45C93" w:rsidRDefault="002E3C69" w:rsidP="005A425F">
            <w:pPr>
              <w:spacing w:line="360" w:lineRule="auto"/>
              <w:rPr>
                <w:sz w:val="20"/>
                <w:szCs w:val="20"/>
              </w:rPr>
            </w:pPr>
            <w:r w:rsidRPr="002E3C69">
              <w:rPr>
                <w:sz w:val="20"/>
                <w:szCs w:val="20"/>
              </w:rPr>
              <w:t>Final publications submitted; policy briefs prepared; Ministry of Health dissemination initiated</w:t>
            </w:r>
          </w:p>
        </w:tc>
      </w:tr>
    </w:tbl>
    <w:p w14:paraId="10CD9E68" w14:textId="77777777" w:rsidR="00CA2EF9" w:rsidRDefault="00CA2EF9" w:rsidP="005A425F">
      <w:pPr>
        <w:spacing w:line="360" w:lineRule="auto"/>
        <w:jc w:val="both"/>
        <w:rPr>
          <w:b/>
          <w:bCs/>
        </w:rPr>
      </w:pPr>
    </w:p>
    <w:p w14:paraId="54EC3D89" w14:textId="2B4BAA36" w:rsidR="00DD7F52" w:rsidRPr="00E45C93" w:rsidRDefault="00DD7F52" w:rsidP="005A425F">
      <w:pPr>
        <w:pBdr>
          <w:top w:val="single" w:sz="4" w:space="1" w:color="auto"/>
          <w:bottom w:val="single" w:sz="4" w:space="1" w:color="auto"/>
        </w:pBdr>
        <w:spacing w:line="360" w:lineRule="auto"/>
        <w:jc w:val="both"/>
        <w:rPr>
          <w:b/>
          <w:bCs/>
        </w:rPr>
      </w:pPr>
      <w:r w:rsidRPr="00E45C93">
        <w:rPr>
          <w:b/>
          <w:bCs/>
        </w:rPr>
        <w:t>Budget</w:t>
      </w:r>
    </w:p>
    <w:p w14:paraId="650C91BA" w14:textId="69D6107D" w:rsidR="007F1DD1" w:rsidRDefault="00446511" w:rsidP="005A425F">
      <w:pPr>
        <w:spacing w:line="360" w:lineRule="auto"/>
        <w:jc w:val="both"/>
      </w:pPr>
      <w:r w:rsidRPr="00E45C93">
        <w:t>The requested budget will ensure the successful and timely completion of all study phases. Costs are distributed across equipment maintenance, biological assays, participant engagement, student support, and knowledge dissemination activities. Most funding supports direct research costs, ensuring maximal scientific output relative to investment</w:t>
      </w:r>
      <w:r w:rsidR="007F1DD1">
        <w:t xml:space="preserve"> (please see Table 2)</w:t>
      </w:r>
      <w:r w:rsidRPr="00E45C93">
        <w:t xml:space="preserve">. </w:t>
      </w:r>
    </w:p>
    <w:p w14:paraId="54438AB6" w14:textId="77777777" w:rsidR="008A1A59" w:rsidRPr="00E45C93" w:rsidRDefault="008A1A59" w:rsidP="005A425F">
      <w:pPr>
        <w:spacing w:line="360" w:lineRule="auto"/>
        <w:jc w:val="both"/>
      </w:pPr>
    </w:p>
    <w:tbl>
      <w:tblPr>
        <w:tblStyle w:val="TableGrid"/>
        <w:tblW w:w="5138" w:type="pct"/>
        <w:tblInd w:w="-289" w:type="dxa"/>
        <w:tblLook w:val="04A0" w:firstRow="1" w:lastRow="0" w:firstColumn="1" w:lastColumn="0" w:noHBand="0" w:noVBand="1"/>
      </w:tblPr>
      <w:tblGrid>
        <w:gridCol w:w="1981"/>
        <w:gridCol w:w="966"/>
        <w:gridCol w:w="966"/>
        <w:gridCol w:w="966"/>
        <w:gridCol w:w="966"/>
        <w:gridCol w:w="966"/>
        <w:gridCol w:w="970"/>
        <w:gridCol w:w="2130"/>
      </w:tblGrid>
      <w:tr w:rsidR="00CD322E" w:rsidRPr="00E45C93" w14:paraId="5D2E5455" w14:textId="77777777" w:rsidTr="00CD322E">
        <w:tc>
          <w:tcPr>
            <w:tcW w:w="980" w:type="pct"/>
            <w:hideMark/>
          </w:tcPr>
          <w:p w14:paraId="1B0A2562" w14:textId="77777777" w:rsidR="00446511" w:rsidRPr="00E45C93" w:rsidRDefault="00446511" w:rsidP="005A425F">
            <w:pPr>
              <w:spacing w:line="360" w:lineRule="auto"/>
              <w:rPr>
                <w:b/>
                <w:bCs/>
                <w:sz w:val="20"/>
                <w:szCs w:val="20"/>
              </w:rPr>
            </w:pPr>
            <w:r w:rsidRPr="00E45C93">
              <w:rPr>
                <w:rStyle w:val="Strong"/>
                <w:sz w:val="20"/>
                <w:szCs w:val="20"/>
              </w:rPr>
              <w:t>Category</w:t>
            </w:r>
          </w:p>
        </w:tc>
        <w:tc>
          <w:tcPr>
            <w:tcW w:w="474" w:type="pct"/>
            <w:hideMark/>
          </w:tcPr>
          <w:p w14:paraId="6F48E948" w14:textId="77777777" w:rsidR="00446511" w:rsidRPr="00E45C93" w:rsidRDefault="00446511" w:rsidP="005A425F">
            <w:pPr>
              <w:spacing w:line="360" w:lineRule="auto"/>
              <w:rPr>
                <w:b/>
                <w:bCs/>
                <w:sz w:val="20"/>
                <w:szCs w:val="20"/>
              </w:rPr>
            </w:pPr>
            <w:r w:rsidRPr="00E45C93">
              <w:rPr>
                <w:rStyle w:val="Strong"/>
                <w:sz w:val="20"/>
                <w:szCs w:val="20"/>
              </w:rPr>
              <w:t>Year 1 (NIS)</w:t>
            </w:r>
          </w:p>
        </w:tc>
        <w:tc>
          <w:tcPr>
            <w:tcW w:w="474" w:type="pct"/>
            <w:hideMark/>
          </w:tcPr>
          <w:p w14:paraId="5B2A5056" w14:textId="77777777" w:rsidR="00446511" w:rsidRPr="00E45C93" w:rsidRDefault="00446511" w:rsidP="005A425F">
            <w:pPr>
              <w:spacing w:line="360" w:lineRule="auto"/>
              <w:rPr>
                <w:b/>
                <w:bCs/>
                <w:sz w:val="20"/>
                <w:szCs w:val="20"/>
              </w:rPr>
            </w:pPr>
            <w:r w:rsidRPr="00E45C93">
              <w:rPr>
                <w:rStyle w:val="Strong"/>
                <w:sz w:val="20"/>
                <w:szCs w:val="20"/>
              </w:rPr>
              <w:t>Year 2 (NIS)</w:t>
            </w:r>
          </w:p>
        </w:tc>
        <w:tc>
          <w:tcPr>
            <w:tcW w:w="472" w:type="pct"/>
            <w:hideMark/>
          </w:tcPr>
          <w:p w14:paraId="0158E3B7" w14:textId="77777777" w:rsidR="00446511" w:rsidRPr="00E45C93" w:rsidRDefault="00446511" w:rsidP="005A425F">
            <w:pPr>
              <w:spacing w:line="360" w:lineRule="auto"/>
              <w:rPr>
                <w:b/>
                <w:bCs/>
                <w:sz w:val="20"/>
                <w:szCs w:val="20"/>
              </w:rPr>
            </w:pPr>
            <w:r w:rsidRPr="00E45C93">
              <w:rPr>
                <w:rStyle w:val="Strong"/>
                <w:sz w:val="20"/>
                <w:szCs w:val="20"/>
              </w:rPr>
              <w:t>Year 3 (NIS)</w:t>
            </w:r>
          </w:p>
        </w:tc>
        <w:tc>
          <w:tcPr>
            <w:tcW w:w="596" w:type="pct"/>
            <w:hideMark/>
          </w:tcPr>
          <w:p w14:paraId="4A24893E" w14:textId="77777777" w:rsidR="00446511" w:rsidRPr="00E45C93" w:rsidRDefault="00446511" w:rsidP="005A425F">
            <w:pPr>
              <w:spacing w:line="360" w:lineRule="auto"/>
              <w:rPr>
                <w:b/>
                <w:bCs/>
                <w:sz w:val="20"/>
                <w:szCs w:val="20"/>
              </w:rPr>
            </w:pPr>
            <w:r w:rsidRPr="00E45C93">
              <w:rPr>
                <w:rStyle w:val="Strong"/>
                <w:sz w:val="20"/>
                <w:szCs w:val="20"/>
              </w:rPr>
              <w:t>Year 4 (NIS)</w:t>
            </w:r>
          </w:p>
        </w:tc>
        <w:tc>
          <w:tcPr>
            <w:tcW w:w="474" w:type="pct"/>
            <w:hideMark/>
          </w:tcPr>
          <w:p w14:paraId="76B1FE57" w14:textId="77777777" w:rsidR="00446511" w:rsidRPr="00E45C93" w:rsidRDefault="00446511" w:rsidP="005A425F">
            <w:pPr>
              <w:spacing w:line="360" w:lineRule="auto"/>
              <w:rPr>
                <w:b/>
                <w:bCs/>
                <w:sz w:val="20"/>
                <w:szCs w:val="20"/>
              </w:rPr>
            </w:pPr>
            <w:r w:rsidRPr="00E45C93">
              <w:rPr>
                <w:rStyle w:val="Strong"/>
                <w:sz w:val="20"/>
                <w:szCs w:val="20"/>
              </w:rPr>
              <w:t>Year 5 (NIS)</w:t>
            </w:r>
          </w:p>
        </w:tc>
        <w:tc>
          <w:tcPr>
            <w:tcW w:w="476" w:type="pct"/>
            <w:hideMark/>
          </w:tcPr>
          <w:p w14:paraId="25774DB6" w14:textId="77777777" w:rsidR="00446511" w:rsidRPr="00E45C93" w:rsidRDefault="00446511" w:rsidP="005A425F">
            <w:pPr>
              <w:spacing w:line="360" w:lineRule="auto"/>
              <w:rPr>
                <w:b/>
                <w:bCs/>
                <w:sz w:val="20"/>
                <w:szCs w:val="20"/>
              </w:rPr>
            </w:pPr>
            <w:r w:rsidRPr="00E45C93">
              <w:rPr>
                <w:rStyle w:val="Strong"/>
                <w:sz w:val="20"/>
                <w:szCs w:val="20"/>
              </w:rPr>
              <w:t>Total (NIS)</w:t>
            </w:r>
          </w:p>
        </w:tc>
        <w:tc>
          <w:tcPr>
            <w:tcW w:w="1054" w:type="pct"/>
            <w:hideMark/>
          </w:tcPr>
          <w:p w14:paraId="6CED0D91" w14:textId="77777777" w:rsidR="00446511" w:rsidRPr="00E45C93" w:rsidRDefault="00446511" w:rsidP="005A425F">
            <w:pPr>
              <w:spacing w:line="360" w:lineRule="auto"/>
              <w:rPr>
                <w:b/>
                <w:bCs/>
                <w:sz w:val="20"/>
                <w:szCs w:val="20"/>
              </w:rPr>
            </w:pPr>
            <w:r w:rsidRPr="00E45C93">
              <w:rPr>
                <w:rStyle w:val="Strong"/>
                <w:sz w:val="20"/>
                <w:szCs w:val="20"/>
              </w:rPr>
              <w:t>Details</w:t>
            </w:r>
          </w:p>
        </w:tc>
      </w:tr>
      <w:tr w:rsidR="00CD322E" w:rsidRPr="00E45C93" w14:paraId="774808FC" w14:textId="77777777" w:rsidTr="00CD322E">
        <w:tc>
          <w:tcPr>
            <w:tcW w:w="980" w:type="pct"/>
            <w:hideMark/>
          </w:tcPr>
          <w:p w14:paraId="55662701" w14:textId="77777777" w:rsidR="00446511" w:rsidRPr="00E45C93" w:rsidRDefault="00446511" w:rsidP="005A425F">
            <w:pPr>
              <w:spacing w:line="360" w:lineRule="auto"/>
              <w:rPr>
                <w:sz w:val="20"/>
                <w:szCs w:val="20"/>
              </w:rPr>
            </w:pPr>
            <w:r w:rsidRPr="00E45C93">
              <w:rPr>
                <w:sz w:val="20"/>
                <w:szCs w:val="20"/>
              </w:rPr>
              <w:t>EEG System (2 existing)</w:t>
            </w:r>
          </w:p>
        </w:tc>
        <w:tc>
          <w:tcPr>
            <w:tcW w:w="474" w:type="pct"/>
            <w:hideMark/>
          </w:tcPr>
          <w:p w14:paraId="4AF3414E" w14:textId="77777777" w:rsidR="00446511" w:rsidRPr="00E45C93" w:rsidRDefault="00446511" w:rsidP="005A425F">
            <w:pPr>
              <w:spacing w:line="360" w:lineRule="auto"/>
              <w:rPr>
                <w:sz w:val="20"/>
                <w:szCs w:val="20"/>
              </w:rPr>
            </w:pPr>
            <w:r w:rsidRPr="00E45C93">
              <w:rPr>
                <w:sz w:val="20"/>
                <w:szCs w:val="20"/>
                <w:rtl/>
              </w:rPr>
              <w:t>₪0</w:t>
            </w:r>
          </w:p>
        </w:tc>
        <w:tc>
          <w:tcPr>
            <w:tcW w:w="474" w:type="pct"/>
            <w:hideMark/>
          </w:tcPr>
          <w:p w14:paraId="711D3569" w14:textId="77777777" w:rsidR="00446511" w:rsidRPr="00E45C93" w:rsidRDefault="00446511" w:rsidP="005A425F">
            <w:pPr>
              <w:spacing w:line="360" w:lineRule="auto"/>
              <w:rPr>
                <w:sz w:val="20"/>
                <w:szCs w:val="20"/>
              </w:rPr>
            </w:pPr>
            <w:r w:rsidRPr="00E45C93">
              <w:rPr>
                <w:sz w:val="20"/>
                <w:szCs w:val="20"/>
                <w:rtl/>
              </w:rPr>
              <w:t>₪0</w:t>
            </w:r>
          </w:p>
        </w:tc>
        <w:tc>
          <w:tcPr>
            <w:tcW w:w="472" w:type="pct"/>
            <w:hideMark/>
          </w:tcPr>
          <w:p w14:paraId="0896E274" w14:textId="77777777" w:rsidR="00446511" w:rsidRPr="00E45C93" w:rsidRDefault="00446511" w:rsidP="005A425F">
            <w:pPr>
              <w:spacing w:line="360" w:lineRule="auto"/>
              <w:rPr>
                <w:sz w:val="20"/>
                <w:szCs w:val="20"/>
              </w:rPr>
            </w:pPr>
            <w:r w:rsidRPr="00E45C93">
              <w:rPr>
                <w:sz w:val="20"/>
                <w:szCs w:val="20"/>
                <w:rtl/>
              </w:rPr>
              <w:t>₪0</w:t>
            </w:r>
          </w:p>
        </w:tc>
        <w:tc>
          <w:tcPr>
            <w:tcW w:w="596" w:type="pct"/>
            <w:hideMark/>
          </w:tcPr>
          <w:p w14:paraId="1F7A1F6F" w14:textId="77777777" w:rsidR="00446511" w:rsidRPr="00E45C93" w:rsidRDefault="00446511" w:rsidP="005A425F">
            <w:pPr>
              <w:spacing w:line="360" w:lineRule="auto"/>
              <w:rPr>
                <w:sz w:val="20"/>
                <w:szCs w:val="20"/>
              </w:rPr>
            </w:pPr>
            <w:r w:rsidRPr="00E45C93">
              <w:rPr>
                <w:sz w:val="20"/>
                <w:szCs w:val="20"/>
                <w:rtl/>
              </w:rPr>
              <w:t>₪0</w:t>
            </w:r>
          </w:p>
        </w:tc>
        <w:tc>
          <w:tcPr>
            <w:tcW w:w="474" w:type="pct"/>
            <w:hideMark/>
          </w:tcPr>
          <w:p w14:paraId="2B14AE02" w14:textId="77777777" w:rsidR="00446511" w:rsidRPr="00E45C93" w:rsidRDefault="00446511" w:rsidP="005A425F">
            <w:pPr>
              <w:spacing w:line="360" w:lineRule="auto"/>
              <w:rPr>
                <w:sz w:val="20"/>
                <w:szCs w:val="20"/>
              </w:rPr>
            </w:pPr>
            <w:r w:rsidRPr="00E45C93">
              <w:rPr>
                <w:sz w:val="20"/>
                <w:szCs w:val="20"/>
                <w:rtl/>
              </w:rPr>
              <w:t>₪0</w:t>
            </w:r>
          </w:p>
        </w:tc>
        <w:tc>
          <w:tcPr>
            <w:tcW w:w="476" w:type="pct"/>
            <w:hideMark/>
          </w:tcPr>
          <w:p w14:paraId="53643D8B" w14:textId="77777777" w:rsidR="00446511" w:rsidRPr="00E45C93" w:rsidRDefault="00446511" w:rsidP="005A425F">
            <w:pPr>
              <w:spacing w:line="360" w:lineRule="auto"/>
              <w:rPr>
                <w:sz w:val="20"/>
                <w:szCs w:val="20"/>
              </w:rPr>
            </w:pPr>
            <w:r w:rsidRPr="00E45C93">
              <w:rPr>
                <w:sz w:val="20"/>
                <w:szCs w:val="20"/>
                <w:rtl/>
              </w:rPr>
              <w:t>₪0</w:t>
            </w:r>
          </w:p>
        </w:tc>
        <w:tc>
          <w:tcPr>
            <w:tcW w:w="1054" w:type="pct"/>
            <w:hideMark/>
          </w:tcPr>
          <w:p w14:paraId="4799EDE3" w14:textId="77777777" w:rsidR="00446511" w:rsidRPr="00E45C93" w:rsidRDefault="00446511" w:rsidP="005A425F">
            <w:pPr>
              <w:spacing w:line="360" w:lineRule="auto"/>
              <w:rPr>
                <w:sz w:val="20"/>
                <w:szCs w:val="20"/>
              </w:rPr>
            </w:pPr>
            <w:r w:rsidRPr="00E45C93">
              <w:rPr>
                <w:sz w:val="20"/>
                <w:szCs w:val="20"/>
              </w:rPr>
              <w:t>Already available</w:t>
            </w:r>
          </w:p>
        </w:tc>
      </w:tr>
      <w:tr w:rsidR="00CD322E" w:rsidRPr="00E45C93" w14:paraId="4B55F70B" w14:textId="77777777" w:rsidTr="00CD322E">
        <w:tc>
          <w:tcPr>
            <w:tcW w:w="980" w:type="pct"/>
            <w:hideMark/>
          </w:tcPr>
          <w:p w14:paraId="218D9E7D" w14:textId="77777777" w:rsidR="00446511" w:rsidRPr="00E45C93" w:rsidRDefault="00446511" w:rsidP="005A425F">
            <w:pPr>
              <w:spacing w:line="360" w:lineRule="auto"/>
              <w:rPr>
                <w:sz w:val="20"/>
                <w:szCs w:val="20"/>
              </w:rPr>
            </w:pPr>
            <w:r w:rsidRPr="00E45C93">
              <w:rPr>
                <w:sz w:val="20"/>
                <w:szCs w:val="20"/>
              </w:rPr>
              <w:t>EEG Consumables</w:t>
            </w:r>
          </w:p>
        </w:tc>
        <w:tc>
          <w:tcPr>
            <w:tcW w:w="474" w:type="pct"/>
            <w:hideMark/>
          </w:tcPr>
          <w:p w14:paraId="5105ED76" w14:textId="77777777" w:rsidR="00446511" w:rsidRPr="00E45C93" w:rsidRDefault="00446511" w:rsidP="005A425F">
            <w:pPr>
              <w:spacing w:line="360" w:lineRule="auto"/>
              <w:rPr>
                <w:sz w:val="20"/>
                <w:szCs w:val="20"/>
              </w:rPr>
            </w:pPr>
            <w:r w:rsidRPr="00E45C93">
              <w:rPr>
                <w:sz w:val="20"/>
                <w:szCs w:val="20"/>
                <w:rtl/>
              </w:rPr>
              <w:t>₪3</w:t>
            </w:r>
            <w:r w:rsidRPr="00E45C93">
              <w:rPr>
                <w:sz w:val="20"/>
                <w:szCs w:val="20"/>
              </w:rPr>
              <w:t>,700</w:t>
            </w:r>
          </w:p>
        </w:tc>
        <w:tc>
          <w:tcPr>
            <w:tcW w:w="474" w:type="pct"/>
            <w:hideMark/>
          </w:tcPr>
          <w:p w14:paraId="6B73AFB7" w14:textId="77777777" w:rsidR="00446511" w:rsidRPr="00E45C93" w:rsidRDefault="00446511" w:rsidP="005A425F">
            <w:pPr>
              <w:spacing w:line="360" w:lineRule="auto"/>
              <w:rPr>
                <w:sz w:val="20"/>
                <w:szCs w:val="20"/>
              </w:rPr>
            </w:pPr>
            <w:r w:rsidRPr="00E45C93">
              <w:rPr>
                <w:sz w:val="20"/>
                <w:szCs w:val="20"/>
                <w:rtl/>
              </w:rPr>
              <w:t>₪3</w:t>
            </w:r>
            <w:r w:rsidRPr="00E45C93">
              <w:rPr>
                <w:sz w:val="20"/>
                <w:szCs w:val="20"/>
              </w:rPr>
              <w:t>,700</w:t>
            </w:r>
          </w:p>
        </w:tc>
        <w:tc>
          <w:tcPr>
            <w:tcW w:w="472" w:type="pct"/>
            <w:hideMark/>
          </w:tcPr>
          <w:p w14:paraId="5028F63E" w14:textId="77777777" w:rsidR="00446511" w:rsidRPr="00E45C93" w:rsidRDefault="00446511" w:rsidP="005A425F">
            <w:pPr>
              <w:spacing w:line="360" w:lineRule="auto"/>
              <w:rPr>
                <w:sz w:val="20"/>
                <w:szCs w:val="20"/>
              </w:rPr>
            </w:pPr>
            <w:r w:rsidRPr="00E45C93">
              <w:rPr>
                <w:sz w:val="20"/>
                <w:szCs w:val="20"/>
                <w:rtl/>
              </w:rPr>
              <w:t>₪3</w:t>
            </w:r>
            <w:r w:rsidRPr="00E45C93">
              <w:rPr>
                <w:sz w:val="20"/>
                <w:szCs w:val="20"/>
              </w:rPr>
              <w:t>,700</w:t>
            </w:r>
          </w:p>
        </w:tc>
        <w:tc>
          <w:tcPr>
            <w:tcW w:w="596" w:type="pct"/>
            <w:hideMark/>
          </w:tcPr>
          <w:p w14:paraId="4E7B7E9E" w14:textId="77777777" w:rsidR="00446511" w:rsidRPr="00E45C93" w:rsidRDefault="00446511" w:rsidP="005A425F">
            <w:pPr>
              <w:spacing w:line="360" w:lineRule="auto"/>
              <w:rPr>
                <w:sz w:val="20"/>
                <w:szCs w:val="20"/>
              </w:rPr>
            </w:pPr>
            <w:r w:rsidRPr="00E45C93">
              <w:rPr>
                <w:sz w:val="20"/>
                <w:szCs w:val="20"/>
                <w:rtl/>
              </w:rPr>
              <w:t>₪3</w:t>
            </w:r>
            <w:r w:rsidRPr="00E45C93">
              <w:rPr>
                <w:sz w:val="20"/>
                <w:szCs w:val="20"/>
              </w:rPr>
              <w:t>,700</w:t>
            </w:r>
          </w:p>
        </w:tc>
        <w:tc>
          <w:tcPr>
            <w:tcW w:w="474" w:type="pct"/>
            <w:hideMark/>
          </w:tcPr>
          <w:p w14:paraId="72B541EC" w14:textId="77777777" w:rsidR="00446511" w:rsidRPr="00E45C93" w:rsidRDefault="00446511" w:rsidP="005A425F">
            <w:pPr>
              <w:spacing w:line="360" w:lineRule="auto"/>
              <w:rPr>
                <w:sz w:val="20"/>
                <w:szCs w:val="20"/>
              </w:rPr>
            </w:pPr>
            <w:r w:rsidRPr="00E45C93">
              <w:rPr>
                <w:sz w:val="20"/>
                <w:szCs w:val="20"/>
                <w:rtl/>
              </w:rPr>
              <w:t>₪0</w:t>
            </w:r>
          </w:p>
        </w:tc>
        <w:tc>
          <w:tcPr>
            <w:tcW w:w="476" w:type="pct"/>
            <w:hideMark/>
          </w:tcPr>
          <w:p w14:paraId="2EAEE25D" w14:textId="77777777" w:rsidR="00446511" w:rsidRPr="00E45C93" w:rsidRDefault="00446511" w:rsidP="005A425F">
            <w:pPr>
              <w:spacing w:line="360" w:lineRule="auto"/>
              <w:rPr>
                <w:sz w:val="20"/>
                <w:szCs w:val="20"/>
              </w:rPr>
            </w:pPr>
            <w:r w:rsidRPr="00E45C93">
              <w:rPr>
                <w:sz w:val="20"/>
                <w:szCs w:val="20"/>
                <w:rtl/>
              </w:rPr>
              <w:t>₪14</w:t>
            </w:r>
            <w:r w:rsidRPr="00E45C93">
              <w:rPr>
                <w:sz w:val="20"/>
                <w:szCs w:val="20"/>
              </w:rPr>
              <w:t>,800</w:t>
            </w:r>
          </w:p>
        </w:tc>
        <w:tc>
          <w:tcPr>
            <w:tcW w:w="1054" w:type="pct"/>
            <w:hideMark/>
          </w:tcPr>
          <w:p w14:paraId="062EC55B" w14:textId="77777777" w:rsidR="00446511" w:rsidRPr="00E45C93" w:rsidRDefault="00446511" w:rsidP="005A425F">
            <w:pPr>
              <w:spacing w:line="360" w:lineRule="auto"/>
              <w:rPr>
                <w:sz w:val="20"/>
                <w:szCs w:val="20"/>
              </w:rPr>
            </w:pPr>
            <w:r w:rsidRPr="00E45C93">
              <w:rPr>
                <w:sz w:val="20"/>
                <w:szCs w:val="20"/>
              </w:rPr>
              <w:t>Electrodes, gels, caps, cables</w:t>
            </w:r>
          </w:p>
        </w:tc>
      </w:tr>
      <w:tr w:rsidR="00CD322E" w:rsidRPr="00E45C93" w14:paraId="5A4D53F6" w14:textId="77777777" w:rsidTr="00CD322E">
        <w:tc>
          <w:tcPr>
            <w:tcW w:w="980" w:type="pct"/>
            <w:hideMark/>
          </w:tcPr>
          <w:p w14:paraId="3BF349AC" w14:textId="77777777" w:rsidR="00446511" w:rsidRPr="00E45C93" w:rsidRDefault="00446511" w:rsidP="005A425F">
            <w:pPr>
              <w:spacing w:line="360" w:lineRule="auto"/>
              <w:rPr>
                <w:sz w:val="20"/>
                <w:szCs w:val="20"/>
              </w:rPr>
            </w:pPr>
            <w:r w:rsidRPr="00E45C93">
              <w:rPr>
                <w:sz w:val="20"/>
                <w:szCs w:val="20"/>
              </w:rPr>
              <w:t>Computers/Software</w:t>
            </w:r>
          </w:p>
        </w:tc>
        <w:tc>
          <w:tcPr>
            <w:tcW w:w="474" w:type="pct"/>
            <w:hideMark/>
          </w:tcPr>
          <w:p w14:paraId="7F5E1BCE" w14:textId="77777777" w:rsidR="00446511" w:rsidRPr="00E45C93" w:rsidRDefault="00446511" w:rsidP="005A425F">
            <w:pPr>
              <w:spacing w:line="360" w:lineRule="auto"/>
              <w:rPr>
                <w:sz w:val="20"/>
                <w:szCs w:val="20"/>
              </w:rPr>
            </w:pPr>
            <w:r w:rsidRPr="00E45C93">
              <w:rPr>
                <w:sz w:val="20"/>
                <w:szCs w:val="20"/>
                <w:rtl/>
              </w:rPr>
              <w:t>₪18</w:t>
            </w:r>
            <w:r w:rsidRPr="00E45C93">
              <w:rPr>
                <w:sz w:val="20"/>
                <w:szCs w:val="20"/>
              </w:rPr>
              <w:t>,500</w:t>
            </w:r>
          </w:p>
        </w:tc>
        <w:tc>
          <w:tcPr>
            <w:tcW w:w="474" w:type="pct"/>
            <w:hideMark/>
          </w:tcPr>
          <w:p w14:paraId="585DA33F" w14:textId="77777777" w:rsidR="00446511" w:rsidRPr="00E45C93" w:rsidRDefault="00446511" w:rsidP="005A425F">
            <w:pPr>
              <w:spacing w:line="360" w:lineRule="auto"/>
              <w:rPr>
                <w:sz w:val="20"/>
                <w:szCs w:val="20"/>
              </w:rPr>
            </w:pPr>
            <w:r w:rsidRPr="00E45C93">
              <w:rPr>
                <w:sz w:val="20"/>
                <w:szCs w:val="20"/>
                <w:rtl/>
              </w:rPr>
              <w:t>₪0</w:t>
            </w:r>
          </w:p>
        </w:tc>
        <w:tc>
          <w:tcPr>
            <w:tcW w:w="472" w:type="pct"/>
            <w:hideMark/>
          </w:tcPr>
          <w:p w14:paraId="1B4C9A01" w14:textId="77777777" w:rsidR="00446511" w:rsidRPr="00E45C93" w:rsidRDefault="00446511" w:rsidP="005A425F">
            <w:pPr>
              <w:spacing w:line="360" w:lineRule="auto"/>
              <w:rPr>
                <w:sz w:val="20"/>
                <w:szCs w:val="20"/>
              </w:rPr>
            </w:pPr>
            <w:r w:rsidRPr="00E45C93">
              <w:rPr>
                <w:sz w:val="20"/>
                <w:szCs w:val="20"/>
                <w:rtl/>
              </w:rPr>
              <w:t>₪0</w:t>
            </w:r>
          </w:p>
        </w:tc>
        <w:tc>
          <w:tcPr>
            <w:tcW w:w="596" w:type="pct"/>
            <w:hideMark/>
          </w:tcPr>
          <w:p w14:paraId="64BCE457" w14:textId="77777777" w:rsidR="00446511" w:rsidRPr="00E45C93" w:rsidRDefault="00446511" w:rsidP="005A425F">
            <w:pPr>
              <w:spacing w:line="360" w:lineRule="auto"/>
              <w:rPr>
                <w:sz w:val="20"/>
                <w:szCs w:val="20"/>
              </w:rPr>
            </w:pPr>
            <w:r w:rsidRPr="00E45C93">
              <w:rPr>
                <w:sz w:val="20"/>
                <w:szCs w:val="20"/>
                <w:rtl/>
              </w:rPr>
              <w:t>₪5</w:t>
            </w:r>
            <w:r w:rsidRPr="00E45C93">
              <w:rPr>
                <w:sz w:val="20"/>
                <w:szCs w:val="20"/>
              </w:rPr>
              <w:t>,000</w:t>
            </w:r>
          </w:p>
        </w:tc>
        <w:tc>
          <w:tcPr>
            <w:tcW w:w="474" w:type="pct"/>
            <w:hideMark/>
          </w:tcPr>
          <w:p w14:paraId="3D90BE7D" w14:textId="77777777" w:rsidR="00446511" w:rsidRPr="00E45C93" w:rsidRDefault="00446511" w:rsidP="005A425F">
            <w:pPr>
              <w:spacing w:line="360" w:lineRule="auto"/>
              <w:rPr>
                <w:sz w:val="20"/>
                <w:szCs w:val="20"/>
              </w:rPr>
            </w:pPr>
            <w:r w:rsidRPr="00E45C93">
              <w:rPr>
                <w:sz w:val="20"/>
                <w:szCs w:val="20"/>
                <w:rtl/>
              </w:rPr>
              <w:t>₪5</w:t>
            </w:r>
            <w:r w:rsidRPr="00E45C93">
              <w:rPr>
                <w:sz w:val="20"/>
                <w:szCs w:val="20"/>
              </w:rPr>
              <w:t>,000</w:t>
            </w:r>
          </w:p>
        </w:tc>
        <w:tc>
          <w:tcPr>
            <w:tcW w:w="476" w:type="pct"/>
            <w:hideMark/>
          </w:tcPr>
          <w:p w14:paraId="74E895ED" w14:textId="77777777" w:rsidR="00446511" w:rsidRPr="00E45C93" w:rsidRDefault="00446511" w:rsidP="005A425F">
            <w:pPr>
              <w:spacing w:line="360" w:lineRule="auto"/>
              <w:rPr>
                <w:sz w:val="20"/>
                <w:szCs w:val="20"/>
              </w:rPr>
            </w:pPr>
            <w:r w:rsidRPr="00E45C93">
              <w:rPr>
                <w:sz w:val="20"/>
                <w:szCs w:val="20"/>
                <w:rtl/>
              </w:rPr>
              <w:t>₪28</w:t>
            </w:r>
            <w:r w:rsidRPr="00E45C93">
              <w:rPr>
                <w:sz w:val="20"/>
                <w:szCs w:val="20"/>
              </w:rPr>
              <w:t>,500</w:t>
            </w:r>
          </w:p>
        </w:tc>
        <w:tc>
          <w:tcPr>
            <w:tcW w:w="1054" w:type="pct"/>
            <w:hideMark/>
          </w:tcPr>
          <w:p w14:paraId="19CCA11B" w14:textId="77777777" w:rsidR="00446511" w:rsidRPr="00E45C93" w:rsidRDefault="00446511" w:rsidP="005A425F">
            <w:pPr>
              <w:spacing w:line="360" w:lineRule="auto"/>
              <w:rPr>
                <w:sz w:val="20"/>
                <w:szCs w:val="20"/>
              </w:rPr>
            </w:pPr>
            <w:r w:rsidRPr="00E45C93">
              <w:rPr>
                <w:sz w:val="20"/>
                <w:szCs w:val="20"/>
              </w:rPr>
              <w:t>Analysis software updates, computational needs</w:t>
            </w:r>
          </w:p>
        </w:tc>
      </w:tr>
      <w:tr w:rsidR="00CD322E" w:rsidRPr="00E45C93" w14:paraId="73D3828C" w14:textId="77777777" w:rsidTr="00CD322E">
        <w:tc>
          <w:tcPr>
            <w:tcW w:w="980" w:type="pct"/>
            <w:hideMark/>
          </w:tcPr>
          <w:p w14:paraId="639AE553" w14:textId="37897264" w:rsidR="00446511" w:rsidRPr="00E45C93" w:rsidRDefault="00446511" w:rsidP="005A425F">
            <w:pPr>
              <w:spacing w:line="360" w:lineRule="auto"/>
              <w:rPr>
                <w:sz w:val="20"/>
                <w:szCs w:val="20"/>
              </w:rPr>
            </w:pPr>
            <w:r w:rsidRPr="00E45C93">
              <w:rPr>
                <w:sz w:val="20"/>
                <w:szCs w:val="20"/>
              </w:rPr>
              <w:t>Microbiome Collection Kits</w:t>
            </w:r>
            <w:r w:rsidR="00997AC9">
              <w:rPr>
                <w:sz w:val="20"/>
                <w:szCs w:val="20"/>
              </w:rPr>
              <w:t>*</w:t>
            </w:r>
          </w:p>
        </w:tc>
        <w:tc>
          <w:tcPr>
            <w:tcW w:w="474" w:type="pct"/>
            <w:hideMark/>
          </w:tcPr>
          <w:p w14:paraId="485C7CA4" w14:textId="21710586" w:rsidR="00446511" w:rsidRPr="00E45C93" w:rsidRDefault="00446511" w:rsidP="005A425F">
            <w:pPr>
              <w:spacing w:line="360" w:lineRule="auto"/>
              <w:rPr>
                <w:sz w:val="20"/>
                <w:szCs w:val="20"/>
              </w:rPr>
            </w:pPr>
            <w:r w:rsidRPr="00E45C93">
              <w:rPr>
                <w:sz w:val="20"/>
                <w:szCs w:val="20"/>
                <w:rtl/>
              </w:rPr>
              <w:t>₪</w:t>
            </w:r>
            <w:r w:rsidR="00440951">
              <w:rPr>
                <w:sz w:val="20"/>
                <w:szCs w:val="20"/>
              </w:rPr>
              <w:t>0</w:t>
            </w:r>
          </w:p>
        </w:tc>
        <w:tc>
          <w:tcPr>
            <w:tcW w:w="474" w:type="pct"/>
            <w:hideMark/>
          </w:tcPr>
          <w:p w14:paraId="1F26711A" w14:textId="6237464A" w:rsidR="00446511" w:rsidRPr="00E45C93" w:rsidRDefault="00446511" w:rsidP="005A425F">
            <w:pPr>
              <w:spacing w:line="360" w:lineRule="auto"/>
              <w:rPr>
                <w:sz w:val="20"/>
                <w:szCs w:val="20"/>
              </w:rPr>
            </w:pPr>
            <w:r w:rsidRPr="00E45C93">
              <w:rPr>
                <w:sz w:val="20"/>
                <w:szCs w:val="20"/>
                <w:rtl/>
              </w:rPr>
              <w:t>₪</w:t>
            </w:r>
            <w:r w:rsidR="00E15D4F">
              <w:rPr>
                <w:sz w:val="20"/>
                <w:szCs w:val="20"/>
              </w:rPr>
              <w:t>0</w:t>
            </w:r>
          </w:p>
        </w:tc>
        <w:tc>
          <w:tcPr>
            <w:tcW w:w="472" w:type="pct"/>
            <w:hideMark/>
          </w:tcPr>
          <w:p w14:paraId="20CDBDE6" w14:textId="77777777" w:rsidR="00446511" w:rsidRPr="00E45C93" w:rsidRDefault="00446511" w:rsidP="005A425F">
            <w:pPr>
              <w:spacing w:line="360" w:lineRule="auto"/>
              <w:rPr>
                <w:sz w:val="20"/>
                <w:szCs w:val="20"/>
              </w:rPr>
            </w:pPr>
            <w:r w:rsidRPr="00E45C93">
              <w:rPr>
                <w:sz w:val="20"/>
                <w:szCs w:val="20"/>
                <w:rtl/>
              </w:rPr>
              <w:t>₪7</w:t>
            </w:r>
            <w:r w:rsidRPr="00E45C93">
              <w:rPr>
                <w:sz w:val="20"/>
                <w:szCs w:val="20"/>
              </w:rPr>
              <w:t>,400</w:t>
            </w:r>
          </w:p>
        </w:tc>
        <w:tc>
          <w:tcPr>
            <w:tcW w:w="596" w:type="pct"/>
            <w:hideMark/>
          </w:tcPr>
          <w:p w14:paraId="0FFAF706" w14:textId="77777777" w:rsidR="00446511" w:rsidRPr="00E45C93" w:rsidRDefault="00446511" w:rsidP="005A425F">
            <w:pPr>
              <w:spacing w:line="360" w:lineRule="auto"/>
              <w:rPr>
                <w:sz w:val="20"/>
                <w:szCs w:val="20"/>
              </w:rPr>
            </w:pPr>
            <w:r w:rsidRPr="00E45C93">
              <w:rPr>
                <w:sz w:val="20"/>
                <w:szCs w:val="20"/>
                <w:rtl/>
              </w:rPr>
              <w:t>₪3</w:t>
            </w:r>
            <w:r w:rsidRPr="00E45C93">
              <w:rPr>
                <w:sz w:val="20"/>
                <w:szCs w:val="20"/>
              </w:rPr>
              <w:t>,700</w:t>
            </w:r>
          </w:p>
        </w:tc>
        <w:tc>
          <w:tcPr>
            <w:tcW w:w="474" w:type="pct"/>
            <w:hideMark/>
          </w:tcPr>
          <w:p w14:paraId="29E36C2F" w14:textId="2935125C" w:rsidR="00446511" w:rsidRPr="00E45C93" w:rsidRDefault="00446511" w:rsidP="005A425F">
            <w:pPr>
              <w:spacing w:line="360" w:lineRule="auto"/>
              <w:rPr>
                <w:sz w:val="20"/>
                <w:szCs w:val="20"/>
              </w:rPr>
            </w:pPr>
            <w:r w:rsidRPr="00E45C93">
              <w:rPr>
                <w:sz w:val="20"/>
                <w:szCs w:val="20"/>
                <w:rtl/>
              </w:rPr>
              <w:t>₪</w:t>
            </w:r>
            <w:r w:rsidR="00E15D4F" w:rsidRPr="00E45C93">
              <w:rPr>
                <w:sz w:val="20"/>
                <w:szCs w:val="20"/>
                <w:rtl/>
              </w:rPr>
              <w:t>7</w:t>
            </w:r>
            <w:r w:rsidR="00E15D4F" w:rsidRPr="00E45C93">
              <w:rPr>
                <w:sz w:val="20"/>
                <w:szCs w:val="20"/>
              </w:rPr>
              <w:t>,400</w:t>
            </w:r>
          </w:p>
        </w:tc>
        <w:tc>
          <w:tcPr>
            <w:tcW w:w="476" w:type="pct"/>
            <w:hideMark/>
          </w:tcPr>
          <w:p w14:paraId="14BA1A19" w14:textId="66482C4A" w:rsidR="00446511" w:rsidRPr="00E45C93" w:rsidRDefault="00446511" w:rsidP="005A425F">
            <w:pPr>
              <w:spacing w:line="360" w:lineRule="auto"/>
              <w:rPr>
                <w:sz w:val="20"/>
                <w:szCs w:val="20"/>
              </w:rPr>
            </w:pPr>
            <w:r w:rsidRPr="00E45C93">
              <w:rPr>
                <w:sz w:val="20"/>
                <w:szCs w:val="20"/>
                <w:rtl/>
              </w:rPr>
              <w:t>₪</w:t>
            </w:r>
            <w:r w:rsidR="00440951">
              <w:rPr>
                <w:sz w:val="20"/>
                <w:szCs w:val="20"/>
              </w:rPr>
              <w:t>18</w:t>
            </w:r>
            <w:r w:rsidRPr="00E45C93">
              <w:rPr>
                <w:sz w:val="20"/>
                <w:szCs w:val="20"/>
              </w:rPr>
              <w:t>,</w:t>
            </w:r>
            <w:r w:rsidR="00440951">
              <w:rPr>
                <w:sz w:val="20"/>
                <w:szCs w:val="20"/>
              </w:rPr>
              <w:t>5</w:t>
            </w:r>
            <w:r w:rsidRPr="00E45C93">
              <w:rPr>
                <w:sz w:val="20"/>
                <w:szCs w:val="20"/>
              </w:rPr>
              <w:t>00</w:t>
            </w:r>
          </w:p>
        </w:tc>
        <w:tc>
          <w:tcPr>
            <w:tcW w:w="1054" w:type="pct"/>
            <w:hideMark/>
          </w:tcPr>
          <w:p w14:paraId="4287EE73" w14:textId="77777777" w:rsidR="00446511" w:rsidRPr="00E45C93" w:rsidRDefault="00446511" w:rsidP="005A425F">
            <w:pPr>
              <w:spacing w:line="360" w:lineRule="auto"/>
              <w:rPr>
                <w:sz w:val="20"/>
                <w:szCs w:val="20"/>
              </w:rPr>
            </w:pPr>
            <w:r w:rsidRPr="00E45C93">
              <w:rPr>
                <w:sz w:val="20"/>
                <w:szCs w:val="20"/>
              </w:rPr>
              <w:t>DNA extraction, storage, sequencing</w:t>
            </w:r>
          </w:p>
        </w:tc>
      </w:tr>
      <w:tr w:rsidR="00CD322E" w:rsidRPr="00E45C93" w14:paraId="13C5583A" w14:textId="77777777" w:rsidTr="00CD322E">
        <w:tc>
          <w:tcPr>
            <w:tcW w:w="980" w:type="pct"/>
            <w:hideMark/>
          </w:tcPr>
          <w:p w14:paraId="14442DB9" w14:textId="77777777" w:rsidR="00446511" w:rsidRPr="00E45C93" w:rsidRDefault="00446511" w:rsidP="005A425F">
            <w:pPr>
              <w:spacing w:line="360" w:lineRule="auto"/>
              <w:rPr>
                <w:sz w:val="20"/>
                <w:szCs w:val="20"/>
              </w:rPr>
            </w:pPr>
            <w:r w:rsidRPr="00E45C93">
              <w:rPr>
                <w:sz w:val="20"/>
                <w:szCs w:val="20"/>
              </w:rPr>
              <w:lastRenderedPageBreak/>
              <w:t>Blood Biomarker Kits</w:t>
            </w:r>
          </w:p>
        </w:tc>
        <w:tc>
          <w:tcPr>
            <w:tcW w:w="474" w:type="pct"/>
            <w:hideMark/>
          </w:tcPr>
          <w:p w14:paraId="169AC53C" w14:textId="77777777" w:rsidR="00446511" w:rsidRPr="00E45C93" w:rsidRDefault="00446511" w:rsidP="005A425F">
            <w:pPr>
              <w:spacing w:line="360" w:lineRule="auto"/>
              <w:rPr>
                <w:sz w:val="20"/>
                <w:szCs w:val="20"/>
              </w:rPr>
            </w:pPr>
            <w:r w:rsidRPr="00E45C93">
              <w:rPr>
                <w:sz w:val="20"/>
                <w:szCs w:val="20"/>
                <w:rtl/>
              </w:rPr>
              <w:t>₪18</w:t>
            </w:r>
            <w:r w:rsidRPr="00E45C93">
              <w:rPr>
                <w:sz w:val="20"/>
                <w:szCs w:val="20"/>
              </w:rPr>
              <w:t>,500</w:t>
            </w:r>
          </w:p>
        </w:tc>
        <w:tc>
          <w:tcPr>
            <w:tcW w:w="474" w:type="pct"/>
            <w:hideMark/>
          </w:tcPr>
          <w:p w14:paraId="4A8D5D06" w14:textId="77777777" w:rsidR="00446511" w:rsidRPr="00E45C93" w:rsidRDefault="00446511" w:rsidP="005A425F">
            <w:pPr>
              <w:spacing w:line="360" w:lineRule="auto"/>
              <w:rPr>
                <w:sz w:val="20"/>
                <w:szCs w:val="20"/>
              </w:rPr>
            </w:pPr>
            <w:r w:rsidRPr="00E45C93">
              <w:rPr>
                <w:sz w:val="20"/>
                <w:szCs w:val="20"/>
                <w:rtl/>
              </w:rPr>
              <w:t>₪18</w:t>
            </w:r>
            <w:r w:rsidRPr="00E45C93">
              <w:rPr>
                <w:sz w:val="20"/>
                <w:szCs w:val="20"/>
              </w:rPr>
              <w:t>,500</w:t>
            </w:r>
          </w:p>
        </w:tc>
        <w:tc>
          <w:tcPr>
            <w:tcW w:w="472" w:type="pct"/>
            <w:hideMark/>
          </w:tcPr>
          <w:p w14:paraId="2C367AEF" w14:textId="77777777" w:rsidR="00446511" w:rsidRPr="00E45C93" w:rsidRDefault="00446511" w:rsidP="005A425F">
            <w:pPr>
              <w:spacing w:line="360" w:lineRule="auto"/>
              <w:rPr>
                <w:sz w:val="20"/>
                <w:szCs w:val="20"/>
              </w:rPr>
            </w:pPr>
            <w:r w:rsidRPr="00E45C93">
              <w:rPr>
                <w:sz w:val="20"/>
                <w:szCs w:val="20"/>
                <w:rtl/>
              </w:rPr>
              <w:t>₪18</w:t>
            </w:r>
            <w:r w:rsidRPr="00E45C93">
              <w:rPr>
                <w:sz w:val="20"/>
                <w:szCs w:val="20"/>
              </w:rPr>
              <w:t>,500</w:t>
            </w:r>
          </w:p>
        </w:tc>
        <w:tc>
          <w:tcPr>
            <w:tcW w:w="596" w:type="pct"/>
            <w:hideMark/>
          </w:tcPr>
          <w:p w14:paraId="4116EECD" w14:textId="77777777" w:rsidR="00446511" w:rsidRPr="00E45C93" w:rsidRDefault="00446511" w:rsidP="005A425F">
            <w:pPr>
              <w:spacing w:line="360" w:lineRule="auto"/>
              <w:rPr>
                <w:sz w:val="20"/>
                <w:szCs w:val="20"/>
              </w:rPr>
            </w:pPr>
            <w:r w:rsidRPr="00E45C93">
              <w:rPr>
                <w:sz w:val="20"/>
                <w:szCs w:val="20"/>
                <w:rtl/>
              </w:rPr>
              <w:t>₪7</w:t>
            </w:r>
            <w:r w:rsidRPr="00E45C93">
              <w:rPr>
                <w:sz w:val="20"/>
                <w:szCs w:val="20"/>
              </w:rPr>
              <w:t>,400</w:t>
            </w:r>
          </w:p>
        </w:tc>
        <w:tc>
          <w:tcPr>
            <w:tcW w:w="474" w:type="pct"/>
            <w:hideMark/>
          </w:tcPr>
          <w:p w14:paraId="27D40F5B" w14:textId="77777777" w:rsidR="00446511" w:rsidRPr="00E45C93" w:rsidRDefault="00446511" w:rsidP="005A425F">
            <w:pPr>
              <w:spacing w:line="360" w:lineRule="auto"/>
              <w:rPr>
                <w:sz w:val="20"/>
                <w:szCs w:val="20"/>
              </w:rPr>
            </w:pPr>
            <w:r w:rsidRPr="00E45C93">
              <w:rPr>
                <w:sz w:val="20"/>
                <w:szCs w:val="20"/>
                <w:rtl/>
              </w:rPr>
              <w:t>₪0</w:t>
            </w:r>
          </w:p>
        </w:tc>
        <w:tc>
          <w:tcPr>
            <w:tcW w:w="476" w:type="pct"/>
            <w:hideMark/>
          </w:tcPr>
          <w:p w14:paraId="0D5DEA95" w14:textId="77777777" w:rsidR="00446511" w:rsidRPr="00E45C93" w:rsidRDefault="00446511" w:rsidP="005A425F">
            <w:pPr>
              <w:spacing w:line="360" w:lineRule="auto"/>
              <w:rPr>
                <w:sz w:val="20"/>
                <w:szCs w:val="20"/>
              </w:rPr>
            </w:pPr>
            <w:r w:rsidRPr="00E45C93">
              <w:rPr>
                <w:sz w:val="20"/>
                <w:szCs w:val="20"/>
                <w:rtl/>
              </w:rPr>
              <w:t>₪62</w:t>
            </w:r>
            <w:r w:rsidRPr="00E45C93">
              <w:rPr>
                <w:sz w:val="20"/>
                <w:szCs w:val="20"/>
              </w:rPr>
              <w:t>,900</w:t>
            </w:r>
          </w:p>
        </w:tc>
        <w:tc>
          <w:tcPr>
            <w:tcW w:w="1054" w:type="pct"/>
            <w:hideMark/>
          </w:tcPr>
          <w:p w14:paraId="66FD0568" w14:textId="77777777" w:rsidR="00446511" w:rsidRPr="00E45C93" w:rsidRDefault="00446511" w:rsidP="005A425F">
            <w:pPr>
              <w:spacing w:line="360" w:lineRule="auto"/>
              <w:rPr>
                <w:sz w:val="20"/>
                <w:szCs w:val="20"/>
              </w:rPr>
            </w:pPr>
            <w:r w:rsidRPr="00E45C93">
              <w:rPr>
                <w:sz w:val="20"/>
                <w:szCs w:val="20"/>
              </w:rPr>
              <w:t>Cytokine assays, immune profiling kits</w:t>
            </w:r>
          </w:p>
        </w:tc>
      </w:tr>
      <w:tr w:rsidR="00CD322E" w:rsidRPr="00E45C93" w14:paraId="00BD270D" w14:textId="77777777" w:rsidTr="00CD322E">
        <w:tc>
          <w:tcPr>
            <w:tcW w:w="980" w:type="pct"/>
            <w:hideMark/>
          </w:tcPr>
          <w:p w14:paraId="14D65CB3" w14:textId="77777777" w:rsidR="00446511" w:rsidRPr="00E45C93" w:rsidRDefault="00446511" w:rsidP="005A425F">
            <w:pPr>
              <w:spacing w:line="360" w:lineRule="auto"/>
              <w:rPr>
                <w:sz w:val="20"/>
                <w:szCs w:val="20"/>
              </w:rPr>
            </w:pPr>
            <w:r w:rsidRPr="00E45C93">
              <w:rPr>
                <w:sz w:val="20"/>
                <w:szCs w:val="20"/>
              </w:rPr>
              <w:t>Participant Incentives</w:t>
            </w:r>
          </w:p>
        </w:tc>
        <w:tc>
          <w:tcPr>
            <w:tcW w:w="474" w:type="pct"/>
            <w:hideMark/>
          </w:tcPr>
          <w:p w14:paraId="7EAEF845" w14:textId="77777777" w:rsidR="00446511" w:rsidRPr="00E45C93" w:rsidRDefault="00446511" w:rsidP="005A425F">
            <w:pPr>
              <w:spacing w:line="360" w:lineRule="auto"/>
              <w:rPr>
                <w:sz w:val="20"/>
                <w:szCs w:val="20"/>
              </w:rPr>
            </w:pPr>
            <w:r w:rsidRPr="00E45C93">
              <w:rPr>
                <w:sz w:val="20"/>
                <w:szCs w:val="20"/>
                <w:rtl/>
              </w:rPr>
              <w:t>₪27</w:t>
            </w:r>
            <w:r w:rsidRPr="00E45C93">
              <w:rPr>
                <w:sz w:val="20"/>
                <w:szCs w:val="20"/>
              </w:rPr>
              <w:t>,750</w:t>
            </w:r>
          </w:p>
        </w:tc>
        <w:tc>
          <w:tcPr>
            <w:tcW w:w="474" w:type="pct"/>
            <w:hideMark/>
          </w:tcPr>
          <w:p w14:paraId="19776694" w14:textId="77777777" w:rsidR="00446511" w:rsidRPr="00E45C93" w:rsidRDefault="00446511" w:rsidP="005A425F">
            <w:pPr>
              <w:spacing w:line="360" w:lineRule="auto"/>
              <w:rPr>
                <w:sz w:val="20"/>
                <w:szCs w:val="20"/>
              </w:rPr>
            </w:pPr>
            <w:r w:rsidRPr="00E45C93">
              <w:rPr>
                <w:sz w:val="20"/>
                <w:szCs w:val="20"/>
                <w:rtl/>
              </w:rPr>
              <w:t>₪27</w:t>
            </w:r>
            <w:r w:rsidRPr="00E45C93">
              <w:rPr>
                <w:sz w:val="20"/>
                <w:szCs w:val="20"/>
              </w:rPr>
              <w:t>,750</w:t>
            </w:r>
          </w:p>
        </w:tc>
        <w:tc>
          <w:tcPr>
            <w:tcW w:w="472" w:type="pct"/>
            <w:hideMark/>
          </w:tcPr>
          <w:p w14:paraId="14A70AD1" w14:textId="77777777" w:rsidR="00446511" w:rsidRPr="00E45C93" w:rsidRDefault="00446511" w:rsidP="005A425F">
            <w:pPr>
              <w:spacing w:line="360" w:lineRule="auto"/>
              <w:rPr>
                <w:sz w:val="20"/>
                <w:szCs w:val="20"/>
              </w:rPr>
            </w:pPr>
            <w:r w:rsidRPr="00E45C93">
              <w:rPr>
                <w:sz w:val="20"/>
                <w:szCs w:val="20"/>
                <w:rtl/>
              </w:rPr>
              <w:t>₪18</w:t>
            </w:r>
            <w:r w:rsidRPr="00E45C93">
              <w:rPr>
                <w:sz w:val="20"/>
                <w:szCs w:val="20"/>
              </w:rPr>
              <w:t>,500</w:t>
            </w:r>
          </w:p>
        </w:tc>
        <w:tc>
          <w:tcPr>
            <w:tcW w:w="596" w:type="pct"/>
            <w:hideMark/>
          </w:tcPr>
          <w:p w14:paraId="6756BF9A" w14:textId="77777777" w:rsidR="00446511" w:rsidRPr="00E45C93" w:rsidRDefault="00446511" w:rsidP="005A425F">
            <w:pPr>
              <w:spacing w:line="360" w:lineRule="auto"/>
              <w:rPr>
                <w:sz w:val="20"/>
                <w:szCs w:val="20"/>
              </w:rPr>
            </w:pPr>
            <w:r w:rsidRPr="00E45C93">
              <w:rPr>
                <w:sz w:val="20"/>
                <w:szCs w:val="20"/>
                <w:rtl/>
              </w:rPr>
              <w:t>₪9</w:t>
            </w:r>
            <w:r w:rsidRPr="00E45C93">
              <w:rPr>
                <w:sz w:val="20"/>
                <w:szCs w:val="20"/>
              </w:rPr>
              <w:t>,250</w:t>
            </w:r>
          </w:p>
        </w:tc>
        <w:tc>
          <w:tcPr>
            <w:tcW w:w="474" w:type="pct"/>
            <w:hideMark/>
          </w:tcPr>
          <w:p w14:paraId="06016252" w14:textId="77777777" w:rsidR="00446511" w:rsidRPr="00E45C93" w:rsidRDefault="00446511" w:rsidP="005A425F">
            <w:pPr>
              <w:spacing w:line="360" w:lineRule="auto"/>
              <w:rPr>
                <w:sz w:val="20"/>
                <w:szCs w:val="20"/>
              </w:rPr>
            </w:pPr>
            <w:r w:rsidRPr="00E45C93">
              <w:rPr>
                <w:sz w:val="20"/>
                <w:szCs w:val="20"/>
                <w:rtl/>
              </w:rPr>
              <w:t>₪0</w:t>
            </w:r>
          </w:p>
        </w:tc>
        <w:tc>
          <w:tcPr>
            <w:tcW w:w="476" w:type="pct"/>
            <w:hideMark/>
          </w:tcPr>
          <w:p w14:paraId="7E25A26D" w14:textId="77777777" w:rsidR="00446511" w:rsidRPr="00E45C93" w:rsidRDefault="00446511" w:rsidP="005A425F">
            <w:pPr>
              <w:spacing w:line="360" w:lineRule="auto"/>
              <w:rPr>
                <w:sz w:val="20"/>
                <w:szCs w:val="20"/>
              </w:rPr>
            </w:pPr>
            <w:r w:rsidRPr="00E45C93">
              <w:rPr>
                <w:sz w:val="20"/>
                <w:szCs w:val="20"/>
                <w:rtl/>
              </w:rPr>
              <w:t>₪83</w:t>
            </w:r>
            <w:r w:rsidRPr="00E45C93">
              <w:rPr>
                <w:sz w:val="20"/>
                <w:szCs w:val="20"/>
              </w:rPr>
              <w:t>,250</w:t>
            </w:r>
          </w:p>
        </w:tc>
        <w:tc>
          <w:tcPr>
            <w:tcW w:w="1054" w:type="pct"/>
            <w:hideMark/>
          </w:tcPr>
          <w:p w14:paraId="04D52A1C" w14:textId="77777777" w:rsidR="00446511" w:rsidRPr="00E45C93" w:rsidRDefault="00446511" w:rsidP="005A425F">
            <w:pPr>
              <w:spacing w:line="360" w:lineRule="auto"/>
              <w:rPr>
                <w:sz w:val="20"/>
                <w:szCs w:val="20"/>
              </w:rPr>
            </w:pPr>
            <w:r w:rsidRPr="00E45C93">
              <w:rPr>
                <w:sz w:val="20"/>
                <w:szCs w:val="20"/>
              </w:rPr>
              <w:t>~</w:t>
            </w:r>
            <w:r w:rsidRPr="00E45C93">
              <w:rPr>
                <w:sz w:val="20"/>
                <w:szCs w:val="20"/>
                <w:rtl/>
              </w:rPr>
              <w:t xml:space="preserve">₪185 </w:t>
            </w:r>
            <w:r w:rsidRPr="00E45C93">
              <w:rPr>
                <w:sz w:val="20"/>
                <w:szCs w:val="20"/>
              </w:rPr>
              <w:t>per participant across ~450 participant-visits</w:t>
            </w:r>
          </w:p>
        </w:tc>
      </w:tr>
      <w:tr w:rsidR="00CD322E" w:rsidRPr="00E45C93" w14:paraId="79AC9F58" w14:textId="77777777" w:rsidTr="00CD322E">
        <w:tc>
          <w:tcPr>
            <w:tcW w:w="980" w:type="pct"/>
            <w:hideMark/>
          </w:tcPr>
          <w:p w14:paraId="738FDE02" w14:textId="77777777" w:rsidR="00446511" w:rsidRPr="00E45C93" w:rsidRDefault="00446511" w:rsidP="005A425F">
            <w:pPr>
              <w:spacing w:line="360" w:lineRule="auto"/>
              <w:rPr>
                <w:sz w:val="20"/>
                <w:szCs w:val="20"/>
              </w:rPr>
            </w:pPr>
            <w:r w:rsidRPr="00E45C93">
              <w:rPr>
                <w:sz w:val="20"/>
                <w:szCs w:val="20"/>
              </w:rPr>
              <w:t>Travel for Presentations</w:t>
            </w:r>
          </w:p>
        </w:tc>
        <w:tc>
          <w:tcPr>
            <w:tcW w:w="474" w:type="pct"/>
            <w:hideMark/>
          </w:tcPr>
          <w:p w14:paraId="7144ED15" w14:textId="77777777" w:rsidR="00446511" w:rsidRPr="00E45C93" w:rsidRDefault="00446511" w:rsidP="005A425F">
            <w:pPr>
              <w:spacing w:line="360" w:lineRule="auto"/>
              <w:rPr>
                <w:sz w:val="20"/>
                <w:szCs w:val="20"/>
              </w:rPr>
            </w:pPr>
            <w:r w:rsidRPr="00E45C93">
              <w:rPr>
                <w:sz w:val="20"/>
                <w:szCs w:val="20"/>
                <w:rtl/>
              </w:rPr>
              <w:t>₪0</w:t>
            </w:r>
          </w:p>
        </w:tc>
        <w:tc>
          <w:tcPr>
            <w:tcW w:w="474" w:type="pct"/>
            <w:hideMark/>
          </w:tcPr>
          <w:p w14:paraId="7C483BD5" w14:textId="77777777" w:rsidR="00446511" w:rsidRPr="00E45C93" w:rsidRDefault="00446511" w:rsidP="005A425F">
            <w:pPr>
              <w:spacing w:line="360" w:lineRule="auto"/>
              <w:rPr>
                <w:sz w:val="20"/>
                <w:szCs w:val="20"/>
              </w:rPr>
            </w:pPr>
            <w:r w:rsidRPr="00E45C93">
              <w:rPr>
                <w:sz w:val="20"/>
                <w:szCs w:val="20"/>
                <w:rtl/>
              </w:rPr>
              <w:t>₪9</w:t>
            </w:r>
            <w:r w:rsidRPr="00E45C93">
              <w:rPr>
                <w:sz w:val="20"/>
                <w:szCs w:val="20"/>
              </w:rPr>
              <w:t>,250</w:t>
            </w:r>
          </w:p>
        </w:tc>
        <w:tc>
          <w:tcPr>
            <w:tcW w:w="472" w:type="pct"/>
            <w:hideMark/>
          </w:tcPr>
          <w:p w14:paraId="7A2C484C" w14:textId="77777777" w:rsidR="00446511" w:rsidRPr="00E45C93" w:rsidRDefault="00446511" w:rsidP="005A425F">
            <w:pPr>
              <w:spacing w:line="360" w:lineRule="auto"/>
              <w:rPr>
                <w:sz w:val="20"/>
                <w:szCs w:val="20"/>
              </w:rPr>
            </w:pPr>
            <w:r w:rsidRPr="00E45C93">
              <w:rPr>
                <w:sz w:val="20"/>
                <w:szCs w:val="20"/>
                <w:rtl/>
              </w:rPr>
              <w:t>₪9</w:t>
            </w:r>
            <w:r w:rsidRPr="00E45C93">
              <w:rPr>
                <w:sz w:val="20"/>
                <w:szCs w:val="20"/>
              </w:rPr>
              <w:t>,250</w:t>
            </w:r>
          </w:p>
        </w:tc>
        <w:tc>
          <w:tcPr>
            <w:tcW w:w="596" w:type="pct"/>
            <w:hideMark/>
          </w:tcPr>
          <w:p w14:paraId="0FDE776F" w14:textId="77777777" w:rsidR="00446511" w:rsidRPr="00E45C93" w:rsidRDefault="00446511" w:rsidP="005A425F">
            <w:pPr>
              <w:spacing w:line="360" w:lineRule="auto"/>
              <w:rPr>
                <w:sz w:val="20"/>
                <w:szCs w:val="20"/>
              </w:rPr>
            </w:pPr>
            <w:r w:rsidRPr="00E45C93">
              <w:rPr>
                <w:sz w:val="20"/>
                <w:szCs w:val="20"/>
                <w:rtl/>
              </w:rPr>
              <w:t>₪9</w:t>
            </w:r>
            <w:r w:rsidRPr="00E45C93">
              <w:rPr>
                <w:sz w:val="20"/>
                <w:szCs w:val="20"/>
              </w:rPr>
              <w:t>,250</w:t>
            </w:r>
          </w:p>
        </w:tc>
        <w:tc>
          <w:tcPr>
            <w:tcW w:w="474" w:type="pct"/>
            <w:hideMark/>
          </w:tcPr>
          <w:p w14:paraId="64989F7C" w14:textId="77777777" w:rsidR="00446511" w:rsidRPr="00E45C93" w:rsidRDefault="00446511" w:rsidP="005A425F">
            <w:pPr>
              <w:spacing w:line="360" w:lineRule="auto"/>
              <w:rPr>
                <w:sz w:val="20"/>
                <w:szCs w:val="20"/>
              </w:rPr>
            </w:pPr>
            <w:r w:rsidRPr="00E45C93">
              <w:rPr>
                <w:sz w:val="20"/>
                <w:szCs w:val="20"/>
                <w:rtl/>
              </w:rPr>
              <w:t>₪9</w:t>
            </w:r>
            <w:r w:rsidRPr="00E45C93">
              <w:rPr>
                <w:sz w:val="20"/>
                <w:szCs w:val="20"/>
              </w:rPr>
              <w:t>,250</w:t>
            </w:r>
          </w:p>
        </w:tc>
        <w:tc>
          <w:tcPr>
            <w:tcW w:w="476" w:type="pct"/>
            <w:hideMark/>
          </w:tcPr>
          <w:p w14:paraId="4E2B40CC" w14:textId="77777777" w:rsidR="00446511" w:rsidRPr="00E45C93" w:rsidRDefault="00446511" w:rsidP="005A425F">
            <w:pPr>
              <w:spacing w:line="360" w:lineRule="auto"/>
              <w:rPr>
                <w:sz w:val="20"/>
                <w:szCs w:val="20"/>
              </w:rPr>
            </w:pPr>
            <w:r w:rsidRPr="00E45C93">
              <w:rPr>
                <w:sz w:val="20"/>
                <w:szCs w:val="20"/>
                <w:rtl/>
              </w:rPr>
              <w:t>₪37</w:t>
            </w:r>
            <w:r w:rsidRPr="00E45C93">
              <w:rPr>
                <w:sz w:val="20"/>
                <w:szCs w:val="20"/>
              </w:rPr>
              <w:t>,000</w:t>
            </w:r>
          </w:p>
        </w:tc>
        <w:tc>
          <w:tcPr>
            <w:tcW w:w="1054" w:type="pct"/>
            <w:hideMark/>
          </w:tcPr>
          <w:p w14:paraId="6C61A966" w14:textId="77777777" w:rsidR="00446511" w:rsidRPr="00E45C93" w:rsidRDefault="00446511" w:rsidP="005A425F">
            <w:pPr>
              <w:spacing w:line="360" w:lineRule="auto"/>
              <w:rPr>
                <w:sz w:val="20"/>
                <w:szCs w:val="20"/>
              </w:rPr>
            </w:pPr>
            <w:r w:rsidRPr="00E45C93">
              <w:rPr>
                <w:sz w:val="20"/>
                <w:szCs w:val="20"/>
              </w:rPr>
              <w:t>National and international conference participation</w:t>
            </w:r>
          </w:p>
        </w:tc>
      </w:tr>
      <w:tr w:rsidR="00CD322E" w:rsidRPr="00E45C93" w14:paraId="2DEB5848" w14:textId="77777777" w:rsidTr="00CD322E">
        <w:tc>
          <w:tcPr>
            <w:tcW w:w="980" w:type="pct"/>
            <w:hideMark/>
          </w:tcPr>
          <w:p w14:paraId="6E69E562" w14:textId="77777777" w:rsidR="00446511" w:rsidRPr="00E45C93" w:rsidRDefault="00446511" w:rsidP="005A425F">
            <w:pPr>
              <w:spacing w:line="360" w:lineRule="auto"/>
              <w:rPr>
                <w:sz w:val="20"/>
                <w:szCs w:val="20"/>
              </w:rPr>
            </w:pPr>
            <w:r w:rsidRPr="00E45C93">
              <w:rPr>
                <w:sz w:val="20"/>
                <w:szCs w:val="20"/>
              </w:rPr>
              <w:t>Contingency Fund</w:t>
            </w:r>
          </w:p>
        </w:tc>
        <w:tc>
          <w:tcPr>
            <w:tcW w:w="474" w:type="pct"/>
            <w:hideMark/>
          </w:tcPr>
          <w:p w14:paraId="6F91C886" w14:textId="77777777" w:rsidR="00446511" w:rsidRPr="00E45C93" w:rsidRDefault="00446511" w:rsidP="005A425F">
            <w:pPr>
              <w:spacing w:line="360" w:lineRule="auto"/>
              <w:rPr>
                <w:sz w:val="20"/>
                <w:szCs w:val="20"/>
              </w:rPr>
            </w:pPr>
            <w:r w:rsidRPr="00E45C93">
              <w:rPr>
                <w:sz w:val="20"/>
                <w:szCs w:val="20"/>
                <w:rtl/>
              </w:rPr>
              <w:t>₪6</w:t>
            </w:r>
            <w:r w:rsidRPr="00E45C93">
              <w:rPr>
                <w:sz w:val="20"/>
                <w:szCs w:val="20"/>
              </w:rPr>
              <w:t>,167</w:t>
            </w:r>
          </w:p>
        </w:tc>
        <w:tc>
          <w:tcPr>
            <w:tcW w:w="474" w:type="pct"/>
            <w:hideMark/>
          </w:tcPr>
          <w:p w14:paraId="46C6BA7C" w14:textId="77777777" w:rsidR="00446511" w:rsidRPr="00E45C93" w:rsidRDefault="00446511" w:rsidP="005A425F">
            <w:pPr>
              <w:spacing w:line="360" w:lineRule="auto"/>
              <w:rPr>
                <w:sz w:val="20"/>
                <w:szCs w:val="20"/>
              </w:rPr>
            </w:pPr>
            <w:r w:rsidRPr="00E45C93">
              <w:rPr>
                <w:sz w:val="20"/>
                <w:szCs w:val="20"/>
                <w:rtl/>
              </w:rPr>
              <w:t>₪6</w:t>
            </w:r>
            <w:r w:rsidRPr="00E45C93">
              <w:rPr>
                <w:sz w:val="20"/>
                <w:szCs w:val="20"/>
              </w:rPr>
              <w:t>,167</w:t>
            </w:r>
          </w:p>
        </w:tc>
        <w:tc>
          <w:tcPr>
            <w:tcW w:w="472" w:type="pct"/>
            <w:hideMark/>
          </w:tcPr>
          <w:p w14:paraId="50ECFFFC" w14:textId="77777777" w:rsidR="00446511" w:rsidRPr="00E45C93" w:rsidRDefault="00446511" w:rsidP="005A425F">
            <w:pPr>
              <w:spacing w:line="360" w:lineRule="auto"/>
              <w:rPr>
                <w:sz w:val="20"/>
                <w:szCs w:val="20"/>
              </w:rPr>
            </w:pPr>
            <w:r w:rsidRPr="00E45C93">
              <w:rPr>
                <w:sz w:val="20"/>
                <w:szCs w:val="20"/>
                <w:rtl/>
              </w:rPr>
              <w:t>₪6</w:t>
            </w:r>
            <w:r w:rsidRPr="00E45C93">
              <w:rPr>
                <w:sz w:val="20"/>
                <w:szCs w:val="20"/>
              </w:rPr>
              <w:t>,166</w:t>
            </w:r>
          </w:p>
        </w:tc>
        <w:tc>
          <w:tcPr>
            <w:tcW w:w="596" w:type="pct"/>
            <w:hideMark/>
          </w:tcPr>
          <w:p w14:paraId="2F2557B1" w14:textId="77777777" w:rsidR="00446511" w:rsidRPr="00E45C93" w:rsidRDefault="00446511" w:rsidP="005A425F">
            <w:pPr>
              <w:spacing w:line="360" w:lineRule="auto"/>
              <w:rPr>
                <w:sz w:val="20"/>
                <w:szCs w:val="20"/>
              </w:rPr>
            </w:pPr>
            <w:r w:rsidRPr="00E45C93">
              <w:rPr>
                <w:sz w:val="20"/>
                <w:szCs w:val="20"/>
                <w:rtl/>
              </w:rPr>
              <w:t>₪6</w:t>
            </w:r>
            <w:r w:rsidRPr="00E45C93">
              <w:rPr>
                <w:sz w:val="20"/>
                <w:szCs w:val="20"/>
              </w:rPr>
              <w:t>,166</w:t>
            </w:r>
          </w:p>
        </w:tc>
        <w:tc>
          <w:tcPr>
            <w:tcW w:w="474" w:type="pct"/>
            <w:hideMark/>
          </w:tcPr>
          <w:p w14:paraId="46A1DF6B" w14:textId="77777777" w:rsidR="00446511" w:rsidRPr="00E45C93" w:rsidRDefault="00446511" w:rsidP="005A425F">
            <w:pPr>
              <w:spacing w:line="360" w:lineRule="auto"/>
              <w:rPr>
                <w:sz w:val="20"/>
                <w:szCs w:val="20"/>
              </w:rPr>
            </w:pPr>
            <w:r w:rsidRPr="00E45C93">
              <w:rPr>
                <w:sz w:val="20"/>
                <w:szCs w:val="20"/>
                <w:rtl/>
              </w:rPr>
              <w:t>₪6</w:t>
            </w:r>
            <w:r w:rsidRPr="00E45C93">
              <w:rPr>
                <w:sz w:val="20"/>
                <w:szCs w:val="20"/>
              </w:rPr>
              <w:t>,166</w:t>
            </w:r>
          </w:p>
        </w:tc>
        <w:tc>
          <w:tcPr>
            <w:tcW w:w="476" w:type="pct"/>
            <w:hideMark/>
          </w:tcPr>
          <w:p w14:paraId="4B04D59A" w14:textId="77777777" w:rsidR="00446511" w:rsidRPr="00E45C93" w:rsidRDefault="00446511" w:rsidP="005A425F">
            <w:pPr>
              <w:spacing w:line="360" w:lineRule="auto"/>
              <w:rPr>
                <w:sz w:val="20"/>
                <w:szCs w:val="20"/>
              </w:rPr>
            </w:pPr>
            <w:r w:rsidRPr="00E45C93">
              <w:rPr>
                <w:sz w:val="20"/>
                <w:szCs w:val="20"/>
                <w:rtl/>
              </w:rPr>
              <w:t>₪30</w:t>
            </w:r>
            <w:r w:rsidRPr="00E45C93">
              <w:rPr>
                <w:sz w:val="20"/>
                <w:szCs w:val="20"/>
              </w:rPr>
              <w:t>,832</w:t>
            </w:r>
          </w:p>
        </w:tc>
        <w:tc>
          <w:tcPr>
            <w:tcW w:w="1054" w:type="pct"/>
            <w:hideMark/>
          </w:tcPr>
          <w:p w14:paraId="13834499" w14:textId="77777777" w:rsidR="00446511" w:rsidRPr="00E45C93" w:rsidRDefault="00446511" w:rsidP="005A425F">
            <w:pPr>
              <w:spacing w:line="360" w:lineRule="auto"/>
              <w:rPr>
                <w:sz w:val="20"/>
                <w:szCs w:val="20"/>
              </w:rPr>
            </w:pPr>
            <w:r w:rsidRPr="00E45C93">
              <w:rPr>
                <w:sz w:val="20"/>
                <w:szCs w:val="20"/>
              </w:rPr>
              <w:t>Unforeseen costs (sample loss, repairs, replacements)</w:t>
            </w:r>
          </w:p>
        </w:tc>
      </w:tr>
      <w:tr w:rsidR="00CD322E" w:rsidRPr="00E45C93" w14:paraId="6E577B43" w14:textId="77777777" w:rsidTr="00CD322E">
        <w:tc>
          <w:tcPr>
            <w:tcW w:w="980" w:type="pct"/>
          </w:tcPr>
          <w:p w14:paraId="07C6C599" w14:textId="31289408" w:rsidR="00CD322E" w:rsidRPr="00E45C93" w:rsidRDefault="00CD322E" w:rsidP="005A425F">
            <w:pPr>
              <w:spacing w:line="360" w:lineRule="auto"/>
              <w:rPr>
                <w:sz w:val="20"/>
                <w:szCs w:val="20"/>
              </w:rPr>
            </w:pPr>
            <w:r w:rsidRPr="00CD322E">
              <w:rPr>
                <w:sz w:val="20"/>
                <w:szCs w:val="20"/>
              </w:rPr>
              <w:t>Statistical/Biostatistical Consultant</w:t>
            </w:r>
          </w:p>
        </w:tc>
        <w:tc>
          <w:tcPr>
            <w:tcW w:w="474" w:type="pct"/>
          </w:tcPr>
          <w:p w14:paraId="6F9720F9" w14:textId="7E010E81" w:rsidR="00CD322E" w:rsidRPr="00E45C93" w:rsidRDefault="00CD322E" w:rsidP="005A425F">
            <w:pPr>
              <w:spacing w:line="360" w:lineRule="auto"/>
              <w:rPr>
                <w:sz w:val="20"/>
                <w:szCs w:val="20"/>
                <w:rtl/>
              </w:rPr>
            </w:pPr>
            <w:r w:rsidRPr="00E45C93">
              <w:rPr>
                <w:sz w:val="20"/>
                <w:szCs w:val="20"/>
                <w:rtl/>
              </w:rPr>
              <w:t>₪0</w:t>
            </w:r>
          </w:p>
        </w:tc>
        <w:tc>
          <w:tcPr>
            <w:tcW w:w="474" w:type="pct"/>
          </w:tcPr>
          <w:p w14:paraId="13D8D89C" w14:textId="0996715D" w:rsidR="00CD322E" w:rsidRPr="00E45C93" w:rsidRDefault="00CD322E" w:rsidP="005A425F">
            <w:pPr>
              <w:spacing w:line="360" w:lineRule="auto"/>
              <w:rPr>
                <w:sz w:val="20"/>
                <w:szCs w:val="20"/>
                <w:rtl/>
              </w:rPr>
            </w:pPr>
            <w:r w:rsidRPr="00E45C93">
              <w:rPr>
                <w:sz w:val="20"/>
                <w:szCs w:val="20"/>
                <w:rtl/>
              </w:rPr>
              <w:t>₪0</w:t>
            </w:r>
          </w:p>
        </w:tc>
        <w:tc>
          <w:tcPr>
            <w:tcW w:w="472" w:type="pct"/>
          </w:tcPr>
          <w:p w14:paraId="00FA9EBC" w14:textId="6B87B20F" w:rsidR="00CD322E" w:rsidRPr="00E45C93" w:rsidRDefault="00CD322E" w:rsidP="005A425F">
            <w:pPr>
              <w:spacing w:line="360" w:lineRule="auto"/>
              <w:rPr>
                <w:sz w:val="20"/>
                <w:szCs w:val="20"/>
                <w:rtl/>
              </w:rPr>
            </w:pPr>
            <w:r w:rsidRPr="00E45C93">
              <w:rPr>
                <w:sz w:val="20"/>
                <w:szCs w:val="20"/>
                <w:rtl/>
              </w:rPr>
              <w:t>₪0</w:t>
            </w:r>
          </w:p>
        </w:tc>
        <w:tc>
          <w:tcPr>
            <w:tcW w:w="596" w:type="pct"/>
          </w:tcPr>
          <w:p w14:paraId="3AE2AEA7" w14:textId="77777777" w:rsidR="00CD322E" w:rsidRPr="00CD322E" w:rsidRDefault="00CD322E" w:rsidP="005A425F">
            <w:pPr>
              <w:spacing w:line="360" w:lineRule="auto"/>
              <w:rPr>
                <w:sz w:val="20"/>
                <w:szCs w:val="20"/>
              </w:rPr>
            </w:pPr>
            <w:r w:rsidRPr="00CD322E">
              <w:rPr>
                <w:sz w:val="20"/>
                <w:szCs w:val="20"/>
                <w:rtl/>
              </w:rPr>
              <w:t>₪9</w:t>
            </w:r>
            <w:r w:rsidRPr="00CD322E">
              <w:rPr>
                <w:sz w:val="20"/>
                <w:szCs w:val="20"/>
              </w:rPr>
              <w:t>,250</w:t>
            </w:r>
          </w:p>
          <w:p w14:paraId="29A83F68" w14:textId="77777777" w:rsidR="00CD322E" w:rsidRPr="00E45C93" w:rsidRDefault="00CD322E" w:rsidP="005A425F">
            <w:pPr>
              <w:spacing w:line="360" w:lineRule="auto"/>
              <w:rPr>
                <w:sz w:val="20"/>
                <w:szCs w:val="20"/>
                <w:rtl/>
              </w:rPr>
            </w:pPr>
          </w:p>
        </w:tc>
        <w:tc>
          <w:tcPr>
            <w:tcW w:w="474" w:type="pct"/>
          </w:tcPr>
          <w:p w14:paraId="36953999" w14:textId="70428921" w:rsidR="00CD322E" w:rsidRPr="00E45C93" w:rsidRDefault="00CD322E" w:rsidP="005A425F">
            <w:pPr>
              <w:spacing w:line="360" w:lineRule="auto"/>
              <w:rPr>
                <w:sz w:val="20"/>
                <w:szCs w:val="20"/>
                <w:rtl/>
              </w:rPr>
            </w:pPr>
            <w:r w:rsidRPr="00CD322E">
              <w:rPr>
                <w:sz w:val="20"/>
                <w:szCs w:val="20"/>
                <w:rtl/>
              </w:rPr>
              <w:t>₪9</w:t>
            </w:r>
            <w:r w:rsidRPr="00CD322E">
              <w:rPr>
                <w:sz w:val="20"/>
                <w:szCs w:val="20"/>
              </w:rPr>
              <w:t>,250</w:t>
            </w:r>
          </w:p>
        </w:tc>
        <w:tc>
          <w:tcPr>
            <w:tcW w:w="476" w:type="pct"/>
          </w:tcPr>
          <w:p w14:paraId="15CF6622" w14:textId="2815EE26" w:rsidR="00CD322E" w:rsidRPr="00E45C93" w:rsidRDefault="00CD322E" w:rsidP="005A425F">
            <w:pPr>
              <w:spacing w:line="360" w:lineRule="auto"/>
              <w:rPr>
                <w:sz w:val="20"/>
                <w:szCs w:val="20"/>
                <w:rtl/>
              </w:rPr>
            </w:pPr>
            <w:r w:rsidRPr="00E45C93">
              <w:rPr>
                <w:sz w:val="20"/>
                <w:szCs w:val="20"/>
                <w:rtl/>
              </w:rPr>
              <w:t>₪</w:t>
            </w:r>
            <w:r>
              <w:rPr>
                <w:sz w:val="20"/>
                <w:szCs w:val="20"/>
              </w:rPr>
              <w:t>18</w:t>
            </w:r>
            <w:r w:rsidRPr="00E45C93">
              <w:rPr>
                <w:sz w:val="20"/>
                <w:szCs w:val="20"/>
              </w:rPr>
              <w:t>,</w:t>
            </w:r>
            <w:r>
              <w:rPr>
                <w:sz w:val="20"/>
                <w:szCs w:val="20"/>
              </w:rPr>
              <w:t>500</w:t>
            </w:r>
          </w:p>
        </w:tc>
        <w:tc>
          <w:tcPr>
            <w:tcW w:w="1054" w:type="pct"/>
          </w:tcPr>
          <w:p w14:paraId="508DE358" w14:textId="338C3DA7" w:rsidR="00CD322E" w:rsidRPr="00E45C93" w:rsidRDefault="00CD322E" w:rsidP="005A425F">
            <w:pPr>
              <w:spacing w:line="360" w:lineRule="auto"/>
              <w:rPr>
                <w:sz w:val="20"/>
                <w:szCs w:val="20"/>
              </w:rPr>
            </w:pPr>
            <w:r w:rsidRPr="00CD322E">
              <w:rPr>
                <w:sz w:val="20"/>
                <w:szCs w:val="20"/>
              </w:rPr>
              <w:t>Support for multimodal integration (CCA, PCA, clustering) in Year 4–5</w:t>
            </w:r>
          </w:p>
        </w:tc>
      </w:tr>
      <w:tr w:rsidR="00CD322E" w:rsidRPr="00E45C93" w14:paraId="232C8647" w14:textId="77777777" w:rsidTr="00CD322E">
        <w:tc>
          <w:tcPr>
            <w:tcW w:w="980" w:type="pct"/>
            <w:hideMark/>
          </w:tcPr>
          <w:p w14:paraId="38A68C90" w14:textId="77777777" w:rsidR="00CD322E" w:rsidRPr="00E45C93" w:rsidRDefault="00CD322E" w:rsidP="005A425F">
            <w:pPr>
              <w:spacing w:line="360" w:lineRule="auto"/>
              <w:rPr>
                <w:sz w:val="20"/>
                <w:szCs w:val="20"/>
              </w:rPr>
            </w:pPr>
            <w:r w:rsidRPr="00E45C93">
              <w:rPr>
                <w:sz w:val="20"/>
                <w:szCs w:val="20"/>
              </w:rPr>
              <w:t>2 MA Students (part-time)</w:t>
            </w:r>
          </w:p>
        </w:tc>
        <w:tc>
          <w:tcPr>
            <w:tcW w:w="474" w:type="pct"/>
            <w:hideMark/>
          </w:tcPr>
          <w:p w14:paraId="686B31F3" w14:textId="77777777" w:rsidR="00CD322E" w:rsidRPr="00E45C93" w:rsidRDefault="00CD322E" w:rsidP="005A425F">
            <w:pPr>
              <w:spacing w:line="360" w:lineRule="auto"/>
              <w:rPr>
                <w:sz w:val="20"/>
                <w:szCs w:val="20"/>
              </w:rPr>
            </w:pPr>
            <w:r w:rsidRPr="00E45C93">
              <w:rPr>
                <w:sz w:val="20"/>
                <w:szCs w:val="20"/>
                <w:rtl/>
              </w:rPr>
              <w:t>₪0</w:t>
            </w:r>
          </w:p>
        </w:tc>
        <w:tc>
          <w:tcPr>
            <w:tcW w:w="474" w:type="pct"/>
            <w:hideMark/>
          </w:tcPr>
          <w:p w14:paraId="7368159C" w14:textId="77777777" w:rsidR="00CD322E" w:rsidRPr="00E45C93" w:rsidRDefault="00CD322E" w:rsidP="005A425F">
            <w:pPr>
              <w:spacing w:line="360" w:lineRule="auto"/>
              <w:rPr>
                <w:sz w:val="20"/>
                <w:szCs w:val="20"/>
              </w:rPr>
            </w:pPr>
            <w:r w:rsidRPr="00E45C93">
              <w:rPr>
                <w:sz w:val="20"/>
                <w:szCs w:val="20"/>
                <w:rtl/>
              </w:rPr>
              <w:t>₪60</w:t>
            </w:r>
            <w:r w:rsidRPr="00E45C93">
              <w:rPr>
                <w:sz w:val="20"/>
                <w:szCs w:val="20"/>
              </w:rPr>
              <w:t>,000</w:t>
            </w:r>
          </w:p>
        </w:tc>
        <w:tc>
          <w:tcPr>
            <w:tcW w:w="472" w:type="pct"/>
            <w:hideMark/>
          </w:tcPr>
          <w:p w14:paraId="7B11F5CF" w14:textId="77777777" w:rsidR="00CD322E" w:rsidRPr="00E45C93" w:rsidRDefault="00CD322E" w:rsidP="005A425F">
            <w:pPr>
              <w:spacing w:line="360" w:lineRule="auto"/>
              <w:rPr>
                <w:sz w:val="20"/>
                <w:szCs w:val="20"/>
              </w:rPr>
            </w:pPr>
            <w:r w:rsidRPr="00E45C93">
              <w:rPr>
                <w:sz w:val="20"/>
                <w:szCs w:val="20"/>
                <w:rtl/>
              </w:rPr>
              <w:t>₪60</w:t>
            </w:r>
            <w:r w:rsidRPr="00E45C93">
              <w:rPr>
                <w:sz w:val="20"/>
                <w:szCs w:val="20"/>
              </w:rPr>
              <w:t>,000</w:t>
            </w:r>
          </w:p>
        </w:tc>
        <w:tc>
          <w:tcPr>
            <w:tcW w:w="596" w:type="pct"/>
            <w:hideMark/>
          </w:tcPr>
          <w:p w14:paraId="7B0FF504" w14:textId="77777777" w:rsidR="00CD322E" w:rsidRPr="00E45C93" w:rsidRDefault="00CD322E" w:rsidP="005A425F">
            <w:pPr>
              <w:spacing w:line="360" w:lineRule="auto"/>
              <w:rPr>
                <w:sz w:val="20"/>
                <w:szCs w:val="20"/>
              </w:rPr>
            </w:pPr>
            <w:r w:rsidRPr="00E45C93">
              <w:rPr>
                <w:sz w:val="20"/>
                <w:szCs w:val="20"/>
                <w:rtl/>
              </w:rPr>
              <w:t>₪30</w:t>
            </w:r>
            <w:r w:rsidRPr="00E45C93">
              <w:rPr>
                <w:sz w:val="20"/>
                <w:szCs w:val="20"/>
              </w:rPr>
              <w:t>,000</w:t>
            </w:r>
          </w:p>
        </w:tc>
        <w:tc>
          <w:tcPr>
            <w:tcW w:w="474" w:type="pct"/>
            <w:hideMark/>
          </w:tcPr>
          <w:p w14:paraId="2E378D2B" w14:textId="77777777" w:rsidR="00CD322E" w:rsidRPr="00E45C93" w:rsidRDefault="00CD322E" w:rsidP="005A425F">
            <w:pPr>
              <w:spacing w:line="360" w:lineRule="auto"/>
              <w:rPr>
                <w:sz w:val="20"/>
                <w:szCs w:val="20"/>
              </w:rPr>
            </w:pPr>
            <w:r w:rsidRPr="00E45C93">
              <w:rPr>
                <w:sz w:val="20"/>
                <w:szCs w:val="20"/>
                <w:rtl/>
              </w:rPr>
              <w:t>₪0</w:t>
            </w:r>
          </w:p>
        </w:tc>
        <w:tc>
          <w:tcPr>
            <w:tcW w:w="476" w:type="pct"/>
            <w:hideMark/>
          </w:tcPr>
          <w:p w14:paraId="242F880F" w14:textId="77777777" w:rsidR="00CD322E" w:rsidRPr="00E45C93" w:rsidRDefault="00CD322E" w:rsidP="005A425F">
            <w:pPr>
              <w:spacing w:line="360" w:lineRule="auto"/>
              <w:rPr>
                <w:sz w:val="20"/>
                <w:szCs w:val="20"/>
              </w:rPr>
            </w:pPr>
            <w:r w:rsidRPr="00E45C93">
              <w:rPr>
                <w:sz w:val="20"/>
                <w:szCs w:val="20"/>
                <w:rtl/>
              </w:rPr>
              <w:t>₪150</w:t>
            </w:r>
            <w:r w:rsidRPr="00E45C93">
              <w:rPr>
                <w:sz w:val="20"/>
                <w:szCs w:val="20"/>
              </w:rPr>
              <w:t>,000</w:t>
            </w:r>
          </w:p>
        </w:tc>
        <w:tc>
          <w:tcPr>
            <w:tcW w:w="1054" w:type="pct"/>
            <w:hideMark/>
          </w:tcPr>
          <w:p w14:paraId="4E836E55" w14:textId="77777777" w:rsidR="00CD322E" w:rsidRPr="00E45C93" w:rsidRDefault="00CD322E" w:rsidP="005A425F">
            <w:pPr>
              <w:spacing w:line="360" w:lineRule="auto"/>
              <w:rPr>
                <w:sz w:val="20"/>
                <w:szCs w:val="20"/>
              </w:rPr>
            </w:pPr>
            <w:r w:rsidRPr="00E45C93">
              <w:rPr>
                <w:sz w:val="20"/>
                <w:szCs w:val="20"/>
              </w:rPr>
              <w:t>Assistance in data collection and analysis</w:t>
            </w:r>
          </w:p>
        </w:tc>
      </w:tr>
      <w:tr w:rsidR="00CD322E" w:rsidRPr="00E45C93" w14:paraId="4B9259CA" w14:textId="77777777" w:rsidTr="00CD322E">
        <w:tc>
          <w:tcPr>
            <w:tcW w:w="980" w:type="pct"/>
            <w:hideMark/>
          </w:tcPr>
          <w:p w14:paraId="7E280BA2" w14:textId="77777777" w:rsidR="00CD322E" w:rsidRPr="00E45C93" w:rsidRDefault="00CD322E" w:rsidP="005A425F">
            <w:pPr>
              <w:spacing w:line="360" w:lineRule="auto"/>
              <w:rPr>
                <w:sz w:val="20"/>
                <w:szCs w:val="20"/>
              </w:rPr>
            </w:pPr>
            <w:r w:rsidRPr="00E45C93">
              <w:rPr>
                <w:sz w:val="20"/>
                <w:szCs w:val="20"/>
              </w:rPr>
              <w:t>2 PhD Students (full-time)</w:t>
            </w:r>
          </w:p>
        </w:tc>
        <w:tc>
          <w:tcPr>
            <w:tcW w:w="474" w:type="pct"/>
            <w:hideMark/>
          </w:tcPr>
          <w:p w14:paraId="61534EBE" w14:textId="77777777" w:rsidR="00CD322E" w:rsidRPr="00E45C93" w:rsidRDefault="00CD322E" w:rsidP="005A425F">
            <w:pPr>
              <w:spacing w:line="360" w:lineRule="auto"/>
              <w:rPr>
                <w:sz w:val="20"/>
                <w:szCs w:val="20"/>
              </w:rPr>
            </w:pPr>
            <w:r w:rsidRPr="00E45C93">
              <w:rPr>
                <w:sz w:val="20"/>
                <w:szCs w:val="20"/>
                <w:rtl/>
              </w:rPr>
              <w:t>₪72</w:t>
            </w:r>
            <w:r w:rsidRPr="00E45C93">
              <w:rPr>
                <w:sz w:val="20"/>
                <w:szCs w:val="20"/>
              </w:rPr>
              <w:t>,000</w:t>
            </w:r>
          </w:p>
        </w:tc>
        <w:tc>
          <w:tcPr>
            <w:tcW w:w="474" w:type="pct"/>
            <w:hideMark/>
          </w:tcPr>
          <w:p w14:paraId="5400C9D4" w14:textId="77777777" w:rsidR="00CD322E" w:rsidRPr="00E45C93" w:rsidRDefault="00CD322E" w:rsidP="005A425F">
            <w:pPr>
              <w:spacing w:line="360" w:lineRule="auto"/>
              <w:rPr>
                <w:sz w:val="20"/>
                <w:szCs w:val="20"/>
              </w:rPr>
            </w:pPr>
            <w:r w:rsidRPr="00E45C93">
              <w:rPr>
                <w:sz w:val="20"/>
                <w:szCs w:val="20"/>
                <w:rtl/>
              </w:rPr>
              <w:t>₪72</w:t>
            </w:r>
            <w:r w:rsidRPr="00E45C93">
              <w:rPr>
                <w:sz w:val="20"/>
                <w:szCs w:val="20"/>
              </w:rPr>
              <w:t>,000</w:t>
            </w:r>
          </w:p>
        </w:tc>
        <w:tc>
          <w:tcPr>
            <w:tcW w:w="472" w:type="pct"/>
            <w:hideMark/>
          </w:tcPr>
          <w:p w14:paraId="3D4BBF0E" w14:textId="77777777" w:rsidR="00CD322E" w:rsidRPr="00E45C93" w:rsidRDefault="00CD322E" w:rsidP="005A425F">
            <w:pPr>
              <w:spacing w:line="360" w:lineRule="auto"/>
              <w:rPr>
                <w:sz w:val="20"/>
                <w:szCs w:val="20"/>
              </w:rPr>
            </w:pPr>
            <w:r w:rsidRPr="00E45C93">
              <w:rPr>
                <w:sz w:val="20"/>
                <w:szCs w:val="20"/>
                <w:rtl/>
              </w:rPr>
              <w:t>₪72</w:t>
            </w:r>
            <w:r w:rsidRPr="00E45C93">
              <w:rPr>
                <w:sz w:val="20"/>
                <w:szCs w:val="20"/>
              </w:rPr>
              <w:t>,000</w:t>
            </w:r>
          </w:p>
        </w:tc>
        <w:tc>
          <w:tcPr>
            <w:tcW w:w="596" w:type="pct"/>
            <w:hideMark/>
          </w:tcPr>
          <w:p w14:paraId="1DED4B4A" w14:textId="77777777" w:rsidR="00CD322E" w:rsidRPr="00E45C93" w:rsidRDefault="00CD322E" w:rsidP="005A425F">
            <w:pPr>
              <w:spacing w:line="360" w:lineRule="auto"/>
              <w:rPr>
                <w:sz w:val="20"/>
                <w:szCs w:val="20"/>
              </w:rPr>
            </w:pPr>
            <w:r w:rsidRPr="00E45C93">
              <w:rPr>
                <w:sz w:val="20"/>
                <w:szCs w:val="20"/>
                <w:rtl/>
              </w:rPr>
              <w:t>₪72</w:t>
            </w:r>
            <w:r w:rsidRPr="00E45C93">
              <w:rPr>
                <w:sz w:val="20"/>
                <w:szCs w:val="20"/>
              </w:rPr>
              <w:t>,000</w:t>
            </w:r>
          </w:p>
        </w:tc>
        <w:tc>
          <w:tcPr>
            <w:tcW w:w="474" w:type="pct"/>
            <w:hideMark/>
          </w:tcPr>
          <w:p w14:paraId="336E0923" w14:textId="77777777" w:rsidR="00CD322E" w:rsidRPr="00E45C93" w:rsidRDefault="00CD322E" w:rsidP="005A425F">
            <w:pPr>
              <w:spacing w:line="360" w:lineRule="auto"/>
              <w:rPr>
                <w:sz w:val="20"/>
                <w:szCs w:val="20"/>
              </w:rPr>
            </w:pPr>
            <w:r w:rsidRPr="00E45C93">
              <w:rPr>
                <w:sz w:val="20"/>
                <w:szCs w:val="20"/>
                <w:rtl/>
              </w:rPr>
              <w:t>₪72</w:t>
            </w:r>
            <w:r w:rsidRPr="00E45C93">
              <w:rPr>
                <w:sz w:val="20"/>
                <w:szCs w:val="20"/>
              </w:rPr>
              <w:t>,000</w:t>
            </w:r>
          </w:p>
        </w:tc>
        <w:tc>
          <w:tcPr>
            <w:tcW w:w="476" w:type="pct"/>
            <w:hideMark/>
          </w:tcPr>
          <w:p w14:paraId="1F61407C" w14:textId="77777777" w:rsidR="00CD322E" w:rsidRPr="00E45C93" w:rsidRDefault="00CD322E" w:rsidP="005A425F">
            <w:pPr>
              <w:spacing w:line="360" w:lineRule="auto"/>
              <w:rPr>
                <w:sz w:val="20"/>
                <w:szCs w:val="20"/>
              </w:rPr>
            </w:pPr>
            <w:r w:rsidRPr="00E45C93">
              <w:rPr>
                <w:sz w:val="20"/>
                <w:szCs w:val="20"/>
                <w:rtl/>
              </w:rPr>
              <w:t>₪360</w:t>
            </w:r>
            <w:r w:rsidRPr="00E45C93">
              <w:rPr>
                <w:sz w:val="20"/>
                <w:szCs w:val="20"/>
              </w:rPr>
              <w:t>,000</w:t>
            </w:r>
          </w:p>
        </w:tc>
        <w:tc>
          <w:tcPr>
            <w:tcW w:w="1054" w:type="pct"/>
            <w:hideMark/>
          </w:tcPr>
          <w:p w14:paraId="70F3946F" w14:textId="77777777" w:rsidR="00CD322E" w:rsidRPr="00E45C93" w:rsidRDefault="00CD322E" w:rsidP="005A425F">
            <w:pPr>
              <w:spacing w:line="360" w:lineRule="auto"/>
              <w:rPr>
                <w:sz w:val="20"/>
                <w:szCs w:val="20"/>
              </w:rPr>
            </w:pPr>
            <w:r w:rsidRPr="00E45C93">
              <w:rPr>
                <w:sz w:val="20"/>
                <w:szCs w:val="20"/>
              </w:rPr>
              <w:t>Full stipend (~</w:t>
            </w:r>
            <w:r w:rsidRPr="00E45C93">
              <w:rPr>
                <w:sz w:val="20"/>
                <w:szCs w:val="20"/>
                <w:rtl/>
              </w:rPr>
              <w:t>₪6</w:t>
            </w:r>
            <w:r w:rsidRPr="00E45C93">
              <w:rPr>
                <w:sz w:val="20"/>
                <w:szCs w:val="20"/>
              </w:rPr>
              <w:t>,000/month/student)</w:t>
            </w:r>
          </w:p>
        </w:tc>
      </w:tr>
      <w:tr w:rsidR="00CD322E" w:rsidRPr="00E45C93" w14:paraId="25EEA993" w14:textId="77777777" w:rsidTr="00CD322E">
        <w:tc>
          <w:tcPr>
            <w:tcW w:w="980" w:type="pct"/>
            <w:hideMark/>
          </w:tcPr>
          <w:p w14:paraId="488B70C6" w14:textId="77777777" w:rsidR="00CD322E" w:rsidRPr="00E45C93" w:rsidRDefault="00CD322E" w:rsidP="005A425F">
            <w:pPr>
              <w:spacing w:line="360" w:lineRule="auto"/>
              <w:rPr>
                <w:sz w:val="20"/>
                <w:szCs w:val="20"/>
              </w:rPr>
            </w:pPr>
            <w:r w:rsidRPr="00E45C93">
              <w:rPr>
                <w:rStyle w:val="Strong"/>
                <w:sz w:val="20"/>
                <w:szCs w:val="20"/>
              </w:rPr>
              <w:t>Total Estimated Costs</w:t>
            </w:r>
          </w:p>
        </w:tc>
        <w:tc>
          <w:tcPr>
            <w:tcW w:w="474" w:type="pct"/>
            <w:hideMark/>
          </w:tcPr>
          <w:p w14:paraId="28724654" w14:textId="6EF133EE" w:rsidR="00CD322E" w:rsidRPr="00CD322E" w:rsidRDefault="00CD322E" w:rsidP="005A425F">
            <w:pPr>
              <w:spacing w:line="360" w:lineRule="auto"/>
              <w:rPr>
                <w:sz w:val="20"/>
                <w:szCs w:val="20"/>
              </w:rPr>
            </w:pPr>
            <w:r w:rsidRPr="00CD322E">
              <w:rPr>
                <w:rStyle w:val="Strong"/>
                <w:sz w:val="20"/>
                <w:szCs w:val="20"/>
                <w:rtl/>
              </w:rPr>
              <w:t>₪</w:t>
            </w:r>
            <w:r w:rsidRPr="00CD322E">
              <w:rPr>
                <w:rStyle w:val="Strong"/>
                <w:sz w:val="20"/>
                <w:szCs w:val="20"/>
              </w:rPr>
              <w:t>145,617</w:t>
            </w:r>
          </w:p>
        </w:tc>
        <w:tc>
          <w:tcPr>
            <w:tcW w:w="474" w:type="pct"/>
            <w:hideMark/>
          </w:tcPr>
          <w:p w14:paraId="4300DBA8" w14:textId="7B5B99A6" w:rsidR="00CD322E" w:rsidRPr="00CD322E" w:rsidRDefault="00CD322E" w:rsidP="005A425F">
            <w:pPr>
              <w:spacing w:line="360" w:lineRule="auto"/>
              <w:rPr>
                <w:sz w:val="20"/>
                <w:szCs w:val="20"/>
              </w:rPr>
            </w:pPr>
            <w:r w:rsidRPr="00CD322E">
              <w:rPr>
                <w:rStyle w:val="Strong"/>
                <w:sz w:val="20"/>
                <w:szCs w:val="20"/>
                <w:rtl/>
              </w:rPr>
              <w:t>₪</w:t>
            </w:r>
            <w:r w:rsidRPr="00CD322E">
              <w:rPr>
                <w:rStyle w:val="Strong"/>
                <w:sz w:val="20"/>
                <w:szCs w:val="20"/>
              </w:rPr>
              <w:t>197,367</w:t>
            </w:r>
          </w:p>
        </w:tc>
        <w:tc>
          <w:tcPr>
            <w:tcW w:w="472" w:type="pct"/>
            <w:hideMark/>
          </w:tcPr>
          <w:p w14:paraId="12F79F64" w14:textId="77777777" w:rsidR="00CD322E" w:rsidRPr="00CD322E" w:rsidRDefault="00CD322E" w:rsidP="005A425F">
            <w:pPr>
              <w:spacing w:line="360" w:lineRule="auto"/>
              <w:rPr>
                <w:sz w:val="20"/>
                <w:szCs w:val="20"/>
              </w:rPr>
            </w:pPr>
            <w:r w:rsidRPr="00CD322E">
              <w:rPr>
                <w:rStyle w:val="Strong"/>
                <w:sz w:val="20"/>
                <w:szCs w:val="20"/>
                <w:rtl/>
              </w:rPr>
              <w:t>₪195</w:t>
            </w:r>
            <w:r w:rsidRPr="00CD322E">
              <w:rPr>
                <w:rStyle w:val="Strong"/>
                <w:sz w:val="20"/>
                <w:szCs w:val="20"/>
              </w:rPr>
              <w:t>,516</w:t>
            </w:r>
          </w:p>
        </w:tc>
        <w:tc>
          <w:tcPr>
            <w:tcW w:w="596" w:type="pct"/>
            <w:hideMark/>
          </w:tcPr>
          <w:p w14:paraId="40AA6D42" w14:textId="1C8B44A0" w:rsidR="00CD322E" w:rsidRPr="00CD322E" w:rsidRDefault="00CD322E" w:rsidP="005A425F">
            <w:pPr>
              <w:spacing w:line="360" w:lineRule="auto"/>
              <w:rPr>
                <w:sz w:val="20"/>
                <w:szCs w:val="20"/>
              </w:rPr>
            </w:pPr>
            <w:r w:rsidRPr="00CD322E">
              <w:rPr>
                <w:rStyle w:val="Strong"/>
                <w:sz w:val="20"/>
                <w:szCs w:val="20"/>
                <w:rtl/>
              </w:rPr>
              <w:t>₪</w:t>
            </w:r>
            <w:r w:rsidRPr="00CD322E">
              <w:rPr>
                <w:rStyle w:val="Strong"/>
                <w:sz w:val="20"/>
                <w:szCs w:val="20"/>
              </w:rPr>
              <w:t>155,716</w:t>
            </w:r>
          </w:p>
        </w:tc>
        <w:tc>
          <w:tcPr>
            <w:tcW w:w="474" w:type="pct"/>
            <w:hideMark/>
          </w:tcPr>
          <w:p w14:paraId="652E6413" w14:textId="7C4242CE" w:rsidR="00CD322E" w:rsidRPr="00CD322E" w:rsidRDefault="00CD322E" w:rsidP="005A425F">
            <w:pPr>
              <w:spacing w:line="360" w:lineRule="auto"/>
              <w:rPr>
                <w:sz w:val="20"/>
                <w:szCs w:val="20"/>
              </w:rPr>
            </w:pPr>
            <w:r w:rsidRPr="00CD322E">
              <w:rPr>
                <w:rStyle w:val="Strong"/>
                <w:sz w:val="20"/>
                <w:szCs w:val="20"/>
                <w:rtl/>
              </w:rPr>
              <w:t>₪</w:t>
            </w:r>
            <w:r w:rsidRPr="00CD322E">
              <w:rPr>
                <w:rStyle w:val="Strong"/>
                <w:sz w:val="20"/>
                <w:szCs w:val="20"/>
              </w:rPr>
              <w:t>109,066</w:t>
            </w:r>
          </w:p>
        </w:tc>
        <w:tc>
          <w:tcPr>
            <w:tcW w:w="476" w:type="pct"/>
            <w:hideMark/>
          </w:tcPr>
          <w:p w14:paraId="3FC22AB5" w14:textId="54EF3C6C" w:rsidR="00CD322E" w:rsidRPr="00CD322E" w:rsidRDefault="00CD322E" w:rsidP="005A425F">
            <w:pPr>
              <w:spacing w:line="360" w:lineRule="auto"/>
              <w:rPr>
                <w:sz w:val="20"/>
                <w:szCs w:val="20"/>
              </w:rPr>
            </w:pPr>
            <w:r w:rsidRPr="00CD322E">
              <w:rPr>
                <w:rStyle w:val="Strong"/>
                <w:sz w:val="20"/>
                <w:szCs w:val="20"/>
                <w:rtl/>
              </w:rPr>
              <w:t>₪</w:t>
            </w:r>
            <w:r>
              <w:rPr>
                <w:rStyle w:val="Strong"/>
                <w:sz w:val="20"/>
                <w:szCs w:val="20"/>
              </w:rPr>
              <w:t>803</w:t>
            </w:r>
            <w:r w:rsidRPr="00CD322E">
              <w:rPr>
                <w:rStyle w:val="Strong"/>
                <w:sz w:val="20"/>
                <w:szCs w:val="20"/>
              </w:rPr>
              <w:t>,</w:t>
            </w:r>
            <w:r>
              <w:rPr>
                <w:rStyle w:val="Strong"/>
                <w:sz w:val="20"/>
                <w:szCs w:val="20"/>
              </w:rPr>
              <w:t>2</w:t>
            </w:r>
            <w:r w:rsidRPr="00CD322E">
              <w:rPr>
                <w:rStyle w:val="Strong"/>
                <w:sz w:val="20"/>
                <w:szCs w:val="20"/>
              </w:rPr>
              <w:t>82</w:t>
            </w:r>
          </w:p>
        </w:tc>
        <w:tc>
          <w:tcPr>
            <w:tcW w:w="1054" w:type="pct"/>
            <w:hideMark/>
          </w:tcPr>
          <w:p w14:paraId="16ED3A9F" w14:textId="77777777" w:rsidR="00CD322E" w:rsidRPr="00E45C93" w:rsidRDefault="00CD322E" w:rsidP="005A425F">
            <w:pPr>
              <w:spacing w:line="360" w:lineRule="auto"/>
              <w:rPr>
                <w:sz w:val="20"/>
                <w:szCs w:val="20"/>
              </w:rPr>
            </w:pPr>
          </w:p>
        </w:tc>
      </w:tr>
    </w:tbl>
    <w:p w14:paraId="5821F659" w14:textId="13A30A46" w:rsidR="00997AC9" w:rsidRPr="00997AC9" w:rsidRDefault="00997AC9" w:rsidP="005A425F">
      <w:pPr>
        <w:spacing w:line="360" w:lineRule="auto"/>
        <w:jc w:val="both"/>
        <w:rPr>
          <w:sz w:val="20"/>
          <w:szCs w:val="20"/>
        </w:rPr>
      </w:pPr>
      <w:r w:rsidRPr="00997AC9">
        <w:rPr>
          <w:sz w:val="20"/>
          <w:szCs w:val="20"/>
        </w:rPr>
        <w:t xml:space="preserve">* To improve budget efficiency and reduce risk, microbiome-related expenditures (e.g., sequencing, extraction kits) are designated conditional Year 3 expenditures, pending results from the pilot microbiome </w:t>
      </w:r>
      <w:proofErr w:type="spellStart"/>
      <w:r w:rsidRPr="00997AC9">
        <w:rPr>
          <w:sz w:val="20"/>
          <w:szCs w:val="20"/>
        </w:rPr>
        <w:t>substudy</w:t>
      </w:r>
      <w:proofErr w:type="spellEnd"/>
      <w:r w:rsidRPr="00997AC9">
        <w:rPr>
          <w:sz w:val="20"/>
          <w:szCs w:val="20"/>
        </w:rPr>
        <w:t>. Should findings not support adequate statistical power, sample viability, or group-level differentiation, these funds will be reallocated to support higher-impact components such as ERP replication, advanced data integration, or student training. This tiered funding approach ensures responsible use of exploratory research funds</w:t>
      </w:r>
      <w:r>
        <w:rPr>
          <w:sz w:val="20"/>
          <w:szCs w:val="20"/>
        </w:rPr>
        <w:t>.</w:t>
      </w:r>
    </w:p>
    <w:p w14:paraId="52FD8828" w14:textId="033F196F" w:rsidR="007F1DD1" w:rsidRDefault="0038290A" w:rsidP="005A425F">
      <w:pPr>
        <w:spacing w:line="360" w:lineRule="auto"/>
        <w:jc w:val="both"/>
      </w:pPr>
      <w:r w:rsidRPr="0038290A">
        <w:t>We acknowledge the concentration of biological expenses in Year 3 due to overlapping cytokine and microbiome activities. To reduce risk of cost overruns due to sample loss or attrition, buffer funds are included in the contingency line. Furthermore, microbiome analyses will proceed only after pilot quality thresholds are met, and sequencing expenses can be reallocated if thresholds are not achieved</w:t>
      </w:r>
      <w:r>
        <w:t xml:space="preserve">. </w:t>
      </w:r>
    </w:p>
    <w:p w14:paraId="5AEEB77C" w14:textId="1301F581" w:rsidR="0038290A" w:rsidRPr="00E45C93" w:rsidRDefault="00446511" w:rsidP="005A425F">
      <w:pPr>
        <w:spacing w:line="360" w:lineRule="auto"/>
        <w:jc w:val="both"/>
      </w:pPr>
      <w:r w:rsidRPr="00E45C93">
        <w:t xml:space="preserve">In sum, this project offers a unique opportunity to advance scientific understanding, clinical diagnostics, and public health interventions related to Orthorexia Nervosa, positioning Israel at the forefront of global research on emerging mental health challenges. </w:t>
      </w:r>
    </w:p>
    <w:p w14:paraId="1660555A" w14:textId="7C6F4FFF" w:rsidR="00385999" w:rsidRPr="00E45C93" w:rsidRDefault="00385999" w:rsidP="005A425F">
      <w:pPr>
        <w:pBdr>
          <w:top w:val="single" w:sz="4" w:space="1" w:color="auto"/>
          <w:bottom w:val="single" w:sz="4" w:space="1" w:color="auto"/>
        </w:pBdr>
        <w:spacing w:line="360" w:lineRule="auto"/>
        <w:jc w:val="both"/>
        <w:rPr>
          <w:b/>
          <w:bCs/>
        </w:rPr>
      </w:pPr>
      <w:r w:rsidRPr="00E45C93">
        <w:rPr>
          <w:b/>
          <w:bCs/>
        </w:rPr>
        <w:t>Principal Investigator Time Commitment and Salary Declaration</w:t>
      </w:r>
    </w:p>
    <w:p w14:paraId="08B71AC4" w14:textId="77777777" w:rsidR="00385999" w:rsidRPr="00E45C93" w:rsidRDefault="00385999" w:rsidP="005A425F">
      <w:pPr>
        <w:spacing w:line="360" w:lineRule="auto"/>
        <w:jc w:val="both"/>
      </w:pPr>
      <w:r w:rsidRPr="00E45C93">
        <w:t xml:space="preserve">The Principal Investigator, </w:t>
      </w:r>
      <w:proofErr w:type="spellStart"/>
      <w:r w:rsidRPr="00E45C93">
        <w:rPr>
          <w:b/>
          <w:bCs/>
        </w:rPr>
        <w:t>Dr.</w:t>
      </w:r>
      <w:proofErr w:type="spellEnd"/>
      <w:r w:rsidRPr="00E45C93">
        <w:rPr>
          <w:b/>
          <w:bCs/>
        </w:rPr>
        <w:t xml:space="preserve"> Omer Horovitz</w:t>
      </w:r>
      <w:r w:rsidRPr="00E45C93">
        <w:t xml:space="preserve">, will dedicate </w:t>
      </w:r>
      <w:r w:rsidRPr="00E45C93">
        <w:rPr>
          <w:b/>
          <w:bCs/>
        </w:rPr>
        <w:t>30% of his time</w:t>
      </w:r>
      <w:r w:rsidRPr="00E45C93">
        <w:t xml:space="preserve"> to the execution, supervision, and scientific management of this research project throughout its five-year duration.</w:t>
      </w:r>
    </w:p>
    <w:p w14:paraId="738A861A" w14:textId="3FE24798" w:rsidR="00385999" w:rsidRPr="00E45C93" w:rsidRDefault="00385999" w:rsidP="005A425F">
      <w:pPr>
        <w:spacing w:line="360" w:lineRule="auto"/>
        <w:jc w:val="both"/>
      </w:pPr>
      <w:r w:rsidRPr="00E45C93">
        <w:rPr>
          <w:b/>
          <w:bCs/>
        </w:rPr>
        <w:lastRenderedPageBreak/>
        <w:t>No salary support is requested</w:t>
      </w:r>
      <w:r w:rsidRPr="00E45C93">
        <w:t xml:space="preserve"> for the Principal Investigator or any other senior academic staff member who holds an academic appointment at their institution. By the funding agency's guidelines, no portion of the requested budget will be used to cover salaries for researchers eligible to submit applications as Principal Investigators in any of the Foundation’s funding tracks.</w:t>
      </w:r>
    </w:p>
    <w:p w14:paraId="2447766D" w14:textId="642ADF17" w:rsidR="00385999" w:rsidRPr="00E45C93" w:rsidRDefault="00385999" w:rsidP="005A425F">
      <w:pPr>
        <w:spacing w:line="360" w:lineRule="auto"/>
        <w:jc w:val="both"/>
      </w:pPr>
      <w:r w:rsidRPr="00E45C93">
        <w:t>As outlined in the detailed budget justification, all budgetary allocations are designated solely for direct research expenses, including research assistants, graduate student stipends, equipment, consumables, and dissemination costs.</w:t>
      </w:r>
    </w:p>
    <w:p w14:paraId="0A7C0C0D" w14:textId="77777777" w:rsidR="004F10D4" w:rsidRPr="00E45C93" w:rsidRDefault="004F10D4" w:rsidP="005A425F">
      <w:pPr>
        <w:pBdr>
          <w:top w:val="single" w:sz="4" w:space="1" w:color="auto"/>
          <w:bottom w:val="single" w:sz="4" w:space="1" w:color="auto"/>
        </w:pBdr>
        <w:spacing w:line="360" w:lineRule="auto"/>
        <w:jc w:val="both"/>
        <w:rPr>
          <w:b/>
          <w:bCs/>
        </w:rPr>
      </w:pPr>
      <w:r w:rsidRPr="00E45C93">
        <w:rPr>
          <w:b/>
          <w:bCs/>
        </w:rPr>
        <w:t>Equipment and Supplies</w:t>
      </w:r>
    </w:p>
    <w:p w14:paraId="53E6F469" w14:textId="77777777" w:rsidR="004F10D4" w:rsidRPr="00E45C93" w:rsidRDefault="004F10D4" w:rsidP="005A425F">
      <w:pPr>
        <w:spacing w:line="360" w:lineRule="auto"/>
        <w:jc w:val="both"/>
      </w:pPr>
      <w:r w:rsidRPr="00E45C93">
        <w:t>The following items are requested under this category, each justified according to the research needs:</w:t>
      </w:r>
    </w:p>
    <w:p w14:paraId="5E3B47FE" w14:textId="003AC729" w:rsidR="004F10D4" w:rsidRPr="00E45C93" w:rsidRDefault="004F10D4" w:rsidP="005A425F">
      <w:pPr>
        <w:numPr>
          <w:ilvl w:val="0"/>
          <w:numId w:val="21"/>
        </w:numPr>
        <w:spacing w:line="360" w:lineRule="auto"/>
        <w:jc w:val="both"/>
      </w:pPr>
      <w:r w:rsidRPr="00E45C93">
        <w:rPr>
          <w:b/>
          <w:bCs/>
        </w:rPr>
        <w:t>Computer and Related Equipment (Year 1 &amp; Year 4)</w:t>
      </w:r>
      <w:r w:rsidRPr="00E45C93">
        <w:t>: A high-performance computer workstation and software licenses (e.g., MATLAB, QIIME2-compatible tools) are requested to support processing large EEG/ERP datasets and microbiome sequencing data. While basic computing infrastructure exists at the lab, the volume and complexity of multimodal data (including time-series neurophysiological signals and next-generation sequencing outputs) require enhanced computational capacity to ensure efficient analysis and secure data storage.</w:t>
      </w:r>
    </w:p>
    <w:p w14:paraId="2345D209" w14:textId="615A6C3B" w:rsidR="004F10D4" w:rsidRPr="00E45C93" w:rsidRDefault="004F10D4" w:rsidP="005A425F">
      <w:pPr>
        <w:numPr>
          <w:ilvl w:val="0"/>
          <w:numId w:val="21"/>
        </w:numPr>
        <w:spacing w:line="360" w:lineRule="auto"/>
        <w:jc w:val="both"/>
      </w:pPr>
      <w:r w:rsidRPr="00E45C93">
        <w:rPr>
          <w:b/>
          <w:bCs/>
        </w:rPr>
        <w:t>Participant Compensation (Years 1–4)</w:t>
      </w:r>
      <w:r w:rsidRPr="00E45C93">
        <w:t>: Financial compensation is requested for participants who complete multiple stages of the study, including psychological assessments, EEG recordings, blood draws for cytokine analysis, and stool sample collection. Compensation (averaging ~185 NIS per participant per session) is essential for ensuring compliance, enhancing retention</w:t>
      </w:r>
      <w:r w:rsidR="007D0E03" w:rsidRPr="00E45C93">
        <w:t xml:space="preserve">, particularly for the longitudinal follow-up, </w:t>
      </w:r>
      <w:r w:rsidRPr="00E45C93">
        <w:t>and acknowledging participant time and effort.</w:t>
      </w:r>
    </w:p>
    <w:p w14:paraId="48977949" w14:textId="36613DF9" w:rsidR="004F10D4" w:rsidRPr="00E45C93" w:rsidRDefault="004F10D4" w:rsidP="005A425F">
      <w:pPr>
        <w:numPr>
          <w:ilvl w:val="0"/>
          <w:numId w:val="21"/>
        </w:numPr>
        <w:spacing w:line="360" w:lineRule="auto"/>
        <w:jc w:val="both"/>
      </w:pPr>
      <w:r w:rsidRPr="00E45C93">
        <w:rPr>
          <w:b/>
          <w:bCs/>
        </w:rPr>
        <w:t>Graduate Student Travel Allowance (Years 2–5)</w:t>
      </w:r>
      <w:r w:rsidRPr="00E45C93">
        <w:t xml:space="preserve">: An annual allocation of up to 6,000 NIS is requested to support conference travel or scientific workshops for the two graduate students (M.A. and Ph.D.) employed on this project. This funding will enable them to present findings at national and international meetings and gain methodological training in psychophysiology, immunology, or microbiome analysis. By the foundation’s guidelines, this allocation will be used </w:t>
      </w:r>
      <w:r w:rsidRPr="00E45C93">
        <w:rPr>
          <w:b/>
          <w:bCs/>
        </w:rPr>
        <w:t>only by students</w:t>
      </w:r>
      <w:r w:rsidRPr="00E45C93">
        <w:t>, not by the Principal Investigator.</w:t>
      </w:r>
    </w:p>
    <w:p w14:paraId="7614D370" w14:textId="6C2EF074" w:rsidR="004F10D4" w:rsidRPr="00E45C93" w:rsidRDefault="004F10D4" w:rsidP="005A425F">
      <w:pPr>
        <w:numPr>
          <w:ilvl w:val="0"/>
          <w:numId w:val="21"/>
        </w:numPr>
        <w:spacing w:line="360" w:lineRule="auto"/>
        <w:jc w:val="both"/>
      </w:pPr>
      <w:r w:rsidRPr="00E45C93">
        <w:rPr>
          <w:b/>
          <w:bCs/>
        </w:rPr>
        <w:t>Miscellaneous (up to 10% of total annual budget)</w:t>
      </w:r>
      <w:r w:rsidRPr="00E45C93">
        <w:t>: A modest allowance is requested for unanticipated, essential research-related expenses such as equipment maintenance, replacement of consumables (e.g., EEG electrodes or reagent kits), or professional translation services for publications. This allocation will be managed prudently and transparently, with complete documentation provided in financial reports.</w:t>
      </w:r>
    </w:p>
    <w:p w14:paraId="18005B70" w14:textId="1A0722C7" w:rsidR="004F10D4" w:rsidRPr="00E45C93" w:rsidRDefault="004F10D4" w:rsidP="005A425F">
      <w:pPr>
        <w:spacing w:line="360" w:lineRule="auto"/>
        <w:jc w:val="both"/>
      </w:pPr>
      <w:r w:rsidRPr="00E45C93">
        <w:lastRenderedPageBreak/>
        <w:t>All requested items directly support the goals and execution of the proposed multimodal investigation of Orthorexia Nervosa. Without prior approval, no items beyond those described here will be purchased using this grant.</w:t>
      </w:r>
    </w:p>
    <w:p w14:paraId="5BCA675F" w14:textId="77777777" w:rsidR="007D0E03" w:rsidRPr="00E45C93" w:rsidRDefault="007D0E03" w:rsidP="005A425F">
      <w:pPr>
        <w:pBdr>
          <w:top w:val="single" w:sz="4" w:space="1" w:color="auto"/>
          <w:bottom w:val="single" w:sz="4" w:space="1" w:color="auto"/>
        </w:pBdr>
        <w:spacing w:line="360" w:lineRule="auto"/>
        <w:jc w:val="both"/>
        <w:rPr>
          <w:b/>
          <w:bCs/>
        </w:rPr>
      </w:pPr>
      <w:r w:rsidRPr="00E45C93">
        <w:rPr>
          <w:b/>
          <w:bCs/>
        </w:rPr>
        <w:t>Miscellaneous Expenses</w:t>
      </w:r>
    </w:p>
    <w:p w14:paraId="7EEC99B3" w14:textId="77777777" w:rsidR="007D0E03" w:rsidRPr="00E45C93" w:rsidRDefault="007D0E03" w:rsidP="005A425F">
      <w:pPr>
        <w:spacing w:line="360" w:lineRule="auto"/>
        <w:jc w:val="both"/>
      </w:pPr>
      <w:r w:rsidRPr="00E45C93">
        <w:t xml:space="preserve">This budget category includes essential research-related services and operational costs that directly support the successful execution and dissemination of the proposed study. All expenses listed below are relevant to the research plan and comply with the foundation’s regulations. The total amount requested under this section will </w:t>
      </w:r>
      <w:r w:rsidRPr="00E45C93">
        <w:rPr>
          <w:b/>
          <w:bCs/>
        </w:rPr>
        <w:t>not exceed 15% of the annual budget</w:t>
      </w:r>
      <w:r w:rsidRPr="00E45C93">
        <w:t xml:space="preserve"> in any given year.</w:t>
      </w:r>
    </w:p>
    <w:p w14:paraId="55D16156" w14:textId="77777777" w:rsidR="007D0E03" w:rsidRPr="00E45C93" w:rsidRDefault="007D0E03" w:rsidP="005A425F">
      <w:pPr>
        <w:spacing w:line="360" w:lineRule="auto"/>
        <w:jc w:val="both"/>
      </w:pPr>
      <w:r w:rsidRPr="00E45C93">
        <w:t>The following items are included:</w:t>
      </w:r>
    </w:p>
    <w:p w14:paraId="5C8FFD14" w14:textId="7D781F2B" w:rsidR="007D0E03" w:rsidRPr="00E45C93" w:rsidRDefault="007D0E03" w:rsidP="005A425F">
      <w:pPr>
        <w:numPr>
          <w:ilvl w:val="0"/>
          <w:numId w:val="22"/>
        </w:numPr>
        <w:spacing w:line="360" w:lineRule="auto"/>
        <w:jc w:val="both"/>
      </w:pPr>
      <w:r w:rsidRPr="00E45C93">
        <w:rPr>
          <w:b/>
          <w:bCs/>
        </w:rPr>
        <w:t>Professional Literature</w:t>
      </w:r>
      <w:r w:rsidRPr="00E45C93">
        <w:t>: A limited allocation is requested to purchase up-to-date professional books and reference materials not currently available in the Tel-Hai Academic College library or the National Library of Israel. These resources support the project's interdisciplinary focus in nutritional psychology, psychoneuroimmunology, and eating disorders.</w:t>
      </w:r>
    </w:p>
    <w:p w14:paraId="1AECC421" w14:textId="3C46C465" w:rsidR="007D0E03" w:rsidRPr="00E45C93" w:rsidRDefault="007D0E03" w:rsidP="005A425F">
      <w:pPr>
        <w:numPr>
          <w:ilvl w:val="0"/>
          <w:numId w:val="22"/>
        </w:numPr>
        <w:spacing w:line="360" w:lineRule="auto"/>
        <w:jc w:val="both"/>
      </w:pPr>
      <w:r w:rsidRPr="00E45C93">
        <w:rPr>
          <w:b/>
          <w:bCs/>
        </w:rPr>
        <w:t>Publication Fees and Language Editing</w:t>
      </w:r>
      <w:r w:rsidRPr="00E45C93">
        <w:t xml:space="preserve">: Funds are requested to cover article processing charges (APCs) for publishing findings in open-access scientific journals and professional English </w:t>
      </w:r>
      <w:r w:rsidRPr="00E45C93">
        <w:rPr>
          <w:b/>
          <w:bCs/>
        </w:rPr>
        <w:t>editing and translation services</w:t>
      </w:r>
      <w:r w:rsidRPr="00E45C93">
        <w:t>, when required, to meet journal standards. These services will ensure the clarity, accessibility, and international dissemination of the research outcomes.</w:t>
      </w:r>
    </w:p>
    <w:p w14:paraId="082CF3FE" w14:textId="6034F8E4" w:rsidR="007D0E03" w:rsidRPr="00E45C93" w:rsidRDefault="007D0E03" w:rsidP="005A425F">
      <w:pPr>
        <w:numPr>
          <w:ilvl w:val="0"/>
          <w:numId w:val="22"/>
        </w:numPr>
        <w:spacing w:line="360" w:lineRule="auto"/>
        <w:jc w:val="both"/>
      </w:pPr>
      <w:r w:rsidRPr="00E45C93">
        <w:rPr>
          <w:b/>
          <w:bCs/>
        </w:rPr>
        <w:t>Printing, Photocopying, and Office Supplies</w:t>
      </w:r>
      <w:r w:rsidRPr="00E45C93">
        <w:t>: Modest expenses are included for routine printing, photocopying, and purchasing consumable office materials (e.g., files, paper, data storage devices) necessary for participant management and documentation.</w:t>
      </w:r>
    </w:p>
    <w:p w14:paraId="3F990E1F" w14:textId="3E1C21EB" w:rsidR="007D0E03" w:rsidRPr="00E45C93" w:rsidRDefault="007D0E03" w:rsidP="005A425F">
      <w:pPr>
        <w:numPr>
          <w:ilvl w:val="0"/>
          <w:numId w:val="22"/>
        </w:numPr>
        <w:spacing w:line="360" w:lineRule="auto"/>
        <w:jc w:val="both"/>
      </w:pPr>
      <w:r w:rsidRPr="00E45C93">
        <w:rPr>
          <w:b/>
          <w:bCs/>
        </w:rPr>
        <w:t>Internet and Software Access</w:t>
      </w:r>
      <w:r w:rsidRPr="00E45C93">
        <w:t>: Costs associated with high-speed internet connectivity and access to cloud-based research platforms may be included, where relevant to data sharing and remote collaboration.</w:t>
      </w:r>
    </w:p>
    <w:p w14:paraId="6DBF939A" w14:textId="45DFC8FD" w:rsidR="007D0E03" w:rsidRPr="00E45C93" w:rsidRDefault="007D0E03" w:rsidP="005A425F">
      <w:pPr>
        <w:numPr>
          <w:ilvl w:val="0"/>
          <w:numId w:val="22"/>
        </w:numPr>
        <w:spacing w:line="360" w:lineRule="auto"/>
        <w:jc w:val="both"/>
      </w:pPr>
      <w:r w:rsidRPr="00E45C93">
        <w:rPr>
          <w:b/>
          <w:bCs/>
        </w:rPr>
        <w:t>Membership in Scientific Societies</w:t>
      </w:r>
      <w:r w:rsidRPr="00E45C93">
        <w:t xml:space="preserve">: Funding is also requested for annual membership fees in relevant </w:t>
      </w:r>
      <w:r w:rsidRPr="00E45C93">
        <w:rPr>
          <w:b/>
          <w:bCs/>
        </w:rPr>
        <w:t>professional associations</w:t>
      </w:r>
      <w:r w:rsidRPr="00E45C93">
        <w:t xml:space="preserve"> (e.g., International Society for Nutritional Psychiatry, Society for Psychophysiological Research), which would enable the research team to stay current with current methodologies, attend member-only conferences, and access research tools and publications.</w:t>
      </w:r>
    </w:p>
    <w:p w14:paraId="666A1843" w14:textId="06D49977" w:rsidR="004F10D4" w:rsidRDefault="007D0E03" w:rsidP="005A425F">
      <w:pPr>
        <w:spacing w:line="360" w:lineRule="auto"/>
        <w:jc w:val="both"/>
      </w:pPr>
      <w:r w:rsidRPr="00E45C93">
        <w:t>All expenses in this category are modest, fully justified, and essential for the research project’s operation, dissemination, and scholarly integration. No unrelated administrative costs or institutional overheads will be charged to this grant.</w:t>
      </w:r>
    </w:p>
    <w:p w14:paraId="20BEA59F" w14:textId="65042B7C" w:rsidR="00C67CB2" w:rsidRPr="00C67CB2" w:rsidRDefault="00C67CB2" w:rsidP="005A425F">
      <w:pPr>
        <w:pBdr>
          <w:top w:val="single" w:sz="4" w:space="1" w:color="auto"/>
          <w:bottom w:val="single" w:sz="4" w:space="1" w:color="auto"/>
        </w:pBdr>
        <w:spacing w:line="360" w:lineRule="auto"/>
        <w:jc w:val="both"/>
        <w:rPr>
          <w:b/>
          <w:bCs/>
        </w:rPr>
      </w:pPr>
      <w:r w:rsidRPr="00C67CB2">
        <w:rPr>
          <w:b/>
          <w:bCs/>
        </w:rPr>
        <w:lastRenderedPageBreak/>
        <w:t>References</w:t>
      </w:r>
    </w:p>
    <w:p w14:paraId="355530F7" w14:textId="77777777" w:rsidR="00F62FE9" w:rsidRPr="00F62FE9" w:rsidRDefault="00084DD4" w:rsidP="005A425F">
      <w:pPr>
        <w:pStyle w:val="Bibliography"/>
        <w:spacing w:line="360" w:lineRule="auto"/>
      </w:pPr>
      <w:r>
        <w:fldChar w:fldCharType="begin"/>
      </w:r>
      <w:r>
        <w:instrText xml:space="preserve"> ADDIN ZOTERO_BIBL {"uncited":[],"omitted":[],"custom":[]} CSL_BIBLIOGRAPHY </w:instrText>
      </w:r>
      <w:r>
        <w:fldChar w:fldCharType="separate"/>
      </w:r>
      <w:r w:rsidR="00F62FE9" w:rsidRPr="00F62FE9">
        <w:t xml:space="preserve">[1] </w:t>
      </w:r>
      <w:r w:rsidR="00F62FE9" w:rsidRPr="00F62FE9">
        <w:tab/>
        <w:t xml:space="preserve">Horovitz O, Argyrides M. Orthorexia and Orthorexia Nervosa: A Comprehensive Examination of Prevalence, Risk Factors, Diagnosis, and Treatment. </w:t>
      </w:r>
      <w:r w:rsidR="00F62FE9" w:rsidRPr="00F62FE9">
        <w:rPr>
          <w:i/>
          <w:iCs/>
        </w:rPr>
        <w:t>Nutrients</w:t>
      </w:r>
      <w:r w:rsidR="00F62FE9" w:rsidRPr="00F62FE9">
        <w:t xml:space="preserve"> 2023; 15: 3851.</w:t>
      </w:r>
    </w:p>
    <w:p w14:paraId="2044337F" w14:textId="77777777" w:rsidR="00F62FE9" w:rsidRPr="00F62FE9" w:rsidRDefault="00F62FE9" w:rsidP="005A425F">
      <w:pPr>
        <w:pStyle w:val="Bibliography"/>
        <w:spacing w:line="360" w:lineRule="auto"/>
      </w:pPr>
      <w:r w:rsidRPr="00F62FE9">
        <w:t xml:space="preserve">[2] </w:t>
      </w:r>
      <w:r w:rsidRPr="00F62FE9">
        <w:tab/>
        <w:t xml:space="preserve">Barlow IU, Lee E, Saling L. Orthorexia nervosa versus healthy orthorexia: Anxiety, perfectionism, and mindfulness as risk and preventative factors of distress. </w:t>
      </w:r>
      <w:r w:rsidRPr="00F62FE9">
        <w:rPr>
          <w:i/>
          <w:iCs/>
        </w:rPr>
        <w:t>Euro Eating Disorders Rev</w:t>
      </w:r>
      <w:r w:rsidRPr="00F62FE9">
        <w:t xml:space="preserve"> 2024; 32: 130–147.</w:t>
      </w:r>
    </w:p>
    <w:p w14:paraId="737858B7" w14:textId="77777777" w:rsidR="00F62FE9" w:rsidRPr="00F62FE9" w:rsidRDefault="00F62FE9" w:rsidP="005A425F">
      <w:pPr>
        <w:pStyle w:val="Bibliography"/>
        <w:spacing w:line="360" w:lineRule="auto"/>
      </w:pPr>
      <w:r w:rsidRPr="00F62FE9">
        <w:t xml:space="preserve">[3] </w:t>
      </w:r>
      <w:r w:rsidRPr="00F62FE9">
        <w:tab/>
        <w:t xml:space="preserve">Łucka I, Mazur A, Łucka A, et al. Orthorexia as an Eating Disorder Spectrum—A Review of the Literature. </w:t>
      </w:r>
      <w:r w:rsidRPr="00F62FE9">
        <w:rPr>
          <w:i/>
          <w:iCs/>
        </w:rPr>
        <w:t>Nutrients</w:t>
      </w:r>
      <w:r w:rsidRPr="00F62FE9">
        <w:t xml:space="preserve"> 2024; 16: 3304.</w:t>
      </w:r>
    </w:p>
    <w:p w14:paraId="6AF04C8E" w14:textId="77777777" w:rsidR="00F62FE9" w:rsidRPr="00F62FE9" w:rsidRDefault="00F62FE9" w:rsidP="005A425F">
      <w:pPr>
        <w:pStyle w:val="Bibliography"/>
        <w:spacing w:line="360" w:lineRule="auto"/>
      </w:pPr>
      <w:r w:rsidRPr="00F62FE9">
        <w:t xml:space="preserve">[4] </w:t>
      </w:r>
      <w:r w:rsidRPr="00F62FE9">
        <w:tab/>
        <w:t xml:space="preserve">Simpson CC, Mazzeo SE. Attitudes toward orthorexia nervosa relative to </w:t>
      </w:r>
      <w:r w:rsidRPr="00F62FE9">
        <w:rPr>
          <w:i/>
          <w:iCs/>
        </w:rPr>
        <w:t>DSM</w:t>
      </w:r>
      <w:r w:rsidRPr="00F62FE9">
        <w:t xml:space="preserve"> ‐ </w:t>
      </w:r>
      <w:r w:rsidRPr="00F62FE9">
        <w:rPr>
          <w:i/>
          <w:iCs/>
        </w:rPr>
        <w:t>5</w:t>
      </w:r>
      <w:r w:rsidRPr="00F62FE9">
        <w:t xml:space="preserve"> eating disorders. </w:t>
      </w:r>
      <w:r w:rsidRPr="00F62FE9">
        <w:rPr>
          <w:i/>
          <w:iCs/>
        </w:rPr>
        <w:t>Intl J Eating Disorders</w:t>
      </w:r>
      <w:r w:rsidRPr="00F62FE9">
        <w:t xml:space="preserve"> 2017; 50: 781–792.</w:t>
      </w:r>
    </w:p>
    <w:p w14:paraId="1FB5C8F7" w14:textId="77777777" w:rsidR="00F62FE9" w:rsidRPr="00F62FE9" w:rsidRDefault="00F62FE9" w:rsidP="005A425F">
      <w:pPr>
        <w:pStyle w:val="Bibliography"/>
        <w:spacing w:line="360" w:lineRule="auto"/>
      </w:pPr>
      <w:r w:rsidRPr="00F62FE9">
        <w:t xml:space="preserve">[5] </w:t>
      </w:r>
      <w:r w:rsidRPr="00F62FE9">
        <w:tab/>
        <w:t xml:space="preserve">Marks RJ, De Foe A, Collett J. The pursuit of wellness: Social media, body image and eating disorders. </w:t>
      </w:r>
      <w:r w:rsidRPr="00F62FE9">
        <w:rPr>
          <w:i/>
          <w:iCs/>
        </w:rPr>
        <w:t>Children and Youth Services Review</w:t>
      </w:r>
      <w:r w:rsidRPr="00F62FE9">
        <w:t xml:space="preserve"> 2020; 119: 105659.</w:t>
      </w:r>
    </w:p>
    <w:p w14:paraId="1BEB7C6E" w14:textId="77777777" w:rsidR="00F62FE9" w:rsidRPr="00F62FE9" w:rsidRDefault="00F62FE9" w:rsidP="005A425F">
      <w:pPr>
        <w:pStyle w:val="Bibliography"/>
        <w:spacing w:line="360" w:lineRule="auto"/>
      </w:pPr>
      <w:r w:rsidRPr="00F62FE9">
        <w:t xml:space="preserve">[6] </w:t>
      </w:r>
      <w:r w:rsidRPr="00F62FE9">
        <w:tab/>
        <w:t xml:space="preserve">Horovitz O, Agryrides M. Validation of a Hebrew Adaptation of the Teruel Orthorexia Scale (TOS) in Adults from Israel. </w:t>
      </w:r>
      <w:r w:rsidRPr="00F62FE9">
        <w:rPr>
          <w:i/>
          <w:iCs/>
        </w:rPr>
        <w:t>North American Journal of Psychology</w:t>
      </w:r>
      <w:r w:rsidRPr="00F62FE9">
        <w:t xml:space="preserve"> 2024; 26: 927–942.</w:t>
      </w:r>
    </w:p>
    <w:p w14:paraId="3411537D" w14:textId="77777777" w:rsidR="00F62FE9" w:rsidRPr="00F62FE9" w:rsidRDefault="00F62FE9" w:rsidP="005A425F">
      <w:pPr>
        <w:pStyle w:val="Bibliography"/>
        <w:spacing w:line="360" w:lineRule="auto"/>
      </w:pPr>
      <w:r w:rsidRPr="00F62FE9">
        <w:t xml:space="preserve">[7] </w:t>
      </w:r>
      <w:r w:rsidRPr="00F62FE9">
        <w:tab/>
        <w:t xml:space="preserve">Orthorexia nervosa – the border between healthy eating and eating disorders. </w:t>
      </w:r>
      <w:r w:rsidRPr="00F62FE9">
        <w:rPr>
          <w:i/>
          <w:iCs/>
        </w:rPr>
        <w:t>Rocz Panstw Zakl Hig</w:t>
      </w:r>
      <w:r w:rsidRPr="00F62FE9">
        <w:t xml:space="preserve"> 2022; 381–385.</w:t>
      </w:r>
    </w:p>
    <w:p w14:paraId="17BCBFD9" w14:textId="77777777" w:rsidR="00F62FE9" w:rsidRPr="00F62FE9" w:rsidRDefault="00F62FE9" w:rsidP="005A425F">
      <w:pPr>
        <w:pStyle w:val="Bibliography"/>
        <w:spacing w:line="360" w:lineRule="auto"/>
      </w:pPr>
      <w:r w:rsidRPr="00F62FE9">
        <w:t xml:space="preserve">[8] </w:t>
      </w:r>
      <w:r w:rsidRPr="00F62FE9">
        <w:tab/>
        <w:t xml:space="preserve">Atchison AE, Zickgraf HF. Orthorexia nervosa and eating disorder behaviors: A systematic review of the literature. </w:t>
      </w:r>
      <w:r w:rsidRPr="00F62FE9">
        <w:rPr>
          <w:i/>
          <w:iCs/>
        </w:rPr>
        <w:t>Appetite</w:t>
      </w:r>
      <w:r w:rsidRPr="00F62FE9">
        <w:t xml:space="preserve"> 2022; 177: 106134.</w:t>
      </w:r>
    </w:p>
    <w:p w14:paraId="3F18AEB7" w14:textId="77777777" w:rsidR="00F62FE9" w:rsidRPr="00F62FE9" w:rsidRDefault="00F62FE9" w:rsidP="005A425F">
      <w:pPr>
        <w:pStyle w:val="Bibliography"/>
        <w:spacing w:line="360" w:lineRule="auto"/>
      </w:pPr>
      <w:r w:rsidRPr="00F62FE9">
        <w:t xml:space="preserve">[9] </w:t>
      </w:r>
      <w:r w:rsidRPr="00F62FE9">
        <w:tab/>
        <w:t xml:space="preserve">Pontillo M, Zanna V, Demaria F, et al. Orthorexia Nervosa, Eating Disorders, and Obsessive-Compulsive Disorder: A Selective Review of the Last Seven Years. </w:t>
      </w:r>
      <w:r w:rsidRPr="00F62FE9">
        <w:rPr>
          <w:i/>
          <w:iCs/>
        </w:rPr>
        <w:t>JCM</w:t>
      </w:r>
      <w:r w:rsidRPr="00F62FE9">
        <w:t xml:space="preserve"> 2022; 11: 6134.</w:t>
      </w:r>
    </w:p>
    <w:p w14:paraId="30F375E0" w14:textId="77777777" w:rsidR="00F62FE9" w:rsidRPr="00F62FE9" w:rsidRDefault="00F62FE9" w:rsidP="005A425F">
      <w:pPr>
        <w:pStyle w:val="Bibliography"/>
        <w:spacing w:line="360" w:lineRule="auto"/>
      </w:pPr>
      <w:r w:rsidRPr="00F62FE9">
        <w:t xml:space="preserve">[10] </w:t>
      </w:r>
      <w:r w:rsidRPr="00F62FE9">
        <w:tab/>
        <w:t xml:space="preserve">Corcos M, Guilbaud O, Paterniti S, et al. Involvement of cytokines in eating disorders: a critical review of the human literature. </w:t>
      </w:r>
      <w:r w:rsidRPr="00F62FE9">
        <w:rPr>
          <w:i/>
          <w:iCs/>
        </w:rPr>
        <w:t>Psychoneuroendocrinology</w:t>
      </w:r>
      <w:r w:rsidRPr="00F62FE9">
        <w:t xml:space="preserve"> 2003; 28: 229–249.</w:t>
      </w:r>
    </w:p>
    <w:p w14:paraId="06FDF296" w14:textId="77777777" w:rsidR="00F62FE9" w:rsidRPr="00F62FE9" w:rsidRDefault="00F62FE9" w:rsidP="005A425F">
      <w:pPr>
        <w:pStyle w:val="Bibliography"/>
        <w:spacing w:line="360" w:lineRule="auto"/>
      </w:pPr>
      <w:r w:rsidRPr="00F62FE9">
        <w:t xml:space="preserve">[11] </w:t>
      </w:r>
      <w:r w:rsidRPr="00F62FE9">
        <w:tab/>
        <w:t xml:space="preserve">Gautron L. Neurobiology of inflammation-associated anorexia. </w:t>
      </w:r>
      <w:r w:rsidRPr="00F62FE9">
        <w:rPr>
          <w:i/>
          <w:iCs/>
        </w:rPr>
        <w:t>Front Neurosci</w:t>
      </w:r>
      <w:r w:rsidRPr="00F62FE9">
        <w:t>. Epub ahead of print 2009. DOI: 10.3389/neuro.23.003.2009.</w:t>
      </w:r>
    </w:p>
    <w:p w14:paraId="575020A9" w14:textId="77777777" w:rsidR="00F62FE9" w:rsidRPr="00F62FE9" w:rsidRDefault="00F62FE9" w:rsidP="005A425F">
      <w:pPr>
        <w:pStyle w:val="Bibliography"/>
        <w:spacing w:line="360" w:lineRule="auto"/>
      </w:pPr>
      <w:r w:rsidRPr="00F62FE9">
        <w:t xml:space="preserve">[12] </w:t>
      </w:r>
      <w:r w:rsidRPr="00F62FE9">
        <w:tab/>
        <w:t xml:space="preserve">Fourrier C, Singhal G, Baune BT. Neuroinflammation and cognition across psychiatric conditions. </w:t>
      </w:r>
      <w:r w:rsidRPr="00F62FE9">
        <w:rPr>
          <w:i/>
          <w:iCs/>
        </w:rPr>
        <w:t>CNS Spectr</w:t>
      </w:r>
      <w:r w:rsidRPr="00F62FE9">
        <w:t xml:space="preserve"> 2019; 24: 4–15.</w:t>
      </w:r>
    </w:p>
    <w:p w14:paraId="3801C7C4" w14:textId="77777777" w:rsidR="00F62FE9" w:rsidRPr="00F62FE9" w:rsidRDefault="00F62FE9" w:rsidP="005A425F">
      <w:pPr>
        <w:pStyle w:val="Bibliography"/>
        <w:spacing w:line="360" w:lineRule="auto"/>
      </w:pPr>
      <w:r w:rsidRPr="00F62FE9">
        <w:lastRenderedPageBreak/>
        <w:t xml:space="preserve">[13] </w:t>
      </w:r>
      <w:r w:rsidRPr="00F62FE9">
        <w:tab/>
        <w:t xml:space="preserve">Sah A, Singewald N. The (neuro)inflammatory system in anxiety disorders and PTSD: Potential treatment targets. </w:t>
      </w:r>
      <w:r w:rsidRPr="00F62FE9">
        <w:rPr>
          <w:i/>
          <w:iCs/>
        </w:rPr>
        <w:t>Pharmacology &amp; Therapeutics</w:t>
      </w:r>
      <w:r w:rsidRPr="00F62FE9">
        <w:t xml:space="preserve"> 2025; 269: 108825.</w:t>
      </w:r>
    </w:p>
    <w:p w14:paraId="375971E9" w14:textId="77777777" w:rsidR="00F62FE9" w:rsidRPr="00F62FE9" w:rsidRDefault="00F62FE9" w:rsidP="005A425F">
      <w:pPr>
        <w:pStyle w:val="Bibliography"/>
        <w:spacing w:line="360" w:lineRule="auto"/>
      </w:pPr>
      <w:r w:rsidRPr="00F62FE9">
        <w:t xml:space="preserve">[14] </w:t>
      </w:r>
      <w:r w:rsidRPr="00F62FE9">
        <w:tab/>
        <w:t xml:space="preserve">Strahler J, Wachten H, Neuhofer S, et al. Psychological Correlates of Excessive Healthy and Orthorexic Eating: Emotion Regulation, Attachment, and Anxious-Depressive-Stress Symptomatology. </w:t>
      </w:r>
      <w:r w:rsidRPr="00F62FE9">
        <w:rPr>
          <w:i/>
          <w:iCs/>
        </w:rPr>
        <w:t>Front Nutr</w:t>
      </w:r>
      <w:r w:rsidRPr="00F62FE9">
        <w:t xml:space="preserve"> 2022; 9: 817047.</w:t>
      </w:r>
    </w:p>
    <w:p w14:paraId="7D73CAF6" w14:textId="77777777" w:rsidR="00F62FE9" w:rsidRPr="00F62FE9" w:rsidRDefault="00F62FE9" w:rsidP="005A425F">
      <w:pPr>
        <w:pStyle w:val="Bibliography"/>
        <w:spacing w:line="360" w:lineRule="auto"/>
      </w:pPr>
      <w:r w:rsidRPr="00F62FE9">
        <w:t xml:space="preserve">[15] </w:t>
      </w:r>
      <w:r w:rsidRPr="00F62FE9">
        <w:tab/>
        <w:t xml:space="preserve">Butler MJ, Perrini AA, Eckel LA. The Role of the Gut Microbiome, Immunity, and Neuroinflammation in the Pathophysiology of Eating Disorders. </w:t>
      </w:r>
      <w:r w:rsidRPr="00F62FE9">
        <w:rPr>
          <w:i/>
          <w:iCs/>
        </w:rPr>
        <w:t>Nutrients</w:t>
      </w:r>
      <w:r w:rsidRPr="00F62FE9">
        <w:t xml:space="preserve"> 2021; 13: 500.</w:t>
      </w:r>
    </w:p>
    <w:p w14:paraId="5E3E3EF8" w14:textId="77777777" w:rsidR="00F62FE9" w:rsidRPr="00F62FE9" w:rsidRDefault="00F62FE9" w:rsidP="005A425F">
      <w:pPr>
        <w:pStyle w:val="Bibliography"/>
        <w:spacing w:line="360" w:lineRule="auto"/>
      </w:pPr>
      <w:r w:rsidRPr="00F62FE9">
        <w:t xml:space="preserve">[16] </w:t>
      </w:r>
      <w:r w:rsidRPr="00F62FE9">
        <w:tab/>
        <w:t xml:space="preserve">Di Lodovico L, Mondot S, Doré J, et al. Anorexia nervosa and gut microbiota: A systematic review and quantitative synthesis of pooled microbiological data. </w:t>
      </w:r>
      <w:r w:rsidRPr="00F62FE9">
        <w:rPr>
          <w:i/>
          <w:iCs/>
        </w:rPr>
        <w:t>Progress in Neuro-Psychopharmacology and Biological Psychiatry</w:t>
      </w:r>
      <w:r w:rsidRPr="00F62FE9">
        <w:t xml:space="preserve"> 2021; 106: 110114.</w:t>
      </w:r>
    </w:p>
    <w:p w14:paraId="150296D3" w14:textId="77777777" w:rsidR="00F62FE9" w:rsidRPr="00F62FE9" w:rsidRDefault="00F62FE9" w:rsidP="005A425F">
      <w:pPr>
        <w:pStyle w:val="Bibliography"/>
        <w:spacing w:line="360" w:lineRule="auto"/>
      </w:pPr>
      <w:r w:rsidRPr="00F62FE9">
        <w:t xml:space="preserve">[17] </w:t>
      </w:r>
      <w:r w:rsidRPr="00F62FE9">
        <w:tab/>
        <w:t xml:space="preserve">Fan Y, Støving RK, Berreira Ibraim S, et al. The gut microbiota contributes to the pathogenesis of anorexia nervosa in humans and mice. </w:t>
      </w:r>
      <w:r w:rsidRPr="00F62FE9">
        <w:rPr>
          <w:i/>
          <w:iCs/>
        </w:rPr>
        <w:t>Nat Microbiol</w:t>
      </w:r>
      <w:r w:rsidRPr="00F62FE9">
        <w:t xml:space="preserve"> 2023; 8: 787–802.</w:t>
      </w:r>
    </w:p>
    <w:p w14:paraId="1F60D141" w14:textId="77777777" w:rsidR="00F62FE9" w:rsidRPr="00F62FE9" w:rsidRDefault="00F62FE9" w:rsidP="005A425F">
      <w:pPr>
        <w:pStyle w:val="Bibliography"/>
        <w:spacing w:line="360" w:lineRule="auto"/>
      </w:pPr>
      <w:r w:rsidRPr="00F62FE9">
        <w:t xml:space="preserve">[18] </w:t>
      </w:r>
      <w:r w:rsidRPr="00F62FE9">
        <w:tab/>
        <w:t xml:space="preserve">Roubalová R, Procházková P, Kovářová T, et al. Influence of the gut microbiome on appetite-regulating neuropeptides in the hypothalamus: Insight from conventional, antibiotic-treated, and germ-free mouse models of anorexia nervosa. </w:t>
      </w:r>
      <w:r w:rsidRPr="00F62FE9">
        <w:rPr>
          <w:i/>
          <w:iCs/>
        </w:rPr>
        <w:t>Neurobiology of Disease</w:t>
      </w:r>
      <w:r w:rsidRPr="00F62FE9">
        <w:t xml:space="preserve"> 2024; 193: 106460.</w:t>
      </w:r>
    </w:p>
    <w:p w14:paraId="604871B8" w14:textId="77777777" w:rsidR="00F62FE9" w:rsidRPr="00F62FE9" w:rsidRDefault="00F62FE9" w:rsidP="005A425F">
      <w:pPr>
        <w:pStyle w:val="Bibliography"/>
        <w:spacing w:line="360" w:lineRule="auto"/>
      </w:pPr>
      <w:r w:rsidRPr="00F62FE9">
        <w:t xml:space="preserve">[19] </w:t>
      </w:r>
      <w:r w:rsidRPr="00F62FE9">
        <w:tab/>
        <w:t xml:space="preserve">Ruusunen A, Rocks T, Jacka F, et al. The gut microbiome in anorexia nervosa: relevance for nutritional rehabilitation. </w:t>
      </w:r>
      <w:r w:rsidRPr="00F62FE9">
        <w:rPr>
          <w:i/>
          <w:iCs/>
        </w:rPr>
        <w:t>Psychopharmacology</w:t>
      </w:r>
      <w:r w:rsidRPr="00F62FE9">
        <w:t xml:space="preserve"> 2019; 236: 1545–1558.</w:t>
      </w:r>
    </w:p>
    <w:p w14:paraId="563F8825" w14:textId="77777777" w:rsidR="00F62FE9" w:rsidRPr="00F62FE9" w:rsidRDefault="00F62FE9" w:rsidP="005A425F">
      <w:pPr>
        <w:pStyle w:val="Bibliography"/>
        <w:spacing w:line="360" w:lineRule="auto"/>
      </w:pPr>
      <w:r w:rsidRPr="00F62FE9">
        <w:t xml:space="preserve">[20] </w:t>
      </w:r>
      <w:r w:rsidRPr="00F62FE9">
        <w:tab/>
        <w:t xml:space="preserve">Chen X, Ai C, Liu Z, et al. Neuroimaging studies of resting-state functional magnetic resonance imaging in eating disorders. </w:t>
      </w:r>
      <w:r w:rsidRPr="00F62FE9">
        <w:rPr>
          <w:i/>
          <w:iCs/>
        </w:rPr>
        <w:t>BMC Med Imaging</w:t>
      </w:r>
      <w:r w:rsidRPr="00F62FE9">
        <w:t xml:space="preserve"> 2024; 24: 265.</w:t>
      </w:r>
    </w:p>
    <w:p w14:paraId="5E56C749" w14:textId="77777777" w:rsidR="00F62FE9" w:rsidRPr="00F62FE9" w:rsidRDefault="00F62FE9" w:rsidP="005A425F">
      <w:pPr>
        <w:pStyle w:val="Bibliography"/>
        <w:spacing w:line="360" w:lineRule="auto"/>
      </w:pPr>
      <w:r w:rsidRPr="00F62FE9">
        <w:t xml:space="preserve">[21] </w:t>
      </w:r>
      <w:r w:rsidRPr="00F62FE9">
        <w:tab/>
        <w:t xml:space="preserve">Jáuregui-Lobera I. Electroencephalography in eating disorders. </w:t>
      </w:r>
      <w:r w:rsidRPr="00F62FE9">
        <w:rPr>
          <w:i/>
          <w:iCs/>
        </w:rPr>
        <w:t>Neuropsychiatr Dis Treat</w:t>
      </w:r>
      <w:r w:rsidRPr="00F62FE9">
        <w:t xml:space="preserve"> 2012; 8: 1–11.</w:t>
      </w:r>
    </w:p>
    <w:p w14:paraId="42281F2D" w14:textId="77777777" w:rsidR="00F62FE9" w:rsidRPr="00F62FE9" w:rsidRDefault="00F62FE9" w:rsidP="005A425F">
      <w:pPr>
        <w:pStyle w:val="Bibliography"/>
        <w:spacing w:line="360" w:lineRule="auto"/>
      </w:pPr>
      <w:r w:rsidRPr="00F62FE9">
        <w:t xml:space="preserve">[22] </w:t>
      </w:r>
      <w:r w:rsidRPr="00F62FE9">
        <w:tab/>
        <w:t xml:space="preserve">Carbine KA, Rodeback R, Modersitzki E, et al. The utility of event-related potentials (ERPs) in understanding food-related cognition: A systematic review and recommendations. </w:t>
      </w:r>
      <w:r w:rsidRPr="00F62FE9">
        <w:rPr>
          <w:i/>
          <w:iCs/>
        </w:rPr>
        <w:t>Appetite</w:t>
      </w:r>
      <w:r w:rsidRPr="00F62FE9">
        <w:t xml:space="preserve"> 2018; 128: 58–78.</w:t>
      </w:r>
    </w:p>
    <w:p w14:paraId="1840CB28" w14:textId="77777777" w:rsidR="00F62FE9" w:rsidRPr="00F62FE9" w:rsidRDefault="00F62FE9" w:rsidP="005A425F">
      <w:pPr>
        <w:pStyle w:val="Bibliography"/>
        <w:spacing w:line="360" w:lineRule="auto"/>
      </w:pPr>
      <w:r w:rsidRPr="00F62FE9">
        <w:t xml:space="preserve">[23] </w:t>
      </w:r>
      <w:r w:rsidRPr="00F62FE9">
        <w:tab/>
        <w:t xml:space="preserve">Stonawski V, Mai‐Lippold SA, Graap H, et al. Processing of food stimuli in anorexia nervosa: An ERP‐study comparing adolescents and adults. </w:t>
      </w:r>
      <w:r w:rsidRPr="00F62FE9">
        <w:rPr>
          <w:i/>
          <w:iCs/>
        </w:rPr>
        <w:t>Euro Eating Disorders Rev</w:t>
      </w:r>
      <w:r w:rsidRPr="00F62FE9">
        <w:t xml:space="preserve"> 2024; 32: 281–297.</w:t>
      </w:r>
    </w:p>
    <w:p w14:paraId="08BE6DCA" w14:textId="77777777" w:rsidR="00F62FE9" w:rsidRPr="00F62FE9" w:rsidRDefault="00F62FE9" w:rsidP="005A425F">
      <w:pPr>
        <w:pStyle w:val="Bibliography"/>
        <w:spacing w:line="360" w:lineRule="auto"/>
      </w:pPr>
      <w:r w:rsidRPr="00F62FE9">
        <w:lastRenderedPageBreak/>
        <w:t xml:space="preserve">[24] </w:t>
      </w:r>
      <w:r w:rsidRPr="00F62FE9">
        <w:tab/>
        <w:t xml:space="preserve">Greville-Harris M, Vuillier L, Goodall S, et al. Striving for the perfect diet? The mediating role of perfectionism in the relationship between obsessive compulsive symptoms and traits of Orthorexia Nervosa. </w:t>
      </w:r>
      <w:r w:rsidRPr="00F62FE9">
        <w:rPr>
          <w:i/>
          <w:iCs/>
        </w:rPr>
        <w:t>J Eat Disord</w:t>
      </w:r>
      <w:r w:rsidRPr="00F62FE9">
        <w:t xml:space="preserve"> 2024; 12: 91.</w:t>
      </w:r>
    </w:p>
    <w:p w14:paraId="0C8690F6" w14:textId="77777777" w:rsidR="00F62FE9" w:rsidRPr="00F62FE9" w:rsidRDefault="00F62FE9" w:rsidP="005A425F">
      <w:pPr>
        <w:pStyle w:val="Bibliography"/>
        <w:spacing w:line="360" w:lineRule="auto"/>
      </w:pPr>
      <w:r w:rsidRPr="00F62FE9">
        <w:t xml:space="preserve">[25] </w:t>
      </w:r>
      <w:r w:rsidRPr="00F62FE9">
        <w:tab/>
        <w:t xml:space="preserve">Pollatos O, Kurz A-L, Albrecht J, et al. Reduced perception of bodily signals in anorexia nervosa. </w:t>
      </w:r>
      <w:r w:rsidRPr="00F62FE9">
        <w:rPr>
          <w:i/>
          <w:iCs/>
        </w:rPr>
        <w:t>Eating Behaviors</w:t>
      </w:r>
      <w:r w:rsidRPr="00F62FE9">
        <w:t xml:space="preserve"> 2008; 9: 381–388.</w:t>
      </w:r>
    </w:p>
    <w:p w14:paraId="2173F826" w14:textId="77777777" w:rsidR="00F62FE9" w:rsidRPr="00F62FE9" w:rsidRDefault="00F62FE9" w:rsidP="005A425F">
      <w:pPr>
        <w:pStyle w:val="Bibliography"/>
        <w:spacing w:line="360" w:lineRule="auto"/>
      </w:pPr>
      <w:r w:rsidRPr="00F62FE9">
        <w:t xml:space="preserve">[26] </w:t>
      </w:r>
      <w:r w:rsidRPr="00F62FE9">
        <w:tab/>
        <w:t xml:space="preserve">Miyata, Matsunaga, Kiriike, et al. Event‐related potentials in patients with obsessive–compulsive disorder. </w:t>
      </w:r>
      <w:r w:rsidRPr="00F62FE9">
        <w:rPr>
          <w:i/>
          <w:iCs/>
        </w:rPr>
        <w:t>Psychiatry Clin Neurosci</w:t>
      </w:r>
      <w:r w:rsidRPr="00F62FE9">
        <w:t xml:space="preserve"> 1998; 52: 513–518.</w:t>
      </w:r>
    </w:p>
    <w:p w14:paraId="790387EB" w14:textId="77777777" w:rsidR="00F62FE9" w:rsidRPr="00F62FE9" w:rsidRDefault="00F62FE9" w:rsidP="005A425F">
      <w:pPr>
        <w:pStyle w:val="Bibliography"/>
        <w:spacing w:line="360" w:lineRule="auto"/>
      </w:pPr>
      <w:r w:rsidRPr="00F62FE9">
        <w:t xml:space="preserve">[27] </w:t>
      </w:r>
      <w:r w:rsidRPr="00F62FE9">
        <w:tab/>
        <w:t xml:space="preserve">Raggi A, Lanza G, Ferri R. A Review on P300 in Obsessive-Compulsive Disorder. </w:t>
      </w:r>
      <w:r w:rsidRPr="00F62FE9">
        <w:rPr>
          <w:i/>
          <w:iCs/>
        </w:rPr>
        <w:t>Front Psychiatry</w:t>
      </w:r>
      <w:r w:rsidRPr="00F62FE9">
        <w:t xml:space="preserve"> 2021; 12: 751215.</w:t>
      </w:r>
    </w:p>
    <w:p w14:paraId="17823277" w14:textId="77777777" w:rsidR="00F62FE9" w:rsidRPr="00F62FE9" w:rsidRDefault="00F62FE9" w:rsidP="005A425F">
      <w:pPr>
        <w:pStyle w:val="Bibliography"/>
        <w:spacing w:line="360" w:lineRule="auto"/>
      </w:pPr>
      <w:r w:rsidRPr="00F62FE9">
        <w:t xml:space="preserve">[28] </w:t>
      </w:r>
      <w:r w:rsidRPr="00F62FE9">
        <w:tab/>
        <w:t xml:space="preserve">Blake Woodside D. A review of anorexia nervosa and bulimia nervosa. </w:t>
      </w:r>
      <w:r w:rsidRPr="00F62FE9">
        <w:rPr>
          <w:i/>
          <w:iCs/>
        </w:rPr>
        <w:t>Current Problems in Pediatrics</w:t>
      </w:r>
      <w:r w:rsidRPr="00F62FE9">
        <w:t xml:space="preserve"> 1995; 25: 67–89.</w:t>
      </w:r>
    </w:p>
    <w:p w14:paraId="78D6CEE0" w14:textId="77777777" w:rsidR="00F62FE9" w:rsidRPr="00F62FE9" w:rsidRDefault="00F62FE9" w:rsidP="005A425F">
      <w:pPr>
        <w:pStyle w:val="Bibliography"/>
        <w:spacing w:line="360" w:lineRule="auto"/>
      </w:pPr>
      <w:r w:rsidRPr="00F62FE9">
        <w:t xml:space="preserve">[29] </w:t>
      </w:r>
      <w:r w:rsidRPr="00F62FE9">
        <w:tab/>
        <w:t xml:space="preserve">Lawrence S (ed). </w:t>
      </w:r>
      <w:r w:rsidRPr="00F62FE9">
        <w:rPr>
          <w:i/>
          <w:iCs/>
        </w:rPr>
        <w:t>Digital wellness, health and fitness influencers: critical perspectives on digital guru media</w:t>
      </w:r>
      <w:r w:rsidRPr="00F62FE9">
        <w:t>. London New York: Routledge, 2022. Epub ahead of print 2022. DOI: 10.4324/9781003256021.</w:t>
      </w:r>
    </w:p>
    <w:p w14:paraId="63CB6ACC" w14:textId="77777777" w:rsidR="00F62FE9" w:rsidRPr="00F62FE9" w:rsidRDefault="00F62FE9" w:rsidP="005A425F">
      <w:pPr>
        <w:pStyle w:val="Bibliography"/>
        <w:spacing w:line="360" w:lineRule="auto"/>
      </w:pPr>
      <w:r w:rsidRPr="00F62FE9">
        <w:t xml:space="preserve">[30] </w:t>
      </w:r>
      <w:r w:rsidRPr="00F62FE9">
        <w:tab/>
        <w:t xml:space="preserve">Tiusanen K. Fulfilling the self through food in wellness blogs: Governing the healthy subject. </w:t>
      </w:r>
      <w:r w:rsidRPr="00F62FE9">
        <w:rPr>
          <w:i/>
          <w:iCs/>
        </w:rPr>
        <w:t>European Journal of Cultural Studies</w:t>
      </w:r>
      <w:r w:rsidRPr="00F62FE9">
        <w:t xml:space="preserve"> 2021; 24: 1382–1400.</w:t>
      </w:r>
    </w:p>
    <w:p w14:paraId="0DCD0508" w14:textId="77777777" w:rsidR="00F62FE9" w:rsidRPr="00F62FE9" w:rsidRDefault="00F62FE9" w:rsidP="005A425F">
      <w:pPr>
        <w:pStyle w:val="Bibliography"/>
        <w:spacing w:line="360" w:lineRule="auto"/>
      </w:pPr>
      <w:r w:rsidRPr="00F62FE9">
        <w:t xml:space="preserve">[31] </w:t>
      </w:r>
      <w:r w:rsidRPr="00F62FE9">
        <w:tab/>
        <w:t xml:space="preserve">Spitzer RL, Kroenke K, Williams JBW, et al. A Brief Measure for Assessing Generalized Anxiety Disorder: The GAD-7. </w:t>
      </w:r>
      <w:r w:rsidRPr="00F62FE9">
        <w:rPr>
          <w:i/>
          <w:iCs/>
        </w:rPr>
        <w:t>Arch Intern Med</w:t>
      </w:r>
      <w:r w:rsidRPr="00F62FE9">
        <w:t xml:space="preserve"> 2006; 166: 1092.</w:t>
      </w:r>
    </w:p>
    <w:p w14:paraId="0D46AD1F" w14:textId="77777777" w:rsidR="00F62FE9" w:rsidRPr="00F62FE9" w:rsidRDefault="00F62FE9" w:rsidP="005A425F">
      <w:pPr>
        <w:pStyle w:val="Bibliography"/>
        <w:spacing w:line="360" w:lineRule="auto"/>
      </w:pPr>
      <w:r w:rsidRPr="00F62FE9">
        <w:t xml:space="preserve">[32] </w:t>
      </w:r>
      <w:r w:rsidRPr="00F62FE9">
        <w:tab/>
        <w:t xml:space="preserve">Wideman TH, Sullivan MJL, Inada S, et al. Beck Depression Inventory (BDI). In: Gellman MD, Turner JR (eds) </w:t>
      </w:r>
      <w:r w:rsidRPr="00F62FE9">
        <w:rPr>
          <w:i/>
          <w:iCs/>
        </w:rPr>
        <w:t>Encyclopedia of Behavioral Medicine</w:t>
      </w:r>
      <w:r w:rsidRPr="00F62FE9">
        <w:t>. New York, NY: Springer New York, pp. 178–179.</w:t>
      </w:r>
    </w:p>
    <w:p w14:paraId="6B6C2DFD" w14:textId="77777777" w:rsidR="00F62FE9" w:rsidRPr="00F62FE9" w:rsidRDefault="00F62FE9" w:rsidP="005A425F">
      <w:pPr>
        <w:pStyle w:val="Bibliography"/>
        <w:spacing w:line="360" w:lineRule="auto"/>
      </w:pPr>
      <w:r w:rsidRPr="00F62FE9">
        <w:t xml:space="preserve">[33] </w:t>
      </w:r>
      <w:r w:rsidRPr="00F62FE9">
        <w:tab/>
        <w:t xml:space="preserve">Hewitt PL, Flett GL. Perfectionism in the self and social contexts: Conceptualization, assessment, and association with psychopathology. </w:t>
      </w:r>
      <w:r w:rsidRPr="00F62FE9">
        <w:rPr>
          <w:i/>
          <w:iCs/>
        </w:rPr>
        <w:t>Journal of Personality and Social Psychology</w:t>
      </w:r>
      <w:r w:rsidRPr="00F62FE9">
        <w:t xml:space="preserve"> 1991; 60: 456–470.</w:t>
      </w:r>
    </w:p>
    <w:p w14:paraId="302D37CD" w14:textId="77777777" w:rsidR="00F62FE9" w:rsidRPr="00F62FE9" w:rsidRDefault="00F62FE9" w:rsidP="005A425F">
      <w:pPr>
        <w:pStyle w:val="Bibliography"/>
        <w:spacing w:line="360" w:lineRule="auto"/>
      </w:pPr>
      <w:r w:rsidRPr="00F62FE9">
        <w:t xml:space="preserve">[34] </w:t>
      </w:r>
      <w:r w:rsidRPr="00F62FE9">
        <w:tab/>
        <w:t xml:space="preserve">Foa EB, Huppert JD, Leiberg S, et al. The Obsessive-Compulsive Inventory: Development and validation of a short version. </w:t>
      </w:r>
      <w:r w:rsidRPr="00F62FE9">
        <w:rPr>
          <w:i/>
          <w:iCs/>
        </w:rPr>
        <w:t>Psychological Assessment</w:t>
      </w:r>
      <w:r w:rsidRPr="00F62FE9">
        <w:t xml:space="preserve"> 2002; 14: 485–496.</w:t>
      </w:r>
    </w:p>
    <w:p w14:paraId="51C274BC" w14:textId="77777777" w:rsidR="00F62FE9" w:rsidRPr="00F62FE9" w:rsidRDefault="00F62FE9" w:rsidP="005A425F">
      <w:pPr>
        <w:pStyle w:val="Bibliography"/>
        <w:spacing w:line="360" w:lineRule="auto"/>
      </w:pPr>
      <w:r w:rsidRPr="00F62FE9">
        <w:lastRenderedPageBreak/>
        <w:t xml:space="preserve">[35] </w:t>
      </w:r>
      <w:r w:rsidRPr="00F62FE9">
        <w:tab/>
        <w:t>Fairburn CG, Beglin SJ. Eating Disorder Examination Questionnaire. Epub ahead of print 12 September 2011. DOI: 10.1037/t03974-000.</w:t>
      </w:r>
    </w:p>
    <w:p w14:paraId="2C053228" w14:textId="77777777" w:rsidR="00F62FE9" w:rsidRPr="00F62FE9" w:rsidRDefault="00F62FE9" w:rsidP="005A425F">
      <w:pPr>
        <w:pStyle w:val="Bibliography"/>
        <w:spacing w:line="360" w:lineRule="auto"/>
      </w:pPr>
      <w:r w:rsidRPr="00F62FE9">
        <w:t xml:space="preserve">[36] </w:t>
      </w:r>
      <w:r w:rsidRPr="00F62FE9">
        <w:tab/>
        <w:t xml:space="preserve">Willett WC, Sampson L, Stampfer MJ, et al. REPRODUCIBILITY AND VALIDITY OF A SEMIQUANTITATIVE FOOD FREQUENCY QUESTIONNAIRE. </w:t>
      </w:r>
      <w:r w:rsidRPr="00F62FE9">
        <w:rPr>
          <w:i/>
          <w:iCs/>
        </w:rPr>
        <w:t>American Journal of Epidemiology</w:t>
      </w:r>
      <w:r w:rsidRPr="00F62FE9">
        <w:t xml:space="preserve"> 1985; 122: 51–65.</w:t>
      </w:r>
    </w:p>
    <w:p w14:paraId="5E61E48C" w14:textId="77777777" w:rsidR="00F62FE9" w:rsidRPr="00F62FE9" w:rsidRDefault="00F62FE9" w:rsidP="005A425F">
      <w:pPr>
        <w:pStyle w:val="Bibliography"/>
        <w:spacing w:line="360" w:lineRule="auto"/>
      </w:pPr>
      <w:r w:rsidRPr="00F62FE9">
        <w:t xml:space="preserve">[37] </w:t>
      </w:r>
      <w:r w:rsidRPr="00F62FE9">
        <w:tab/>
        <w:t xml:space="preserve">Shahar D, Shai I, Vardi H, et al. [No title found]. </w:t>
      </w:r>
      <w:r w:rsidRPr="00F62FE9">
        <w:rPr>
          <w:i/>
          <w:iCs/>
        </w:rPr>
        <w:t>European Journal of Epidemiology</w:t>
      </w:r>
      <w:r w:rsidRPr="00F62FE9">
        <w:t xml:space="preserve"> 2003; 18: 855–861.</w:t>
      </w:r>
    </w:p>
    <w:p w14:paraId="6C89BBA7" w14:textId="77777777" w:rsidR="00F62FE9" w:rsidRPr="00F62FE9" w:rsidRDefault="00F62FE9" w:rsidP="005A425F">
      <w:pPr>
        <w:pStyle w:val="Bibliography"/>
        <w:spacing w:line="360" w:lineRule="auto"/>
      </w:pPr>
      <w:r w:rsidRPr="00F62FE9">
        <w:t xml:space="preserve">[38] </w:t>
      </w:r>
      <w:r w:rsidRPr="00F62FE9">
        <w:tab/>
        <w:t xml:space="preserve">Horovitz O. Theory of Food: Unravelling the Lifelong Impact of Childhood Dietary Habits on Adult Food Preferences across Different Diet Groups. </w:t>
      </w:r>
      <w:r w:rsidRPr="00F62FE9">
        <w:rPr>
          <w:i/>
          <w:iCs/>
        </w:rPr>
        <w:t>Nutrients</w:t>
      </w:r>
      <w:r w:rsidRPr="00F62FE9">
        <w:t xml:space="preserve"> 2024; 16: 428.</w:t>
      </w:r>
    </w:p>
    <w:p w14:paraId="7AF0EBFA" w14:textId="77777777" w:rsidR="00F62FE9" w:rsidRPr="00F62FE9" w:rsidRDefault="00F62FE9" w:rsidP="005A425F">
      <w:pPr>
        <w:pStyle w:val="Bibliography"/>
        <w:spacing w:line="360" w:lineRule="auto"/>
      </w:pPr>
      <w:r w:rsidRPr="00F62FE9">
        <w:t xml:space="preserve">[39] </w:t>
      </w:r>
      <w:r w:rsidRPr="00F62FE9">
        <w:tab/>
        <w:t xml:space="preserve">Danon-Kraun S, Horovitz O, Frenkel T, et al. Return of fear following extinction in youth: An event-related potential study. </w:t>
      </w:r>
      <w:r w:rsidRPr="00F62FE9">
        <w:rPr>
          <w:i/>
          <w:iCs/>
        </w:rPr>
        <w:t>Dev Psychobiol</w:t>
      </w:r>
      <w:r w:rsidRPr="00F62FE9">
        <w:t xml:space="preserve"> 2021; 63: e22189.</w:t>
      </w:r>
    </w:p>
    <w:p w14:paraId="6C0519A6" w14:textId="3E4F40E9" w:rsidR="00C67CB2" w:rsidRPr="00E45C93" w:rsidRDefault="00084DD4" w:rsidP="005A425F">
      <w:pPr>
        <w:spacing w:line="360" w:lineRule="auto"/>
        <w:jc w:val="both"/>
      </w:pPr>
      <w:r>
        <w:fldChar w:fldCharType="end"/>
      </w:r>
    </w:p>
    <w:sectPr w:rsidR="00C67CB2" w:rsidRPr="00E45C93" w:rsidSect="00512628">
      <w:head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A0944" w14:textId="77777777" w:rsidR="005C2DE2" w:rsidRDefault="005C2DE2" w:rsidP="00CA2EF9">
      <w:r>
        <w:separator/>
      </w:r>
    </w:p>
  </w:endnote>
  <w:endnote w:type="continuationSeparator" w:id="0">
    <w:p w14:paraId="2ED6699C" w14:textId="77777777" w:rsidR="005C2DE2" w:rsidRDefault="005C2DE2" w:rsidP="00CA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ED29F" w14:textId="77777777" w:rsidR="005C2DE2" w:rsidRDefault="005C2DE2" w:rsidP="00CA2EF9">
      <w:r>
        <w:separator/>
      </w:r>
    </w:p>
  </w:footnote>
  <w:footnote w:type="continuationSeparator" w:id="0">
    <w:p w14:paraId="31D0EC94" w14:textId="77777777" w:rsidR="005C2DE2" w:rsidRDefault="005C2DE2" w:rsidP="00CA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11A3A" w14:textId="77777777" w:rsidR="00D12667" w:rsidRPr="00E45C93" w:rsidRDefault="00D12667" w:rsidP="00CA2EF9">
    <w:pPr>
      <w:jc w:val="center"/>
      <w:outlineLvl w:val="0"/>
      <w:rPr>
        <w:b/>
        <w:bCs/>
        <w:kern w:val="36"/>
      </w:rPr>
    </w:pPr>
    <w:r w:rsidRPr="00E45C93">
      <w:rPr>
        <w:b/>
        <w:bCs/>
        <w:kern w:val="36"/>
      </w:rPr>
      <w:t>Decoding Orthorexia Nervosa: A Multimodal Study of Psychological, Immunological, Microbiome, and Neurophysiological Signatures</w:t>
    </w:r>
  </w:p>
  <w:p w14:paraId="56B7DA84" w14:textId="7C0C2DAD" w:rsidR="00D12667" w:rsidRPr="00E45C93" w:rsidRDefault="00D12667" w:rsidP="00CA2EF9">
    <w:pPr>
      <w:jc w:val="center"/>
      <w:outlineLvl w:val="0"/>
      <w:rPr>
        <w:kern w:val="36"/>
      </w:rPr>
    </w:pPr>
    <w:r w:rsidRPr="00E45C93">
      <w:rPr>
        <w:kern w:val="36"/>
      </w:rPr>
      <w:t>Omer Horovitz</w:t>
    </w:r>
    <w:r>
      <w:rPr>
        <w:kern w:val="36"/>
      </w:rPr>
      <w:t xml:space="preserve"> (PI)</w:t>
    </w:r>
  </w:p>
  <w:p w14:paraId="29FD6781" w14:textId="77777777" w:rsidR="00D12667" w:rsidRDefault="00D12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51AB"/>
    <w:multiLevelType w:val="multilevel"/>
    <w:tmpl w:val="AE14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54AFD"/>
    <w:multiLevelType w:val="multilevel"/>
    <w:tmpl w:val="C0F8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35D02"/>
    <w:multiLevelType w:val="multilevel"/>
    <w:tmpl w:val="9D5C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11DC8"/>
    <w:multiLevelType w:val="multilevel"/>
    <w:tmpl w:val="9726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8E6206"/>
    <w:multiLevelType w:val="multilevel"/>
    <w:tmpl w:val="ACFC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17956"/>
    <w:multiLevelType w:val="multilevel"/>
    <w:tmpl w:val="417E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20B17"/>
    <w:multiLevelType w:val="hybridMultilevel"/>
    <w:tmpl w:val="514EA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34379"/>
    <w:multiLevelType w:val="multilevel"/>
    <w:tmpl w:val="89C25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10729D"/>
    <w:multiLevelType w:val="multilevel"/>
    <w:tmpl w:val="8EBEA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02F52"/>
    <w:multiLevelType w:val="multilevel"/>
    <w:tmpl w:val="4C049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26549F"/>
    <w:multiLevelType w:val="multilevel"/>
    <w:tmpl w:val="1D80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370BC9"/>
    <w:multiLevelType w:val="hybridMultilevel"/>
    <w:tmpl w:val="B4907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6780E"/>
    <w:multiLevelType w:val="multilevel"/>
    <w:tmpl w:val="24B6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929E8"/>
    <w:multiLevelType w:val="multilevel"/>
    <w:tmpl w:val="C0F8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C954E6"/>
    <w:multiLevelType w:val="multilevel"/>
    <w:tmpl w:val="9E76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096E78"/>
    <w:multiLevelType w:val="hybridMultilevel"/>
    <w:tmpl w:val="6F940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F10E89"/>
    <w:multiLevelType w:val="multilevel"/>
    <w:tmpl w:val="82DCC536"/>
    <w:lvl w:ilvl="0">
      <w:start w:val="4"/>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E34A98"/>
    <w:multiLevelType w:val="multilevel"/>
    <w:tmpl w:val="C0F8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412C02"/>
    <w:multiLevelType w:val="multilevel"/>
    <w:tmpl w:val="049E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46BDE"/>
    <w:multiLevelType w:val="multilevel"/>
    <w:tmpl w:val="C242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B6DFF"/>
    <w:multiLevelType w:val="multilevel"/>
    <w:tmpl w:val="AB76602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53064E"/>
    <w:multiLevelType w:val="multilevel"/>
    <w:tmpl w:val="069C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336891"/>
    <w:multiLevelType w:val="multilevel"/>
    <w:tmpl w:val="B9DE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CB057D"/>
    <w:multiLevelType w:val="multilevel"/>
    <w:tmpl w:val="921A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C30927"/>
    <w:multiLevelType w:val="multilevel"/>
    <w:tmpl w:val="A6022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417EF5"/>
    <w:multiLevelType w:val="multilevel"/>
    <w:tmpl w:val="BAF00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052ECC"/>
    <w:multiLevelType w:val="multilevel"/>
    <w:tmpl w:val="1438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F13F88"/>
    <w:multiLevelType w:val="multilevel"/>
    <w:tmpl w:val="F214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801E88"/>
    <w:multiLevelType w:val="multilevel"/>
    <w:tmpl w:val="F5CC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15"/>
  </w:num>
  <w:num w:numId="4">
    <w:abstractNumId w:val="8"/>
  </w:num>
  <w:num w:numId="5">
    <w:abstractNumId w:val="22"/>
  </w:num>
  <w:num w:numId="6">
    <w:abstractNumId w:val="23"/>
  </w:num>
  <w:num w:numId="7">
    <w:abstractNumId w:val="4"/>
  </w:num>
  <w:num w:numId="8">
    <w:abstractNumId w:val="20"/>
  </w:num>
  <w:num w:numId="9">
    <w:abstractNumId w:val="18"/>
  </w:num>
  <w:num w:numId="10">
    <w:abstractNumId w:val="21"/>
  </w:num>
  <w:num w:numId="11">
    <w:abstractNumId w:val="27"/>
  </w:num>
  <w:num w:numId="12">
    <w:abstractNumId w:val="19"/>
  </w:num>
  <w:num w:numId="13">
    <w:abstractNumId w:val="28"/>
  </w:num>
  <w:num w:numId="14">
    <w:abstractNumId w:val="0"/>
  </w:num>
  <w:num w:numId="15">
    <w:abstractNumId w:val="3"/>
  </w:num>
  <w:num w:numId="16">
    <w:abstractNumId w:val="10"/>
  </w:num>
  <w:num w:numId="17">
    <w:abstractNumId w:val="2"/>
  </w:num>
  <w:num w:numId="18">
    <w:abstractNumId w:val="7"/>
  </w:num>
  <w:num w:numId="19">
    <w:abstractNumId w:val="25"/>
  </w:num>
  <w:num w:numId="20">
    <w:abstractNumId w:val="24"/>
  </w:num>
  <w:num w:numId="21">
    <w:abstractNumId w:val="9"/>
  </w:num>
  <w:num w:numId="22">
    <w:abstractNumId w:val="14"/>
  </w:num>
  <w:num w:numId="23">
    <w:abstractNumId w:val="6"/>
  </w:num>
  <w:num w:numId="24">
    <w:abstractNumId w:val="11"/>
  </w:num>
  <w:num w:numId="25">
    <w:abstractNumId w:val="5"/>
  </w:num>
  <w:num w:numId="26">
    <w:abstractNumId w:val="26"/>
  </w:num>
  <w:num w:numId="27">
    <w:abstractNumId w:val="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1B"/>
    <w:rsid w:val="00023A44"/>
    <w:rsid w:val="00050835"/>
    <w:rsid w:val="00051E72"/>
    <w:rsid w:val="0006078F"/>
    <w:rsid w:val="00061205"/>
    <w:rsid w:val="00084DD4"/>
    <w:rsid w:val="000A5579"/>
    <w:rsid w:val="000A60DD"/>
    <w:rsid w:val="000C276E"/>
    <w:rsid w:val="000C3B3C"/>
    <w:rsid w:val="000D1A48"/>
    <w:rsid w:val="000F0A74"/>
    <w:rsid w:val="00106349"/>
    <w:rsid w:val="00126494"/>
    <w:rsid w:val="0013002F"/>
    <w:rsid w:val="0015008F"/>
    <w:rsid w:val="001600EF"/>
    <w:rsid w:val="00173F69"/>
    <w:rsid w:val="00193AA7"/>
    <w:rsid w:val="001A6ED5"/>
    <w:rsid w:val="001B0659"/>
    <w:rsid w:val="001B4404"/>
    <w:rsid w:val="001D1ABE"/>
    <w:rsid w:val="001D4453"/>
    <w:rsid w:val="001D69B6"/>
    <w:rsid w:val="001E4D46"/>
    <w:rsid w:val="001F0E4F"/>
    <w:rsid w:val="002412CA"/>
    <w:rsid w:val="002502B9"/>
    <w:rsid w:val="0025682A"/>
    <w:rsid w:val="002730D9"/>
    <w:rsid w:val="002779AF"/>
    <w:rsid w:val="00287429"/>
    <w:rsid w:val="0029092A"/>
    <w:rsid w:val="00297581"/>
    <w:rsid w:val="002A04F2"/>
    <w:rsid w:val="002C0E89"/>
    <w:rsid w:val="002E3C69"/>
    <w:rsid w:val="003263D6"/>
    <w:rsid w:val="003401CA"/>
    <w:rsid w:val="00340C48"/>
    <w:rsid w:val="00361945"/>
    <w:rsid w:val="0038290A"/>
    <w:rsid w:val="00385999"/>
    <w:rsid w:val="003A0AA5"/>
    <w:rsid w:val="003B4D43"/>
    <w:rsid w:val="003D713D"/>
    <w:rsid w:val="00405D5E"/>
    <w:rsid w:val="00440951"/>
    <w:rsid w:val="00446511"/>
    <w:rsid w:val="00447F27"/>
    <w:rsid w:val="00473F10"/>
    <w:rsid w:val="00484A3E"/>
    <w:rsid w:val="004929C2"/>
    <w:rsid w:val="004B401B"/>
    <w:rsid w:val="004E773F"/>
    <w:rsid w:val="004F10D4"/>
    <w:rsid w:val="004F61E2"/>
    <w:rsid w:val="00500126"/>
    <w:rsid w:val="00512628"/>
    <w:rsid w:val="00517D83"/>
    <w:rsid w:val="005319EF"/>
    <w:rsid w:val="00542F9A"/>
    <w:rsid w:val="00547EB8"/>
    <w:rsid w:val="005545C0"/>
    <w:rsid w:val="00566CFB"/>
    <w:rsid w:val="00573387"/>
    <w:rsid w:val="0058238F"/>
    <w:rsid w:val="00583960"/>
    <w:rsid w:val="005A425F"/>
    <w:rsid w:val="005C1EC3"/>
    <w:rsid w:val="005C2DE2"/>
    <w:rsid w:val="005D2A96"/>
    <w:rsid w:val="005D2CE4"/>
    <w:rsid w:val="00602907"/>
    <w:rsid w:val="00606785"/>
    <w:rsid w:val="006104D6"/>
    <w:rsid w:val="00647117"/>
    <w:rsid w:val="00672D94"/>
    <w:rsid w:val="00685309"/>
    <w:rsid w:val="006912E6"/>
    <w:rsid w:val="0069454B"/>
    <w:rsid w:val="006A7E57"/>
    <w:rsid w:val="007008D0"/>
    <w:rsid w:val="00723A1F"/>
    <w:rsid w:val="007301A8"/>
    <w:rsid w:val="00734DCE"/>
    <w:rsid w:val="00756A62"/>
    <w:rsid w:val="00776452"/>
    <w:rsid w:val="00780530"/>
    <w:rsid w:val="007926C3"/>
    <w:rsid w:val="007A1440"/>
    <w:rsid w:val="007D0E03"/>
    <w:rsid w:val="007F1DD1"/>
    <w:rsid w:val="00800000"/>
    <w:rsid w:val="00804E3C"/>
    <w:rsid w:val="00816626"/>
    <w:rsid w:val="0087213C"/>
    <w:rsid w:val="00886EF6"/>
    <w:rsid w:val="00894FE7"/>
    <w:rsid w:val="00895167"/>
    <w:rsid w:val="008A1A59"/>
    <w:rsid w:val="008A4C80"/>
    <w:rsid w:val="008A59F8"/>
    <w:rsid w:val="008B4A7C"/>
    <w:rsid w:val="008C6D92"/>
    <w:rsid w:val="008D0F7C"/>
    <w:rsid w:val="008D79D9"/>
    <w:rsid w:val="008E6390"/>
    <w:rsid w:val="008F3DD9"/>
    <w:rsid w:val="008F6197"/>
    <w:rsid w:val="00900E1B"/>
    <w:rsid w:val="00907248"/>
    <w:rsid w:val="0091180A"/>
    <w:rsid w:val="00936BC8"/>
    <w:rsid w:val="00944AE6"/>
    <w:rsid w:val="00945A09"/>
    <w:rsid w:val="009530A0"/>
    <w:rsid w:val="00986173"/>
    <w:rsid w:val="00991A54"/>
    <w:rsid w:val="0099392A"/>
    <w:rsid w:val="00994843"/>
    <w:rsid w:val="00997AC9"/>
    <w:rsid w:val="009B5DBD"/>
    <w:rsid w:val="009C395E"/>
    <w:rsid w:val="00A13D31"/>
    <w:rsid w:val="00A43777"/>
    <w:rsid w:val="00A6581D"/>
    <w:rsid w:val="00A77071"/>
    <w:rsid w:val="00AB4414"/>
    <w:rsid w:val="00AC3FE2"/>
    <w:rsid w:val="00AC4B79"/>
    <w:rsid w:val="00B02D9C"/>
    <w:rsid w:val="00B566A6"/>
    <w:rsid w:val="00B634F7"/>
    <w:rsid w:val="00B66A9E"/>
    <w:rsid w:val="00B77691"/>
    <w:rsid w:val="00B82FE3"/>
    <w:rsid w:val="00B9172E"/>
    <w:rsid w:val="00B94817"/>
    <w:rsid w:val="00BC24EA"/>
    <w:rsid w:val="00BC3488"/>
    <w:rsid w:val="00BC5062"/>
    <w:rsid w:val="00BD4FD0"/>
    <w:rsid w:val="00BE2D8E"/>
    <w:rsid w:val="00BF06CC"/>
    <w:rsid w:val="00C06452"/>
    <w:rsid w:val="00C2003C"/>
    <w:rsid w:val="00C3229C"/>
    <w:rsid w:val="00C452A7"/>
    <w:rsid w:val="00C67CB2"/>
    <w:rsid w:val="00C761D6"/>
    <w:rsid w:val="00C82E58"/>
    <w:rsid w:val="00C84854"/>
    <w:rsid w:val="00CA2E19"/>
    <w:rsid w:val="00CA2EF9"/>
    <w:rsid w:val="00CA6B76"/>
    <w:rsid w:val="00CB2257"/>
    <w:rsid w:val="00CD17D9"/>
    <w:rsid w:val="00CD322E"/>
    <w:rsid w:val="00CE53BE"/>
    <w:rsid w:val="00CF6DE1"/>
    <w:rsid w:val="00D12667"/>
    <w:rsid w:val="00D1355E"/>
    <w:rsid w:val="00D26682"/>
    <w:rsid w:val="00D43D28"/>
    <w:rsid w:val="00D5213C"/>
    <w:rsid w:val="00D5422C"/>
    <w:rsid w:val="00D60DC6"/>
    <w:rsid w:val="00DA5120"/>
    <w:rsid w:val="00DD155A"/>
    <w:rsid w:val="00DD7F52"/>
    <w:rsid w:val="00E15D4F"/>
    <w:rsid w:val="00E16A63"/>
    <w:rsid w:val="00E356B5"/>
    <w:rsid w:val="00E45C93"/>
    <w:rsid w:val="00E61B4B"/>
    <w:rsid w:val="00E657E7"/>
    <w:rsid w:val="00E70A20"/>
    <w:rsid w:val="00E734AC"/>
    <w:rsid w:val="00E77952"/>
    <w:rsid w:val="00E90C96"/>
    <w:rsid w:val="00E92E2B"/>
    <w:rsid w:val="00E9360F"/>
    <w:rsid w:val="00EC62E4"/>
    <w:rsid w:val="00EF0FA1"/>
    <w:rsid w:val="00F62FE9"/>
    <w:rsid w:val="00F6597F"/>
    <w:rsid w:val="00F66EF6"/>
    <w:rsid w:val="00F83279"/>
    <w:rsid w:val="00FA5332"/>
    <w:rsid w:val="00FB669C"/>
    <w:rsid w:val="00FF4986"/>
    <w:rsid w:val="00FF5C02"/>
    <w:rsid w:val="00FF61D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00D718FB"/>
  <w15:chartTrackingRefBased/>
  <w15:docId w15:val="{C824BDD8-4B77-B247-8361-1610FD4A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9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4AC"/>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8D0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46511"/>
    <w:rPr>
      <w:b/>
      <w:bCs/>
    </w:rPr>
  </w:style>
  <w:style w:type="paragraph" w:styleId="Bibliography">
    <w:name w:val="Bibliography"/>
    <w:basedOn w:val="Normal"/>
    <w:next w:val="Normal"/>
    <w:uiPriority w:val="37"/>
    <w:unhideWhenUsed/>
    <w:rsid w:val="00084DD4"/>
    <w:pPr>
      <w:tabs>
        <w:tab w:val="left" w:pos="620"/>
      </w:tabs>
      <w:spacing w:after="240"/>
      <w:ind w:left="624" w:hanging="624"/>
    </w:pPr>
  </w:style>
  <w:style w:type="paragraph" w:styleId="BalloonText">
    <w:name w:val="Balloon Text"/>
    <w:basedOn w:val="Normal"/>
    <w:link w:val="BalloonTextChar"/>
    <w:uiPriority w:val="99"/>
    <w:semiHidden/>
    <w:unhideWhenUsed/>
    <w:rsid w:val="00CA2EF9"/>
    <w:rPr>
      <w:sz w:val="18"/>
      <w:szCs w:val="18"/>
    </w:rPr>
  </w:style>
  <w:style w:type="character" w:customStyle="1" w:styleId="BalloonTextChar">
    <w:name w:val="Balloon Text Char"/>
    <w:basedOn w:val="DefaultParagraphFont"/>
    <w:link w:val="BalloonText"/>
    <w:uiPriority w:val="99"/>
    <w:semiHidden/>
    <w:rsid w:val="00CA2EF9"/>
    <w:rPr>
      <w:rFonts w:ascii="Times New Roman" w:eastAsia="Times New Roman" w:hAnsi="Times New Roman" w:cs="Times New Roman"/>
      <w:sz w:val="18"/>
      <w:szCs w:val="18"/>
      <w:lang w:eastAsia="en-GB"/>
    </w:rPr>
  </w:style>
  <w:style w:type="paragraph" w:styleId="Header">
    <w:name w:val="header"/>
    <w:basedOn w:val="Normal"/>
    <w:link w:val="HeaderChar"/>
    <w:uiPriority w:val="99"/>
    <w:unhideWhenUsed/>
    <w:rsid w:val="00CA2EF9"/>
    <w:pPr>
      <w:tabs>
        <w:tab w:val="center" w:pos="4513"/>
        <w:tab w:val="right" w:pos="9026"/>
      </w:tabs>
    </w:pPr>
  </w:style>
  <w:style w:type="character" w:customStyle="1" w:styleId="HeaderChar">
    <w:name w:val="Header Char"/>
    <w:basedOn w:val="DefaultParagraphFont"/>
    <w:link w:val="Header"/>
    <w:uiPriority w:val="99"/>
    <w:rsid w:val="00CA2EF9"/>
    <w:rPr>
      <w:rFonts w:ascii="Times New Roman" w:eastAsia="Times New Roman" w:hAnsi="Times New Roman" w:cs="Times New Roman"/>
      <w:lang w:eastAsia="en-GB"/>
    </w:rPr>
  </w:style>
  <w:style w:type="paragraph" w:styleId="Footer">
    <w:name w:val="footer"/>
    <w:basedOn w:val="Normal"/>
    <w:link w:val="FooterChar"/>
    <w:uiPriority w:val="99"/>
    <w:unhideWhenUsed/>
    <w:rsid w:val="00CA2EF9"/>
    <w:pPr>
      <w:tabs>
        <w:tab w:val="center" w:pos="4513"/>
        <w:tab w:val="right" w:pos="9026"/>
      </w:tabs>
    </w:pPr>
  </w:style>
  <w:style w:type="character" w:customStyle="1" w:styleId="FooterChar">
    <w:name w:val="Footer Char"/>
    <w:basedOn w:val="DefaultParagraphFont"/>
    <w:link w:val="Footer"/>
    <w:uiPriority w:val="99"/>
    <w:rsid w:val="00CA2EF9"/>
    <w:rPr>
      <w:rFonts w:ascii="Times New Roman" w:eastAsia="Times New Roman" w:hAnsi="Times New Roman" w:cs="Times New Roman"/>
      <w:lang w:eastAsia="en-GB"/>
    </w:rPr>
  </w:style>
  <w:style w:type="paragraph" w:styleId="NormalWeb">
    <w:name w:val="Normal (Web)"/>
    <w:basedOn w:val="Normal"/>
    <w:uiPriority w:val="99"/>
    <w:semiHidden/>
    <w:unhideWhenUsed/>
    <w:rsid w:val="00BD4FD0"/>
  </w:style>
  <w:style w:type="character" w:styleId="Hyperlink">
    <w:name w:val="Hyperlink"/>
    <w:basedOn w:val="DefaultParagraphFont"/>
    <w:uiPriority w:val="99"/>
    <w:unhideWhenUsed/>
    <w:rsid w:val="00023A44"/>
    <w:rPr>
      <w:color w:val="0563C1" w:themeColor="hyperlink"/>
      <w:u w:val="single"/>
    </w:rPr>
  </w:style>
  <w:style w:type="character" w:styleId="UnresolvedMention">
    <w:name w:val="Unresolved Mention"/>
    <w:basedOn w:val="DefaultParagraphFont"/>
    <w:uiPriority w:val="99"/>
    <w:semiHidden/>
    <w:unhideWhenUsed/>
    <w:rsid w:val="00023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5868">
      <w:bodyDiv w:val="1"/>
      <w:marLeft w:val="0"/>
      <w:marRight w:val="0"/>
      <w:marTop w:val="0"/>
      <w:marBottom w:val="0"/>
      <w:divBdr>
        <w:top w:val="none" w:sz="0" w:space="0" w:color="auto"/>
        <w:left w:val="none" w:sz="0" w:space="0" w:color="auto"/>
        <w:bottom w:val="none" w:sz="0" w:space="0" w:color="auto"/>
        <w:right w:val="none" w:sz="0" w:space="0" w:color="auto"/>
      </w:divBdr>
    </w:div>
    <w:div w:id="28261959">
      <w:bodyDiv w:val="1"/>
      <w:marLeft w:val="0"/>
      <w:marRight w:val="0"/>
      <w:marTop w:val="0"/>
      <w:marBottom w:val="0"/>
      <w:divBdr>
        <w:top w:val="none" w:sz="0" w:space="0" w:color="auto"/>
        <w:left w:val="none" w:sz="0" w:space="0" w:color="auto"/>
        <w:bottom w:val="none" w:sz="0" w:space="0" w:color="auto"/>
        <w:right w:val="none" w:sz="0" w:space="0" w:color="auto"/>
      </w:divBdr>
    </w:div>
    <w:div w:id="41904719">
      <w:bodyDiv w:val="1"/>
      <w:marLeft w:val="0"/>
      <w:marRight w:val="0"/>
      <w:marTop w:val="0"/>
      <w:marBottom w:val="0"/>
      <w:divBdr>
        <w:top w:val="none" w:sz="0" w:space="0" w:color="auto"/>
        <w:left w:val="none" w:sz="0" w:space="0" w:color="auto"/>
        <w:bottom w:val="none" w:sz="0" w:space="0" w:color="auto"/>
        <w:right w:val="none" w:sz="0" w:space="0" w:color="auto"/>
      </w:divBdr>
    </w:div>
    <w:div w:id="54356089">
      <w:bodyDiv w:val="1"/>
      <w:marLeft w:val="0"/>
      <w:marRight w:val="0"/>
      <w:marTop w:val="0"/>
      <w:marBottom w:val="0"/>
      <w:divBdr>
        <w:top w:val="none" w:sz="0" w:space="0" w:color="auto"/>
        <w:left w:val="none" w:sz="0" w:space="0" w:color="auto"/>
        <w:bottom w:val="none" w:sz="0" w:space="0" w:color="auto"/>
        <w:right w:val="none" w:sz="0" w:space="0" w:color="auto"/>
      </w:divBdr>
    </w:div>
    <w:div w:id="80377223">
      <w:bodyDiv w:val="1"/>
      <w:marLeft w:val="0"/>
      <w:marRight w:val="0"/>
      <w:marTop w:val="0"/>
      <w:marBottom w:val="0"/>
      <w:divBdr>
        <w:top w:val="none" w:sz="0" w:space="0" w:color="auto"/>
        <w:left w:val="none" w:sz="0" w:space="0" w:color="auto"/>
        <w:bottom w:val="none" w:sz="0" w:space="0" w:color="auto"/>
        <w:right w:val="none" w:sz="0" w:space="0" w:color="auto"/>
      </w:divBdr>
    </w:div>
    <w:div w:id="114107193">
      <w:bodyDiv w:val="1"/>
      <w:marLeft w:val="0"/>
      <w:marRight w:val="0"/>
      <w:marTop w:val="0"/>
      <w:marBottom w:val="0"/>
      <w:divBdr>
        <w:top w:val="none" w:sz="0" w:space="0" w:color="auto"/>
        <w:left w:val="none" w:sz="0" w:space="0" w:color="auto"/>
        <w:bottom w:val="none" w:sz="0" w:space="0" w:color="auto"/>
        <w:right w:val="none" w:sz="0" w:space="0" w:color="auto"/>
      </w:divBdr>
    </w:div>
    <w:div w:id="145165625">
      <w:bodyDiv w:val="1"/>
      <w:marLeft w:val="0"/>
      <w:marRight w:val="0"/>
      <w:marTop w:val="0"/>
      <w:marBottom w:val="0"/>
      <w:divBdr>
        <w:top w:val="none" w:sz="0" w:space="0" w:color="auto"/>
        <w:left w:val="none" w:sz="0" w:space="0" w:color="auto"/>
        <w:bottom w:val="none" w:sz="0" w:space="0" w:color="auto"/>
        <w:right w:val="none" w:sz="0" w:space="0" w:color="auto"/>
      </w:divBdr>
    </w:div>
    <w:div w:id="147749025">
      <w:bodyDiv w:val="1"/>
      <w:marLeft w:val="0"/>
      <w:marRight w:val="0"/>
      <w:marTop w:val="0"/>
      <w:marBottom w:val="0"/>
      <w:divBdr>
        <w:top w:val="none" w:sz="0" w:space="0" w:color="auto"/>
        <w:left w:val="none" w:sz="0" w:space="0" w:color="auto"/>
        <w:bottom w:val="none" w:sz="0" w:space="0" w:color="auto"/>
        <w:right w:val="none" w:sz="0" w:space="0" w:color="auto"/>
      </w:divBdr>
    </w:div>
    <w:div w:id="151407407">
      <w:bodyDiv w:val="1"/>
      <w:marLeft w:val="0"/>
      <w:marRight w:val="0"/>
      <w:marTop w:val="0"/>
      <w:marBottom w:val="0"/>
      <w:divBdr>
        <w:top w:val="none" w:sz="0" w:space="0" w:color="auto"/>
        <w:left w:val="none" w:sz="0" w:space="0" w:color="auto"/>
        <w:bottom w:val="none" w:sz="0" w:space="0" w:color="auto"/>
        <w:right w:val="none" w:sz="0" w:space="0" w:color="auto"/>
      </w:divBdr>
    </w:div>
    <w:div w:id="158008380">
      <w:bodyDiv w:val="1"/>
      <w:marLeft w:val="0"/>
      <w:marRight w:val="0"/>
      <w:marTop w:val="0"/>
      <w:marBottom w:val="0"/>
      <w:divBdr>
        <w:top w:val="none" w:sz="0" w:space="0" w:color="auto"/>
        <w:left w:val="none" w:sz="0" w:space="0" w:color="auto"/>
        <w:bottom w:val="none" w:sz="0" w:space="0" w:color="auto"/>
        <w:right w:val="none" w:sz="0" w:space="0" w:color="auto"/>
      </w:divBdr>
    </w:div>
    <w:div w:id="183248365">
      <w:bodyDiv w:val="1"/>
      <w:marLeft w:val="0"/>
      <w:marRight w:val="0"/>
      <w:marTop w:val="0"/>
      <w:marBottom w:val="0"/>
      <w:divBdr>
        <w:top w:val="none" w:sz="0" w:space="0" w:color="auto"/>
        <w:left w:val="none" w:sz="0" w:space="0" w:color="auto"/>
        <w:bottom w:val="none" w:sz="0" w:space="0" w:color="auto"/>
        <w:right w:val="none" w:sz="0" w:space="0" w:color="auto"/>
      </w:divBdr>
    </w:div>
    <w:div w:id="188492633">
      <w:bodyDiv w:val="1"/>
      <w:marLeft w:val="0"/>
      <w:marRight w:val="0"/>
      <w:marTop w:val="0"/>
      <w:marBottom w:val="0"/>
      <w:divBdr>
        <w:top w:val="none" w:sz="0" w:space="0" w:color="auto"/>
        <w:left w:val="none" w:sz="0" w:space="0" w:color="auto"/>
        <w:bottom w:val="none" w:sz="0" w:space="0" w:color="auto"/>
        <w:right w:val="none" w:sz="0" w:space="0" w:color="auto"/>
      </w:divBdr>
    </w:div>
    <w:div w:id="218250368">
      <w:bodyDiv w:val="1"/>
      <w:marLeft w:val="0"/>
      <w:marRight w:val="0"/>
      <w:marTop w:val="0"/>
      <w:marBottom w:val="0"/>
      <w:divBdr>
        <w:top w:val="none" w:sz="0" w:space="0" w:color="auto"/>
        <w:left w:val="none" w:sz="0" w:space="0" w:color="auto"/>
        <w:bottom w:val="none" w:sz="0" w:space="0" w:color="auto"/>
        <w:right w:val="none" w:sz="0" w:space="0" w:color="auto"/>
      </w:divBdr>
    </w:div>
    <w:div w:id="244190290">
      <w:bodyDiv w:val="1"/>
      <w:marLeft w:val="0"/>
      <w:marRight w:val="0"/>
      <w:marTop w:val="0"/>
      <w:marBottom w:val="0"/>
      <w:divBdr>
        <w:top w:val="none" w:sz="0" w:space="0" w:color="auto"/>
        <w:left w:val="none" w:sz="0" w:space="0" w:color="auto"/>
        <w:bottom w:val="none" w:sz="0" w:space="0" w:color="auto"/>
        <w:right w:val="none" w:sz="0" w:space="0" w:color="auto"/>
      </w:divBdr>
    </w:div>
    <w:div w:id="250895838">
      <w:bodyDiv w:val="1"/>
      <w:marLeft w:val="0"/>
      <w:marRight w:val="0"/>
      <w:marTop w:val="0"/>
      <w:marBottom w:val="0"/>
      <w:divBdr>
        <w:top w:val="none" w:sz="0" w:space="0" w:color="auto"/>
        <w:left w:val="none" w:sz="0" w:space="0" w:color="auto"/>
        <w:bottom w:val="none" w:sz="0" w:space="0" w:color="auto"/>
        <w:right w:val="none" w:sz="0" w:space="0" w:color="auto"/>
      </w:divBdr>
    </w:div>
    <w:div w:id="265893976">
      <w:bodyDiv w:val="1"/>
      <w:marLeft w:val="0"/>
      <w:marRight w:val="0"/>
      <w:marTop w:val="0"/>
      <w:marBottom w:val="0"/>
      <w:divBdr>
        <w:top w:val="none" w:sz="0" w:space="0" w:color="auto"/>
        <w:left w:val="none" w:sz="0" w:space="0" w:color="auto"/>
        <w:bottom w:val="none" w:sz="0" w:space="0" w:color="auto"/>
        <w:right w:val="none" w:sz="0" w:space="0" w:color="auto"/>
      </w:divBdr>
    </w:div>
    <w:div w:id="268971020">
      <w:bodyDiv w:val="1"/>
      <w:marLeft w:val="0"/>
      <w:marRight w:val="0"/>
      <w:marTop w:val="0"/>
      <w:marBottom w:val="0"/>
      <w:divBdr>
        <w:top w:val="none" w:sz="0" w:space="0" w:color="auto"/>
        <w:left w:val="none" w:sz="0" w:space="0" w:color="auto"/>
        <w:bottom w:val="none" w:sz="0" w:space="0" w:color="auto"/>
        <w:right w:val="none" w:sz="0" w:space="0" w:color="auto"/>
      </w:divBdr>
    </w:div>
    <w:div w:id="278610437">
      <w:bodyDiv w:val="1"/>
      <w:marLeft w:val="0"/>
      <w:marRight w:val="0"/>
      <w:marTop w:val="0"/>
      <w:marBottom w:val="0"/>
      <w:divBdr>
        <w:top w:val="none" w:sz="0" w:space="0" w:color="auto"/>
        <w:left w:val="none" w:sz="0" w:space="0" w:color="auto"/>
        <w:bottom w:val="none" w:sz="0" w:space="0" w:color="auto"/>
        <w:right w:val="none" w:sz="0" w:space="0" w:color="auto"/>
      </w:divBdr>
    </w:div>
    <w:div w:id="283465479">
      <w:bodyDiv w:val="1"/>
      <w:marLeft w:val="0"/>
      <w:marRight w:val="0"/>
      <w:marTop w:val="0"/>
      <w:marBottom w:val="0"/>
      <w:divBdr>
        <w:top w:val="none" w:sz="0" w:space="0" w:color="auto"/>
        <w:left w:val="none" w:sz="0" w:space="0" w:color="auto"/>
        <w:bottom w:val="none" w:sz="0" w:space="0" w:color="auto"/>
        <w:right w:val="none" w:sz="0" w:space="0" w:color="auto"/>
      </w:divBdr>
    </w:div>
    <w:div w:id="292253405">
      <w:bodyDiv w:val="1"/>
      <w:marLeft w:val="0"/>
      <w:marRight w:val="0"/>
      <w:marTop w:val="0"/>
      <w:marBottom w:val="0"/>
      <w:divBdr>
        <w:top w:val="none" w:sz="0" w:space="0" w:color="auto"/>
        <w:left w:val="none" w:sz="0" w:space="0" w:color="auto"/>
        <w:bottom w:val="none" w:sz="0" w:space="0" w:color="auto"/>
        <w:right w:val="none" w:sz="0" w:space="0" w:color="auto"/>
      </w:divBdr>
    </w:div>
    <w:div w:id="292831249">
      <w:bodyDiv w:val="1"/>
      <w:marLeft w:val="0"/>
      <w:marRight w:val="0"/>
      <w:marTop w:val="0"/>
      <w:marBottom w:val="0"/>
      <w:divBdr>
        <w:top w:val="none" w:sz="0" w:space="0" w:color="auto"/>
        <w:left w:val="none" w:sz="0" w:space="0" w:color="auto"/>
        <w:bottom w:val="none" w:sz="0" w:space="0" w:color="auto"/>
        <w:right w:val="none" w:sz="0" w:space="0" w:color="auto"/>
      </w:divBdr>
    </w:div>
    <w:div w:id="296499325">
      <w:bodyDiv w:val="1"/>
      <w:marLeft w:val="0"/>
      <w:marRight w:val="0"/>
      <w:marTop w:val="0"/>
      <w:marBottom w:val="0"/>
      <w:divBdr>
        <w:top w:val="none" w:sz="0" w:space="0" w:color="auto"/>
        <w:left w:val="none" w:sz="0" w:space="0" w:color="auto"/>
        <w:bottom w:val="none" w:sz="0" w:space="0" w:color="auto"/>
        <w:right w:val="none" w:sz="0" w:space="0" w:color="auto"/>
      </w:divBdr>
    </w:div>
    <w:div w:id="306278171">
      <w:bodyDiv w:val="1"/>
      <w:marLeft w:val="0"/>
      <w:marRight w:val="0"/>
      <w:marTop w:val="0"/>
      <w:marBottom w:val="0"/>
      <w:divBdr>
        <w:top w:val="none" w:sz="0" w:space="0" w:color="auto"/>
        <w:left w:val="none" w:sz="0" w:space="0" w:color="auto"/>
        <w:bottom w:val="none" w:sz="0" w:space="0" w:color="auto"/>
        <w:right w:val="none" w:sz="0" w:space="0" w:color="auto"/>
      </w:divBdr>
    </w:div>
    <w:div w:id="311376082">
      <w:bodyDiv w:val="1"/>
      <w:marLeft w:val="0"/>
      <w:marRight w:val="0"/>
      <w:marTop w:val="0"/>
      <w:marBottom w:val="0"/>
      <w:divBdr>
        <w:top w:val="none" w:sz="0" w:space="0" w:color="auto"/>
        <w:left w:val="none" w:sz="0" w:space="0" w:color="auto"/>
        <w:bottom w:val="none" w:sz="0" w:space="0" w:color="auto"/>
        <w:right w:val="none" w:sz="0" w:space="0" w:color="auto"/>
      </w:divBdr>
    </w:div>
    <w:div w:id="315838160">
      <w:bodyDiv w:val="1"/>
      <w:marLeft w:val="0"/>
      <w:marRight w:val="0"/>
      <w:marTop w:val="0"/>
      <w:marBottom w:val="0"/>
      <w:divBdr>
        <w:top w:val="none" w:sz="0" w:space="0" w:color="auto"/>
        <w:left w:val="none" w:sz="0" w:space="0" w:color="auto"/>
        <w:bottom w:val="none" w:sz="0" w:space="0" w:color="auto"/>
        <w:right w:val="none" w:sz="0" w:space="0" w:color="auto"/>
      </w:divBdr>
    </w:div>
    <w:div w:id="336813748">
      <w:bodyDiv w:val="1"/>
      <w:marLeft w:val="0"/>
      <w:marRight w:val="0"/>
      <w:marTop w:val="0"/>
      <w:marBottom w:val="0"/>
      <w:divBdr>
        <w:top w:val="none" w:sz="0" w:space="0" w:color="auto"/>
        <w:left w:val="none" w:sz="0" w:space="0" w:color="auto"/>
        <w:bottom w:val="none" w:sz="0" w:space="0" w:color="auto"/>
        <w:right w:val="none" w:sz="0" w:space="0" w:color="auto"/>
      </w:divBdr>
    </w:div>
    <w:div w:id="358511079">
      <w:bodyDiv w:val="1"/>
      <w:marLeft w:val="0"/>
      <w:marRight w:val="0"/>
      <w:marTop w:val="0"/>
      <w:marBottom w:val="0"/>
      <w:divBdr>
        <w:top w:val="none" w:sz="0" w:space="0" w:color="auto"/>
        <w:left w:val="none" w:sz="0" w:space="0" w:color="auto"/>
        <w:bottom w:val="none" w:sz="0" w:space="0" w:color="auto"/>
        <w:right w:val="none" w:sz="0" w:space="0" w:color="auto"/>
      </w:divBdr>
    </w:div>
    <w:div w:id="373046485">
      <w:bodyDiv w:val="1"/>
      <w:marLeft w:val="0"/>
      <w:marRight w:val="0"/>
      <w:marTop w:val="0"/>
      <w:marBottom w:val="0"/>
      <w:divBdr>
        <w:top w:val="none" w:sz="0" w:space="0" w:color="auto"/>
        <w:left w:val="none" w:sz="0" w:space="0" w:color="auto"/>
        <w:bottom w:val="none" w:sz="0" w:space="0" w:color="auto"/>
        <w:right w:val="none" w:sz="0" w:space="0" w:color="auto"/>
      </w:divBdr>
    </w:div>
    <w:div w:id="385765440">
      <w:bodyDiv w:val="1"/>
      <w:marLeft w:val="0"/>
      <w:marRight w:val="0"/>
      <w:marTop w:val="0"/>
      <w:marBottom w:val="0"/>
      <w:divBdr>
        <w:top w:val="none" w:sz="0" w:space="0" w:color="auto"/>
        <w:left w:val="none" w:sz="0" w:space="0" w:color="auto"/>
        <w:bottom w:val="none" w:sz="0" w:space="0" w:color="auto"/>
        <w:right w:val="none" w:sz="0" w:space="0" w:color="auto"/>
      </w:divBdr>
    </w:div>
    <w:div w:id="388498796">
      <w:bodyDiv w:val="1"/>
      <w:marLeft w:val="0"/>
      <w:marRight w:val="0"/>
      <w:marTop w:val="0"/>
      <w:marBottom w:val="0"/>
      <w:divBdr>
        <w:top w:val="none" w:sz="0" w:space="0" w:color="auto"/>
        <w:left w:val="none" w:sz="0" w:space="0" w:color="auto"/>
        <w:bottom w:val="none" w:sz="0" w:space="0" w:color="auto"/>
        <w:right w:val="none" w:sz="0" w:space="0" w:color="auto"/>
      </w:divBdr>
    </w:div>
    <w:div w:id="394934319">
      <w:bodyDiv w:val="1"/>
      <w:marLeft w:val="0"/>
      <w:marRight w:val="0"/>
      <w:marTop w:val="0"/>
      <w:marBottom w:val="0"/>
      <w:divBdr>
        <w:top w:val="none" w:sz="0" w:space="0" w:color="auto"/>
        <w:left w:val="none" w:sz="0" w:space="0" w:color="auto"/>
        <w:bottom w:val="none" w:sz="0" w:space="0" w:color="auto"/>
        <w:right w:val="none" w:sz="0" w:space="0" w:color="auto"/>
      </w:divBdr>
    </w:div>
    <w:div w:id="422459977">
      <w:bodyDiv w:val="1"/>
      <w:marLeft w:val="0"/>
      <w:marRight w:val="0"/>
      <w:marTop w:val="0"/>
      <w:marBottom w:val="0"/>
      <w:divBdr>
        <w:top w:val="none" w:sz="0" w:space="0" w:color="auto"/>
        <w:left w:val="none" w:sz="0" w:space="0" w:color="auto"/>
        <w:bottom w:val="none" w:sz="0" w:space="0" w:color="auto"/>
        <w:right w:val="none" w:sz="0" w:space="0" w:color="auto"/>
      </w:divBdr>
    </w:div>
    <w:div w:id="423115909">
      <w:bodyDiv w:val="1"/>
      <w:marLeft w:val="0"/>
      <w:marRight w:val="0"/>
      <w:marTop w:val="0"/>
      <w:marBottom w:val="0"/>
      <w:divBdr>
        <w:top w:val="none" w:sz="0" w:space="0" w:color="auto"/>
        <w:left w:val="none" w:sz="0" w:space="0" w:color="auto"/>
        <w:bottom w:val="none" w:sz="0" w:space="0" w:color="auto"/>
        <w:right w:val="none" w:sz="0" w:space="0" w:color="auto"/>
      </w:divBdr>
    </w:div>
    <w:div w:id="430667458">
      <w:bodyDiv w:val="1"/>
      <w:marLeft w:val="0"/>
      <w:marRight w:val="0"/>
      <w:marTop w:val="0"/>
      <w:marBottom w:val="0"/>
      <w:divBdr>
        <w:top w:val="none" w:sz="0" w:space="0" w:color="auto"/>
        <w:left w:val="none" w:sz="0" w:space="0" w:color="auto"/>
        <w:bottom w:val="none" w:sz="0" w:space="0" w:color="auto"/>
        <w:right w:val="none" w:sz="0" w:space="0" w:color="auto"/>
      </w:divBdr>
    </w:div>
    <w:div w:id="449472271">
      <w:bodyDiv w:val="1"/>
      <w:marLeft w:val="0"/>
      <w:marRight w:val="0"/>
      <w:marTop w:val="0"/>
      <w:marBottom w:val="0"/>
      <w:divBdr>
        <w:top w:val="none" w:sz="0" w:space="0" w:color="auto"/>
        <w:left w:val="none" w:sz="0" w:space="0" w:color="auto"/>
        <w:bottom w:val="none" w:sz="0" w:space="0" w:color="auto"/>
        <w:right w:val="none" w:sz="0" w:space="0" w:color="auto"/>
      </w:divBdr>
    </w:div>
    <w:div w:id="454175087">
      <w:bodyDiv w:val="1"/>
      <w:marLeft w:val="0"/>
      <w:marRight w:val="0"/>
      <w:marTop w:val="0"/>
      <w:marBottom w:val="0"/>
      <w:divBdr>
        <w:top w:val="none" w:sz="0" w:space="0" w:color="auto"/>
        <w:left w:val="none" w:sz="0" w:space="0" w:color="auto"/>
        <w:bottom w:val="none" w:sz="0" w:space="0" w:color="auto"/>
        <w:right w:val="none" w:sz="0" w:space="0" w:color="auto"/>
      </w:divBdr>
    </w:div>
    <w:div w:id="475953836">
      <w:bodyDiv w:val="1"/>
      <w:marLeft w:val="0"/>
      <w:marRight w:val="0"/>
      <w:marTop w:val="0"/>
      <w:marBottom w:val="0"/>
      <w:divBdr>
        <w:top w:val="none" w:sz="0" w:space="0" w:color="auto"/>
        <w:left w:val="none" w:sz="0" w:space="0" w:color="auto"/>
        <w:bottom w:val="none" w:sz="0" w:space="0" w:color="auto"/>
        <w:right w:val="none" w:sz="0" w:space="0" w:color="auto"/>
      </w:divBdr>
    </w:div>
    <w:div w:id="478812002">
      <w:bodyDiv w:val="1"/>
      <w:marLeft w:val="0"/>
      <w:marRight w:val="0"/>
      <w:marTop w:val="0"/>
      <w:marBottom w:val="0"/>
      <w:divBdr>
        <w:top w:val="none" w:sz="0" w:space="0" w:color="auto"/>
        <w:left w:val="none" w:sz="0" w:space="0" w:color="auto"/>
        <w:bottom w:val="none" w:sz="0" w:space="0" w:color="auto"/>
        <w:right w:val="none" w:sz="0" w:space="0" w:color="auto"/>
      </w:divBdr>
    </w:div>
    <w:div w:id="488062410">
      <w:bodyDiv w:val="1"/>
      <w:marLeft w:val="0"/>
      <w:marRight w:val="0"/>
      <w:marTop w:val="0"/>
      <w:marBottom w:val="0"/>
      <w:divBdr>
        <w:top w:val="none" w:sz="0" w:space="0" w:color="auto"/>
        <w:left w:val="none" w:sz="0" w:space="0" w:color="auto"/>
        <w:bottom w:val="none" w:sz="0" w:space="0" w:color="auto"/>
        <w:right w:val="none" w:sz="0" w:space="0" w:color="auto"/>
      </w:divBdr>
    </w:div>
    <w:div w:id="490562369">
      <w:bodyDiv w:val="1"/>
      <w:marLeft w:val="0"/>
      <w:marRight w:val="0"/>
      <w:marTop w:val="0"/>
      <w:marBottom w:val="0"/>
      <w:divBdr>
        <w:top w:val="none" w:sz="0" w:space="0" w:color="auto"/>
        <w:left w:val="none" w:sz="0" w:space="0" w:color="auto"/>
        <w:bottom w:val="none" w:sz="0" w:space="0" w:color="auto"/>
        <w:right w:val="none" w:sz="0" w:space="0" w:color="auto"/>
      </w:divBdr>
    </w:div>
    <w:div w:id="495615438">
      <w:bodyDiv w:val="1"/>
      <w:marLeft w:val="0"/>
      <w:marRight w:val="0"/>
      <w:marTop w:val="0"/>
      <w:marBottom w:val="0"/>
      <w:divBdr>
        <w:top w:val="none" w:sz="0" w:space="0" w:color="auto"/>
        <w:left w:val="none" w:sz="0" w:space="0" w:color="auto"/>
        <w:bottom w:val="none" w:sz="0" w:space="0" w:color="auto"/>
        <w:right w:val="none" w:sz="0" w:space="0" w:color="auto"/>
      </w:divBdr>
    </w:div>
    <w:div w:id="507673170">
      <w:bodyDiv w:val="1"/>
      <w:marLeft w:val="0"/>
      <w:marRight w:val="0"/>
      <w:marTop w:val="0"/>
      <w:marBottom w:val="0"/>
      <w:divBdr>
        <w:top w:val="none" w:sz="0" w:space="0" w:color="auto"/>
        <w:left w:val="none" w:sz="0" w:space="0" w:color="auto"/>
        <w:bottom w:val="none" w:sz="0" w:space="0" w:color="auto"/>
        <w:right w:val="none" w:sz="0" w:space="0" w:color="auto"/>
      </w:divBdr>
    </w:div>
    <w:div w:id="549461299">
      <w:bodyDiv w:val="1"/>
      <w:marLeft w:val="0"/>
      <w:marRight w:val="0"/>
      <w:marTop w:val="0"/>
      <w:marBottom w:val="0"/>
      <w:divBdr>
        <w:top w:val="none" w:sz="0" w:space="0" w:color="auto"/>
        <w:left w:val="none" w:sz="0" w:space="0" w:color="auto"/>
        <w:bottom w:val="none" w:sz="0" w:space="0" w:color="auto"/>
        <w:right w:val="none" w:sz="0" w:space="0" w:color="auto"/>
      </w:divBdr>
    </w:div>
    <w:div w:id="576133699">
      <w:bodyDiv w:val="1"/>
      <w:marLeft w:val="0"/>
      <w:marRight w:val="0"/>
      <w:marTop w:val="0"/>
      <w:marBottom w:val="0"/>
      <w:divBdr>
        <w:top w:val="none" w:sz="0" w:space="0" w:color="auto"/>
        <w:left w:val="none" w:sz="0" w:space="0" w:color="auto"/>
        <w:bottom w:val="none" w:sz="0" w:space="0" w:color="auto"/>
        <w:right w:val="none" w:sz="0" w:space="0" w:color="auto"/>
      </w:divBdr>
    </w:div>
    <w:div w:id="576866289">
      <w:bodyDiv w:val="1"/>
      <w:marLeft w:val="0"/>
      <w:marRight w:val="0"/>
      <w:marTop w:val="0"/>
      <w:marBottom w:val="0"/>
      <w:divBdr>
        <w:top w:val="none" w:sz="0" w:space="0" w:color="auto"/>
        <w:left w:val="none" w:sz="0" w:space="0" w:color="auto"/>
        <w:bottom w:val="none" w:sz="0" w:space="0" w:color="auto"/>
        <w:right w:val="none" w:sz="0" w:space="0" w:color="auto"/>
      </w:divBdr>
    </w:div>
    <w:div w:id="592477677">
      <w:bodyDiv w:val="1"/>
      <w:marLeft w:val="0"/>
      <w:marRight w:val="0"/>
      <w:marTop w:val="0"/>
      <w:marBottom w:val="0"/>
      <w:divBdr>
        <w:top w:val="none" w:sz="0" w:space="0" w:color="auto"/>
        <w:left w:val="none" w:sz="0" w:space="0" w:color="auto"/>
        <w:bottom w:val="none" w:sz="0" w:space="0" w:color="auto"/>
        <w:right w:val="none" w:sz="0" w:space="0" w:color="auto"/>
      </w:divBdr>
    </w:div>
    <w:div w:id="621375644">
      <w:bodyDiv w:val="1"/>
      <w:marLeft w:val="0"/>
      <w:marRight w:val="0"/>
      <w:marTop w:val="0"/>
      <w:marBottom w:val="0"/>
      <w:divBdr>
        <w:top w:val="none" w:sz="0" w:space="0" w:color="auto"/>
        <w:left w:val="none" w:sz="0" w:space="0" w:color="auto"/>
        <w:bottom w:val="none" w:sz="0" w:space="0" w:color="auto"/>
        <w:right w:val="none" w:sz="0" w:space="0" w:color="auto"/>
      </w:divBdr>
    </w:div>
    <w:div w:id="636183313">
      <w:bodyDiv w:val="1"/>
      <w:marLeft w:val="0"/>
      <w:marRight w:val="0"/>
      <w:marTop w:val="0"/>
      <w:marBottom w:val="0"/>
      <w:divBdr>
        <w:top w:val="none" w:sz="0" w:space="0" w:color="auto"/>
        <w:left w:val="none" w:sz="0" w:space="0" w:color="auto"/>
        <w:bottom w:val="none" w:sz="0" w:space="0" w:color="auto"/>
        <w:right w:val="none" w:sz="0" w:space="0" w:color="auto"/>
      </w:divBdr>
    </w:div>
    <w:div w:id="650334421">
      <w:bodyDiv w:val="1"/>
      <w:marLeft w:val="0"/>
      <w:marRight w:val="0"/>
      <w:marTop w:val="0"/>
      <w:marBottom w:val="0"/>
      <w:divBdr>
        <w:top w:val="none" w:sz="0" w:space="0" w:color="auto"/>
        <w:left w:val="none" w:sz="0" w:space="0" w:color="auto"/>
        <w:bottom w:val="none" w:sz="0" w:space="0" w:color="auto"/>
        <w:right w:val="none" w:sz="0" w:space="0" w:color="auto"/>
      </w:divBdr>
    </w:div>
    <w:div w:id="663244068">
      <w:bodyDiv w:val="1"/>
      <w:marLeft w:val="0"/>
      <w:marRight w:val="0"/>
      <w:marTop w:val="0"/>
      <w:marBottom w:val="0"/>
      <w:divBdr>
        <w:top w:val="none" w:sz="0" w:space="0" w:color="auto"/>
        <w:left w:val="none" w:sz="0" w:space="0" w:color="auto"/>
        <w:bottom w:val="none" w:sz="0" w:space="0" w:color="auto"/>
        <w:right w:val="none" w:sz="0" w:space="0" w:color="auto"/>
      </w:divBdr>
    </w:div>
    <w:div w:id="688914842">
      <w:bodyDiv w:val="1"/>
      <w:marLeft w:val="0"/>
      <w:marRight w:val="0"/>
      <w:marTop w:val="0"/>
      <w:marBottom w:val="0"/>
      <w:divBdr>
        <w:top w:val="none" w:sz="0" w:space="0" w:color="auto"/>
        <w:left w:val="none" w:sz="0" w:space="0" w:color="auto"/>
        <w:bottom w:val="none" w:sz="0" w:space="0" w:color="auto"/>
        <w:right w:val="none" w:sz="0" w:space="0" w:color="auto"/>
      </w:divBdr>
    </w:div>
    <w:div w:id="723603040">
      <w:bodyDiv w:val="1"/>
      <w:marLeft w:val="0"/>
      <w:marRight w:val="0"/>
      <w:marTop w:val="0"/>
      <w:marBottom w:val="0"/>
      <w:divBdr>
        <w:top w:val="none" w:sz="0" w:space="0" w:color="auto"/>
        <w:left w:val="none" w:sz="0" w:space="0" w:color="auto"/>
        <w:bottom w:val="none" w:sz="0" w:space="0" w:color="auto"/>
        <w:right w:val="none" w:sz="0" w:space="0" w:color="auto"/>
      </w:divBdr>
    </w:div>
    <w:div w:id="736980871">
      <w:bodyDiv w:val="1"/>
      <w:marLeft w:val="0"/>
      <w:marRight w:val="0"/>
      <w:marTop w:val="0"/>
      <w:marBottom w:val="0"/>
      <w:divBdr>
        <w:top w:val="none" w:sz="0" w:space="0" w:color="auto"/>
        <w:left w:val="none" w:sz="0" w:space="0" w:color="auto"/>
        <w:bottom w:val="none" w:sz="0" w:space="0" w:color="auto"/>
        <w:right w:val="none" w:sz="0" w:space="0" w:color="auto"/>
      </w:divBdr>
    </w:div>
    <w:div w:id="748695732">
      <w:bodyDiv w:val="1"/>
      <w:marLeft w:val="0"/>
      <w:marRight w:val="0"/>
      <w:marTop w:val="0"/>
      <w:marBottom w:val="0"/>
      <w:divBdr>
        <w:top w:val="none" w:sz="0" w:space="0" w:color="auto"/>
        <w:left w:val="none" w:sz="0" w:space="0" w:color="auto"/>
        <w:bottom w:val="none" w:sz="0" w:space="0" w:color="auto"/>
        <w:right w:val="none" w:sz="0" w:space="0" w:color="auto"/>
      </w:divBdr>
    </w:div>
    <w:div w:id="752507807">
      <w:bodyDiv w:val="1"/>
      <w:marLeft w:val="0"/>
      <w:marRight w:val="0"/>
      <w:marTop w:val="0"/>
      <w:marBottom w:val="0"/>
      <w:divBdr>
        <w:top w:val="none" w:sz="0" w:space="0" w:color="auto"/>
        <w:left w:val="none" w:sz="0" w:space="0" w:color="auto"/>
        <w:bottom w:val="none" w:sz="0" w:space="0" w:color="auto"/>
        <w:right w:val="none" w:sz="0" w:space="0" w:color="auto"/>
      </w:divBdr>
    </w:div>
    <w:div w:id="770585707">
      <w:bodyDiv w:val="1"/>
      <w:marLeft w:val="0"/>
      <w:marRight w:val="0"/>
      <w:marTop w:val="0"/>
      <w:marBottom w:val="0"/>
      <w:divBdr>
        <w:top w:val="none" w:sz="0" w:space="0" w:color="auto"/>
        <w:left w:val="none" w:sz="0" w:space="0" w:color="auto"/>
        <w:bottom w:val="none" w:sz="0" w:space="0" w:color="auto"/>
        <w:right w:val="none" w:sz="0" w:space="0" w:color="auto"/>
      </w:divBdr>
    </w:div>
    <w:div w:id="778568348">
      <w:bodyDiv w:val="1"/>
      <w:marLeft w:val="0"/>
      <w:marRight w:val="0"/>
      <w:marTop w:val="0"/>
      <w:marBottom w:val="0"/>
      <w:divBdr>
        <w:top w:val="none" w:sz="0" w:space="0" w:color="auto"/>
        <w:left w:val="none" w:sz="0" w:space="0" w:color="auto"/>
        <w:bottom w:val="none" w:sz="0" w:space="0" w:color="auto"/>
        <w:right w:val="none" w:sz="0" w:space="0" w:color="auto"/>
      </w:divBdr>
    </w:div>
    <w:div w:id="803233673">
      <w:bodyDiv w:val="1"/>
      <w:marLeft w:val="0"/>
      <w:marRight w:val="0"/>
      <w:marTop w:val="0"/>
      <w:marBottom w:val="0"/>
      <w:divBdr>
        <w:top w:val="none" w:sz="0" w:space="0" w:color="auto"/>
        <w:left w:val="none" w:sz="0" w:space="0" w:color="auto"/>
        <w:bottom w:val="none" w:sz="0" w:space="0" w:color="auto"/>
        <w:right w:val="none" w:sz="0" w:space="0" w:color="auto"/>
      </w:divBdr>
    </w:div>
    <w:div w:id="806505837">
      <w:bodyDiv w:val="1"/>
      <w:marLeft w:val="0"/>
      <w:marRight w:val="0"/>
      <w:marTop w:val="0"/>
      <w:marBottom w:val="0"/>
      <w:divBdr>
        <w:top w:val="none" w:sz="0" w:space="0" w:color="auto"/>
        <w:left w:val="none" w:sz="0" w:space="0" w:color="auto"/>
        <w:bottom w:val="none" w:sz="0" w:space="0" w:color="auto"/>
        <w:right w:val="none" w:sz="0" w:space="0" w:color="auto"/>
      </w:divBdr>
    </w:div>
    <w:div w:id="812799081">
      <w:bodyDiv w:val="1"/>
      <w:marLeft w:val="0"/>
      <w:marRight w:val="0"/>
      <w:marTop w:val="0"/>
      <w:marBottom w:val="0"/>
      <w:divBdr>
        <w:top w:val="none" w:sz="0" w:space="0" w:color="auto"/>
        <w:left w:val="none" w:sz="0" w:space="0" w:color="auto"/>
        <w:bottom w:val="none" w:sz="0" w:space="0" w:color="auto"/>
        <w:right w:val="none" w:sz="0" w:space="0" w:color="auto"/>
      </w:divBdr>
    </w:div>
    <w:div w:id="845287938">
      <w:bodyDiv w:val="1"/>
      <w:marLeft w:val="0"/>
      <w:marRight w:val="0"/>
      <w:marTop w:val="0"/>
      <w:marBottom w:val="0"/>
      <w:divBdr>
        <w:top w:val="none" w:sz="0" w:space="0" w:color="auto"/>
        <w:left w:val="none" w:sz="0" w:space="0" w:color="auto"/>
        <w:bottom w:val="none" w:sz="0" w:space="0" w:color="auto"/>
        <w:right w:val="none" w:sz="0" w:space="0" w:color="auto"/>
      </w:divBdr>
    </w:div>
    <w:div w:id="851653058">
      <w:bodyDiv w:val="1"/>
      <w:marLeft w:val="0"/>
      <w:marRight w:val="0"/>
      <w:marTop w:val="0"/>
      <w:marBottom w:val="0"/>
      <w:divBdr>
        <w:top w:val="none" w:sz="0" w:space="0" w:color="auto"/>
        <w:left w:val="none" w:sz="0" w:space="0" w:color="auto"/>
        <w:bottom w:val="none" w:sz="0" w:space="0" w:color="auto"/>
        <w:right w:val="none" w:sz="0" w:space="0" w:color="auto"/>
      </w:divBdr>
    </w:div>
    <w:div w:id="856508847">
      <w:bodyDiv w:val="1"/>
      <w:marLeft w:val="0"/>
      <w:marRight w:val="0"/>
      <w:marTop w:val="0"/>
      <w:marBottom w:val="0"/>
      <w:divBdr>
        <w:top w:val="none" w:sz="0" w:space="0" w:color="auto"/>
        <w:left w:val="none" w:sz="0" w:space="0" w:color="auto"/>
        <w:bottom w:val="none" w:sz="0" w:space="0" w:color="auto"/>
        <w:right w:val="none" w:sz="0" w:space="0" w:color="auto"/>
      </w:divBdr>
    </w:div>
    <w:div w:id="869957131">
      <w:bodyDiv w:val="1"/>
      <w:marLeft w:val="0"/>
      <w:marRight w:val="0"/>
      <w:marTop w:val="0"/>
      <w:marBottom w:val="0"/>
      <w:divBdr>
        <w:top w:val="none" w:sz="0" w:space="0" w:color="auto"/>
        <w:left w:val="none" w:sz="0" w:space="0" w:color="auto"/>
        <w:bottom w:val="none" w:sz="0" w:space="0" w:color="auto"/>
        <w:right w:val="none" w:sz="0" w:space="0" w:color="auto"/>
      </w:divBdr>
    </w:div>
    <w:div w:id="880359230">
      <w:bodyDiv w:val="1"/>
      <w:marLeft w:val="0"/>
      <w:marRight w:val="0"/>
      <w:marTop w:val="0"/>
      <w:marBottom w:val="0"/>
      <w:divBdr>
        <w:top w:val="none" w:sz="0" w:space="0" w:color="auto"/>
        <w:left w:val="none" w:sz="0" w:space="0" w:color="auto"/>
        <w:bottom w:val="none" w:sz="0" w:space="0" w:color="auto"/>
        <w:right w:val="none" w:sz="0" w:space="0" w:color="auto"/>
      </w:divBdr>
    </w:div>
    <w:div w:id="906497515">
      <w:bodyDiv w:val="1"/>
      <w:marLeft w:val="0"/>
      <w:marRight w:val="0"/>
      <w:marTop w:val="0"/>
      <w:marBottom w:val="0"/>
      <w:divBdr>
        <w:top w:val="none" w:sz="0" w:space="0" w:color="auto"/>
        <w:left w:val="none" w:sz="0" w:space="0" w:color="auto"/>
        <w:bottom w:val="none" w:sz="0" w:space="0" w:color="auto"/>
        <w:right w:val="none" w:sz="0" w:space="0" w:color="auto"/>
      </w:divBdr>
    </w:div>
    <w:div w:id="919294220">
      <w:bodyDiv w:val="1"/>
      <w:marLeft w:val="0"/>
      <w:marRight w:val="0"/>
      <w:marTop w:val="0"/>
      <w:marBottom w:val="0"/>
      <w:divBdr>
        <w:top w:val="none" w:sz="0" w:space="0" w:color="auto"/>
        <w:left w:val="none" w:sz="0" w:space="0" w:color="auto"/>
        <w:bottom w:val="none" w:sz="0" w:space="0" w:color="auto"/>
        <w:right w:val="none" w:sz="0" w:space="0" w:color="auto"/>
      </w:divBdr>
    </w:div>
    <w:div w:id="927889063">
      <w:bodyDiv w:val="1"/>
      <w:marLeft w:val="0"/>
      <w:marRight w:val="0"/>
      <w:marTop w:val="0"/>
      <w:marBottom w:val="0"/>
      <w:divBdr>
        <w:top w:val="none" w:sz="0" w:space="0" w:color="auto"/>
        <w:left w:val="none" w:sz="0" w:space="0" w:color="auto"/>
        <w:bottom w:val="none" w:sz="0" w:space="0" w:color="auto"/>
        <w:right w:val="none" w:sz="0" w:space="0" w:color="auto"/>
      </w:divBdr>
    </w:div>
    <w:div w:id="930507017">
      <w:bodyDiv w:val="1"/>
      <w:marLeft w:val="0"/>
      <w:marRight w:val="0"/>
      <w:marTop w:val="0"/>
      <w:marBottom w:val="0"/>
      <w:divBdr>
        <w:top w:val="none" w:sz="0" w:space="0" w:color="auto"/>
        <w:left w:val="none" w:sz="0" w:space="0" w:color="auto"/>
        <w:bottom w:val="none" w:sz="0" w:space="0" w:color="auto"/>
        <w:right w:val="none" w:sz="0" w:space="0" w:color="auto"/>
      </w:divBdr>
    </w:div>
    <w:div w:id="953251248">
      <w:bodyDiv w:val="1"/>
      <w:marLeft w:val="0"/>
      <w:marRight w:val="0"/>
      <w:marTop w:val="0"/>
      <w:marBottom w:val="0"/>
      <w:divBdr>
        <w:top w:val="none" w:sz="0" w:space="0" w:color="auto"/>
        <w:left w:val="none" w:sz="0" w:space="0" w:color="auto"/>
        <w:bottom w:val="none" w:sz="0" w:space="0" w:color="auto"/>
        <w:right w:val="none" w:sz="0" w:space="0" w:color="auto"/>
      </w:divBdr>
    </w:div>
    <w:div w:id="968126025">
      <w:bodyDiv w:val="1"/>
      <w:marLeft w:val="0"/>
      <w:marRight w:val="0"/>
      <w:marTop w:val="0"/>
      <w:marBottom w:val="0"/>
      <w:divBdr>
        <w:top w:val="none" w:sz="0" w:space="0" w:color="auto"/>
        <w:left w:val="none" w:sz="0" w:space="0" w:color="auto"/>
        <w:bottom w:val="none" w:sz="0" w:space="0" w:color="auto"/>
        <w:right w:val="none" w:sz="0" w:space="0" w:color="auto"/>
      </w:divBdr>
    </w:div>
    <w:div w:id="973364365">
      <w:bodyDiv w:val="1"/>
      <w:marLeft w:val="0"/>
      <w:marRight w:val="0"/>
      <w:marTop w:val="0"/>
      <w:marBottom w:val="0"/>
      <w:divBdr>
        <w:top w:val="none" w:sz="0" w:space="0" w:color="auto"/>
        <w:left w:val="none" w:sz="0" w:space="0" w:color="auto"/>
        <w:bottom w:val="none" w:sz="0" w:space="0" w:color="auto"/>
        <w:right w:val="none" w:sz="0" w:space="0" w:color="auto"/>
      </w:divBdr>
    </w:div>
    <w:div w:id="998659704">
      <w:bodyDiv w:val="1"/>
      <w:marLeft w:val="0"/>
      <w:marRight w:val="0"/>
      <w:marTop w:val="0"/>
      <w:marBottom w:val="0"/>
      <w:divBdr>
        <w:top w:val="none" w:sz="0" w:space="0" w:color="auto"/>
        <w:left w:val="none" w:sz="0" w:space="0" w:color="auto"/>
        <w:bottom w:val="none" w:sz="0" w:space="0" w:color="auto"/>
        <w:right w:val="none" w:sz="0" w:space="0" w:color="auto"/>
      </w:divBdr>
    </w:div>
    <w:div w:id="1034887302">
      <w:bodyDiv w:val="1"/>
      <w:marLeft w:val="0"/>
      <w:marRight w:val="0"/>
      <w:marTop w:val="0"/>
      <w:marBottom w:val="0"/>
      <w:divBdr>
        <w:top w:val="none" w:sz="0" w:space="0" w:color="auto"/>
        <w:left w:val="none" w:sz="0" w:space="0" w:color="auto"/>
        <w:bottom w:val="none" w:sz="0" w:space="0" w:color="auto"/>
        <w:right w:val="none" w:sz="0" w:space="0" w:color="auto"/>
      </w:divBdr>
    </w:div>
    <w:div w:id="1056854257">
      <w:bodyDiv w:val="1"/>
      <w:marLeft w:val="0"/>
      <w:marRight w:val="0"/>
      <w:marTop w:val="0"/>
      <w:marBottom w:val="0"/>
      <w:divBdr>
        <w:top w:val="none" w:sz="0" w:space="0" w:color="auto"/>
        <w:left w:val="none" w:sz="0" w:space="0" w:color="auto"/>
        <w:bottom w:val="none" w:sz="0" w:space="0" w:color="auto"/>
        <w:right w:val="none" w:sz="0" w:space="0" w:color="auto"/>
      </w:divBdr>
    </w:div>
    <w:div w:id="1060250821">
      <w:bodyDiv w:val="1"/>
      <w:marLeft w:val="0"/>
      <w:marRight w:val="0"/>
      <w:marTop w:val="0"/>
      <w:marBottom w:val="0"/>
      <w:divBdr>
        <w:top w:val="none" w:sz="0" w:space="0" w:color="auto"/>
        <w:left w:val="none" w:sz="0" w:space="0" w:color="auto"/>
        <w:bottom w:val="none" w:sz="0" w:space="0" w:color="auto"/>
        <w:right w:val="none" w:sz="0" w:space="0" w:color="auto"/>
      </w:divBdr>
    </w:div>
    <w:div w:id="1068456324">
      <w:bodyDiv w:val="1"/>
      <w:marLeft w:val="0"/>
      <w:marRight w:val="0"/>
      <w:marTop w:val="0"/>
      <w:marBottom w:val="0"/>
      <w:divBdr>
        <w:top w:val="none" w:sz="0" w:space="0" w:color="auto"/>
        <w:left w:val="none" w:sz="0" w:space="0" w:color="auto"/>
        <w:bottom w:val="none" w:sz="0" w:space="0" w:color="auto"/>
        <w:right w:val="none" w:sz="0" w:space="0" w:color="auto"/>
      </w:divBdr>
    </w:div>
    <w:div w:id="1093554156">
      <w:bodyDiv w:val="1"/>
      <w:marLeft w:val="0"/>
      <w:marRight w:val="0"/>
      <w:marTop w:val="0"/>
      <w:marBottom w:val="0"/>
      <w:divBdr>
        <w:top w:val="none" w:sz="0" w:space="0" w:color="auto"/>
        <w:left w:val="none" w:sz="0" w:space="0" w:color="auto"/>
        <w:bottom w:val="none" w:sz="0" w:space="0" w:color="auto"/>
        <w:right w:val="none" w:sz="0" w:space="0" w:color="auto"/>
      </w:divBdr>
    </w:div>
    <w:div w:id="1096558844">
      <w:bodyDiv w:val="1"/>
      <w:marLeft w:val="0"/>
      <w:marRight w:val="0"/>
      <w:marTop w:val="0"/>
      <w:marBottom w:val="0"/>
      <w:divBdr>
        <w:top w:val="none" w:sz="0" w:space="0" w:color="auto"/>
        <w:left w:val="none" w:sz="0" w:space="0" w:color="auto"/>
        <w:bottom w:val="none" w:sz="0" w:space="0" w:color="auto"/>
        <w:right w:val="none" w:sz="0" w:space="0" w:color="auto"/>
      </w:divBdr>
    </w:div>
    <w:div w:id="1108961359">
      <w:bodyDiv w:val="1"/>
      <w:marLeft w:val="0"/>
      <w:marRight w:val="0"/>
      <w:marTop w:val="0"/>
      <w:marBottom w:val="0"/>
      <w:divBdr>
        <w:top w:val="none" w:sz="0" w:space="0" w:color="auto"/>
        <w:left w:val="none" w:sz="0" w:space="0" w:color="auto"/>
        <w:bottom w:val="none" w:sz="0" w:space="0" w:color="auto"/>
        <w:right w:val="none" w:sz="0" w:space="0" w:color="auto"/>
      </w:divBdr>
    </w:div>
    <w:div w:id="1122843954">
      <w:bodyDiv w:val="1"/>
      <w:marLeft w:val="0"/>
      <w:marRight w:val="0"/>
      <w:marTop w:val="0"/>
      <w:marBottom w:val="0"/>
      <w:divBdr>
        <w:top w:val="none" w:sz="0" w:space="0" w:color="auto"/>
        <w:left w:val="none" w:sz="0" w:space="0" w:color="auto"/>
        <w:bottom w:val="none" w:sz="0" w:space="0" w:color="auto"/>
        <w:right w:val="none" w:sz="0" w:space="0" w:color="auto"/>
      </w:divBdr>
    </w:div>
    <w:div w:id="1139759415">
      <w:bodyDiv w:val="1"/>
      <w:marLeft w:val="0"/>
      <w:marRight w:val="0"/>
      <w:marTop w:val="0"/>
      <w:marBottom w:val="0"/>
      <w:divBdr>
        <w:top w:val="none" w:sz="0" w:space="0" w:color="auto"/>
        <w:left w:val="none" w:sz="0" w:space="0" w:color="auto"/>
        <w:bottom w:val="none" w:sz="0" w:space="0" w:color="auto"/>
        <w:right w:val="none" w:sz="0" w:space="0" w:color="auto"/>
      </w:divBdr>
    </w:div>
    <w:div w:id="1142188050">
      <w:bodyDiv w:val="1"/>
      <w:marLeft w:val="0"/>
      <w:marRight w:val="0"/>
      <w:marTop w:val="0"/>
      <w:marBottom w:val="0"/>
      <w:divBdr>
        <w:top w:val="none" w:sz="0" w:space="0" w:color="auto"/>
        <w:left w:val="none" w:sz="0" w:space="0" w:color="auto"/>
        <w:bottom w:val="none" w:sz="0" w:space="0" w:color="auto"/>
        <w:right w:val="none" w:sz="0" w:space="0" w:color="auto"/>
      </w:divBdr>
    </w:div>
    <w:div w:id="1143740501">
      <w:bodyDiv w:val="1"/>
      <w:marLeft w:val="0"/>
      <w:marRight w:val="0"/>
      <w:marTop w:val="0"/>
      <w:marBottom w:val="0"/>
      <w:divBdr>
        <w:top w:val="none" w:sz="0" w:space="0" w:color="auto"/>
        <w:left w:val="none" w:sz="0" w:space="0" w:color="auto"/>
        <w:bottom w:val="none" w:sz="0" w:space="0" w:color="auto"/>
        <w:right w:val="none" w:sz="0" w:space="0" w:color="auto"/>
      </w:divBdr>
    </w:div>
    <w:div w:id="1145048881">
      <w:bodyDiv w:val="1"/>
      <w:marLeft w:val="0"/>
      <w:marRight w:val="0"/>
      <w:marTop w:val="0"/>
      <w:marBottom w:val="0"/>
      <w:divBdr>
        <w:top w:val="none" w:sz="0" w:space="0" w:color="auto"/>
        <w:left w:val="none" w:sz="0" w:space="0" w:color="auto"/>
        <w:bottom w:val="none" w:sz="0" w:space="0" w:color="auto"/>
        <w:right w:val="none" w:sz="0" w:space="0" w:color="auto"/>
      </w:divBdr>
    </w:div>
    <w:div w:id="1149829814">
      <w:bodyDiv w:val="1"/>
      <w:marLeft w:val="0"/>
      <w:marRight w:val="0"/>
      <w:marTop w:val="0"/>
      <w:marBottom w:val="0"/>
      <w:divBdr>
        <w:top w:val="none" w:sz="0" w:space="0" w:color="auto"/>
        <w:left w:val="none" w:sz="0" w:space="0" w:color="auto"/>
        <w:bottom w:val="none" w:sz="0" w:space="0" w:color="auto"/>
        <w:right w:val="none" w:sz="0" w:space="0" w:color="auto"/>
      </w:divBdr>
    </w:div>
    <w:div w:id="1151679287">
      <w:bodyDiv w:val="1"/>
      <w:marLeft w:val="0"/>
      <w:marRight w:val="0"/>
      <w:marTop w:val="0"/>
      <w:marBottom w:val="0"/>
      <w:divBdr>
        <w:top w:val="none" w:sz="0" w:space="0" w:color="auto"/>
        <w:left w:val="none" w:sz="0" w:space="0" w:color="auto"/>
        <w:bottom w:val="none" w:sz="0" w:space="0" w:color="auto"/>
        <w:right w:val="none" w:sz="0" w:space="0" w:color="auto"/>
      </w:divBdr>
    </w:div>
    <w:div w:id="1158769017">
      <w:bodyDiv w:val="1"/>
      <w:marLeft w:val="0"/>
      <w:marRight w:val="0"/>
      <w:marTop w:val="0"/>
      <w:marBottom w:val="0"/>
      <w:divBdr>
        <w:top w:val="none" w:sz="0" w:space="0" w:color="auto"/>
        <w:left w:val="none" w:sz="0" w:space="0" w:color="auto"/>
        <w:bottom w:val="none" w:sz="0" w:space="0" w:color="auto"/>
        <w:right w:val="none" w:sz="0" w:space="0" w:color="auto"/>
      </w:divBdr>
    </w:div>
    <w:div w:id="1164664336">
      <w:bodyDiv w:val="1"/>
      <w:marLeft w:val="0"/>
      <w:marRight w:val="0"/>
      <w:marTop w:val="0"/>
      <w:marBottom w:val="0"/>
      <w:divBdr>
        <w:top w:val="none" w:sz="0" w:space="0" w:color="auto"/>
        <w:left w:val="none" w:sz="0" w:space="0" w:color="auto"/>
        <w:bottom w:val="none" w:sz="0" w:space="0" w:color="auto"/>
        <w:right w:val="none" w:sz="0" w:space="0" w:color="auto"/>
      </w:divBdr>
    </w:div>
    <w:div w:id="1178882457">
      <w:bodyDiv w:val="1"/>
      <w:marLeft w:val="0"/>
      <w:marRight w:val="0"/>
      <w:marTop w:val="0"/>
      <w:marBottom w:val="0"/>
      <w:divBdr>
        <w:top w:val="none" w:sz="0" w:space="0" w:color="auto"/>
        <w:left w:val="none" w:sz="0" w:space="0" w:color="auto"/>
        <w:bottom w:val="none" w:sz="0" w:space="0" w:color="auto"/>
        <w:right w:val="none" w:sz="0" w:space="0" w:color="auto"/>
      </w:divBdr>
    </w:div>
    <w:div w:id="1237397746">
      <w:bodyDiv w:val="1"/>
      <w:marLeft w:val="0"/>
      <w:marRight w:val="0"/>
      <w:marTop w:val="0"/>
      <w:marBottom w:val="0"/>
      <w:divBdr>
        <w:top w:val="none" w:sz="0" w:space="0" w:color="auto"/>
        <w:left w:val="none" w:sz="0" w:space="0" w:color="auto"/>
        <w:bottom w:val="none" w:sz="0" w:space="0" w:color="auto"/>
        <w:right w:val="none" w:sz="0" w:space="0" w:color="auto"/>
      </w:divBdr>
    </w:div>
    <w:div w:id="1270970308">
      <w:bodyDiv w:val="1"/>
      <w:marLeft w:val="0"/>
      <w:marRight w:val="0"/>
      <w:marTop w:val="0"/>
      <w:marBottom w:val="0"/>
      <w:divBdr>
        <w:top w:val="none" w:sz="0" w:space="0" w:color="auto"/>
        <w:left w:val="none" w:sz="0" w:space="0" w:color="auto"/>
        <w:bottom w:val="none" w:sz="0" w:space="0" w:color="auto"/>
        <w:right w:val="none" w:sz="0" w:space="0" w:color="auto"/>
      </w:divBdr>
    </w:div>
    <w:div w:id="1290235572">
      <w:bodyDiv w:val="1"/>
      <w:marLeft w:val="0"/>
      <w:marRight w:val="0"/>
      <w:marTop w:val="0"/>
      <w:marBottom w:val="0"/>
      <w:divBdr>
        <w:top w:val="none" w:sz="0" w:space="0" w:color="auto"/>
        <w:left w:val="none" w:sz="0" w:space="0" w:color="auto"/>
        <w:bottom w:val="none" w:sz="0" w:space="0" w:color="auto"/>
        <w:right w:val="none" w:sz="0" w:space="0" w:color="auto"/>
      </w:divBdr>
    </w:div>
    <w:div w:id="1324702257">
      <w:bodyDiv w:val="1"/>
      <w:marLeft w:val="0"/>
      <w:marRight w:val="0"/>
      <w:marTop w:val="0"/>
      <w:marBottom w:val="0"/>
      <w:divBdr>
        <w:top w:val="none" w:sz="0" w:space="0" w:color="auto"/>
        <w:left w:val="none" w:sz="0" w:space="0" w:color="auto"/>
        <w:bottom w:val="none" w:sz="0" w:space="0" w:color="auto"/>
        <w:right w:val="none" w:sz="0" w:space="0" w:color="auto"/>
      </w:divBdr>
    </w:div>
    <w:div w:id="1325284304">
      <w:bodyDiv w:val="1"/>
      <w:marLeft w:val="0"/>
      <w:marRight w:val="0"/>
      <w:marTop w:val="0"/>
      <w:marBottom w:val="0"/>
      <w:divBdr>
        <w:top w:val="none" w:sz="0" w:space="0" w:color="auto"/>
        <w:left w:val="none" w:sz="0" w:space="0" w:color="auto"/>
        <w:bottom w:val="none" w:sz="0" w:space="0" w:color="auto"/>
        <w:right w:val="none" w:sz="0" w:space="0" w:color="auto"/>
      </w:divBdr>
    </w:div>
    <w:div w:id="1337422740">
      <w:bodyDiv w:val="1"/>
      <w:marLeft w:val="0"/>
      <w:marRight w:val="0"/>
      <w:marTop w:val="0"/>
      <w:marBottom w:val="0"/>
      <w:divBdr>
        <w:top w:val="none" w:sz="0" w:space="0" w:color="auto"/>
        <w:left w:val="none" w:sz="0" w:space="0" w:color="auto"/>
        <w:bottom w:val="none" w:sz="0" w:space="0" w:color="auto"/>
        <w:right w:val="none" w:sz="0" w:space="0" w:color="auto"/>
      </w:divBdr>
    </w:div>
    <w:div w:id="1339383102">
      <w:bodyDiv w:val="1"/>
      <w:marLeft w:val="0"/>
      <w:marRight w:val="0"/>
      <w:marTop w:val="0"/>
      <w:marBottom w:val="0"/>
      <w:divBdr>
        <w:top w:val="none" w:sz="0" w:space="0" w:color="auto"/>
        <w:left w:val="none" w:sz="0" w:space="0" w:color="auto"/>
        <w:bottom w:val="none" w:sz="0" w:space="0" w:color="auto"/>
        <w:right w:val="none" w:sz="0" w:space="0" w:color="auto"/>
      </w:divBdr>
    </w:div>
    <w:div w:id="1354107303">
      <w:bodyDiv w:val="1"/>
      <w:marLeft w:val="0"/>
      <w:marRight w:val="0"/>
      <w:marTop w:val="0"/>
      <w:marBottom w:val="0"/>
      <w:divBdr>
        <w:top w:val="none" w:sz="0" w:space="0" w:color="auto"/>
        <w:left w:val="none" w:sz="0" w:space="0" w:color="auto"/>
        <w:bottom w:val="none" w:sz="0" w:space="0" w:color="auto"/>
        <w:right w:val="none" w:sz="0" w:space="0" w:color="auto"/>
      </w:divBdr>
    </w:div>
    <w:div w:id="1357775313">
      <w:bodyDiv w:val="1"/>
      <w:marLeft w:val="0"/>
      <w:marRight w:val="0"/>
      <w:marTop w:val="0"/>
      <w:marBottom w:val="0"/>
      <w:divBdr>
        <w:top w:val="none" w:sz="0" w:space="0" w:color="auto"/>
        <w:left w:val="none" w:sz="0" w:space="0" w:color="auto"/>
        <w:bottom w:val="none" w:sz="0" w:space="0" w:color="auto"/>
        <w:right w:val="none" w:sz="0" w:space="0" w:color="auto"/>
      </w:divBdr>
    </w:div>
    <w:div w:id="1368723456">
      <w:bodyDiv w:val="1"/>
      <w:marLeft w:val="0"/>
      <w:marRight w:val="0"/>
      <w:marTop w:val="0"/>
      <w:marBottom w:val="0"/>
      <w:divBdr>
        <w:top w:val="none" w:sz="0" w:space="0" w:color="auto"/>
        <w:left w:val="none" w:sz="0" w:space="0" w:color="auto"/>
        <w:bottom w:val="none" w:sz="0" w:space="0" w:color="auto"/>
        <w:right w:val="none" w:sz="0" w:space="0" w:color="auto"/>
      </w:divBdr>
    </w:div>
    <w:div w:id="1384135125">
      <w:bodyDiv w:val="1"/>
      <w:marLeft w:val="0"/>
      <w:marRight w:val="0"/>
      <w:marTop w:val="0"/>
      <w:marBottom w:val="0"/>
      <w:divBdr>
        <w:top w:val="none" w:sz="0" w:space="0" w:color="auto"/>
        <w:left w:val="none" w:sz="0" w:space="0" w:color="auto"/>
        <w:bottom w:val="none" w:sz="0" w:space="0" w:color="auto"/>
        <w:right w:val="none" w:sz="0" w:space="0" w:color="auto"/>
      </w:divBdr>
    </w:div>
    <w:div w:id="1385326962">
      <w:bodyDiv w:val="1"/>
      <w:marLeft w:val="0"/>
      <w:marRight w:val="0"/>
      <w:marTop w:val="0"/>
      <w:marBottom w:val="0"/>
      <w:divBdr>
        <w:top w:val="none" w:sz="0" w:space="0" w:color="auto"/>
        <w:left w:val="none" w:sz="0" w:space="0" w:color="auto"/>
        <w:bottom w:val="none" w:sz="0" w:space="0" w:color="auto"/>
        <w:right w:val="none" w:sz="0" w:space="0" w:color="auto"/>
      </w:divBdr>
    </w:div>
    <w:div w:id="1396928495">
      <w:bodyDiv w:val="1"/>
      <w:marLeft w:val="0"/>
      <w:marRight w:val="0"/>
      <w:marTop w:val="0"/>
      <w:marBottom w:val="0"/>
      <w:divBdr>
        <w:top w:val="none" w:sz="0" w:space="0" w:color="auto"/>
        <w:left w:val="none" w:sz="0" w:space="0" w:color="auto"/>
        <w:bottom w:val="none" w:sz="0" w:space="0" w:color="auto"/>
        <w:right w:val="none" w:sz="0" w:space="0" w:color="auto"/>
      </w:divBdr>
    </w:div>
    <w:div w:id="1406102782">
      <w:bodyDiv w:val="1"/>
      <w:marLeft w:val="0"/>
      <w:marRight w:val="0"/>
      <w:marTop w:val="0"/>
      <w:marBottom w:val="0"/>
      <w:divBdr>
        <w:top w:val="none" w:sz="0" w:space="0" w:color="auto"/>
        <w:left w:val="none" w:sz="0" w:space="0" w:color="auto"/>
        <w:bottom w:val="none" w:sz="0" w:space="0" w:color="auto"/>
        <w:right w:val="none" w:sz="0" w:space="0" w:color="auto"/>
      </w:divBdr>
    </w:div>
    <w:div w:id="1450007701">
      <w:bodyDiv w:val="1"/>
      <w:marLeft w:val="0"/>
      <w:marRight w:val="0"/>
      <w:marTop w:val="0"/>
      <w:marBottom w:val="0"/>
      <w:divBdr>
        <w:top w:val="none" w:sz="0" w:space="0" w:color="auto"/>
        <w:left w:val="none" w:sz="0" w:space="0" w:color="auto"/>
        <w:bottom w:val="none" w:sz="0" w:space="0" w:color="auto"/>
        <w:right w:val="none" w:sz="0" w:space="0" w:color="auto"/>
      </w:divBdr>
    </w:div>
    <w:div w:id="1454249201">
      <w:bodyDiv w:val="1"/>
      <w:marLeft w:val="0"/>
      <w:marRight w:val="0"/>
      <w:marTop w:val="0"/>
      <w:marBottom w:val="0"/>
      <w:divBdr>
        <w:top w:val="none" w:sz="0" w:space="0" w:color="auto"/>
        <w:left w:val="none" w:sz="0" w:space="0" w:color="auto"/>
        <w:bottom w:val="none" w:sz="0" w:space="0" w:color="auto"/>
        <w:right w:val="none" w:sz="0" w:space="0" w:color="auto"/>
      </w:divBdr>
    </w:div>
    <w:div w:id="1454709241">
      <w:bodyDiv w:val="1"/>
      <w:marLeft w:val="0"/>
      <w:marRight w:val="0"/>
      <w:marTop w:val="0"/>
      <w:marBottom w:val="0"/>
      <w:divBdr>
        <w:top w:val="none" w:sz="0" w:space="0" w:color="auto"/>
        <w:left w:val="none" w:sz="0" w:space="0" w:color="auto"/>
        <w:bottom w:val="none" w:sz="0" w:space="0" w:color="auto"/>
        <w:right w:val="none" w:sz="0" w:space="0" w:color="auto"/>
      </w:divBdr>
    </w:div>
    <w:div w:id="1458329903">
      <w:bodyDiv w:val="1"/>
      <w:marLeft w:val="0"/>
      <w:marRight w:val="0"/>
      <w:marTop w:val="0"/>
      <w:marBottom w:val="0"/>
      <w:divBdr>
        <w:top w:val="none" w:sz="0" w:space="0" w:color="auto"/>
        <w:left w:val="none" w:sz="0" w:space="0" w:color="auto"/>
        <w:bottom w:val="none" w:sz="0" w:space="0" w:color="auto"/>
        <w:right w:val="none" w:sz="0" w:space="0" w:color="auto"/>
      </w:divBdr>
    </w:div>
    <w:div w:id="1480851740">
      <w:bodyDiv w:val="1"/>
      <w:marLeft w:val="0"/>
      <w:marRight w:val="0"/>
      <w:marTop w:val="0"/>
      <w:marBottom w:val="0"/>
      <w:divBdr>
        <w:top w:val="none" w:sz="0" w:space="0" w:color="auto"/>
        <w:left w:val="none" w:sz="0" w:space="0" w:color="auto"/>
        <w:bottom w:val="none" w:sz="0" w:space="0" w:color="auto"/>
        <w:right w:val="none" w:sz="0" w:space="0" w:color="auto"/>
      </w:divBdr>
    </w:div>
    <w:div w:id="1504779132">
      <w:bodyDiv w:val="1"/>
      <w:marLeft w:val="0"/>
      <w:marRight w:val="0"/>
      <w:marTop w:val="0"/>
      <w:marBottom w:val="0"/>
      <w:divBdr>
        <w:top w:val="none" w:sz="0" w:space="0" w:color="auto"/>
        <w:left w:val="none" w:sz="0" w:space="0" w:color="auto"/>
        <w:bottom w:val="none" w:sz="0" w:space="0" w:color="auto"/>
        <w:right w:val="none" w:sz="0" w:space="0" w:color="auto"/>
      </w:divBdr>
    </w:div>
    <w:div w:id="1519614045">
      <w:bodyDiv w:val="1"/>
      <w:marLeft w:val="0"/>
      <w:marRight w:val="0"/>
      <w:marTop w:val="0"/>
      <w:marBottom w:val="0"/>
      <w:divBdr>
        <w:top w:val="none" w:sz="0" w:space="0" w:color="auto"/>
        <w:left w:val="none" w:sz="0" w:space="0" w:color="auto"/>
        <w:bottom w:val="none" w:sz="0" w:space="0" w:color="auto"/>
        <w:right w:val="none" w:sz="0" w:space="0" w:color="auto"/>
      </w:divBdr>
    </w:div>
    <w:div w:id="1524636151">
      <w:bodyDiv w:val="1"/>
      <w:marLeft w:val="0"/>
      <w:marRight w:val="0"/>
      <w:marTop w:val="0"/>
      <w:marBottom w:val="0"/>
      <w:divBdr>
        <w:top w:val="none" w:sz="0" w:space="0" w:color="auto"/>
        <w:left w:val="none" w:sz="0" w:space="0" w:color="auto"/>
        <w:bottom w:val="none" w:sz="0" w:space="0" w:color="auto"/>
        <w:right w:val="none" w:sz="0" w:space="0" w:color="auto"/>
      </w:divBdr>
    </w:div>
    <w:div w:id="1525289059">
      <w:bodyDiv w:val="1"/>
      <w:marLeft w:val="0"/>
      <w:marRight w:val="0"/>
      <w:marTop w:val="0"/>
      <w:marBottom w:val="0"/>
      <w:divBdr>
        <w:top w:val="none" w:sz="0" w:space="0" w:color="auto"/>
        <w:left w:val="none" w:sz="0" w:space="0" w:color="auto"/>
        <w:bottom w:val="none" w:sz="0" w:space="0" w:color="auto"/>
        <w:right w:val="none" w:sz="0" w:space="0" w:color="auto"/>
      </w:divBdr>
    </w:div>
    <w:div w:id="1530953109">
      <w:bodyDiv w:val="1"/>
      <w:marLeft w:val="0"/>
      <w:marRight w:val="0"/>
      <w:marTop w:val="0"/>
      <w:marBottom w:val="0"/>
      <w:divBdr>
        <w:top w:val="none" w:sz="0" w:space="0" w:color="auto"/>
        <w:left w:val="none" w:sz="0" w:space="0" w:color="auto"/>
        <w:bottom w:val="none" w:sz="0" w:space="0" w:color="auto"/>
        <w:right w:val="none" w:sz="0" w:space="0" w:color="auto"/>
      </w:divBdr>
    </w:div>
    <w:div w:id="1558930708">
      <w:bodyDiv w:val="1"/>
      <w:marLeft w:val="0"/>
      <w:marRight w:val="0"/>
      <w:marTop w:val="0"/>
      <w:marBottom w:val="0"/>
      <w:divBdr>
        <w:top w:val="none" w:sz="0" w:space="0" w:color="auto"/>
        <w:left w:val="none" w:sz="0" w:space="0" w:color="auto"/>
        <w:bottom w:val="none" w:sz="0" w:space="0" w:color="auto"/>
        <w:right w:val="none" w:sz="0" w:space="0" w:color="auto"/>
      </w:divBdr>
    </w:div>
    <w:div w:id="1565338898">
      <w:bodyDiv w:val="1"/>
      <w:marLeft w:val="0"/>
      <w:marRight w:val="0"/>
      <w:marTop w:val="0"/>
      <w:marBottom w:val="0"/>
      <w:divBdr>
        <w:top w:val="none" w:sz="0" w:space="0" w:color="auto"/>
        <w:left w:val="none" w:sz="0" w:space="0" w:color="auto"/>
        <w:bottom w:val="none" w:sz="0" w:space="0" w:color="auto"/>
        <w:right w:val="none" w:sz="0" w:space="0" w:color="auto"/>
      </w:divBdr>
    </w:div>
    <w:div w:id="1582064931">
      <w:bodyDiv w:val="1"/>
      <w:marLeft w:val="0"/>
      <w:marRight w:val="0"/>
      <w:marTop w:val="0"/>
      <w:marBottom w:val="0"/>
      <w:divBdr>
        <w:top w:val="none" w:sz="0" w:space="0" w:color="auto"/>
        <w:left w:val="none" w:sz="0" w:space="0" w:color="auto"/>
        <w:bottom w:val="none" w:sz="0" w:space="0" w:color="auto"/>
        <w:right w:val="none" w:sz="0" w:space="0" w:color="auto"/>
      </w:divBdr>
    </w:div>
    <w:div w:id="1584296032">
      <w:bodyDiv w:val="1"/>
      <w:marLeft w:val="0"/>
      <w:marRight w:val="0"/>
      <w:marTop w:val="0"/>
      <w:marBottom w:val="0"/>
      <w:divBdr>
        <w:top w:val="none" w:sz="0" w:space="0" w:color="auto"/>
        <w:left w:val="none" w:sz="0" w:space="0" w:color="auto"/>
        <w:bottom w:val="none" w:sz="0" w:space="0" w:color="auto"/>
        <w:right w:val="none" w:sz="0" w:space="0" w:color="auto"/>
      </w:divBdr>
    </w:div>
    <w:div w:id="1595937997">
      <w:bodyDiv w:val="1"/>
      <w:marLeft w:val="0"/>
      <w:marRight w:val="0"/>
      <w:marTop w:val="0"/>
      <w:marBottom w:val="0"/>
      <w:divBdr>
        <w:top w:val="none" w:sz="0" w:space="0" w:color="auto"/>
        <w:left w:val="none" w:sz="0" w:space="0" w:color="auto"/>
        <w:bottom w:val="none" w:sz="0" w:space="0" w:color="auto"/>
        <w:right w:val="none" w:sz="0" w:space="0" w:color="auto"/>
      </w:divBdr>
    </w:div>
    <w:div w:id="1615360736">
      <w:bodyDiv w:val="1"/>
      <w:marLeft w:val="0"/>
      <w:marRight w:val="0"/>
      <w:marTop w:val="0"/>
      <w:marBottom w:val="0"/>
      <w:divBdr>
        <w:top w:val="none" w:sz="0" w:space="0" w:color="auto"/>
        <w:left w:val="none" w:sz="0" w:space="0" w:color="auto"/>
        <w:bottom w:val="none" w:sz="0" w:space="0" w:color="auto"/>
        <w:right w:val="none" w:sz="0" w:space="0" w:color="auto"/>
      </w:divBdr>
    </w:div>
    <w:div w:id="1616793718">
      <w:bodyDiv w:val="1"/>
      <w:marLeft w:val="0"/>
      <w:marRight w:val="0"/>
      <w:marTop w:val="0"/>
      <w:marBottom w:val="0"/>
      <w:divBdr>
        <w:top w:val="none" w:sz="0" w:space="0" w:color="auto"/>
        <w:left w:val="none" w:sz="0" w:space="0" w:color="auto"/>
        <w:bottom w:val="none" w:sz="0" w:space="0" w:color="auto"/>
        <w:right w:val="none" w:sz="0" w:space="0" w:color="auto"/>
      </w:divBdr>
    </w:div>
    <w:div w:id="1623228116">
      <w:bodyDiv w:val="1"/>
      <w:marLeft w:val="0"/>
      <w:marRight w:val="0"/>
      <w:marTop w:val="0"/>
      <w:marBottom w:val="0"/>
      <w:divBdr>
        <w:top w:val="none" w:sz="0" w:space="0" w:color="auto"/>
        <w:left w:val="none" w:sz="0" w:space="0" w:color="auto"/>
        <w:bottom w:val="none" w:sz="0" w:space="0" w:color="auto"/>
        <w:right w:val="none" w:sz="0" w:space="0" w:color="auto"/>
      </w:divBdr>
    </w:div>
    <w:div w:id="1629899404">
      <w:bodyDiv w:val="1"/>
      <w:marLeft w:val="0"/>
      <w:marRight w:val="0"/>
      <w:marTop w:val="0"/>
      <w:marBottom w:val="0"/>
      <w:divBdr>
        <w:top w:val="none" w:sz="0" w:space="0" w:color="auto"/>
        <w:left w:val="none" w:sz="0" w:space="0" w:color="auto"/>
        <w:bottom w:val="none" w:sz="0" w:space="0" w:color="auto"/>
        <w:right w:val="none" w:sz="0" w:space="0" w:color="auto"/>
      </w:divBdr>
    </w:div>
    <w:div w:id="1640451487">
      <w:bodyDiv w:val="1"/>
      <w:marLeft w:val="0"/>
      <w:marRight w:val="0"/>
      <w:marTop w:val="0"/>
      <w:marBottom w:val="0"/>
      <w:divBdr>
        <w:top w:val="none" w:sz="0" w:space="0" w:color="auto"/>
        <w:left w:val="none" w:sz="0" w:space="0" w:color="auto"/>
        <w:bottom w:val="none" w:sz="0" w:space="0" w:color="auto"/>
        <w:right w:val="none" w:sz="0" w:space="0" w:color="auto"/>
      </w:divBdr>
    </w:div>
    <w:div w:id="1646469780">
      <w:bodyDiv w:val="1"/>
      <w:marLeft w:val="0"/>
      <w:marRight w:val="0"/>
      <w:marTop w:val="0"/>
      <w:marBottom w:val="0"/>
      <w:divBdr>
        <w:top w:val="none" w:sz="0" w:space="0" w:color="auto"/>
        <w:left w:val="none" w:sz="0" w:space="0" w:color="auto"/>
        <w:bottom w:val="none" w:sz="0" w:space="0" w:color="auto"/>
        <w:right w:val="none" w:sz="0" w:space="0" w:color="auto"/>
      </w:divBdr>
    </w:div>
    <w:div w:id="1647857716">
      <w:bodyDiv w:val="1"/>
      <w:marLeft w:val="0"/>
      <w:marRight w:val="0"/>
      <w:marTop w:val="0"/>
      <w:marBottom w:val="0"/>
      <w:divBdr>
        <w:top w:val="none" w:sz="0" w:space="0" w:color="auto"/>
        <w:left w:val="none" w:sz="0" w:space="0" w:color="auto"/>
        <w:bottom w:val="none" w:sz="0" w:space="0" w:color="auto"/>
        <w:right w:val="none" w:sz="0" w:space="0" w:color="auto"/>
      </w:divBdr>
    </w:div>
    <w:div w:id="1695809901">
      <w:bodyDiv w:val="1"/>
      <w:marLeft w:val="0"/>
      <w:marRight w:val="0"/>
      <w:marTop w:val="0"/>
      <w:marBottom w:val="0"/>
      <w:divBdr>
        <w:top w:val="none" w:sz="0" w:space="0" w:color="auto"/>
        <w:left w:val="none" w:sz="0" w:space="0" w:color="auto"/>
        <w:bottom w:val="none" w:sz="0" w:space="0" w:color="auto"/>
        <w:right w:val="none" w:sz="0" w:space="0" w:color="auto"/>
      </w:divBdr>
    </w:div>
    <w:div w:id="1704862730">
      <w:bodyDiv w:val="1"/>
      <w:marLeft w:val="0"/>
      <w:marRight w:val="0"/>
      <w:marTop w:val="0"/>
      <w:marBottom w:val="0"/>
      <w:divBdr>
        <w:top w:val="none" w:sz="0" w:space="0" w:color="auto"/>
        <w:left w:val="none" w:sz="0" w:space="0" w:color="auto"/>
        <w:bottom w:val="none" w:sz="0" w:space="0" w:color="auto"/>
        <w:right w:val="none" w:sz="0" w:space="0" w:color="auto"/>
      </w:divBdr>
    </w:div>
    <w:div w:id="1709531660">
      <w:bodyDiv w:val="1"/>
      <w:marLeft w:val="0"/>
      <w:marRight w:val="0"/>
      <w:marTop w:val="0"/>
      <w:marBottom w:val="0"/>
      <w:divBdr>
        <w:top w:val="none" w:sz="0" w:space="0" w:color="auto"/>
        <w:left w:val="none" w:sz="0" w:space="0" w:color="auto"/>
        <w:bottom w:val="none" w:sz="0" w:space="0" w:color="auto"/>
        <w:right w:val="none" w:sz="0" w:space="0" w:color="auto"/>
      </w:divBdr>
    </w:div>
    <w:div w:id="1721587574">
      <w:bodyDiv w:val="1"/>
      <w:marLeft w:val="0"/>
      <w:marRight w:val="0"/>
      <w:marTop w:val="0"/>
      <w:marBottom w:val="0"/>
      <w:divBdr>
        <w:top w:val="none" w:sz="0" w:space="0" w:color="auto"/>
        <w:left w:val="none" w:sz="0" w:space="0" w:color="auto"/>
        <w:bottom w:val="none" w:sz="0" w:space="0" w:color="auto"/>
        <w:right w:val="none" w:sz="0" w:space="0" w:color="auto"/>
      </w:divBdr>
    </w:div>
    <w:div w:id="1731928336">
      <w:bodyDiv w:val="1"/>
      <w:marLeft w:val="0"/>
      <w:marRight w:val="0"/>
      <w:marTop w:val="0"/>
      <w:marBottom w:val="0"/>
      <w:divBdr>
        <w:top w:val="none" w:sz="0" w:space="0" w:color="auto"/>
        <w:left w:val="none" w:sz="0" w:space="0" w:color="auto"/>
        <w:bottom w:val="none" w:sz="0" w:space="0" w:color="auto"/>
        <w:right w:val="none" w:sz="0" w:space="0" w:color="auto"/>
      </w:divBdr>
    </w:div>
    <w:div w:id="1737512138">
      <w:bodyDiv w:val="1"/>
      <w:marLeft w:val="0"/>
      <w:marRight w:val="0"/>
      <w:marTop w:val="0"/>
      <w:marBottom w:val="0"/>
      <w:divBdr>
        <w:top w:val="none" w:sz="0" w:space="0" w:color="auto"/>
        <w:left w:val="none" w:sz="0" w:space="0" w:color="auto"/>
        <w:bottom w:val="none" w:sz="0" w:space="0" w:color="auto"/>
        <w:right w:val="none" w:sz="0" w:space="0" w:color="auto"/>
      </w:divBdr>
    </w:div>
    <w:div w:id="1739941584">
      <w:bodyDiv w:val="1"/>
      <w:marLeft w:val="0"/>
      <w:marRight w:val="0"/>
      <w:marTop w:val="0"/>
      <w:marBottom w:val="0"/>
      <w:divBdr>
        <w:top w:val="none" w:sz="0" w:space="0" w:color="auto"/>
        <w:left w:val="none" w:sz="0" w:space="0" w:color="auto"/>
        <w:bottom w:val="none" w:sz="0" w:space="0" w:color="auto"/>
        <w:right w:val="none" w:sz="0" w:space="0" w:color="auto"/>
      </w:divBdr>
    </w:div>
    <w:div w:id="1743212915">
      <w:bodyDiv w:val="1"/>
      <w:marLeft w:val="0"/>
      <w:marRight w:val="0"/>
      <w:marTop w:val="0"/>
      <w:marBottom w:val="0"/>
      <w:divBdr>
        <w:top w:val="none" w:sz="0" w:space="0" w:color="auto"/>
        <w:left w:val="none" w:sz="0" w:space="0" w:color="auto"/>
        <w:bottom w:val="none" w:sz="0" w:space="0" w:color="auto"/>
        <w:right w:val="none" w:sz="0" w:space="0" w:color="auto"/>
      </w:divBdr>
    </w:div>
    <w:div w:id="1750425092">
      <w:bodyDiv w:val="1"/>
      <w:marLeft w:val="0"/>
      <w:marRight w:val="0"/>
      <w:marTop w:val="0"/>
      <w:marBottom w:val="0"/>
      <w:divBdr>
        <w:top w:val="none" w:sz="0" w:space="0" w:color="auto"/>
        <w:left w:val="none" w:sz="0" w:space="0" w:color="auto"/>
        <w:bottom w:val="none" w:sz="0" w:space="0" w:color="auto"/>
        <w:right w:val="none" w:sz="0" w:space="0" w:color="auto"/>
      </w:divBdr>
    </w:div>
    <w:div w:id="1754400557">
      <w:bodyDiv w:val="1"/>
      <w:marLeft w:val="0"/>
      <w:marRight w:val="0"/>
      <w:marTop w:val="0"/>
      <w:marBottom w:val="0"/>
      <w:divBdr>
        <w:top w:val="none" w:sz="0" w:space="0" w:color="auto"/>
        <w:left w:val="none" w:sz="0" w:space="0" w:color="auto"/>
        <w:bottom w:val="none" w:sz="0" w:space="0" w:color="auto"/>
        <w:right w:val="none" w:sz="0" w:space="0" w:color="auto"/>
      </w:divBdr>
    </w:div>
    <w:div w:id="1774282765">
      <w:bodyDiv w:val="1"/>
      <w:marLeft w:val="0"/>
      <w:marRight w:val="0"/>
      <w:marTop w:val="0"/>
      <w:marBottom w:val="0"/>
      <w:divBdr>
        <w:top w:val="none" w:sz="0" w:space="0" w:color="auto"/>
        <w:left w:val="none" w:sz="0" w:space="0" w:color="auto"/>
        <w:bottom w:val="none" w:sz="0" w:space="0" w:color="auto"/>
        <w:right w:val="none" w:sz="0" w:space="0" w:color="auto"/>
      </w:divBdr>
    </w:div>
    <w:div w:id="1774399310">
      <w:bodyDiv w:val="1"/>
      <w:marLeft w:val="0"/>
      <w:marRight w:val="0"/>
      <w:marTop w:val="0"/>
      <w:marBottom w:val="0"/>
      <w:divBdr>
        <w:top w:val="none" w:sz="0" w:space="0" w:color="auto"/>
        <w:left w:val="none" w:sz="0" w:space="0" w:color="auto"/>
        <w:bottom w:val="none" w:sz="0" w:space="0" w:color="auto"/>
        <w:right w:val="none" w:sz="0" w:space="0" w:color="auto"/>
      </w:divBdr>
    </w:div>
    <w:div w:id="1787847557">
      <w:bodyDiv w:val="1"/>
      <w:marLeft w:val="0"/>
      <w:marRight w:val="0"/>
      <w:marTop w:val="0"/>
      <w:marBottom w:val="0"/>
      <w:divBdr>
        <w:top w:val="none" w:sz="0" w:space="0" w:color="auto"/>
        <w:left w:val="none" w:sz="0" w:space="0" w:color="auto"/>
        <w:bottom w:val="none" w:sz="0" w:space="0" w:color="auto"/>
        <w:right w:val="none" w:sz="0" w:space="0" w:color="auto"/>
      </w:divBdr>
    </w:div>
    <w:div w:id="1794979911">
      <w:bodyDiv w:val="1"/>
      <w:marLeft w:val="0"/>
      <w:marRight w:val="0"/>
      <w:marTop w:val="0"/>
      <w:marBottom w:val="0"/>
      <w:divBdr>
        <w:top w:val="none" w:sz="0" w:space="0" w:color="auto"/>
        <w:left w:val="none" w:sz="0" w:space="0" w:color="auto"/>
        <w:bottom w:val="none" w:sz="0" w:space="0" w:color="auto"/>
        <w:right w:val="none" w:sz="0" w:space="0" w:color="auto"/>
      </w:divBdr>
    </w:div>
    <w:div w:id="1795826513">
      <w:bodyDiv w:val="1"/>
      <w:marLeft w:val="0"/>
      <w:marRight w:val="0"/>
      <w:marTop w:val="0"/>
      <w:marBottom w:val="0"/>
      <w:divBdr>
        <w:top w:val="none" w:sz="0" w:space="0" w:color="auto"/>
        <w:left w:val="none" w:sz="0" w:space="0" w:color="auto"/>
        <w:bottom w:val="none" w:sz="0" w:space="0" w:color="auto"/>
        <w:right w:val="none" w:sz="0" w:space="0" w:color="auto"/>
      </w:divBdr>
    </w:div>
    <w:div w:id="1849175375">
      <w:bodyDiv w:val="1"/>
      <w:marLeft w:val="0"/>
      <w:marRight w:val="0"/>
      <w:marTop w:val="0"/>
      <w:marBottom w:val="0"/>
      <w:divBdr>
        <w:top w:val="none" w:sz="0" w:space="0" w:color="auto"/>
        <w:left w:val="none" w:sz="0" w:space="0" w:color="auto"/>
        <w:bottom w:val="none" w:sz="0" w:space="0" w:color="auto"/>
        <w:right w:val="none" w:sz="0" w:space="0" w:color="auto"/>
      </w:divBdr>
    </w:div>
    <w:div w:id="1872761441">
      <w:bodyDiv w:val="1"/>
      <w:marLeft w:val="0"/>
      <w:marRight w:val="0"/>
      <w:marTop w:val="0"/>
      <w:marBottom w:val="0"/>
      <w:divBdr>
        <w:top w:val="none" w:sz="0" w:space="0" w:color="auto"/>
        <w:left w:val="none" w:sz="0" w:space="0" w:color="auto"/>
        <w:bottom w:val="none" w:sz="0" w:space="0" w:color="auto"/>
        <w:right w:val="none" w:sz="0" w:space="0" w:color="auto"/>
      </w:divBdr>
    </w:div>
    <w:div w:id="1911039210">
      <w:bodyDiv w:val="1"/>
      <w:marLeft w:val="0"/>
      <w:marRight w:val="0"/>
      <w:marTop w:val="0"/>
      <w:marBottom w:val="0"/>
      <w:divBdr>
        <w:top w:val="none" w:sz="0" w:space="0" w:color="auto"/>
        <w:left w:val="none" w:sz="0" w:space="0" w:color="auto"/>
        <w:bottom w:val="none" w:sz="0" w:space="0" w:color="auto"/>
        <w:right w:val="none" w:sz="0" w:space="0" w:color="auto"/>
      </w:divBdr>
    </w:div>
    <w:div w:id="1913006850">
      <w:bodyDiv w:val="1"/>
      <w:marLeft w:val="0"/>
      <w:marRight w:val="0"/>
      <w:marTop w:val="0"/>
      <w:marBottom w:val="0"/>
      <w:divBdr>
        <w:top w:val="none" w:sz="0" w:space="0" w:color="auto"/>
        <w:left w:val="none" w:sz="0" w:space="0" w:color="auto"/>
        <w:bottom w:val="none" w:sz="0" w:space="0" w:color="auto"/>
        <w:right w:val="none" w:sz="0" w:space="0" w:color="auto"/>
      </w:divBdr>
    </w:div>
    <w:div w:id="1935436305">
      <w:bodyDiv w:val="1"/>
      <w:marLeft w:val="0"/>
      <w:marRight w:val="0"/>
      <w:marTop w:val="0"/>
      <w:marBottom w:val="0"/>
      <w:divBdr>
        <w:top w:val="none" w:sz="0" w:space="0" w:color="auto"/>
        <w:left w:val="none" w:sz="0" w:space="0" w:color="auto"/>
        <w:bottom w:val="none" w:sz="0" w:space="0" w:color="auto"/>
        <w:right w:val="none" w:sz="0" w:space="0" w:color="auto"/>
      </w:divBdr>
    </w:div>
    <w:div w:id="1973360364">
      <w:bodyDiv w:val="1"/>
      <w:marLeft w:val="0"/>
      <w:marRight w:val="0"/>
      <w:marTop w:val="0"/>
      <w:marBottom w:val="0"/>
      <w:divBdr>
        <w:top w:val="none" w:sz="0" w:space="0" w:color="auto"/>
        <w:left w:val="none" w:sz="0" w:space="0" w:color="auto"/>
        <w:bottom w:val="none" w:sz="0" w:space="0" w:color="auto"/>
        <w:right w:val="none" w:sz="0" w:space="0" w:color="auto"/>
      </w:divBdr>
    </w:div>
    <w:div w:id="2009164927">
      <w:bodyDiv w:val="1"/>
      <w:marLeft w:val="0"/>
      <w:marRight w:val="0"/>
      <w:marTop w:val="0"/>
      <w:marBottom w:val="0"/>
      <w:divBdr>
        <w:top w:val="none" w:sz="0" w:space="0" w:color="auto"/>
        <w:left w:val="none" w:sz="0" w:space="0" w:color="auto"/>
        <w:bottom w:val="none" w:sz="0" w:space="0" w:color="auto"/>
        <w:right w:val="none" w:sz="0" w:space="0" w:color="auto"/>
      </w:divBdr>
    </w:div>
    <w:div w:id="2031450521">
      <w:bodyDiv w:val="1"/>
      <w:marLeft w:val="0"/>
      <w:marRight w:val="0"/>
      <w:marTop w:val="0"/>
      <w:marBottom w:val="0"/>
      <w:divBdr>
        <w:top w:val="none" w:sz="0" w:space="0" w:color="auto"/>
        <w:left w:val="none" w:sz="0" w:space="0" w:color="auto"/>
        <w:bottom w:val="none" w:sz="0" w:space="0" w:color="auto"/>
        <w:right w:val="none" w:sz="0" w:space="0" w:color="auto"/>
      </w:divBdr>
    </w:div>
    <w:div w:id="2038194645">
      <w:bodyDiv w:val="1"/>
      <w:marLeft w:val="0"/>
      <w:marRight w:val="0"/>
      <w:marTop w:val="0"/>
      <w:marBottom w:val="0"/>
      <w:divBdr>
        <w:top w:val="none" w:sz="0" w:space="0" w:color="auto"/>
        <w:left w:val="none" w:sz="0" w:space="0" w:color="auto"/>
        <w:bottom w:val="none" w:sz="0" w:space="0" w:color="auto"/>
        <w:right w:val="none" w:sz="0" w:space="0" w:color="auto"/>
      </w:divBdr>
    </w:div>
    <w:div w:id="2042049785">
      <w:bodyDiv w:val="1"/>
      <w:marLeft w:val="0"/>
      <w:marRight w:val="0"/>
      <w:marTop w:val="0"/>
      <w:marBottom w:val="0"/>
      <w:divBdr>
        <w:top w:val="none" w:sz="0" w:space="0" w:color="auto"/>
        <w:left w:val="none" w:sz="0" w:space="0" w:color="auto"/>
        <w:bottom w:val="none" w:sz="0" w:space="0" w:color="auto"/>
        <w:right w:val="none" w:sz="0" w:space="0" w:color="auto"/>
      </w:divBdr>
    </w:div>
    <w:div w:id="2047369785">
      <w:bodyDiv w:val="1"/>
      <w:marLeft w:val="0"/>
      <w:marRight w:val="0"/>
      <w:marTop w:val="0"/>
      <w:marBottom w:val="0"/>
      <w:divBdr>
        <w:top w:val="none" w:sz="0" w:space="0" w:color="auto"/>
        <w:left w:val="none" w:sz="0" w:space="0" w:color="auto"/>
        <w:bottom w:val="none" w:sz="0" w:space="0" w:color="auto"/>
        <w:right w:val="none" w:sz="0" w:space="0" w:color="auto"/>
      </w:divBdr>
    </w:div>
    <w:div w:id="2049065277">
      <w:bodyDiv w:val="1"/>
      <w:marLeft w:val="0"/>
      <w:marRight w:val="0"/>
      <w:marTop w:val="0"/>
      <w:marBottom w:val="0"/>
      <w:divBdr>
        <w:top w:val="none" w:sz="0" w:space="0" w:color="auto"/>
        <w:left w:val="none" w:sz="0" w:space="0" w:color="auto"/>
        <w:bottom w:val="none" w:sz="0" w:space="0" w:color="auto"/>
        <w:right w:val="none" w:sz="0" w:space="0" w:color="auto"/>
      </w:divBdr>
    </w:div>
    <w:div w:id="2055234109">
      <w:bodyDiv w:val="1"/>
      <w:marLeft w:val="0"/>
      <w:marRight w:val="0"/>
      <w:marTop w:val="0"/>
      <w:marBottom w:val="0"/>
      <w:divBdr>
        <w:top w:val="none" w:sz="0" w:space="0" w:color="auto"/>
        <w:left w:val="none" w:sz="0" w:space="0" w:color="auto"/>
        <w:bottom w:val="none" w:sz="0" w:space="0" w:color="auto"/>
        <w:right w:val="none" w:sz="0" w:space="0" w:color="auto"/>
      </w:divBdr>
    </w:div>
    <w:div w:id="2057848133">
      <w:bodyDiv w:val="1"/>
      <w:marLeft w:val="0"/>
      <w:marRight w:val="0"/>
      <w:marTop w:val="0"/>
      <w:marBottom w:val="0"/>
      <w:divBdr>
        <w:top w:val="none" w:sz="0" w:space="0" w:color="auto"/>
        <w:left w:val="none" w:sz="0" w:space="0" w:color="auto"/>
        <w:bottom w:val="none" w:sz="0" w:space="0" w:color="auto"/>
        <w:right w:val="none" w:sz="0" w:space="0" w:color="auto"/>
      </w:divBdr>
    </w:div>
    <w:div w:id="2088457863">
      <w:bodyDiv w:val="1"/>
      <w:marLeft w:val="0"/>
      <w:marRight w:val="0"/>
      <w:marTop w:val="0"/>
      <w:marBottom w:val="0"/>
      <w:divBdr>
        <w:top w:val="none" w:sz="0" w:space="0" w:color="auto"/>
        <w:left w:val="none" w:sz="0" w:space="0" w:color="auto"/>
        <w:bottom w:val="none" w:sz="0" w:space="0" w:color="auto"/>
        <w:right w:val="none" w:sz="0" w:space="0" w:color="auto"/>
      </w:divBdr>
    </w:div>
    <w:div w:id="2094937084">
      <w:bodyDiv w:val="1"/>
      <w:marLeft w:val="0"/>
      <w:marRight w:val="0"/>
      <w:marTop w:val="0"/>
      <w:marBottom w:val="0"/>
      <w:divBdr>
        <w:top w:val="none" w:sz="0" w:space="0" w:color="auto"/>
        <w:left w:val="none" w:sz="0" w:space="0" w:color="auto"/>
        <w:bottom w:val="none" w:sz="0" w:space="0" w:color="auto"/>
        <w:right w:val="none" w:sz="0" w:space="0" w:color="auto"/>
      </w:divBdr>
    </w:div>
    <w:div w:id="2100251671">
      <w:bodyDiv w:val="1"/>
      <w:marLeft w:val="0"/>
      <w:marRight w:val="0"/>
      <w:marTop w:val="0"/>
      <w:marBottom w:val="0"/>
      <w:divBdr>
        <w:top w:val="none" w:sz="0" w:space="0" w:color="auto"/>
        <w:left w:val="none" w:sz="0" w:space="0" w:color="auto"/>
        <w:bottom w:val="none" w:sz="0" w:space="0" w:color="auto"/>
        <w:right w:val="none" w:sz="0" w:space="0" w:color="auto"/>
      </w:divBdr>
    </w:div>
    <w:div w:id="2107921878">
      <w:bodyDiv w:val="1"/>
      <w:marLeft w:val="0"/>
      <w:marRight w:val="0"/>
      <w:marTop w:val="0"/>
      <w:marBottom w:val="0"/>
      <w:divBdr>
        <w:top w:val="none" w:sz="0" w:space="0" w:color="auto"/>
        <w:left w:val="none" w:sz="0" w:space="0" w:color="auto"/>
        <w:bottom w:val="none" w:sz="0" w:space="0" w:color="auto"/>
        <w:right w:val="none" w:sz="0" w:space="0" w:color="auto"/>
      </w:divBdr>
    </w:div>
    <w:div w:id="2112361094">
      <w:bodyDiv w:val="1"/>
      <w:marLeft w:val="0"/>
      <w:marRight w:val="0"/>
      <w:marTop w:val="0"/>
      <w:marBottom w:val="0"/>
      <w:divBdr>
        <w:top w:val="none" w:sz="0" w:space="0" w:color="auto"/>
        <w:left w:val="none" w:sz="0" w:space="0" w:color="auto"/>
        <w:bottom w:val="none" w:sz="0" w:space="0" w:color="auto"/>
        <w:right w:val="none" w:sz="0" w:space="0" w:color="auto"/>
      </w:divBdr>
    </w:div>
    <w:div w:id="2113623903">
      <w:bodyDiv w:val="1"/>
      <w:marLeft w:val="0"/>
      <w:marRight w:val="0"/>
      <w:marTop w:val="0"/>
      <w:marBottom w:val="0"/>
      <w:divBdr>
        <w:top w:val="none" w:sz="0" w:space="0" w:color="auto"/>
        <w:left w:val="none" w:sz="0" w:space="0" w:color="auto"/>
        <w:bottom w:val="none" w:sz="0" w:space="0" w:color="auto"/>
        <w:right w:val="none" w:sz="0" w:space="0" w:color="auto"/>
      </w:divBdr>
    </w:div>
    <w:div w:id="2125028469">
      <w:bodyDiv w:val="1"/>
      <w:marLeft w:val="0"/>
      <w:marRight w:val="0"/>
      <w:marTop w:val="0"/>
      <w:marBottom w:val="0"/>
      <w:divBdr>
        <w:top w:val="none" w:sz="0" w:space="0" w:color="auto"/>
        <w:left w:val="none" w:sz="0" w:space="0" w:color="auto"/>
        <w:bottom w:val="none" w:sz="0" w:space="0" w:color="auto"/>
        <w:right w:val="none" w:sz="0" w:space="0" w:color="auto"/>
      </w:divBdr>
    </w:div>
    <w:div w:id="2130472829">
      <w:bodyDiv w:val="1"/>
      <w:marLeft w:val="0"/>
      <w:marRight w:val="0"/>
      <w:marTop w:val="0"/>
      <w:marBottom w:val="0"/>
      <w:divBdr>
        <w:top w:val="none" w:sz="0" w:space="0" w:color="auto"/>
        <w:left w:val="none" w:sz="0" w:space="0" w:color="auto"/>
        <w:bottom w:val="none" w:sz="0" w:space="0" w:color="auto"/>
        <w:right w:val="none" w:sz="0" w:space="0" w:color="auto"/>
      </w:divBdr>
    </w:div>
    <w:div w:id="2135588417">
      <w:bodyDiv w:val="1"/>
      <w:marLeft w:val="0"/>
      <w:marRight w:val="0"/>
      <w:marTop w:val="0"/>
      <w:marBottom w:val="0"/>
      <w:divBdr>
        <w:top w:val="none" w:sz="0" w:space="0" w:color="auto"/>
        <w:left w:val="none" w:sz="0" w:space="0" w:color="auto"/>
        <w:bottom w:val="none" w:sz="0" w:space="0" w:color="auto"/>
        <w:right w:val="none" w:sz="0" w:space="0" w:color="auto"/>
      </w:divBdr>
    </w:div>
    <w:div w:id="21467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omerhorovitz/Desktop/ISF/ISF_WorkPlan_MonthsGant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v>Offset</c:v>
          </c:tx>
          <c:spPr>
            <a:noFill/>
            <a:ln>
              <a:noFill/>
            </a:ln>
          </c:spPr>
          <c:invertIfNegative val="0"/>
          <c:cat>
            <c:strRef>
              <c:f>'Work Plan'!$A$2:$A$9</c:f>
              <c:strCache>
                <c:ptCount val="8"/>
                <c:pt idx="0">
                  <c:v>Finalize protocol, ethics approval, equipment calibration, staff training</c:v>
                </c:pt>
                <c:pt idx="1">
                  <c:v>Pilot testing with ~20 participants across all modalities</c:v>
                </c:pt>
                <c:pt idx="2">
                  <c:v>Recruit and assess ~50% of total sample</c:v>
                </c:pt>
                <c:pt idx="3">
                  <c:v>Complete recruitment and baseline data collection</c:v>
                </c:pt>
                <c:pt idx="4">
                  <c:v>Wrap up remaining assessments</c:v>
                </c:pt>
                <c:pt idx="5">
                  <c:v>Reassess ~30% of sample at 12-month follow-up</c:v>
                </c:pt>
                <c:pt idx="6">
                  <c:v>Data pre-processing and analysis</c:v>
                </c:pt>
                <c:pt idx="7">
                  <c:v>Manuscript preparation, conference presentations, policy brief development</c:v>
                </c:pt>
              </c:strCache>
            </c:strRef>
          </c:cat>
          <c:val>
            <c:numRef>
              <c:f>'Work Plan'!$D$2:$D$9</c:f>
              <c:numCache>
                <c:formatCode>General</c:formatCode>
                <c:ptCount val="8"/>
                <c:pt idx="0">
                  <c:v>0</c:v>
                </c:pt>
                <c:pt idx="1">
                  <c:v>6</c:v>
                </c:pt>
                <c:pt idx="2">
                  <c:v>12</c:v>
                </c:pt>
                <c:pt idx="3">
                  <c:v>24</c:v>
                </c:pt>
                <c:pt idx="4">
                  <c:v>36</c:v>
                </c:pt>
                <c:pt idx="5">
                  <c:v>42</c:v>
                </c:pt>
                <c:pt idx="6">
                  <c:v>48</c:v>
                </c:pt>
                <c:pt idx="7">
                  <c:v>56</c:v>
                </c:pt>
              </c:numCache>
            </c:numRef>
          </c:val>
          <c:extLst>
            <c:ext xmlns:c16="http://schemas.microsoft.com/office/drawing/2014/chart" uri="{C3380CC4-5D6E-409C-BE32-E72D297353CC}">
              <c16:uniqueId val="{00000000-DDDB-2644-A0D8-6C9A46F67B28}"/>
            </c:ext>
          </c:extLst>
        </c:ser>
        <c:ser>
          <c:idx val="1"/>
          <c:order val="1"/>
          <c:tx>
            <c:v>Duration (Months)</c:v>
          </c:tx>
          <c:spPr>
            <a:solidFill>
              <a:srgbClr val="4F81BD"/>
            </a:solidFill>
            <a:ln w="15875">
              <a:solidFill>
                <a:schemeClr val="tx1"/>
              </a:solidFill>
            </a:ln>
          </c:spPr>
          <c:invertIfNegative val="0"/>
          <c:dPt>
            <c:idx val="0"/>
            <c:invertIfNegative val="0"/>
            <c:bubble3D val="0"/>
            <c:spPr>
              <a:solidFill>
                <a:schemeClr val="accent6">
                  <a:lumMod val="20000"/>
                  <a:lumOff val="80000"/>
                </a:schemeClr>
              </a:solidFill>
              <a:ln w="15875">
                <a:solidFill>
                  <a:schemeClr val="tx1"/>
                </a:solidFill>
              </a:ln>
            </c:spPr>
            <c:extLst>
              <c:ext xmlns:c16="http://schemas.microsoft.com/office/drawing/2014/chart" uri="{C3380CC4-5D6E-409C-BE32-E72D297353CC}">
                <c16:uniqueId val="{00000002-DDDB-2644-A0D8-6C9A46F67B28}"/>
              </c:ext>
            </c:extLst>
          </c:dPt>
          <c:dPt>
            <c:idx val="1"/>
            <c:invertIfNegative val="0"/>
            <c:bubble3D val="0"/>
            <c:spPr>
              <a:solidFill>
                <a:schemeClr val="accent5">
                  <a:lumMod val="20000"/>
                  <a:lumOff val="80000"/>
                </a:schemeClr>
              </a:solidFill>
              <a:ln w="15875">
                <a:solidFill>
                  <a:schemeClr val="tx1"/>
                </a:solidFill>
              </a:ln>
            </c:spPr>
            <c:extLst>
              <c:ext xmlns:c16="http://schemas.microsoft.com/office/drawing/2014/chart" uri="{C3380CC4-5D6E-409C-BE32-E72D297353CC}">
                <c16:uniqueId val="{00000004-DDDB-2644-A0D8-6C9A46F67B28}"/>
              </c:ext>
            </c:extLst>
          </c:dPt>
          <c:dPt>
            <c:idx val="2"/>
            <c:invertIfNegative val="0"/>
            <c:bubble3D val="0"/>
            <c:spPr>
              <a:solidFill>
                <a:schemeClr val="accent4">
                  <a:lumMod val="20000"/>
                  <a:lumOff val="80000"/>
                </a:schemeClr>
              </a:solidFill>
              <a:ln w="15875">
                <a:solidFill>
                  <a:schemeClr val="tx1"/>
                </a:solidFill>
              </a:ln>
            </c:spPr>
            <c:extLst>
              <c:ext xmlns:c16="http://schemas.microsoft.com/office/drawing/2014/chart" uri="{C3380CC4-5D6E-409C-BE32-E72D297353CC}">
                <c16:uniqueId val="{00000006-DDDB-2644-A0D8-6C9A46F67B28}"/>
              </c:ext>
            </c:extLst>
          </c:dPt>
          <c:dPt>
            <c:idx val="3"/>
            <c:invertIfNegative val="0"/>
            <c:bubble3D val="0"/>
            <c:spPr>
              <a:solidFill>
                <a:schemeClr val="accent3">
                  <a:lumMod val="20000"/>
                  <a:lumOff val="80000"/>
                </a:schemeClr>
              </a:solidFill>
              <a:ln w="15875">
                <a:solidFill>
                  <a:schemeClr val="tx1"/>
                </a:solidFill>
              </a:ln>
            </c:spPr>
            <c:extLst>
              <c:ext xmlns:c16="http://schemas.microsoft.com/office/drawing/2014/chart" uri="{C3380CC4-5D6E-409C-BE32-E72D297353CC}">
                <c16:uniqueId val="{00000008-DDDB-2644-A0D8-6C9A46F67B28}"/>
              </c:ext>
            </c:extLst>
          </c:dPt>
          <c:dPt>
            <c:idx val="4"/>
            <c:invertIfNegative val="0"/>
            <c:bubble3D val="0"/>
            <c:spPr>
              <a:solidFill>
                <a:schemeClr val="accent2">
                  <a:lumMod val="20000"/>
                  <a:lumOff val="80000"/>
                </a:schemeClr>
              </a:solidFill>
              <a:ln w="15875">
                <a:solidFill>
                  <a:schemeClr val="tx1"/>
                </a:solidFill>
              </a:ln>
            </c:spPr>
            <c:extLst>
              <c:ext xmlns:c16="http://schemas.microsoft.com/office/drawing/2014/chart" uri="{C3380CC4-5D6E-409C-BE32-E72D297353CC}">
                <c16:uniqueId val="{0000000A-DDDB-2644-A0D8-6C9A46F67B28}"/>
              </c:ext>
            </c:extLst>
          </c:dPt>
          <c:dPt>
            <c:idx val="5"/>
            <c:invertIfNegative val="0"/>
            <c:bubble3D val="0"/>
            <c:spPr>
              <a:solidFill>
                <a:schemeClr val="accent1">
                  <a:lumMod val="20000"/>
                  <a:lumOff val="80000"/>
                </a:schemeClr>
              </a:solidFill>
              <a:ln w="15875">
                <a:solidFill>
                  <a:schemeClr val="tx1"/>
                </a:solidFill>
              </a:ln>
            </c:spPr>
            <c:extLst>
              <c:ext xmlns:c16="http://schemas.microsoft.com/office/drawing/2014/chart" uri="{C3380CC4-5D6E-409C-BE32-E72D297353CC}">
                <c16:uniqueId val="{0000000C-DDDB-2644-A0D8-6C9A46F67B28}"/>
              </c:ext>
            </c:extLst>
          </c:dPt>
          <c:dPt>
            <c:idx val="6"/>
            <c:invertIfNegative val="0"/>
            <c:bubble3D val="0"/>
            <c:spPr>
              <a:solidFill>
                <a:schemeClr val="bg2">
                  <a:lumMod val="90000"/>
                </a:schemeClr>
              </a:solidFill>
              <a:ln w="15875">
                <a:solidFill>
                  <a:schemeClr val="tx1"/>
                </a:solidFill>
              </a:ln>
            </c:spPr>
            <c:extLst>
              <c:ext xmlns:c16="http://schemas.microsoft.com/office/drawing/2014/chart" uri="{C3380CC4-5D6E-409C-BE32-E72D297353CC}">
                <c16:uniqueId val="{0000000E-DDDB-2644-A0D8-6C9A46F67B28}"/>
              </c:ext>
            </c:extLst>
          </c:dPt>
          <c:dPt>
            <c:idx val="7"/>
            <c:invertIfNegative val="0"/>
            <c:bubble3D val="0"/>
            <c:spPr>
              <a:solidFill>
                <a:schemeClr val="accent6">
                  <a:lumMod val="40000"/>
                  <a:lumOff val="60000"/>
                </a:schemeClr>
              </a:solidFill>
              <a:ln w="15875">
                <a:solidFill>
                  <a:schemeClr val="tx1"/>
                </a:solidFill>
              </a:ln>
            </c:spPr>
            <c:extLst>
              <c:ext xmlns:c16="http://schemas.microsoft.com/office/drawing/2014/chart" uri="{C3380CC4-5D6E-409C-BE32-E72D297353CC}">
                <c16:uniqueId val="{00000010-DDDB-2644-A0D8-6C9A46F67B28}"/>
              </c:ext>
            </c:extLst>
          </c:dPt>
          <c:cat>
            <c:strRef>
              <c:f>'Work Plan'!$A$2:$A$9</c:f>
              <c:strCache>
                <c:ptCount val="8"/>
                <c:pt idx="0">
                  <c:v>Finalize protocol, ethics approval, equipment calibration, staff training</c:v>
                </c:pt>
                <c:pt idx="1">
                  <c:v>Pilot testing with ~20 participants across all modalities</c:v>
                </c:pt>
                <c:pt idx="2">
                  <c:v>Recruit and assess ~50% of total sample</c:v>
                </c:pt>
                <c:pt idx="3">
                  <c:v>Complete recruitment and baseline data collection</c:v>
                </c:pt>
                <c:pt idx="4">
                  <c:v>Wrap up remaining assessments</c:v>
                </c:pt>
                <c:pt idx="5">
                  <c:v>Reassess ~30% of sample at 12-month follow-up</c:v>
                </c:pt>
                <c:pt idx="6">
                  <c:v>Data pre-processing and analysis</c:v>
                </c:pt>
                <c:pt idx="7">
                  <c:v>Manuscript preparation, conference presentations, policy brief development</c:v>
                </c:pt>
              </c:strCache>
            </c:strRef>
          </c:cat>
          <c:val>
            <c:numRef>
              <c:f>'Work Plan'!$E$2:$E$9</c:f>
              <c:numCache>
                <c:formatCode>General</c:formatCode>
                <c:ptCount val="8"/>
                <c:pt idx="0">
                  <c:v>5</c:v>
                </c:pt>
                <c:pt idx="1">
                  <c:v>5</c:v>
                </c:pt>
                <c:pt idx="2">
                  <c:v>11</c:v>
                </c:pt>
                <c:pt idx="3">
                  <c:v>11</c:v>
                </c:pt>
                <c:pt idx="4">
                  <c:v>5</c:v>
                </c:pt>
                <c:pt idx="5">
                  <c:v>5</c:v>
                </c:pt>
                <c:pt idx="6">
                  <c:v>7</c:v>
                </c:pt>
                <c:pt idx="7">
                  <c:v>3</c:v>
                </c:pt>
              </c:numCache>
            </c:numRef>
          </c:val>
          <c:extLst>
            <c:ext xmlns:c16="http://schemas.microsoft.com/office/drawing/2014/chart" uri="{C3380CC4-5D6E-409C-BE32-E72D297353CC}">
              <c16:uniqueId val="{00000011-DDDB-2644-A0D8-6C9A46F67B28}"/>
            </c:ext>
          </c:extLst>
        </c:ser>
        <c:dLbls>
          <c:showLegendKey val="0"/>
          <c:showVal val="0"/>
          <c:showCatName val="0"/>
          <c:showSerName val="0"/>
          <c:showPercent val="0"/>
          <c:showBubbleSize val="0"/>
        </c:dLbls>
        <c:gapWidth val="50"/>
        <c:overlap val="100"/>
        <c:axId val="50010001"/>
        <c:axId val="50010002"/>
      </c:barChart>
      <c:catAx>
        <c:axId val="50010001"/>
        <c:scaling>
          <c:orientation val="minMax"/>
        </c:scaling>
        <c:delete val="0"/>
        <c:axPos val="l"/>
        <c:numFmt formatCode="General" sourceLinked="0"/>
        <c:majorTickMark val="out"/>
        <c:minorTickMark val="none"/>
        <c:tickLblPos val="nextTo"/>
        <c:txPr>
          <a:bodyPr/>
          <a:lstStyle/>
          <a:p>
            <a:pPr>
              <a:defRPr sz="800"/>
            </a:pPr>
            <a:endParaRPr lang="en-US"/>
          </a:p>
        </c:txPr>
        <c:crossAx val="50010002"/>
        <c:crosses val="autoZero"/>
        <c:auto val="1"/>
        <c:lblAlgn val="ctr"/>
        <c:lblOffset val="100"/>
        <c:noMultiLvlLbl val="0"/>
      </c:catAx>
      <c:valAx>
        <c:axId val="50010002"/>
        <c:scaling>
          <c:orientation val="minMax"/>
          <c:max val="60"/>
          <c:min val="0"/>
        </c:scaling>
        <c:delete val="0"/>
        <c:axPos val="b"/>
        <c:title>
          <c:tx>
            <c:rich>
              <a:bodyPr/>
              <a:lstStyle/>
              <a:p>
                <a:pPr>
                  <a:defRPr/>
                </a:pPr>
                <a:r>
                  <a:rPr lang="en-US"/>
                  <a:t>Timeline (Months)</a:t>
                </a:r>
              </a:p>
            </c:rich>
          </c:tx>
          <c:overlay val="0"/>
        </c:title>
        <c:numFmt formatCode="General" sourceLinked="1"/>
        <c:majorTickMark val="out"/>
        <c:minorTickMark val="none"/>
        <c:tickLblPos val="nextTo"/>
        <c:crossAx val="50010001"/>
        <c:crosses val="autoZero"/>
        <c:crossBetween val="between"/>
        <c:majorUnit val="4"/>
      </c:valAx>
    </c:plotArea>
    <c:plotVisOnly val="1"/>
    <c:dispBlanksAs val="gap"/>
    <c:showDLblsOverMax val="0"/>
  </c:chart>
  <c:spPr>
    <a:ln>
      <a:noFill/>
    </a:ln>
  </c:spPr>
  <c:txPr>
    <a:bodyPr/>
    <a:lstStyle/>
    <a:p>
      <a:pPr rtl="0">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33</Pages>
  <Words>28941</Words>
  <Characters>164968</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Horovitz</dc:creator>
  <cp:keywords/>
  <dc:description/>
  <cp:lastModifiedBy>Omer Horovitz</cp:lastModifiedBy>
  <cp:revision>192</cp:revision>
  <dcterms:created xsi:type="dcterms:W3CDTF">2025-05-06T14:40:00Z</dcterms:created>
  <dcterms:modified xsi:type="dcterms:W3CDTF">2025-05-08T10:59:00Z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id="kcB6XeDA"/&gt;&lt;style id="http://www.zotero.org/styles/sage-vancouver-brackets" hasBibliography="1" bibliographyStyleHasBeenSet="1"/&gt;&lt;prefs&gt;&lt;pref name="fieldType" value="Field"/&gt;&lt;/prefs&gt;&lt;/data&gt;</vt:lpwstr>
  </property>
</Properties>
</file>