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“Living your past life”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Ghetto’s alterna</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microcosms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240" w:lineRule="auto"/>
        <w:ind w:firstLine="708"/>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spacing w:after="0" w:before="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Germans designed the ghetto as a compulsory space of oppression and degradation of social and family ties. Its borders and walls were intended to inflict trauma by separating people. </w:t>
      </w:r>
      <w:r w:rsidDel="00000000" w:rsidR="00000000" w:rsidRPr="00000000">
        <w:rPr>
          <w:rFonts w:ascii="Times New Roman" w:cs="Times New Roman" w:eastAsia="Times New Roman" w:hAnsi="Times New Roman"/>
          <w:b w:val="0"/>
          <w:bCs w:val="0"/>
          <w:i w:val="0"/>
          <w:iCs w:val="0"/>
          <w:color w:val="000000"/>
          <w:sz w:val="24"/>
          <w:szCs w:val="24"/>
          <w:u w:val="none"/>
          <w:rtl w:val="0"/>
        </w:rPr>
        <w:t xml:space="preserve">None of the ghetto dwellers lived there out of their own volition. However, Jews resorted to various initiatives to redefine the decreed space, delineate alternative microcosms, bastions of civil resistance, places of refuge or escape. This was possible due to pre-war traditions of collective action aimed at improving their living </w:t>
      </w:r>
      <w:r w:rsidDel="00000000" w:rsidR="00000000" w:rsidRPr="00000000">
        <w:rPr>
          <w:rFonts w:ascii="Times New Roman" w:cs="Times New Roman" w:eastAsia="Times New Roman" w:hAnsi="Times New Roman"/>
          <w:rtl w:val="0"/>
        </w:rPr>
        <w:t xml:space="preserve">conditions</w:t>
      </w:r>
      <w:r w:rsidDel="00000000" w:rsidR="00000000" w:rsidRPr="00000000">
        <w:rPr>
          <w:rFonts w:ascii="Times New Roman" w:cs="Times New Roman" w:eastAsia="Times New Roman" w:hAnsi="Times New Roman"/>
          <w:b w:val="0"/>
          <w:bCs w:val="0"/>
          <w:i w:val="0"/>
          <w:iCs w:val="0"/>
          <w:color w:val="000000"/>
          <w:sz w:val="24"/>
          <w:szCs w:val="24"/>
          <w:u w:val="none"/>
          <w:rtl w:val="0"/>
        </w:rPr>
        <w:t xml:space="preserve"> and a refusal to submit to a degrading and oppressive environment. I illustrate attempts to redefine the public and domestic spaces of the ghetto by examining its green spaces and </w:t>
      </w:r>
      <w:r w:rsidDel="00000000" w:rsidR="00000000" w:rsidRPr="00000000">
        <w:rPr>
          <w:rFonts w:ascii="Times New Roman" w:cs="Times New Roman" w:eastAsia="Times New Roman" w:hAnsi="Times New Roman"/>
          <w:b w:val="0"/>
          <w:bCs w:val="0"/>
          <w:i w:val="1"/>
          <w:iCs w:val="1"/>
          <w:color w:val="000000"/>
          <w:sz w:val="24"/>
          <w:szCs w:val="24"/>
          <w:u w:val="none"/>
          <w:rtl w:val="0"/>
        </w:rPr>
        <w:t xml:space="preserve">kibbutzim</w:t>
      </w:r>
      <w:r w:rsidDel="00000000" w:rsidR="00000000" w:rsidRPr="00000000">
        <w:rPr>
          <w:rFonts w:ascii="Times New Roman" w:cs="Times New Roman" w:eastAsia="Times New Roman" w:hAnsi="Times New Roman"/>
          <w:b w:val="0"/>
          <w:bCs w:val="0"/>
          <w:i w:val="0"/>
          <w:iCs w:val="0"/>
          <w:color w:val="000000"/>
          <w:sz w:val="24"/>
          <w:szCs w:val="24"/>
          <w:u w:val="none"/>
          <w:rtl w:val="0"/>
        </w:rPr>
        <w:t xml:space="preserve">, two initiatives that converged on multiple levels. </w:t>
      </w:r>
      <w:r w:rsidDel="00000000" w:rsidR="00000000" w:rsidRPr="00000000">
        <w:rPr>
          <w:rFonts w:ascii="Times New Roman" w:cs="Times New Roman" w:eastAsia="Times New Roman" w:hAnsi="Times New Roman"/>
          <w:color w:val="000000"/>
          <w:sz w:val="24"/>
          <w:szCs w:val="24"/>
          <w:rtl w:val="0"/>
        </w:rPr>
        <w:t xml:space="preserve">Both were based on an ideological foundation rooted in the desire to connect with nature, as well as fostering physical well-being, adopting new lifestyle, </w:t>
      </w:r>
      <w:r w:rsidDel="00000000" w:rsidR="00000000" w:rsidRPr="00000000">
        <w:rPr>
          <w:rFonts w:ascii="Times New Roman" w:cs="Times New Roman" w:eastAsia="Times New Roman" w:hAnsi="Times New Roman"/>
          <w:rtl w:val="0"/>
        </w:rPr>
        <w:t xml:space="preserve">and social</w:t>
      </w:r>
      <w:r w:rsidDel="00000000" w:rsidR="00000000" w:rsidRPr="00000000">
        <w:rPr>
          <w:rFonts w:ascii="Times New Roman" w:cs="Times New Roman" w:eastAsia="Times New Roman" w:hAnsi="Times New Roman"/>
          <w:color w:val="000000"/>
          <w:sz w:val="24"/>
          <w:szCs w:val="24"/>
          <w:rtl w:val="0"/>
        </w:rPr>
        <w:t xml:space="preserve"> restratification. These initiatives and efforts were united by a sense of belonging to a world other than the Nazi-created district. The ghetto was viewed as a temporary circumstance that had to be endured.</w:t>
      </w:r>
      <w:r w:rsidDel="00000000" w:rsidR="00000000" w:rsidRPr="00000000">
        <w:rPr>
          <w:rtl w:val="0"/>
        </w:rPr>
      </w:r>
    </w:p>
    <w:p w:rsidR="00000000" w:rsidDel="00000000" w:rsidP="00000000" w:rsidRDefault="00000000" w:rsidRPr="00000000" w14:paraId="00000007">
      <w:pPr>
        <w:spacing w:after="0" w:before="0" w:line="240" w:lineRule="auto"/>
        <w:ind w:firstLine="708"/>
        <w:jc w:val="left"/>
        <w:rPr>
          <w:rFonts w:ascii="Times New Roman" w:cs="Times New Roman" w:eastAsia="Times New Roman" w:hAnsi="Times New Roman"/>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8">
      <w:pPr>
        <w:spacing w:after="0" w:before="0" w:line="240" w:lineRule="auto"/>
        <w:ind w:firstLine="708"/>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spacing w:after="0" w:before="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Green oases amidst the hellish landscape</w:t>
      </w:r>
      <w:r w:rsidDel="00000000" w:rsidR="00000000" w:rsidRPr="00000000">
        <w:rPr>
          <w:rtl w:val="0"/>
        </w:rPr>
      </w:r>
    </w:p>
    <w:p w:rsidR="00000000" w:rsidDel="00000000" w:rsidP="00000000" w:rsidRDefault="00000000" w:rsidRPr="00000000" w14:paraId="0000000A">
      <w:pPr>
        <w:spacing w:after="0" w:before="0" w:line="240" w:lineRule="auto"/>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color w:val="000000"/>
          <w:sz w:val="24"/>
          <w:szCs w:val="24"/>
          <w:u w:val="none"/>
          <w:rtl w:val="0"/>
        </w:rPr>
        <w:t xml:space="preserve">After the ghetto was sealed off, the Jewish Council and its agencies sought to make the enclosed district as green as possible. Amid the horrors of the ghetto—overcrowding, noise, and crowds of paupers—there were a few green spaces and small vegetable gardens established to address food shortages, limited access to nature, and a lack of recreational areas. Interacting with green spaces, whether parks, squares, gardens, or street vegetation, was and still remains one of the basic needs of city residents. Denying access to nature has serious health and cognitive consequences. Karolina Wróbel-Bardzik, a researcher in urban and environmental studies, emphasizes that greenery is not merely decorative but, above all, a means of shaping living conditions. It filters pollution, insulates against noise, and lowers air temperature, thereby alleviating the hardships of urban life.</w:t>
      </w:r>
      <w:r w:rsidDel="00000000" w:rsidR="00000000" w:rsidRPr="00000000">
        <w:rPr>
          <w:rFonts w:ascii="Times New Roman" w:cs="Times New Roman" w:eastAsia="Times New Roman" w:hAnsi="Times New Roman"/>
          <w:b w:val="0"/>
          <w:bCs w:val="0"/>
          <w:i w:val="0"/>
          <w:iCs w:val="0"/>
          <w:color w:val="000000"/>
          <w:sz w:val="24"/>
          <w:szCs w:val="24"/>
          <w:u w:val="none"/>
          <w:vertAlign w:val="superscript"/>
        </w:rPr>
        <w:footnoteReference w:customMarkFollows="0" w:id="0"/>
      </w:r>
      <w:r w:rsidDel="00000000" w:rsidR="00000000" w:rsidRPr="00000000">
        <w:rPr>
          <w:rFonts w:ascii="Times New Roman" w:cs="Times New Roman" w:eastAsia="Times New Roman" w:hAnsi="Times New Roman"/>
          <w:b w:val="0"/>
          <w:bCs w:val="0"/>
          <w:i w:val="0"/>
          <w:iCs w:val="0"/>
          <w:color w:val="000000"/>
          <w:sz w:val="24"/>
          <w:szCs w:val="24"/>
          <w:u w:val="none"/>
          <w:rtl w:val="0"/>
        </w:rPr>
        <w:t xml:space="preserve"> The handful of survivors who managed to spend some time in the ghetto gardens recall these green spaces as “oases” or “islands in the midst of hell.”</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Society for the Promotion of Agriculture (Toporol) was entrusted with planning and implementing the project to develop public squares and vacant lots. Founded in 1900, the organization aimed to popularize farm work among Jews and train agricultural personnel before their emigration to Palestine. This was a key component of the initiative to transform the social makeup of the Jewish population by shifting from trade to manual labor, crafts, and agriculture. Toporol suspended its activities after the outbreak of the war but was reactivated in November 1940 through the efforts of StanisławSzereszewski, the Society</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pre-war president, as well as a social activist, entrepreneur and a member of the Jewish Council in the ghetto.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the one hand, Toporol undertook large-scale, structured projects; on the other, it encouraged residents to act individually and provided them with the means to do so. The Society organized agricultural and livestock breeding courses (chickens and bees). This contributed to the constructive support provided by aid organizations, which was intended to mobilize ghetto residents. The curriculum of the three agricultural courses launched by Toporol included theoretical classes and practical sessions in vegetable gardens. The first course lasted nine months and was designed to impart the theoretical foundations and practical skills necessary for the work of farmers and gardeners. The curriculum included botany, zoology, physics, chemistry, soil science, fruit cultivation, vegetable cultivation, general crop cultivation, ornamental horticulture, beekeeping, grain cultivation, root vegetable cultivation, livestock breeding, and poultry farming. The course included classes labeled “A,” “B,” and “C.” Lectures were held four times a week from from 9:00 a.m. to 1:00 p.m., while practical sessions were held twice a week from 9:00 a.m. to 3:00 p.m. Students received hands-on training in vegetable gardens and on previously uncultivated plots and fields. Land development always began with clearing and preparing the land for further work. The ghetto was located in an area that the Germans had heavily bombed in September 1939. Therefore, plots cultivated before the war, such as those near the Skra sports grounds, and new areas intended for cultivation were either devastated or buried under rubble.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two remaining courses were theoretical in nature and each lasted three months. Classes were held at 12 Elektoralna Street. The second course was designed to introduce students without prior farming experience to general horticultural and agricultural topics. The third course was intended for experienced farmers. Classes were held five times a week. The courses concluded with an exam, and the diploma enabled graduates to secure employment as gardeners.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School Commission for Agricultural Training oversaw the substantive and practical aspects of the courses. Only a few of the workers and agronomists involved in farming in the ghetto are known by surname, first name, or initials. Izrael Sudowicz, an agronomist, engineer, and rabbit breeding specialist, managed the operations.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addition to coordinating work in the Warsaw ghetto, Sudowicz acted as an envoy of the Jewish Council’s Labor Department and visited other towns in the General Government where plans were underway to establish or subsidize agricultural farms. He also helped reactivate and organize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kibbutz</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farms in Warsaw’s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Grochów and Czerniaków districts. A man called Dobrzyński was one of the agronomists. Mieczysław Grossinger, an engineer, worked as a lecturer. Wolman was the head of practical training on Okopowa Street, and Jerzy Topas was in charge on Gęsia Street.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Helena Reichert-Makarewicz was an instructor for the agricultural course as well. Among Toporol’s female employees was a 37-year-old woman known only as Mrs. R., an agricultural engineer:</w:t>
      </w:r>
    </w:p>
    <w:p w:rsidR="00000000" w:rsidDel="00000000" w:rsidP="00000000" w:rsidRDefault="00000000" w:rsidRPr="00000000" w14:paraId="0000000E">
      <w:pPr>
        <w:ind w:left="70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a1918"/>
          <w:sz w:val="24"/>
          <w:szCs w:val="24"/>
          <w:rtl w:val="0"/>
        </w:rPr>
        <w:t xml:space="preserve">She became the director of the School of Agriculture,</w:t>
      </w:r>
      <w:r w:rsidDel="00000000" w:rsidR="00000000" w:rsidRPr="00000000">
        <w:rPr>
          <w:rFonts w:ascii="Times New Roman" w:cs="Times New Roman" w:eastAsia="Times New Roman" w:hAnsi="Times New Roman"/>
          <w:color w:val="1a1918"/>
          <w:sz w:val="24"/>
          <w:szCs w:val="24"/>
          <w:vertAlign w:val="superscript"/>
        </w:rPr>
        <w:footnoteReference w:customMarkFollows="0" w:id="5"/>
      </w:r>
      <w:r w:rsidDel="00000000" w:rsidR="00000000" w:rsidRPr="00000000">
        <w:rPr>
          <w:rFonts w:ascii="Times New Roman" w:cs="Times New Roman" w:eastAsia="Times New Roman" w:hAnsi="Times New Roman"/>
          <w:color w:val="1a1918"/>
          <w:sz w:val="24"/>
          <w:szCs w:val="24"/>
          <w:rtl w:val="0"/>
        </w:rPr>
        <w:t xml:space="preserve"> where large numbers of young people took theoretical and practical courses in agriculture, fruit-farming, chicken breeding, etc. Mrs R. lectures on botanics. She works with devotion, deeply convinced of the significance and utility of her activities. The results make her happy, and her awareness of the multitude of duties on the horizon boosts her energy and immunity.</w:t>
      </w:r>
      <w:r w:rsidDel="00000000" w:rsidR="00000000" w:rsidRPr="00000000">
        <w:rPr>
          <w:rFonts w:ascii="Times New Roman" w:cs="Times New Roman" w:eastAsia="Times New Roman" w:hAnsi="Times New Roman"/>
          <w:color w:val="1a1918"/>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0F">
      <w:pPr>
        <w:spacing w:line="240" w:lineRule="auto"/>
        <w:ind w:firstLine="708"/>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line="240" w:lineRule="auto"/>
        <w:ind w:firstLine="708"/>
        <w:rPr>
          <w:rFonts w:ascii="Times New Roman" w:cs="Times New Roman" w:eastAsia="Times New Roman" w:hAnsi="Times New Roman"/>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5">
      <w:pPr>
        <w:spacing w:after="0" w:before="0" w:line="240" w:lineRule="auto"/>
        <w:jc w:val="left"/>
        <w:rPr>
          <w:color w:val="000000"/>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Karolina Wróbel-Bardzik,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Green History of Muranów Changes of</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Landscape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Here is Muranów</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148.</w:t>
      </w:r>
      <w:r w:rsidDel="00000000" w:rsidR="00000000" w:rsidRPr="00000000">
        <w:rPr>
          <w:rtl w:val="0"/>
        </w:rPr>
      </w:r>
    </w:p>
  </w:footnote>
  <w:footnote w:id="1">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AŻIH, 211/1070, sheet 38.</w:t>
      </w:r>
      <w:r w:rsidDel="00000000" w:rsidR="00000000" w:rsidRPr="00000000">
        <w:rPr>
          <w:rtl w:val="0"/>
        </w:rPr>
      </w:r>
    </w:p>
  </w:footnote>
  <w:footnote w:id="2">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Report on the activities of Toporol for 1 December 1940 – 31 May 1941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Ringelblum Archive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vol. 12b, p. 1185-1186.</w:t>
      </w:r>
      <w:r w:rsidDel="00000000" w:rsidR="00000000" w:rsidRPr="00000000">
        <w:rPr>
          <w:rtl w:val="0"/>
        </w:rPr>
      </w:r>
    </w:p>
  </w:footnote>
  <w:footnote w:id="3">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Izrael Sudowicz (1903–1943) was deported to the Treblinka II death camp during the Gross Aktion, together with his daughter and wife. He passed the selection process and worked in the camp as a gardener, tending the vegetable garden. He joined the resistance movement operating within Treblinka. On August 2, 1943, when a prisoner uprising broke out in the camp, Sudowicz’s role was to distract one of the guards. He reported a problem with workers in the vegetable garden, while other fighters broke into the armory and seized weapons. Sudowicz was killed during the uprising. See his short bio 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Encyklopedia getta warszawskiego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bCs w:val="0"/>
            <w:i w:val="0"/>
            <w:iCs w:val="0"/>
            <w:smallCaps w:val="0"/>
            <w:strike w:val="0"/>
            <w:color w:val="0000ee"/>
            <w:sz w:val="20"/>
            <w:szCs w:val="20"/>
            <w:u w:val="single"/>
            <w:shd w:fill="auto" w:val="clear"/>
            <w:vertAlign w:val="baseline"/>
            <w:rtl w:val="0"/>
          </w:rPr>
          <w:t xml:space="preserve">https://delet.jhi.pl/pl/encyklopedia?articleId=21806</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(accessed on July 15, 2024). </w:t>
      </w:r>
      <w:r w:rsidDel="00000000" w:rsidR="00000000" w:rsidRPr="00000000">
        <w:rPr>
          <w:rtl w:val="0"/>
        </w:rPr>
      </w:r>
    </w:p>
  </w:footnote>
  <w:footnote w:id="4">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Helena Szereszewska,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Krzyż i mezuza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1993, s. 73; AŻIH, 301/5912, Relacja Ireny Węgrowicz-Pawłowskiej, k. 1; George Topas,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Iron Furnace: A Holocaust Survivor’s Story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Lexington: University Press of Kentucky, 1990, s. 50–51.</w:t>
      </w:r>
      <w:r w:rsidDel="00000000" w:rsidR="00000000" w:rsidRPr="00000000">
        <w:rPr>
          <w:rtl w:val="0"/>
        </w:rPr>
      </w:r>
    </w:p>
  </w:footnote>
  <w:footnote w:id="5">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tab/>
        <w:t xml:space="preserve">Its classes were most likely held on Orla Street, at the corner of Leszno Street.</w:t>
      </w:r>
    </w:p>
  </w:footnote>
  <w:footnote w:id="6">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Times New Roman" w:cs="Times New Roman" w:eastAsia="Times New Roman" w:hAnsi="Times New Roman"/>
          <w:b w:val="0"/>
          <w:bCs w:val="0"/>
          <w:i w:val="1"/>
          <w:iCs w:val="1"/>
          <w:smallCaps w:val="0"/>
          <w:strike w:val="0"/>
          <w:color w:val="141413"/>
          <w:sz w:val="20"/>
          <w:szCs w:val="20"/>
          <w:u w:val="none"/>
          <w:shd w:fill="auto" w:val="clear"/>
          <w:vertAlign w:val="baseline"/>
          <w:rtl w:val="0"/>
        </w:rPr>
        <w:t xml:space="preserve">The Jewish woman in Warsaw from September 1939 until now (1942)</w:t>
      </w:r>
      <w:r w:rsidDel="00000000" w:rsidR="00000000" w:rsidRPr="00000000">
        <w:rPr>
          <w:rFonts w:ascii="Times New Roman" w:cs="Times New Roman" w:eastAsia="Times New Roman" w:hAnsi="Times New Roman"/>
          <w:b w:val="0"/>
          <w:bCs w:val="0"/>
          <w:i w:val="0"/>
          <w:iCs w:val="0"/>
          <w:smallCaps w:val="0"/>
          <w:strike w:val="0"/>
          <w:color w:val="141413"/>
          <w:sz w:val="20"/>
          <w:szCs w:val="20"/>
          <w:u w:val="none"/>
          <w:shd w:fill="auto" w:val="clear"/>
          <w:vertAlign w:val="baseline"/>
          <w:rtl w:val="0"/>
        </w:rPr>
        <w:t xml:space="preserve"> 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Ringelblum Archive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vol. 1, pp. 286-287.</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delet.jhi.pl/pl/encyklopedia?articleId=21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jJjWbPLrFUgC265QYG2L8GBXw==">CgMxLjA4AHIhMWxYZmhpNWpOUm5ZVWVWaXRTbmt1cXBvQVV2anU5MlRE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