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4A7" w:rsidRDefault="00DB3C3A">
      <w:r w:rsidRPr="00DB3C3A">
        <w:rPr>
          <w:rFonts w:ascii="ＭＳ ゴシック" w:eastAsia="ＭＳ ゴシック" w:hAnsi="ＭＳ ゴシック" w:hint="eastAsia"/>
        </w:rPr>
        <w:t>Title</w:t>
      </w:r>
      <w:r>
        <w:rPr>
          <w:rFonts w:hint="eastAsia"/>
        </w:rPr>
        <w:t>：</w:t>
      </w:r>
      <w:r w:rsidR="00A43213">
        <w:rPr>
          <w:rFonts w:hint="eastAsia"/>
        </w:rPr>
        <w:t>メタ</w:t>
      </w:r>
      <w:r w:rsidR="00A43213" w:rsidRPr="00EE2AC7">
        <w:rPr>
          <w:rFonts w:hint="eastAsia"/>
        </w:rPr>
        <w:t>思考</w:t>
      </w:r>
      <w:r w:rsidR="00A43213">
        <w:rPr>
          <w:rFonts w:hint="eastAsia"/>
        </w:rPr>
        <w:t>解釈</w:t>
      </w:r>
      <w:r w:rsidR="00A43213" w:rsidRPr="00EE2AC7">
        <w:rPr>
          <w:rFonts w:hint="eastAsia"/>
        </w:rPr>
        <w:t>フレームワーク</w:t>
      </w:r>
      <w:r w:rsidR="00A43213">
        <w:rPr>
          <w:rFonts w:hint="eastAsia"/>
        </w:rPr>
        <w:t>を基礎とした</w:t>
      </w:r>
      <w:r w:rsidR="00A43213" w:rsidRPr="00EE2AC7">
        <w:rPr>
          <w:rFonts w:hint="eastAsia"/>
        </w:rPr>
        <w:t>思考プロセス</w:t>
      </w:r>
      <w:r w:rsidR="00A43213">
        <w:rPr>
          <w:rFonts w:hint="eastAsia"/>
        </w:rPr>
        <w:t>の計測・</w:t>
      </w:r>
      <w:r w:rsidR="00A43213" w:rsidRPr="00EE2AC7">
        <w:rPr>
          <w:rFonts w:hint="eastAsia"/>
        </w:rPr>
        <w:t>分析支援システム</w:t>
      </w:r>
      <w:r w:rsidR="00A43213">
        <w:rPr>
          <w:rFonts w:hint="eastAsia"/>
        </w:rPr>
        <w:t>開発</w:t>
      </w:r>
      <w:r w:rsidR="00A43213" w:rsidRPr="00EE2AC7">
        <w:t xml:space="preserve"> </w:t>
      </w:r>
      <w:r w:rsidR="00A43213" w:rsidRPr="00EE2AC7">
        <w:rPr>
          <w:rFonts w:hint="eastAsia"/>
        </w:rPr>
        <w:t>―信念対立思考プロセスを事例として―</w:t>
      </w:r>
    </w:p>
    <w:p w:rsidR="00A43213" w:rsidRDefault="00A43213"/>
    <w:p w:rsidR="00A43213" w:rsidRDefault="00B0675C">
      <w:r w:rsidRPr="008A59B5">
        <w:rPr>
          <w:rFonts w:ascii="ＭＳ ゴシック" w:eastAsia="ＭＳ ゴシック" w:hAnsi="ＭＳ ゴシック" w:hint="eastAsia"/>
        </w:rPr>
        <w:t>Abstract</w:t>
      </w:r>
      <w:r>
        <w:rPr>
          <w:rFonts w:hint="eastAsia"/>
        </w:rPr>
        <w:t>：</w:t>
      </w:r>
      <w:r w:rsidR="00A43213" w:rsidRPr="00EE2AC7">
        <w:rPr>
          <w:rFonts w:hint="eastAsia"/>
        </w:rPr>
        <w:t>「考えていることを考える」メタ認知的な思考力は，我々の社会生活を豊かにする上で今後ますます重要なスキルとして認識されている．一方，このスキルを鍛えることは，外界から捉えることのできない認知的で暗黙的な思考活動が故に難しい．本研究では，このメタ認知的な思考プロセスに迫る</w:t>
      </w:r>
      <w:r w:rsidR="00A43213">
        <w:rPr>
          <w:rFonts w:hint="eastAsia"/>
        </w:rPr>
        <w:t>一つのアプローチとしてメタ思考</w:t>
      </w:r>
      <w:r w:rsidR="00A43213" w:rsidRPr="00EE2AC7">
        <w:rPr>
          <w:rFonts w:hint="eastAsia"/>
        </w:rPr>
        <w:t>解釈フレームワークを</w:t>
      </w:r>
      <w:r w:rsidR="00A43213">
        <w:rPr>
          <w:rFonts w:hint="eastAsia"/>
        </w:rPr>
        <w:t>提案</w:t>
      </w:r>
      <w:r w:rsidR="00A43213" w:rsidRPr="00EE2AC7">
        <w:rPr>
          <w:rFonts w:hint="eastAsia"/>
        </w:rPr>
        <w:t>する．本フレームワークは，メタ思考プロセスに視線行為と思考操作行為に基づく解釈を与えることを可能としたシステム開発の設計書としての役割を担い，分析結果の知見を共有・比較するために寄与する共通土台となる．本稿では，フレームワークを基礎としたシステム開発の事例として，信念対立思考を題材とした</w:t>
      </w:r>
      <w:r w:rsidR="00A43213">
        <w:rPr>
          <w:rFonts w:hint="eastAsia"/>
        </w:rPr>
        <w:t>思考外化アプリケーション及び</w:t>
      </w:r>
      <w:r w:rsidR="00A43213" w:rsidRPr="00EE2AC7">
        <w:rPr>
          <w:rFonts w:hint="eastAsia"/>
        </w:rPr>
        <w:t>思考分析支援システムを構築し，信念対立思考における葛藤を考える思考プロセスの一端を低次</w:t>
      </w:r>
      <w:r w:rsidR="00A43213" w:rsidRPr="00EE2AC7">
        <w:t>/</w:t>
      </w:r>
      <w:r w:rsidR="00A43213" w:rsidRPr="00EE2AC7">
        <w:rPr>
          <w:rFonts w:hint="eastAsia"/>
        </w:rPr>
        <w:t>高次レベルの思考解釈表現から導出する適用例を示す．</w:t>
      </w:r>
    </w:p>
    <w:p w:rsidR="00A43213" w:rsidRDefault="00A43213"/>
    <w:p w:rsidR="00720AC4" w:rsidRPr="00720AC4" w:rsidRDefault="00B429C8" w:rsidP="00720AC4">
      <w:r>
        <w:rPr>
          <w:rFonts w:ascii="ＭＳ ゴシック" w:eastAsia="ＭＳ ゴシック" w:hAnsi="ＭＳ ゴシック"/>
        </w:rPr>
        <w:t>key</w:t>
      </w:r>
      <w:r w:rsidR="00720AC4" w:rsidRPr="00720AC4">
        <w:rPr>
          <w:rFonts w:ascii="ＭＳ ゴシック" w:eastAsia="ＭＳ ゴシック" w:hAnsi="ＭＳ ゴシック"/>
        </w:rPr>
        <w:t>words</w:t>
      </w:r>
      <w:r w:rsidR="00720AC4">
        <w:rPr>
          <w:rFonts w:ascii="ＭＳ ゴシック" w:eastAsia="ＭＳ ゴシック" w:hAnsi="ＭＳ ゴシック" w:hint="eastAsia"/>
        </w:rPr>
        <w:t>：</w:t>
      </w:r>
      <w:r w:rsidR="00720AC4">
        <w:t>Metacognitive thinking processes, gaze behaviors, interpretation of thinking processes, thinking of dissolution of belief conflicts.</w:t>
      </w:r>
    </w:p>
    <w:p w:rsidR="00720AC4" w:rsidRPr="00B429C8" w:rsidRDefault="00720AC4">
      <w:pPr>
        <w:rPr>
          <w:rFonts w:hint="eastAsia"/>
        </w:rPr>
      </w:pPr>
    </w:p>
    <w:p w:rsidR="00A43213" w:rsidRPr="008A59B5" w:rsidRDefault="00083BB7" w:rsidP="00083BB7">
      <w:pPr>
        <w:rPr>
          <w:rFonts w:ascii="ＭＳ ゴシック" w:eastAsia="ＭＳ ゴシック" w:hAnsi="ＭＳ ゴシック"/>
        </w:rPr>
      </w:pPr>
      <w:r w:rsidRPr="008A59B5">
        <w:rPr>
          <w:rFonts w:ascii="ＭＳ ゴシック" w:eastAsia="ＭＳ ゴシック" w:hAnsi="ＭＳ ゴシック" w:hint="eastAsia"/>
        </w:rPr>
        <w:t xml:space="preserve">1. </w:t>
      </w:r>
      <w:r w:rsidR="00A43213" w:rsidRPr="008A59B5">
        <w:rPr>
          <w:rFonts w:ascii="ＭＳ ゴシック" w:eastAsia="ＭＳ ゴシック" w:hAnsi="ＭＳ ゴシック"/>
        </w:rPr>
        <w:t>まえがき</w:t>
      </w:r>
    </w:p>
    <w:p w:rsidR="00A43213" w:rsidRDefault="00A43213" w:rsidP="00A43213">
      <w:pPr>
        <w:ind w:firstLineChars="100" w:firstLine="210"/>
      </w:pPr>
      <w:r w:rsidRPr="00EE2AC7">
        <w:rPr>
          <w:rFonts w:hint="eastAsia"/>
        </w:rPr>
        <w:t>社会生活の中では，様々な信念が存在するが故，解を一意に定めることが難しい問題に直面することが少なくない．このような場合，「考えていることを考える」メタ認知的な思考力を育むことが重要であり，頭の中に内在する思考を論理的に道筋立てて説明できることは，我々の社会生活において必要不可欠なスキルとしてますます重要視されている</w:t>
      </w:r>
      <w:r w:rsidRPr="00EE2AC7">
        <w:t>[1]</w:t>
      </w:r>
      <w:r w:rsidRPr="00EE2AC7">
        <w:rPr>
          <w:rFonts w:hint="eastAsia"/>
        </w:rPr>
        <w:t>．一方で，メタ思考スキルを鍛えることは思考の暗黙性が故に難しいことも知られており[2]，これを育む適切な教授法も確立されていない．</w:t>
      </w:r>
    </w:p>
    <w:p w:rsidR="00A43213" w:rsidRDefault="00A43213" w:rsidP="00A43213">
      <w:r>
        <w:rPr>
          <w:rFonts w:hint="eastAsia"/>
        </w:rPr>
        <w:t xml:space="preserve">　</w:t>
      </w:r>
      <w:r w:rsidRPr="00EE2AC7">
        <w:rPr>
          <w:rFonts w:hint="eastAsia"/>
        </w:rPr>
        <w:t>この暗黙的な思考の一端を捉える手段として，頭の中で考えていることを逐次声に出しながらタスクを実施する発話思考法が挙げられる[3, 4]．思考分析目的のために一般的に用いられる手法である一方で，自然な状態に近いデータを収集しにくいという問題や，発言をしながらタスクを行う認知的な負荷が生じ，内省能力の低いタスク遂行者には馴染まない手法であることが指摘されている[5, 6]．タスク中の思考について終了後に質問に答える回顧法や，タスク時の録画映像を観察・内省する刺激再生法などの手法も知られているが</w:t>
      </w:r>
      <w:r w:rsidRPr="00EE2AC7">
        <w:t>[7, 8]</w:t>
      </w:r>
      <w:r w:rsidRPr="00EE2AC7">
        <w:rPr>
          <w:rFonts w:hint="eastAsia"/>
        </w:rPr>
        <w:t>，思考の主体者による内省作業が必要となる．</w:t>
      </w:r>
    </w:p>
    <w:p w:rsidR="00A43213" w:rsidRDefault="00A43213" w:rsidP="00A43213">
      <w:r>
        <w:rPr>
          <w:rFonts w:hint="eastAsia"/>
        </w:rPr>
        <w:t xml:space="preserve">　</w:t>
      </w:r>
      <w:r w:rsidRPr="00EE2AC7">
        <w:rPr>
          <w:rFonts w:hint="eastAsia"/>
        </w:rPr>
        <w:t>これらの問題に対して，思考過程の副産物として現れる生理的な視線情報を手掛かりとして思考にアプローチする研究も認知心理学分野において盛んに行われており，言語化プロセスにおける視線[</w:t>
      </w:r>
      <w:r w:rsidRPr="00EE2AC7">
        <w:t>9</w:t>
      </w:r>
      <w:r w:rsidRPr="00EE2AC7">
        <w:rPr>
          <w:rFonts w:hint="eastAsia"/>
        </w:rPr>
        <w:t>]や，文章読解過程の視線の相違[</w:t>
      </w:r>
      <w:r w:rsidRPr="00EE2AC7">
        <w:t>10</w:t>
      </w:r>
      <w:r w:rsidRPr="00EE2AC7">
        <w:rPr>
          <w:rFonts w:hint="eastAsia"/>
        </w:rPr>
        <w:t>]などが分析されている．また，知的学習支援システム（</w:t>
      </w:r>
      <w:r w:rsidRPr="00EE2AC7">
        <w:t>Intelligent Tutoring System</w:t>
      </w:r>
      <w:r w:rsidRPr="00EE2AC7">
        <w:rPr>
          <w:rFonts w:hint="eastAsia"/>
        </w:rPr>
        <w:t>）に関する研究分野では，視線情報を学習支援に利活用する初期的な試みとして，機械学習手法に基づき，学習者の学習レベル</w:t>
      </w:r>
      <w:r w:rsidRPr="00EE2AC7">
        <w:t>[11]</w:t>
      </w:r>
      <w:r w:rsidRPr="00EE2AC7">
        <w:rPr>
          <w:rFonts w:hint="eastAsia"/>
        </w:rPr>
        <w:t>や，タスク遂行時の学習者の内的な状態，例えば興味状態</w:t>
      </w:r>
      <w:r w:rsidRPr="00EE2AC7">
        <w:t>[12]</w:t>
      </w:r>
      <w:r w:rsidRPr="00EE2AC7">
        <w:rPr>
          <w:rFonts w:hint="eastAsia"/>
        </w:rPr>
        <w:t>や困惑状態</w:t>
      </w:r>
      <w:r w:rsidRPr="00EE2AC7">
        <w:t>[13]</w:t>
      </w:r>
      <w:r w:rsidRPr="00EE2AC7">
        <w:rPr>
          <w:rFonts w:hint="eastAsia"/>
        </w:rPr>
        <w:t>が分析されている．一方で，これらの研究の多くは対象者の視線計測結果の定量的傾向を分析するものが殆どであり，思考のプロセスに踏み込んだ分析を行うための確立的な方法論は我々の調査の限り存在しない．</w:t>
      </w:r>
    </w:p>
    <w:p w:rsidR="00A43213" w:rsidRDefault="00946A11" w:rsidP="00A43213">
      <w:r>
        <w:rPr>
          <w:rFonts w:hint="eastAsia"/>
        </w:rPr>
        <w:t xml:space="preserve">　</w:t>
      </w:r>
      <w:r w:rsidRPr="00EE2AC7">
        <w:rPr>
          <w:rFonts w:hint="eastAsia"/>
        </w:rPr>
        <w:t>頭の中で生じる自己内対話では，ベースレベルの思考を対象としてメタ認知的なモニタリング・コントロールがなされる．言うまでもなく，人のメタ認知的な思考の全容を視線情報のみから捉えることは</w:t>
      </w:r>
      <w:r w:rsidRPr="00EE2AC7">
        <w:rPr>
          <w:rFonts w:hint="eastAsia"/>
        </w:rPr>
        <w:lastRenderedPageBreak/>
        <w:t>文脈独立の状況では難しい．我々は，限定された思考タスク文脈とその成果物との間に対応が付けられているインタフェースを備え，使用に違和感を持たせない範囲の制約を加えた思考外</w:t>
      </w:r>
      <w:r w:rsidRPr="00F548AA">
        <w:rPr>
          <w:rFonts w:hint="eastAsia"/>
        </w:rPr>
        <w:t>化アプリケーション</w:t>
      </w:r>
      <w:r w:rsidRPr="00EE2AC7">
        <w:rPr>
          <w:rFonts w:hint="eastAsia"/>
        </w:rPr>
        <w:t>があることを前提とすることで，不定型かつ個人依存性の強いメタ思考プロセスの一端をタスクに取組む視線と，外在化された思考</w:t>
      </w:r>
      <w:r>
        <w:rPr>
          <w:rFonts w:hint="eastAsia"/>
        </w:rPr>
        <w:t>を</w:t>
      </w:r>
      <w:r w:rsidRPr="00EE2AC7">
        <w:rPr>
          <w:rFonts w:hint="eastAsia"/>
        </w:rPr>
        <w:t>見直し・修正する行為（以後，思考操作行為）から捉えることができるという研究仮説を立て，この難</w:t>
      </w:r>
      <w:r>
        <w:rPr>
          <w:rFonts w:hint="eastAsia"/>
        </w:rPr>
        <w:t>題</w:t>
      </w:r>
      <w:r w:rsidRPr="00EE2AC7">
        <w:rPr>
          <w:rFonts w:hint="eastAsia"/>
        </w:rPr>
        <w:t>を切り拓く一つのアプローチを試みる．</w:t>
      </w:r>
    </w:p>
    <w:p w:rsidR="00A43213" w:rsidRPr="00946A11" w:rsidRDefault="00946A11" w:rsidP="00A43213">
      <w:r>
        <w:rPr>
          <w:rFonts w:hint="eastAsia"/>
        </w:rPr>
        <w:t xml:space="preserve">　</w:t>
      </w:r>
      <w:r w:rsidRPr="00946A11">
        <w:rPr>
          <w:rFonts w:hint="eastAsia"/>
        </w:rPr>
        <w:t>本論文では，頭の中で生じる姿形のない思考プロセスに解釈を与える前提となる考えを解釈モデルとして明示し，これに基づいたシステム開発のための共通土台としてのメタ思考解釈フレームワークを提案する</w:t>
      </w:r>
      <w:r w:rsidRPr="00946A11">
        <w:t>．本フレームワークは，思考プロセスを捉えるための作業プロセスの枠組みを与え，この一連の作業を遂行するための概念が規定されている．さらに，提案フレームワークが，メタ思考を捉える我々の着想を実際のメタ思考プロセスの計測・分析支援システムの開発への展開可能性を具備していることを示すために，これを基礎としたメタ思考プロセスの計測</w:t>
      </w:r>
      <w:r w:rsidRPr="00946A11">
        <w:rPr>
          <w:rFonts w:hint="eastAsia"/>
        </w:rPr>
        <w:t>システム（思考外化アプリケーション）及び分析支援システムを開発する．そして，システム開発利用へ繋げる仕組みが実現できることを示すために，信念対立思考タスクを事例とした添削文脈におけるメタ思考解釈結果を例示する．</w:t>
      </w:r>
    </w:p>
    <w:p w:rsidR="00A43213" w:rsidRDefault="00946A11" w:rsidP="00946A11">
      <w:pPr>
        <w:ind w:firstLineChars="100" w:firstLine="210"/>
      </w:pPr>
      <w:r w:rsidRPr="00946A11">
        <w:rPr>
          <w:rFonts w:hint="eastAsia"/>
        </w:rPr>
        <w:t>以下，</w:t>
      </w:r>
      <w:r w:rsidRPr="00946A11">
        <w:t>2章で思考プロセスを捉えるためのメタ思考解釈フレームワークの着想及び，メタ思考プロセスの分析に向けたステークホルダの作業内容を説明する．3章では，本フレームワークの着想を思考分析システム開発へと接続する明示的規約としての役割を担うベース思考表現オントロジーを説明する．4章では，このオントロジーを参照し，ベース思考・メタ思考を捉える解釈を与える表現構造（解釈表現）を示す．5章では，メタ思考解釈フレームワークに基づくシステム開発の実現例として，信念対立思考を対象とした思考外化アプリケーション及び思考分析支</w:t>
      </w:r>
      <w:r w:rsidRPr="00946A11">
        <w:rPr>
          <w:rFonts w:hint="eastAsia"/>
        </w:rPr>
        <w:t>援システムを示し，</w:t>
      </w:r>
      <w:r w:rsidRPr="00946A11">
        <w:t>6章では，思考分析支援システムに基づく解釈表現の適用結果を例示する．</w:t>
      </w:r>
    </w:p>
    <w:p w:rsidR="00A43213" w:rsidRDefault="00A43213" w:rsidP="00A43213"/>
    <w:p w:rsidR="00A43213" w:rsidRPr="008A59B5" w:rsidRDefault="00083BB7" w:rsidP="00083BB7">
      <w:pPr>
        <w:rPr>
          <w:rFonts w:ascii="ＭＳ ゴシック" w:eastAsia="ＭＳ ゴシック" w:hAnsi="ＭＳ ゴシック"/>
        </w:rPr>
      </w:pPr>
      <w:r w:rsidRPr="008A59B5">
        <w:rPr>
          <w:rFonts w:ascii="ＭＳ ゴシック" w:eastAsia="ＭＳ ゴシック" w:hAnsi="ＭＳ ゴシック" w:hint="eastAsia"/>
        </w:rPr>
        <w:t xml:space="preserve">2. </w:t>
      </w:r>
      <w:r w:rsidR="0097448B" w:rsidRPr="008A59B5">
        <w:rPr>
          <w:rFonts w:ascii="ＭＳ ゴシック" w:eastAsia="ＭＳ ゴシック" w:hAnsi="ＭＳ ゴシック"/>
        </w:rPr>
        <w:t>メタ思考プロセスを捉えるためのメタ思考解釈フレームワーク</w:t>
      </w:r>
    </w:p>
    <w:p w:rsidR="0097448B" w:rsidRPr="008A59B5" w:rsidRDefault="00FE31DB" w:rsidP="0097448B">
      <w:pPr>
        <w:rPr>
          <w:rFonts w:ascii="ＭＳ ゴシック" w:eastAsia="ＭＳ ゴシック" w:hAnsi="ＭＳ ゴシック"/>
        </w:rPr>
      </w:pPr>
      <w:r w:rsidRPr="008A59B5">
        <w:rPr>
          <w:rFonts w:ascii="ＭＳ ゴシック" w:eastAsia="ＭＳ ゴシック" w:hAnsi="ＭＳ ゴシック"/>
        </w:rPr>
        <w:t>2.1　メタ思考プロセス解釈モデル</w:t>
      </w:r>
    </w:p>
    <w:p w:rsidR="00FE31DB" w:rsidRDefault="00FE31DB" w:rsidP="00FE31DB">
      <w:pPr>
        <w:ind w:firstLineChars="100" w:firstLine="210"/>
      </w:pPr>
      <w:r>
        <w:rPr>
          <w:rFonts w:hint="eastAsia"/>
        </w:rPr>
        <w:t>図</w:t>
      </w:r>
      <w:r>
        <w:t>1に，メタレベルの思考プロセスを捉える本研究の前提，着想をメタ思考プロセスの解釈モデルとして図式化したものを示す．思考プロセスは外界から観測不可能な領域であり，“ベースレベルの思考（base-level thinking，以後，ベース思考）”と，ベース思考をモニタリング／コントロール（metacognitive monitoring / control）する思考を表す“メタレベルの思考（meta-level thinking, 以後，メタ思考）”の二層から構成されている[17, 18]ものと捉える（図1①, ②）．</w:t>
      </w:r>
    </w:p>
    <w:p w:rsidR="00C61195" w:rsidRDefault="00FE31DB" w:rsidP="00FE31DB">
      <w:pPr>
        <w:ind w:firstLineChars="100" w:firstLine="210"/>
      </w:pPr>
      <w:r>
        <w:rPr>
          <w:rFonts w:hint="eastAsia"/>
        </w:rPr>
        <w:t>“視線行為（</w:t>
      </w:r>
      <w:r>
        <w:t>gaze behaviors）”はアイトラッカ等の視線計測デバイスを利用することで外界から計測することができる（図1③）．眼球運動では，オブジェクトを見ようとして注視点を変えるときに発生するサッケードと，オブジェクトを注視する停留が交互に繰り返し現れる[19]．注視時間を規定することにより，視線行為として，“あるオブジェクトを注視している”，“注視対象のオブジェクトが変化する”等を，サッケードと停留の一連の情報から追跡できる．</w:t>
      </w:r>
    </w:p>
    <w:p w:rsidR="00C61195" w:rsidRDefault="005B034E" w:rsidP="0097448B">
      <w:r>
        <w:rPr>
          <w:rFonts w:hint="eastAsia"/>
        </w:rPr>
        <w:t xml:space="preserve">　</w:t>
      </w:r>
      <w:r w:rsidRPr="00BA5DF8">
        <w:rPr>
          <w:rFonts w:hint="eastAsia"/>
        </w:rPr>
        <w:t>我々は，頭の中</w:t>
      </w:r>
      <w:r w:rsidRPr="00500642">
        <w:rPr>
          <w:rFonts w:hint="eastAsia"/>
        </w:rPr>
        <w:t>のベース思考活動の結果が，その論理的関係性を反映して外化できるインタフェースを想定することで，これに対する視線行為と思考操作行為から思考行為者（</w:t>
      </w:r>
      <w:r w:rsidRPr="00500642">
        <w:t>thinker</w:t>
      </w:r>
      <w:r w:rsidRPr="00500642">
        <w:rPr>
          <w:rFonts w:hint="eastAsia"/>
        </w:rPr>
        <w:t>）が行うメタ思考を捉えることを基本的な考えとしている．例えば，「明日の行楽地を決める」思考活動においては，「“降水確率80%を</w:t>
      </w:r>
      <w:r w:rsidRPr="00500642">
        <w:rPr>
          <w:rFonts w:hint="eastAsia"/>
          <w:u w:val="single"/>
        </w:rPr>
        <w:t>根拠</w:t>
      </w:r>
      <w:r w:rsidRPr="00500642">
        <w:rPr>
          <w:rFonts w:hint="eastAsia"/>
        </w:rPr>
        <w:t>”とし，“雨が降る</w:t>
      </w:r>
      <w:r w:rsidRPr="00500642">
        <w:rPr>
          <w:rFonts w:hint="eastAsia"/>
          <w:u w:val="single"/>
        </w:rPr>
        <w:t>前提</w:t>
      </w:r>
      <w:r w:rsidRPr="00500642">
        <w:rPr>
          <w:rFonts w:hint="eastAsia"/>
        </w:rPr>
        <w:t>”で“水族館に行く</w:t>
      </w:r>
      <w:r w:rsidRPr="00500642">
        <w:rPr>
          <w:rFonts w:hint="eastAsia"/>
          <w:u w:val="single"/>
        </w:rPr>
        <w:t>判断</w:t>
      </w:r>
      <w:r w:rsidRPr="00500642">
        <w:rPr>
          <w:rFonts w:hint="eastAsia"/>
        </w:rPr>
        <w:t>”をした」といった思考の成果物が頭の中で</w:t>
      </w:r>
      <w:r w:rsidRPr="00BA5DF8">
        <w:rPr>
          <w:rFonts w:hint="eastAsia"/>
        </w:rPr>
        <w:t>産出され，これらがインタフェース上</w:t>
      </w:r>
      <w:r w:rsidRPr="00500642">
        <w:rPr>
          <w:rFonts w:hint="eastAsia"/>
        </w:rPr>
        <w:t>に外化されることを想定する．このような思考活動の成果物のこ</w:t>
      </w:r>
      <w:r w:rsidR="007C7B88" w:rsidRPr="00EE2AC7">
        <w:rPr>
          <w:noProof/>
        </w:rPr>
        <w:lastRenderedPageBreak/>
        <mc:AlternateContent>
          <mc:Choice Requires="wps">
            <w:drawing>
              <wp:anchor distT="0" distB="0" distL="114300" distR="114300" simplePos="0" relativeHeight="251659264" behindDoc="0" locked="0" layoutInCell="1" allowOverlap="1" wp14:anchorId="429678B5" wp14:editId="21A18921">
                <wp:simplePos x="0" y="0"/>
                <wp:positionH relativeFrom="margin">
                  <wp:posOffset>10160</wp:posOffset>
                </wp:positionH>
                <wp:positionV relativeFrom="paragraph">
                  <wp:posOffset>0</wp:posOffset>
                </wp:positionV>
                <wp:extent cx="6155055" cy="3521075"/>
                <wp:effectExtent l="0" t="0" r="0" b="3175"/>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6155055" cy="3521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537C6" w:rsidRDefault="004537C6" w:rsidP="004537C6">
                            <w:r>
                              <w:rPr>
                                <w:noProof/>
                              </w:rPr>
                              <w:drawing>
                                <wp:inline distT="0" distB="0" distL="0" distR="0" wp14:anchorId="4EE62206" wp14:editId="6DB42734">
                                  <wp:extent cx="5891467" cy="2825086"/>
                                  <wp:effectExtent l="0" t="0" r="0" b="0"/>
                                  <wp:docPr id="7" name="図 7" descr="pictures/conceptOfFrame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conceptOfFramework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937" cy="2848808"/>
                                          </a:xfrm>
                                          <a:prstGeom prst="rect">
                                            <a:avLst/>
                                          </a:prstGeom>
                                          <a:noFill/>
                                          <a:ln>
                                            <a:noFill/>
                                          </a:ln>
                                        </pic:spPr>
                                      </pic:pic>
                                    </a:graphicData>
                                  </a:graphic>
                                </wp:inline>
                              </w:drawing>
                            </w:r>
                          </w:p>
                          <w:p w:rsidR="004537C6" w:rsidRPr="007C7B88" w:rsidRDefault="004537C6" w:rsidP="004537C6">
                            <w:pPr>
                              <w:pStyle w:val="a4"/>
                              <w:rPr>
                                <w:sz w:val="20"/>
                                <w:szCs w:val="20"/>
                              </w:rPr>
                            </w:pPr>
                            <w:r w:rsidRPr="007C7B88">
                              <w:rPr>
                                <w:rFonts w:hint="eastAsia"/>
                                <w:sz w:val="20"/>
                                <w:szCs w:val="20"/>
                              </w:rPr>
                              <w:t>図</w:t>
                            </w:r>
                            <w:r w:rsidRPr="007C7B88">
                              <w:rPr>
                                <w:sz w:val="20"/>
                                <w:szCs w:val="20"/>
                              </w:rPr>
                              <w:t>1</w:t>
                            </w:r>
                            <w:r w:rsidRPr="007C7B88">
                              <w:rPr>
                                <w:rFonts w:hint="eastAsia"/>
                                <w:sz w:val="20"/>
                                <w:szCs w:val="20"/>
                              </w:rPr>
                              <w:t xml:space="preserve">　メタ思考プロセスの解釈モデル</w:t>
                            </w:r>
                          </w:p>
                          <w:p w:rsidR="004537C6" w:rsidRPr="007C7B88" w:rsidRDefault="004537C6" w:rsidP="004537C6">
                            <w:pPr>
                              <w:pStyle w:val="a5"/>
                              <w:spacing w:after="360"/>
                              <w:rPr>
                                <w:sz w:val="20"/>
                                <w:szCs w:val="20"/>
                              </w:rPr>
                            </w:pPr>
                            <w:r w:rsidRPr="007C7B88">
                              <w:rPr>
                                <w:rFonts w:hint="eastAsia"/>
                                <w:sz w:val="20"/>
                                <w:szCs w:val="20"/>
                              </w:rPr>
                              <w:t xml:space="preserve">Figure </w:t>
                            </w:r>
                            <w:r w:rsidRPr="007C7B88">
                              <w:rPr>
                                <w:sz w:val="20"/>
                                <w:szCs w:val="20"/>
                              </w:rPr>
                              <w:t>1</w:t>
                            </w:r>
                            <w:r w:rsidRPr="007C7B88">
                              <w:rPr>
                                <w:rFonts w:hint="eastAsia"/>
                                <w:sz w:val="20"/>
                                <w:szCs w:val="20"/>
                              </w:rPr>
                              <w:t xml:space="preserve">　</w:t>
                            </w:r>
                            <w:r w:rsidRPr="007C7B88">
                              <w:rPr>
                                <w:sz w:val="20"/>
                                <w:szCs w:val="20"/>
                              </w:rPr>
                              <w:t>Model to Capture Meta-level Thinking Processes</w:t>
                            </w:r>
                            <w:r w:rsidRPr="007C7B88">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678B5" id="_x0000_t202" coordsize="21600,21600" o:spt="202" path="m,l,21600r21600,l21600,xe">
                <v:stroke joinstyle="miter"/>
                <v:path gradientshapeok="t" o:connecttype="rect"/>
              </v:shapetype>
              <v:shape id="テキスト ボックス 11" o:spid="_x0000_s1026" type="#_x0000_t202" style="position:absolute;left:0;text-align:left;margin-left:.8pt;margin-top:0;width:484.65pt;height:27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" filled="f" stroked="f">
                <v:textbox>
                  <w:txbxContent>
                    <w:p w:rsidR="004537C6" w:rsidRDefault="004537C6" w:rsidP="004537C6">
                      <w:r>
                        <w:rPr>
                          <w:noProof/>
                        </w:rPr>
                        <w:drawing>
                          <wp:inline distT="0" distB="0" distL="0" distR="0" wp14:anchorId="4EE62206" wp14:editId="6DB42734">
                            <wp:extent cx="5891467" cy="2825086"/>
                            <wp:effectExtent l="0" t="0" r="0" b="0"/>
                            <wp:docPr id="7" name="図 7" descr="pictures/conceptOfFrame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conceptOfFramework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937" cy="2848808"/>
                                    </a:xfrm>
                                    <a:prstGeom prst="rect">
                                      <a:avLst/>
                                    </a:prstGeom>
                                    <a:noFill/>
                                    <a:ln>
                                      <a:noFill/>
                                    </a:ln>
                                  </pic:spPr>
                                </pic:pic>
                              </a:graphicData>
                            </a:graphic>
                          </wp:inline>
                        </w:drawing>
                      </w:r>
                    </w:p>
                    <w:p w:rsidR="004537C6" w:rsidRPr="007C7B88" w:rsidRDefault="004537C6" w:rsidP="004537C6">
                      <w:pPr>
                        <w:pStyle w:val="a4"/>
                        <w:rPr>
                          <w:sz w:val="20"/>
                          <w:szCs w:val="20"/>
                        </w:rPr>
                      </w:pPr>
                      <w:r w:rsidRPr="007C7B88">
                        <w:rPr>
                          <w:rFonts w:hint="eastAsia"/>
                          <w:sz w:val="20"/>
                          <w:szCs w:val="20"/>
                        </w:rPr>
                        <w:t>図</w:t>
                      </w:r>
                      <w:r w:rsidRPr="007C7B88">
                        <w:rPr>
                          <w:sz w:val="20"/>
                          <w:szCs w:val="20"/>
                        </w:rPr>
                        <w:t>1</w:t>
                      </w:r>
                      <w:r w:rsidRPr="007C7B88">
                        <w:rPr>
                          <w:rFonts w:hint="eastAsia"/>
                          <w:sz w:val="20"/>
                          <w:szCs w:val="20"/>
                        </w:rPr>
                        <w:t xml:space="preserve">　メタ思考プロセスの解釈モデル</w:t>
                      </w:r>
                    </w:p>
                    <w:p w:rsidR="004537C6" w:rsidRPr="007C7B88" w:rsidRDefault="004537C6" w:rsidP="004537C6">
                      <w:pPr>
                        <w:pStyle w:val="a5"/>
                        <w:spacing w:after="360"/>
                        <w:rPr>
                          <w:sz w:val="20"/>
                          <w:szCs w:val="20"/>
                        </w:rPr>
                      </w:pPr>
                      <w:r w:rsidRPr="007C7B88">
                        <w:rPr>
                          <w:rFonts w:hint="eastAsia"/>
                          <w:sz w:val="20"/>
                          <w:szCs w:val="20"/>
                        </w:rPr>
                        <w:t xml:space="preserve">Figure </w:t>
                      </w:r>
                      <w:r w:rsidRPr="007C7B88">
                        <w:rPr>
                          <w:sz w:val="20"/>
                          <w:szCs w:val="20"/>
                        </w:rPr>
                        <w:t>1</w:t>
                      </w:r>
                      <w:r w:rsidRPr="007C7B88">
                        <w:rPr>
                          <w:rFonts w:hint="eastAsia"/>
                          <w:sz w:val="20"/>
                          <w:szCs w:val="20"/>
                        </w:rPr>
                        <w:t xml:space="preserve">　</w:t>
                      </w:r>
                      <w:r w:rsidRPr="007C7B88">
                        <w:rPr>
                          <w:sz w:val="20"/>
                          <w:szCs w:val="20"/>
                        </w:rPr>
                        <w:t>Model to Capture Meta-level Thinking Processes</w:t>
                      </w:r>
                      <w:r w:rsidRPr="007C7B88">
                        <w:rPr>
                          <w:rFonts w:hint="eastAsia"/>
                          <w:sz w:val="20"/>
                          <w:szCs w:val="20"/>
                        </w:rPr>
                        <w:t>.</w:t>
                      </w:r>
                    </w:p>
                  </w:txbxContent>
                </v:textbox>
                <w10:wrap type="square" anchorx="margin"/>
              </v:shape>
            </w:pict>
          </mc:Fallback>
        </mc:AlternateContent>
      </w:r>
      <w:r w:rsidRPr="00500642">
        <w:rPr>
          <w:rFonts w:hint="eastAsia"/>
        </w:rPr>
        <w:t>とを本研究では，“ベース思考活動のアウトプット（</w:t>
      </w:r>
      <w:r w:rsidRPr="00500642">
        <w:t>output of base-level thinking activity</w:t>
      </w:r>
      <w:r w:rsidRPr="00500642">
        <w:rPr>
          <w:rFonts w:hint="eastAsia"/>
        </w:rPr>
        <w:t>）”と呼称する．さらに，ベース思考活動のアウトプットを目に見える形で外化するための“思考表現オブジェクト（</w:t>
      </w:r>
      <w:r w:rsidRPr="00500642">
        <w:t>representation objects for externalization</w:t>
      </w:r>
      <w:r w:rsidRPr="00500642">
        <w:rPr>
          <w:rFonts w:hint="eastAsia"/>
        </w:rPr>
        <w:t>）”の概念を導入する（図1④）．思考表現オブジェクトは，「パネル」，「テキ</w:t>
      </w:r>
      <w:r w:rsidRPr="00BA5DF8">
        <w:rPr>
          <w:rFonts w:hint="eastAsia"/>
        </w:rPr>
        <w:t>ストボックス」，「選択ボックス」などのGUIアプリケーションで一般的に用いられているコンポーネントに対応している．ベース思考活動のアウトプットが思考表現オブジェクト上に外化されることを前提とすることで，これへの視線行為と思考操作行為を観測</w:t>
      </w:r>
      <w:r>
        <w:rPr>
          <w:rFonts w:hint="eastAsia"/>
        </w:rPr>
        <w:t>できるようになる．</w:t>
      </w:r>
    </w:p>
    <w:p w:rsidR="005B034E" w:rsidRDefault="003F4F52" w:rsidP="0097448B">
      <w:r>
        <w:rPr>
          <w:rFonts w:hint="eastAsia"/>
        </w:rPr>
        <w:t xml:space="preserve">　</w:t>
      </w:r>
      <w:r w:rsidRPr="00BA5DF8">
        <w:rPr>
          <w:rFonts w:hint="eastAsia"/>
        </w:rPr>
        <w:t>本研究では，“頭の中でのベース思考を対象としたメタ認知モニタリングとコントロール”と，“思考表現オブジェクトに外化されたベース思考のアウトプットを対象とした</w:t>
      </w:r>
      <w:r w:rsidRPr="00500642">
        <w:rPr>
          <w:rFonts w:hint="eastAsia"/>
        </w:rPr>
        <w:t>視線行為と思考操作行為”に見られる同型性に着目し，ベース思考活動のアウトプットを適切な思考表現オブジェクトへと外在化できる思考外化アプリケーション（</w:t>
      </w:r>
      <w:r w:rsidRPr="00500642">
        <w:t xml:space="preserve">thinking externalization application, </w:t>
      </w:r>
      <w:r w:rsidRPr="00500642">
        <w:rPr>
          <w:rFonts w:hint="eastAsia"/>
        </w:rPr>
        <w:t>図</w:t>
      </w:r>
      <w:r w:rsidRPr="00500642">
        <w:t>1</w:t>
      </w:r>
      <w:r w:rsidRPr="00500642">
        <w:rPr>
          <w:rFonts w:hint="eastAsia"/>
        </w:rPr>
        <w:t>⑤）を前提とすることで，メタ思考プロセスの一端が視線行為と思考操作行為に現れるのではないかという研究仮説を立てる．本研究では，後者のメタ認知的レベルのモニタリング・コン</w:t>
      </w:r>
      <w:r w:rsidRPr="00BA5DF8">
        <w:rPr>
          <w:rFonts w:hint="eastAsia"/>
        </w:rPr>
        <w:t>トロールをしている視線行為と思考操作行為を，“準メタ認知的モニタリング／コントロール（semi-metacognitive</w:t>
      </w:r>
      <w:r w:rsidRPr="00BA5DF8">
        <w:t xml:space="preserve"> monitoring / control</w:t>
      </w:r>
      <w:r w:rsidRPr="00BA5DF8">
        <w:rPr>
          <w:rFonts w:hint="eastAsia"/>
        </w:rPr>
        <w:t>）”行為として捉える．</w:t>
      </w:r>
    </w:p>
    <w:p w:rsidR="005B034E" w:rsidRDefault="003F4F52" w:rsidP="0097448B">
      <w:r>
        <w:rPr>
          <w:rFonts w:hint="eastAsia"/>
        </w:rPr>
        <w:t xml:space="preserve">　</w:t>
      </w:r>
      <w:r w:rsidRPr="00BA5DF8">
        <w:rPr>
          <w:rFonts w:hint="eastAsia"/>
        </w:rPr>
        <w:t>ベース思</w:t>
      </w:r>
      <w:r w:rsidRPr="00500642">
        <w:rPr>
          <w:rFonts w:hint="eastAsia"/>
        </w:rPr>
        <w:t>考をどのようにメタ思考モニタリング・コントロールするかは思考タスクの構造に影響される．例えば，看護師の信念対立思考の成果物を添削する状況（6章）では，他者（看護師）の思考内容を理解・修正するといった思考活動が添削者に求められる．このような思考タスク構造に影響されるメタ思考解釈の多様性を取り扱うために，“解釈表現（</w:t>
      </w:r>
      <w:r w:rsidRPr="00500642">
        <w:t>interpretation representations</w:t>
      </w:r>
      <w:r w:rsidRPr="00500642">
        <w:rPr>
          <w:rFonts w:hint="eastAsia"/>
        </w:rPr>
        <w:t>）”を導入する（図1⑥）．解釈表現は，準メタ認知的モニタリング／コントロール行為を含む視線行為，思考操作行為からベース思考・メタ思考を行っている区間を抽出して，解釈を与える形式的表現である．この解釈表現は，思考分析支援システム（</w:t>
      </w:r>
      <w:r w:rsidRPr="00500642">
        <w:t>thinking analysis support system</w:t>
      </w:r>
      <w:r w:rsidRPr="00500642">
        <w:rPr>
          <w:rFonts w:hint="eastAsia"/>
        </w:rPr>
        <w:t>）を通して，分析者（</w:t>
      </w:r>
      <w:r w:rsidRPr="00500642">
        <w:t>analyst</w:t>
      </w:r>
      <w:r w:rsidRPr="00500642">
        <w:rPr>
          <w:rFonts w:hint="eastAsia"/>
        </w:rPr>
        <w:t>）が設定・適用する前提をおいている．</w:t>
      </w:r>
    </w:p>
    <w:p w:rsidR="005B034E" w:rsidRDefault="003F4F52" w:rsidP="0097448B">
      <w:r>
        <w:rPr>
          <w:rFonts w:hint="eastAsia"/>
        </w:rPr>
        <w:t xml:space="preserve">　</w:t>
      </w:r>
      <w:r w:rsidRPr="00500642">
        <w:rPr>
          <w:rFonts w:hint="eastAsia"/>
        </w:rPr>
        <w:t>我々が提案するフレームワークでは，タスクに応じたベース思考活動のアウトプットと思考外化部品としての思考表現オブジェクトを形式的に表現した概念体系（ベース思考表現オントロジー）を整備す</w:t>
      </w:r>
      <w:r w:rsidRPr="00500642">
        <w:rPr>
          <w:rFonts w:hint="eastAsia"/>
        </w:rPr>
        <w:lastRenderedPageBreak/>
        <w:t>る．このオントロジーを基礎とすることで，どのよ</w:t>
      </w:r>
      <w:r w:rsidRPr="00BA5DF8">
        <w:rPr>
          <w:rFonts w:hint="eastAsia"/>
        </w:rPr>
        <w:t>うな思考表現オブジェクトに対する視線行為，思考操作行為を準メタ認知的モニタリング／コントロール行為として捉えようとしているのか，その設計意図を明示化した思考外化アプリケーション実装が可能となる．さらに，このオントロジーの概念に基づき</w:t>
      </w:r>
      <w:r w:rsidR="00416CDB" w:rsidRPr="00EE2AC7">
        <w:rPr>
          <w:i/>
          <w:noProof/>
        </w:rPr>
        <mc:AlternateContent>
          <mc:Choice Requires="wps">
            <w:drawing>
              <wp:anchor distT="0" distB="0" distL="114300" distR="114300" simplePos="0" relativeHeight="251661312" behindDoc="0" locked="0" layoutInCell="1" allowOverlap="1" wp14:anchorId="45AC5BC9" wp14:editId="004A1427">
                <wp:simplePos x="0" y="0"/>
                <wp:positionH relativeFrom="margin">
                  <wp:posOffset>-24130</wp:posOffset>
                </wp:positionH>
                <wp:positionV relativeFrom="paragraph">
                  <wp:posOffset>1270</wp:posOffset>
                </wp:positionV>
                <wp:extent cx="6191250" cy="5501640"/>
                <wp:effectExtent l="0" t="0" r="0" b="3810"/>
                <wp:wrapSquare wrapText="bothSides"/>
                <wp:docPr id="17" name="テキスト ボックス 17"/>
                <wp:cNvGraphicFramePr/>
                <a:graphic xmlns:a="http://schemas.openxmlformats.org/drawingml/2006/main">
                  <a:graphicData uri="http://schemas.microsoft.com/office/word/2010/wordprocessingShape">
                    <wps:wsp>
                      <wps:cNvSpPr txBox="1"/>
                      <wps:spPr>
                        <a:xfrm>
                          <a:off x="0" y="0"/>
                          <a:ext cx="6191250" cy="5501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6CDB" w:rsidRPr="005F29BE" w:rsidRDefault="00416CDB" w:rsidP="00416CDB">
                            <w:pPr>
                              <w:pStyle w:val="a4"/>
                              <w:rPr>
                                <w:sz w:val="20"/>
                                <w:szCs w:val="20"/>
                              </w:rPr>
                            </w:pPr>
                            <w:r w:rsidRPr="005F29BE">
                              <w:rPr>
                                <w:rFonts w:hint="eastAsia"/>
                                <w:sz w:val="20"/>
                                <w:szCs w:val="20"/>
                              </w:rPr>
                              <w:t>表</w:t>
                            </w:r>
                            <w:r w:rsidRPr="005F29BE">
                              <w:rPr>
                                <w:sz w:val="20"/>
                                <w:szCs w:val="20"/>
                              </w:rPr>
                              <w:t>1</w:t>
                            </w:r>
                            <w:r w:rsidRPr="005F29BE">
                              <w:rPr>
                                <w:rFonts w:hint="eastAsia"/>
                                <w:sz w:val="20"/>
                                <w:szCs w:val="20"/>
                              </w:rPr>
                              <w:t xml:space="preserve">　メタ</w:t>
                            </w:r>
                            <w:r w:rsidRPr="005F29BE">
                              <w:rPr>
                                <w:sz w:val="20"/>
                                <w:szCs w:val="20"/>
                              </w:rPr>
                              <w:t>思考</w:t>
                            </w:r>
                            <w:r w:rsidRPr="005F29BE">
                              <w:rPr>
                                <w:rFonts w:hint="eastAsia"/>
                                <w:sz w:val="20"/>
                                <w:szCs w:val="20"/>
                              </w:rPr>
                              <w:t>解釈</w:t>
                            </w:r>
                            <w:r w:rsidRPr="005F29BE">
                              <w:rPr>
                                <w:sz w:val="20"/>
                                <w:szCs w:val="20"/>
                              </w:rPr>
                              <w:t>フレームワーク</w:t>
                            </w:r>
                          </w:p>
                          <w:p w:rsidR="00416CDB" w:rsidRPr="005F29BE" w:rsidRDefault="00416CDB" w:rsidP="00416CDB">
                            <w:pPr>
                              <w:pStyle w:val="a5"/>
                              <w:spacing w:afterLines="50" w:after="180"/>
                              <w:rPr>
                                <w:sz w:val="20"/>
                                <w:szCs w:val="20"/>
                              </w:rPr>
                            </w:pPr>
                            <w:r w:rsidRPr="005F29BE">
                              <w:rPr>
                                <w:sz w:val="20"/>
                                <w:szCs w:val="20"/>
                              </w:rPr>
                              <w:t>Table</w:t>
                            </w:r>
                            <w:r w:rsidRPr="005F29BE">
                              <w:rPr>
                                <w:rFonts w:hint="eastAsia"/>
                                <w:sz w:val="20"/>
                                <w:szCs w:val="20"/>
                              </w:rPr>
                              <w:t xml:space="preserve"> </w:t>
                            </w:r>
                            <w:r w:rsidRPr="005F29BE">
                              <w:rPr>
                                <w:sz w:val="20"/>
                                <w:szCs w:val="20"/>
                              </w:rPr>
                              <w:t>1</w:t>
                            </w:r>
                            <w:r w:rsidRPr="005F29BE">
                              <w:rPr>
                                <w:rFonts w:hint="eastAsia"/>
                                <w:sz w:val="20"/>
                                <w:szCs w:val="20"/>
                              </w:rPr>
                              <w:t xml:space="preserve">　</w:t>
                            </w:r>
                            <w:r w:rsidRPr="005F29BE">
                              <w:rPr>
                                <w:sz w:val="20"/>
                                <w:szCs w:val="20"/>
                              </w:rPr>
                              <w:t xml:space="preserve">Framework to Capture </w:t>
                            </w:r>
                            <w:r w:rsidRPr="005F29BE">
                              <w:rPr>
                                <w:rFonts w:hint="eastAsia"/>
                                <w:sz w:val="20"/>
                                <w:szCs w:val="20"/>
                              </w:rPr>
                              <w:t>Meta</w:t>
                            </w:r>
                            <w:r w:rsidRPr="005F29BE">
                              <w:rPr>
                                <w:sz w:val="20"/>
                                <w:szCs w:val="20"/>
                              </w:rPr>
                              <w:t>-level</w:t>
                            </w:r>
                            <w:r w:rsidRPr="005F29BE">
                              <w:rPr>
                                <w:rFonts w:hint="eastAsia"/>
                                <w:sz w:val="20"/>
                                <w:szCs w:val="20"/>
                              </w:rPr>
                              <w:t xml:space="preserve"> </w:t>
                            </w:r>
                            <w:r w:rsidRPr="005F29BE">
                              <w:rPr>
                                <w:sz w:val="20"/>
                                <w:szCs w:val="20"/>
                              </w:rPr>
                              <w:t>Thinking Processes</w:t>
                            </w:r>
                            <w:r w:rsidRPr="005F29BE">
                              <w:rPr>
                                <w:rFonts w:hint="eastAsia"/>
                                <w:sz w:val="20"/>
                                <w:szCs w:val="20"/>
                              </w:rPr>
                              <w:t xml:space="preserve">. </w:t>
                            </w:r>
                          </w:p>
                          <w:tbl>
                            <w:tblPr>
                              <w:tblStyle w:val="a6"/>
                              <w:tblW w:w="9498" w:type="dxa"/>
                              <w:tblBorders>
                                <w:left w:val="none" w:sz="0" w:space="0" w:color="auto"/>
                                <w:right w:val="none" w:sz="0" w:space="0" w:color="auto"/>
                              </w:tblBorders>
                              <w:tblLook w:val="04A0" w:firstRow="1" w:lastRow="0" w:firstColumn="1" w:lastColumn="0" w:noHBand="0" w:noVBand="1"/>
                            </w:tblPr>
                            <w:tblGrid>
                              <w:gridCol w:w="516"/>
                              <w:gridCol w:w="1752"/>
                              <w:gridCol w:w="1985"/>
                              <w:gridCol w:w="4111"/>
                              <w:gridCol w:w="1134"/>
                            </w:tblGrid>
                            <w:tr w:rsidR="00416CDB" w:rsidRPr="005F29BE" w:rsidTr="004B2125">
                              <w:trPr>
                                <w:trHeight w:val="268"/>
                              </w:trPr>
                              <w:tc>
                                <w:tcPr>
                                  <w:tcW w:w="516" w:type="dxa"/>
                                  <w:tcBorders>
                                    <w:bottom w:val="double" w:sz="4" w:space="0" w:color="auto"/>
                                  </w:tcBorders>
                                  <w:vAlign w:val="center"/>
                                </w:tcPr>
                                <w:p w:rsidR="00416CDB" w:rsidRPr="005F29BE" w:rsidRDefault="00416CDB" w:rsidP="00D1050B">
                                  <w:pPr>
                                    <w:jc w:val="center"/>
                                    <w:rPr>
                                      <w:sz w:val="20"/>
                                      <w:szCs w:val="20"/>
                                    </w:rPr>
                                  </w:pPr>
                                </w:p>
                              </w:tc>
                              <w:tc>
                                <w:tcPr>
                                  <w:tcW w:w="3737" w:type="dxa"/>
                                  <w:gridSpan w:val="2"/>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フレームワークの</w:t>
                                  </w:r>
                                  <w:r w:rsidRPr="005F29BE">
                                    <w:rPr>
                                      <w:sz w:val="20"/>
                                      <w:szCs w:val="20"/>
                                    </w:rPr>
                                    <w:t>概念</w:t>
                                  </w:r>
                                </w:p>
                              </w:tc>
                              <w:tc>
                                <w:tcPr>
                                  <w:tcW w:w="4111"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内容</w:t>
                                  </w:r>
                                </w:p>
                              </w:tc>
                              <w:tc>
                                <w:tcPr>
                                  <w:tcW w:w="1134"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参照作業</w:t>
                                  </w:r>
                                </w:p>
                              </w:tc>
                            </w:tr>
                            <w:tr w:rsidR="00416CDB" w:rsidRPr="005F29BE" w:rsidTr="004B2125">
                              <w:trPr>
                                <w:trHeight w:val="600"/>
                              </w:trPr>
                              <w:tc>
                                <w:tcPr>
                                  <w:tcW w:w="516" w:type="dxa"/>
                                  <w:tcBorders>
                                    <w:top w:val="doub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(1)</w:t>
                                  </w:r>
                                </w:p>
                              </w:tc>
                              <w:tc>
                                <w:tcPr>
                                  <w:tcW w:w="1752" w:type="dxa"/>
                                  <w:vMerge w:val="restart"/>
                                  <w:tcBorders>
                                    <w:top w:val="double" w:sz="4" w:space="0" w:color="auto"/>
                                  </w:tcBorders>
                                  <w:vAlign w:val="center"/>
                                </w:tcPr>
                                <w:p w:rsidR="00416CDB" w:rsidRPr="005F29BE" w:rsidRDefault="00416CDB" w:rsidP="00D1050B">
                                  <w:pPr>
                                    <w:spacing w:line="240" w:lineRule="exact"/>
                                    <w:jc w:val="center"/>
                                    <w:rPr>
                                      <w:sz w:val="20"/>
                                      <w:szCs w:val="20"/>
                                    </w:rPr>
                                  </w:pPr>
                                  <w:r w:rsidRPr="005F29BE">
                                    <w:rPr>
                                      <w:rFonts w:hint="eastAsia"/>
                                      <w:sz w:val="20"/>
                                      <w:szCs w:val="20"/>
                                    </w:rPr>
                                    <w:t>ベース思考表現オントロジー</w:t>
                                  </w:r>
                                </w:p>
                              </w:tc>
                              <w:tc>
                                <w:tcPr>
                                  <w:tcW w:w="1985" w:type="dxa"/>
                                  <w:tcBorders>
                                    <w:top w:val="double" w:sz="4" w:space="0" w:color="auto"/>
                                  </w:tcBorders>
                                  <w:vAlign w:val="center"/>
                                </w:tcPr>
                                <w:p w:rsidR="00416CDB" w:rsidRPr="005F29BE" w:rsidRDefault="00416CDB" w:rsidP="00D1050B">
                                  <w:pPr>
                                    <w:spacing w:line="240" w:lineRule="exact"/>
                                    <w:jc w:val="center"/>
                                    <w:rPr>
                                      <w:sz w:val="20"/>
                                      <w:szCs w:val="20"/>
                                    </w:rPr>
                                  </w:pPr>
                                  <w:r w:rsidRPr="005F29BE">
                                    <w:rPr>
                                      <w:rFonts w:hint="eastAsia"/>
                                      <w:sz w:val="20"/>
                                      <w:szCs w:val="20"/>
                                    </w:rPr>
                                    <w:t>ベース思考活動</w:t>
                                  </w:r>
                                  <w:r w:rsidRPr="005F29BE">
                                    <w:rPr>
                                      <w:sz w:val="20"/>
                                      <w:szCs w:val="20"/>
                                    </w:rPr>
                                    <w:t>の</w:t>
                                  </w:r>
                                  <w:r w:rsidRPr="005F29BE">
                                    <w:rPr>
                                      <w:sz w:val="20"/>
                                      <w:szCs w:val="20"/>
                                    </w:rPr>
                                    <w:br/>
                                  </w:r>
                                  <w:r w:rsidRPr="005F29BE">
                                    <w:rPr>
                                      <w:sz w:val="20"/>
                                      <w:szCs w:val="20"/>
                                    </w:rPr>
                                    <w:t>アウトプット概念</w:t>
                                  </w:r>
                                </w:p>
                              </w:tc>
                              <w:tc>
                                <w:tcPr>
                                  <w:tcW w:w="4111" w:type="dxa"/>
                                  <w:tcBorders>
                                    <w:top w:val="double" w:sz="4" w:space="0" w:color="auto"/>
                                  </w:tcBorders>
                                  <w:vAlign w:val="center"/>
                                </w:tcPr>
                                <w:p w:rsidR="00416CDB" w:rsidRPr="005F29BE" w:rsidRDefault="00416CDB" w:rsidP="00C63AAC">
                                  <w:pPr>
                                    <w:spacing w:line="240" w:lineRule="exact"/>
                                    <w:rPr>
                                      <w:sz w:val="20"/>
                                      <w:szCs w:val="20"/>
                                    </w:rPr>
                                  </w:pPr>
                                  <w:r w:rsidRPr="005F29BE">
                                    <w:rPr>
                                      <w:rFonts w:hint="eastAsia"/>
                                      <w:sz w:val="20"/>
                                      <w:szCs w:val="20"/>
                                    </w:rPr>
                                    <w:t>対象思考</w:t>
                                  </w:r>
                                  <w:r w:rsidRPr="005F29BE">
                                    <w:rPr>
                                      <w:sz w:val="20"/>
                                      <w:szCs w:val="20"/>
                                    </w:rPr>
                                    <w:t>タスクに</w:t>
                                  </w:r>
                                  <w:r w:rsidRPr="005F29BE">
                                    <w:rPr>
                                      <w:rFonts w:hint="eastAsia"/>
                                      <w:sz w:val="20"/>
                                      <w:szCs w:val="20"/>
                                    </w:rPr>
                                    <w:t>想定されるベース思考活動のアウトプット概念を</w:t>
                                  </w:r>
                                  <w:r w:rsidRPr="005F29BE">
                                    <w:rPr>
                                      <w:sz w:val="20"/>
                                      <w:szCs w:val="20"/>
                                    </w:rPr>
                                    <w:t>規定</w:t>
                                  </w:r>
                                  <w:r w:rsidRPr="005F29BE">
                                    <w:rPr>
                                      <w:rFonts w:hint="eastAsia"/>
                                      <w:sz w:val="20"/>
                                      <w:szCs w:val="20"/>
                                    </w:rPr>
                                    <w:t>し</w:t>
                                  </w:r>
                                  <w:r w:rsidRPr="005F29BE">
                                    <w:rPr>
                                      <w:sz w:val="20"/>
                                      <w:szCs w:val="20"/>
                                    </w:rPr>
                                    <w:t>た</w:t>
                                  </w:r>
                                  <w:r w:rsidRPr="005F29BE">
                                    <w:rPr>
                                      <w:rFonts w:hint="eastAsia"/>
                                      <w:sz w:val="20"/>
                                      <w:szCs w:val="20"/>
                                    </w:rPr>
                                    <w:t>オントロジー（</w:t>
                                  </w:r>
                                  <w:r w:rsidRPr="005F29BE">
                                    <w:rPr>
                                      <w:sz w:val="20"/>
                                      <w:szCs w:val="20"/>
                                    </w:rPr>
                                    <w:t>3.1</w:t>
                                  </w:r>
                                  <w:r w:rsidRPr="005F29BE">
                                    <w:rPr>
                                      <w:rFonts w:hint="eastAsia"/>
                                      <w:sz w:val="20"/>
                                      <w:szCs w:val="20"/>
                                    </w:rPr>
                                    <w:t>節）</w:t>
                                  </w:r>
                                </w:p>
                              </w:tc>
                              <w:tc>
                                <w:tcPr>
                                  <w:tcW w:w="1134" w:type="dxa"/>
                                  <w:tcBorders>
                                    <w:top w:val="double" w:sz="4" w:space="0" w:color="auto"/>
                                  </w:tcBorders>
                                  <w:vAlign w:val="center"/>
                                </w:tcPr>
                                <w:p w:rsidR="00416CDB" w:rsidRPr="005F29BE" w:rsidRDefault="00416CDB" w:rsidP="00D7403D">
                                  <w:pPr>
                                    <w:spacing w:line="240" w:lineRule="exact"/>
                                    <w:jc w:val="left"/>
                                    <w:rPr>
                                      <w:rFonts w:ascii="ＭＳ ゴシック" w:eastAsia="ＭＳ ゴシック" w:hAnsi="ＭＳ ゴシック"/>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A</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 (B), (C), (E)</w:t>
                                  </w:r>
                                </w:p>
                              </w:tc>
                            </w:tr>
                            <w:tr w:rsidR="00416CDB" w:rsidRPr="005F29BE" w:rsidTr="004B2125">
                              <w:trPr>
                                <w:trHeight w:val="591"/>
                              </w:trPr>
                              <w:tc>
                                <w:tcPr>
                                  <w:tcW w:w="516" w:type="dxa"/>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(2)</w:t>
                                  </w:r>
                                </w:p>
                              </w:tc>
                              <w:tc>
                                <w:tcPr>
                                  <w:tcW w:w="1752" w:type="dxa"/>
                                  <w:vMerge/>
                                  <w:vAlign w:val="center"/>
                                </w:tcPr>
                                <w:p w:rsidR="00416CDB" w:rsidRPr="005F29BE" w:rsidRDefault="00416CDB" w:rsidP="00D1050B">
                                  <w:pPr>
                                    <w:spacing w:line="240" w:lineRule="exact"/>
                                    <w:jc w:val="center"/>
                                    <w:rPr>
                                      <w:sz w:val="20"/>
                                      <w:szCs w:val="20"/>
                                    </w:rPr>
                                  </w:pPr>
                                </w:p>
                              </w:tc>
                              <w:tc>
                                <w:tcPr>
                                  <w:tcW w:w="1985" w:type="dxa"/>
                                  <w:vAlign w:val="center"/>
                                </w:tcPr>
                                <w:p w:rsidR="00416CDB" w:rsidRPr="005F29BE" w:rsidRDefault="00416CDB" w:rsidP="00D1050B">
                                  <w:pPr>
                                    <w:spacing w:line="240" w:lineRule="exact"/>
                                    <w:jc w:val="center"/>
                                    <w:rPr>
                                      <w:sz w:val="20"/>
                                      <w:szCs w:val="20"/>
                                    </w:rPr>
                                  </w:pPr>
                                  <w:r w:rsidRPr="005F29BE">
                                    <w:rPr>
                                      <w:rFonts w:hint="eastAsia"/>
                                      <w:sz w:val="20"/>
                                      <w:szCs w:val="20"/>
                                    </w:rPr>
                                    <w:t>思考</w:t>
                                  </w:r>
                                  <w:r w:rsidRPr="005F29BE">
                                    <w:rPr>
                                      <w:sz w:val="20"/>
                                      <w:szCs w:val="20"/>
                                    </w:rPr>
                                    <w:t>表現</w:t>
                                  </w:r>
                                  <w:r w:rsidRPr="005F29BE">
                                    <w:rPr>
                                      <w:sz w:val="20"/>
                                      <w:szCs w:val="20"/>
                                    </w:rPr>
                                    <w:br/>
                                  </w:r>
                                  <w:r w:rsidRPr="005F29BE">
                                    <w:rPr>
                                      <w:sz w:val="20"/>
                                      <w:szCs w:val="20"/>
                                    </w:rPr>
                                    <w:t>オブジェクト概念</w:t>
                                  </w:r>
                                </w:p>
                              </w:tc>
                              <w:tc>
                                <w:tcPr>
                                  <w:tcW w:w="4111" w:type="dxa"/>
                                  <w:vAlign w:val="center"/>
                                </w:tcPr>
                                <w:p w:rsidR="00416CDB" w:rsidRPr="005F29BE" w:rsidRDefault="00416CDB" w:rsidP="00D003BD">
                                  <w:pPr>
                                    <w:spacing w:line="240" w:lineRule="exact"/>
                                    <w:rPr>
                                      <w:sz w:val="20"/>
                                      <w:szCs w:val="20"/>
                                    </w:rPr>
                                  </w:pPr>
                                  <w:r w:rsidRPr="005F29BE">
                                    <w:rPr>
                                      <w:rFonts w:hint="eastAsia"/>
                                      <w:sz w:val="20"/>
                                      <w:szCs w:val="20"/>
                                    </w:rPr>
                                    <w:t>思考外化部品としての思考表現オブジェクトを</w:t>
                                  </w:r>
                                  <w:r w:rsidRPr="005F29BE">
                                    <w:rPr>
                                      <w:sz w:val="20"/>
                                      <w:szCs w:val="20"/>
                                    </w:rPr>
                                    <w:t>規定</w:t>
                                  </w:r>
                                  <w:r w:rsidRPr="005F29BE">
                                    <w:rPr>
                                      <w:rFonts w:hint="eastAsia"/>
                                      <w:sz w:val="20"/>
                                      <w:szCs w:val="20"/>
                                    </w:rPr>
                                    <w:t>し</w:t>
                                  </w:r>
                                  <w:r w:rsidRPr="005F29BE">
                                    <w:rPr>
                                      <w:sz w:val="20"/>
                                      <w:szCs w:val="20"/>
                                    </w:rPr>
                                    <w:t>た</w:t>
                                  </w:r>
                                  <w:r w:rsidRPr="005F29BE">
                                    <w:rPr>
                                      <w:rFonts w:hint="eastAsia"/>
                                      <w:sz w:val="20"/>
                                      <w:szCs w:val="20"/>
                                    </w:rPr>
                                    <w:t>オントロジー（</w:t>
                                  </w:r>
                                  <w:r w:rsidRPr="005F29BE">
                                    <w:rPr>
                                      <w:sz w:val="20"/>
                                      <w:szCs w:val="20"/>
                                    </w:rPr>
                                    <w:t>3.2</w:t>
                                  </w:r>
                                  <w:r w:rsidRPr="005F29BE">
                                    <w:rPr>
                                      <w:rFonts w:hint="eastAsia"/>
                                      <w:sz w:val="20"/>
                                      <w:szCs w:val="20"/>
                                    </w:rPr>
                                    <w:t>節）</w:t>
                                  </w:r>
                                </w:p>
                              </w:tc>
                              <w:tc>
                                <w:tcPr>
                                  <w:tcW w:w="1134" w:type="dxa"/>
                                  <w:vAlign w:val="center"/>
                                </w:tcPr>
                                <w:p w:rsidR="00416CDB" w:rsidRPr="005F29BE" w:rsidRDefault="00416CDB" w:rsidP="00D7403D">
                                  <w:pPr>
                                    <w:spacing w:line="240" w:lineRule="exact"/>
                                    <w:jc w:val="left"/>
                                    <w:rPr>
                                      <w:rFonts w:ascii="ＭＳ ゴシック" w:eastAsia="ＭＳ ゴシック" w:hAnsi="ＭＳ ゴシック"/>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B</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 (C), (E)</w:t>
                                  </w:r>
                                </w:p>
                              </w:tc>
                            </w:tr>
                            <w:tr w:rsidR="00416CDB" w:rsidRPr="005F29BE" w:rsidTr="004B2125">
                              <w:trPr>
                                <w:trHeight w:val="576"/>
                              </w:trPr>
                              <w:tc>
                                <w:tcPr>
                                  <w:tcW w:w="516" w:type="dxa"/>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(3)</w:t>
                                  </w:r>
                                </w:p>
                              </w:tc>
                              <w:tc>
                                <w:tcPr>
                                  <w:tcW w:w="3737" w:type="dxa"/>
                                  <w:gridSpan w:val="2"/>
                                  <w:vAlign w:val="center"/>
                                </w:tcPr>
                                <w:p w:rsidR="00416CDB" w:rsidRPr="005F29BE" w:rsidRDefault="00416CDB" w:rsidP="00CC120C">
                                  <w:pPr>
                                    <w:spacing w:line="240" w:lineRule="exact"/>
                                    <w:jc w:val="center"/>
                                    <w:rPr>
                                      <w:sz w:val="20"/>
                                      <w:szCs w:val="20"/>
                                    </w:rPr>
                                  </w:pPr>
                                  <w:r w:rsidRPr="005F29BE">
                                    <w:rPr>
                                      <w:rFonts w:hint="eastAsia"/>
                                      <w:sz w:val="20"/>
                                      <w:szCs w:val="20"/>
                                    </w:rPr>
                                    <w:t>解釈表現記法</w:t>
                                  </w:r>
                                </w:p>
                              </w:tc>
                              <w:tc>
                                <w:tcPr>
                                  <w:tcW w:w="4111" w:type="dxa"/>
                                  <w:vAlign w:val="center"/>
                                </w:tcPr>
                                <w:p w:rsidR="00416CDB" w:rsidRPr="005F29BE" w:rsidRDefault="00416CDB" w:rsidP="00362C9B">
                                  <w:pPr>
                                    <w:spacing w:line="240" w:lineRule="exact"/>
                                    <w:rPr>
                                      <w:sz w:val="20"/>
                                      <w:szCs w:val="20"/>
                                    </w:rPr>
                                  </w:pPr>
                                  <w:r w:rsidRPr="005F29BE">
                                    <w:rPr>
                                      <w:rFonts w:hint="eastAsia"/>
                                      <w:sz w:val="20"/>
                                      <w:szCs w:val="20"/>
                                    </w:rPr>
                                    <w:t>視線行為と思考操作</w:t>
                                  </w:r>
                                  <w:r w:rsidRPr="005F29BE">
                                    <w:rPr>
                                      <w:sz w:val="20"/>
                                      <w:szCs w:val="20"/>
                                    </w:rPr>
                                    <w:t>行為</w:t>
                                  </w:r>
                                  <w:r w:rsidRPr="005F29BE">
                                    <w:rPr>
                                      <w:rFonts w:hint="eastAsia"/>
                                      <w:sz w:val="20"/>
                                      <w:szCs w:val="20"/>
                                    </w:rPr>
                                    <w:t>の</w:t>
                                  </w:r>
                                  <w:r w:rsidRPr="005F29BE">
                                    <w:rPr>
                                      <w:sz w:val="20"/>
                                      <w:szCs w:val="20"/>
                                    </w:rPr>
                                    <w:t>系列に</w:t>
                                  </w:r>
                                  <w:r w:rsidRPr="005F29BE">
                                    <w:rPr>
                                      <w:rFonts w:hint="eastAsia"/>
                                      <w:sz w:val="20"/>
                                      <w:szCs w:val="20"/>
                                    </w:rPr>
                                    <w:t>ベース思考・</w:t>
                                  </w:r>
                                  <w:r w:rsidRPr="005F29BE">
                                    <w:rPr>
                                      <w:sz w:val="20"/>
                                      <w:szCs w:val="20"/>
                                    </w:rPr>
                                    <w:t>メタ思考を捉える</w:t>
                                  </w:r>
                                  <w:r w:rsidRPr="005F29BE">
                                    <w:rPr>
                                      <w:rFonts w:hint="eastAsia"/>
                                      <w:sz w:val="20"/>
                                      <w:szCs w:val="20"/>
                                    </w:rPr>
                                    <w:t>解釈を</w:t>
                                  </w:r>
                                  <w:r w:rsidRPr="005F29BE">
                                    <w:rPr>
                                      <w:sz w:val="20"/>
                                      <w:szCs w:val="20"/>
                                    </w:rPr>
                                    <w:t>与える規定の</w:t>
                                  </w:r>
                                  <w:r w:rsidRPr="005F29BE">
                                    <w:rPr>
                                      <w:rFonts w:hint="eastAsia"/>
                                      <w:sz w:val="20"/>
                                      <w:szCs w:val="20"/>
                                    </w:rPr>
                                    <w:t>表記法（</w:t>
                                  </w:r>
                                  <w:r w:rsidRPr="005F29BE">
                                    <w:rPr>
                                      <w:sz w:val="20"/>
                                      <w:szCs w:val="20"/>
                                    </w:rPr>
                                    <w:t>4</w:t>
                                  </w:r>
                                  <w:r w:rsidRPr="005F29BE">
                                    <w:rPr>
                                      <w:rFonts w:hint="eastAsia"/>
                                      <w:sz w:val="20"/>
                                      <w:szCs w:val="20"/>
                                    </w:rPr>
                                    <w:t>章）</w:t>
                                  </w:r>
                                </w:p>
                              </w:tc>
                              <w:tc>
                                <w:tcPr>
                                  <w:tcW w:w="1134" w:type="dxa"/>
                                  <w:vAlign w:val="center"/>
                                </w:tcPr>
                                <w:p w:rsidR="00416CDB" w:rsidRPr="005F29BE" w:rsidRDefault="00416CDB" w:rsidP="00D7403D">
                                  <w:pPr>
                                    <w:spacing w:line="240" w:lineRule="exact"/>
                                    <w:jc w:val="left"/>
                                    <w:rPr>
                                      <w:rFonts w:ascii="ＭＳ ゴシック" w:eastAsia="ＭＳ ゴシック" w:hAnsi="ＭＳ ゴシック"/>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C</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 (E)</w:t>
                                  </w:r>
                                </w:p>
                              </w:tc>
                            </w:tr>
                          </w:tbl>
                          <w:p w:rsidR="00416CDB" w:rsidRPr="005F29BE" w:rsidRDefault="00416CDB" w:rsidP="00416CDB">
                            <w:pPr>
                              <w:jc w:val="center"/>
                              <w:rPr>
                                <w:color w:val="000000" w:themeColor="text1"/>
                                <w:sz w:val="20"/>
                                <w:szCs w:val="20"/>
                              </w:rPr>
                            </w:pPr>
                          </w:p>
                          <w:tbl>
                            <w:tblPr>
                              <w:tblStyle w:val="a6"/>
                              <w:tblW w:w="9498" w:type="dxa"/>
                              <w:tblBorders>
                                <w:left w:val="none" w:sz="0" w:space="0" w:color="auto"/>
                                <w:right w:val="none" w:sz="0" w:space="0" w:color="auto"/>
                              </w:tblBorders>
                              <w:tblLook w:val="04A0" w:firstRow="1" w:lastRow="0" w:firstColumn="1" w:lastColumn="0" w:noHBand="0" w:noVBand="1"/>
                            </w:tblPr>
                            <w:tblGrid>
                              <w:gridCol w:w="516"/>
                              <w:gridCol w:w="1185"/>
                              <w:gridCol w:w="1134"/>
                              <w:gridCol w:w="1418"/>
                              <w:gridCol w:w="5245"/>
                            </w:tblGrid>
                            <w:tr w:rsidR="00416CDB" w:rsidRPr="005F29BE" w:rsidTr="005F29BE">
                              <w:trPr>
                                <w:trHeight w:val="259"/>
                              </w:trPr>
                              <w:tc>
                                <w:tcPr>
                                  <w:tcW w:w="516" w:type="dxa"/>
                                  <w:tcBorders>
                                    <w:bottom w:val="double" w:sz="4" w:space="0" w:color="auto"/>
                                  </w:tcBorders>
                                  <w:vAlign w:val="center"/>
                                </w:tcPr>
                                <w:p w:rsidR="00416CDB" w:rsidRPr="005F29BE" w:rsidRDefault="00416CDB" w:rsidP="00D1050B">
                                  <w:pPr>
                                    <w:jc w:val="center"/>
                                    <w:rPr>
                                      <w:sz w:val="20"/>
                                      <w:szCs w:val="20"/>
                                    </w:rPr>
                                  </w:pPr>
                                </w:p>
                              </w:tc>
                              <w:tc>
                                <w:tcPr>
                                  <w:tcW w:w="1185"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フェーズ</w:t>
                                  </w:r>
                                </w:p>
                              </w:tc>
                              <w:tc>
                                <w:tcPr>
                                  <w:tcW w:w="1134"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ステークホルダ</w:t>
                                  </w:r>
                                </w:p>
                              </w:tc>
                              <w:tc>
                                <w:tcPr>
                                  <w:tcW w:w="1418" w:type="dxa"/>
                                  <w:tcBorders>
                                    <w:bottom w:val="double" w:sz="4" w:space="0" w:color="auto"/>
                                  </w:tcBorders>
                                  <w:vAlign w:val="center"/>
                                </w:tcPr>
                                <w:p w:rsidR="00416CDB" w:rsidRPr="005F29BE" w:rsidRDefault="00416CDB" w:rsidP="00FC1A55">
                                  <w:pPr>
                                    <w:jc w:val="center"/>
                                    <w:rPr>
                                      <w:sz w:val="20"/>
                                      <w:szCs w:val="20"/>
                                    </w:rPr>
                                  </w:pPr>
                                  <w:r w:rsidRPr="005F29BE">
                                    <w:rPr>
                                      <w:rFonts w:hint="eastAsia"/>
                                      <w:sz w:val="20"/>
                                      <w:szCs w:val="20"/>
                                    </w:rPr>
                                    <w:t>作業</w:t>
                                  </w:r>
                                </w:p>
                              </w:tc>
                              <w:tc>
                                <w:tcPr>
                                  <w:tcW w:w="5245"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内容</w:t>
                                  </w:r>
                                </w:p>
                              </w:tc>
                            </w:tr>
                            <w:tr w:rsidR="00416CDB" w:rsidRPr="005F29BE" w:rsidTr="005F29BE">
                              <w:trPr>
                                <w:trHeight w:val="521"/>
                              </w:trPr>
                              <w:tc>
                                <w:tcPr>
                                  <w:tcW w:w="516" w:type="dxa"/>
                                  <w:tcBorders>
                                    <w:top w:val="double" w:sz="4" w:space="0" w:color="auto"/>
                                  </w:tcBorders>
                                  <w:vAlign w:val="center"/>
                                </w:tcPr>
                                <w:p w:rsidR="00416CDB" w:rsidRPr="005F29BE" w:rsidRDefault="00416CDB" w:rsidP="00D1050B">
                                  <w:pPr>
                                    <w:jc w:val="center"/>
                                    <w:rPr>
                                      <w:sz w:val="20"/>
                                      <w:szCs w:val="20"/>
                                    </w:rPr>
                                  </w:pPr>
                                  <w:r w:rsidRPr="005F29BE">
                                    <w:rPr>
                                      <w:rFonts w:ascii="ＭＳ ゴシック" w:eastAsia="ＭＳ ゴシック" w:hAnsi="ＭＳ ゴシック"/>
                                      <w:sz w:val="20"/>
                                      <w:szCs w:val="20"/>
                                    </w:rPr>
                                    <w:t>(</w:t>
                                  </w:r>
                                  <w:r w:rsidRPr="005F29BE">
                                    <w:rPr>
                                      <w:rFonts w:ascii="ＭＳ ゴシック" w:eastAsia="ＭＳ ゴシック" w:hAnsi="ＭＳ ゴシック" w:hint="eastAsia"/>
                                      <w:sz w:val="20"/>
                                      <w:szCs w:val="20"/>
                                    </w:rPr>
                                    <w:t>A</w:t>
                                  </w:r>
                                  <w:r w:rsidRPr="005F29BE">
                                    <w:rPr>
                                      <w:rFonts w:ascii="ＭＳ ゴシック" w:eastAsia="ＭＳ ゴシック" w:hAnsi="ＭＳ ゴシック"/>
                                      <w:sz w:val="20"/>
                                      <w:szCs w:val="20"/>
                                    </w:rPr>
                                    <w:t>)</w:t>
                                  </w:r>
                                </w:p>
                              </w:tc>
                              <w:tc>
                                <w:tcPr>
                                  <w:tcW w:w="1185" w:type="dxa"/>
                                  <w:tcBorders>
                                    <w:top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設計段階</w:t>
                                  </w:r>
                                </w:p>
                              </w:tc>
                              <w:tc>
                                <w:tcPr>
                                  <w:tcW w:w="1134" w:type="dxa"/>
                                  <w:tcBorders>
                                    <w:top w:val="doub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分析者</w:t>
                                  </w:r>
                                </w:p>
                              </w:tc>
                              <w:tc>
                                <w:tcPr>
                                  <w:tcW w:w="1418" w:type="dxa"/>
                                  <w:tcBorders>
                                    <w:top w:val="double" w:sz="4" w:space="0" w:color="auto"/>
                                  </w:tcBorders>
                                  <w:vAlign w:val="center"/>
                                </w:tcPr>
                                <w:p w:rsidR="00416CDB" w:rsidRPr="005F29BE" w:rsidRDefault="00416CDB" w:rsidP="00D1050B">
                                  <w:pPr>
                                    <w:spacing w:line="240" w:lineRule="exact"/>
                                    <w:jc w:val="center"/>
                                    <w:rPr>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1</w:t>
                                  </w:r>
                                  <w:r w:rsidRPr="005F29BE">
                                    <w:rPr>
                                      <w:rFonts w:ascii="ＭＳ ゴシック" w:eastAsia="ＭＳ ゴシック" w:hAnsi="ＭＳ ゴシック" w:hint="eastAsia"/>
                                      <w:sz w:val="20"/>
                                      <w:szCs w:val="20"/>
                                    </w:rPr>
                                    <w:t>)</w:t>
                                  </w:r>
                                  <w:r w:rsidRPr="005F29BE">
                                    <w:rPr>
                                      <w:rFonts w:hint="eastAsia"/>
                                      <w:sz w:val="20"/>
                                      <w:szCs w:val="20"/>
                                    </w:rPr>
                                    <w:t>の</w:t>
                                  </w:r>
                                  <w:r w:rsidRPr="005F29BE">
                                    <w:rPr>
                                      <w:sz w:val="20"/>
                                      <w:szCs w:val="20"/>
                                    </w:rPr>
                                    <w:t>具体化</w:t>
                                  </w:r>
                                </w:p>
                              </w:tc>
                              <w:tc>
                                <w:tcPr>
                                  <w:tcW w:w="5245" w:type="dxa"/>
                                  <w:tcBorders>
                                    <w:top w:val="double" w:sz="4" w:space="0" w:color="auto"/>
                                  </w:tcBorders>
                                </w:tcPr>
                                <w:p w:rsidR="00416CDB" w:rsidRPr="005F29BE" w:rsidRDefault="00416CDB" w:rsidP="00831E9C">
                                  <w:pPr>
                                    <w:spacing w:line="240" w:lineRule="exact"/>
                                    <w:rPr>
                                      <w:sz w:val="20"/>
                                      <w:szCs w:val="20"/>
                                    </w:rPr>
                                  </w:pPr>
                                  <w:r w:rsidRPr="005F29BE">
                                    <w:rPr>
                                      <w:rFonts w:hint="eastAsia"/>
                                      <w:sz w:val="20"/>
                                      <w:szCs w:val="20"/>
                                    </w:rPr>
                                    <w:t>対象思考タスクのベース思考のアウトプット</w:t>
                                  </w:r>
                                  <w:r w:rsidRPr="005F29BE">
                                    <w:rPr>
                                      <w:sz w:val="20"/>
                                      <w:szCs w:val="20"/>
                                    </w:rPr>
                                    <w:t>概念を</w:t>
                                  </w:r>
                                  <w:r w:rsidRPr="005F29BE">
                                    <w:rPr>
                                      <w:rFonts w:hint="eastAsia"/>
                                      <w:sz w:val="20"/>
                                      <w:szCs w:val="20"/>
                                    </w:rPr>
                                    <w:t>オントロジーとして</w:t>
                                  </w:r>
                                  <w:r w:rsidRPr="005F29BE">
                                    <w:rPr>
                                      <w:sz w:val="20"/>
                                      <w:szCs w:val="20"/>
                                    </w:rPr>
                                    <w:t>追加</w:t>
                                  </w:r>
                                </w:p>
                              </w:tc>
                            </w:tr>
                            <w:tr w:rsidR="00416CDB" w:rsidRPr="005F29BE" w:rsidTr="005F29BE">
                              <w:trPr>
                                <w:trHeight w:val="528"/>
                              </w:trPr>
                              <w:tc>
                                <w:tcPr>
                                  <w:tcW w:w="516" w:type="dxa"/>
                                  <w:tcBorders>
                                    <w:bottom w:val="sing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(B)</w:t>
                                  </w:r>
                                </w:p>
                              </w:tc>
                              <w:tc>
                                <w:tcPr>
                                  <w:tcW w:w="1185" w:type="dxa"/>
                                  <w:vMerge w:val="restart"/>
                                  <w:vAlign w:val="center"/>
                                </w:tcPr>
                                <w:p w:rsidR="00416CDB" w:rsidRPr="005F29BE" w:rsidRDefault="00416CDB" w:rsidP="00D1050B">
                                  <w:pPr>
                                    <w:jc w:val="center"/>
                                    <w:rPr>
                                      <w:sz w:val="20"/>
                                      <w:szCs w:val="20"/>
                                    </w:rPr>
                                  </w:pPr>
                                  <w:r w:rsidRPr="005F29BE">
                                    <w:rPr>
                                      <w:rFonts w:hint="eastAsia"/>
                                      <w:sz w:val="20"/>
                                      <w:szCs w:val="20"/>
                                    </w:rPr>
                                    <w:t>開発</w:t>
                                  </w:r>
                                  <w:r w:rsidRPr="005F29BE">
                                    <w:rPr>
                                      <w:sz w:val="20"/>
                                      <w:szCs w:val="20"/>
                                    </w:rPr>
                                    <w:t>段階</w:t>
                                  </w:r>
                                </w:p>
                              </w:tc>
                              <w:tc>
                                <w:tcPr>
                                  <w:tcW w:w="1134" w:type="dxa"/>
                                  <w:tcBorders>
                                    <w:bottom w:val="sing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分析者・開発者</w:t>
                                  </w:r>
                                </w:p>
                              </w:tc>
                              <w:tc>
                                <w:tcPr>
                                  <w:tcW w:w="1418" w:type="dxa"/>
                                  <w:tcBorders>
                                    <w:bottom w:val="single" w:sz="4" w:space="0" w:color="auto"/>
                                  </w:tcBorders>
                                  <w:vAlign w:val="center"/>
                                </w:tcPr>
                                <w:p w:rsidR="00416CDB" w:rsidRPr="005F29BE" w:rsidRDefault="00416CDB" w:rsidP="00D1050B">
                                  <w:pPr>
                                    <w:spacing w:line="240" w:lineRule="exact"/>
                                    <w:jc w:val="center"/>
                                    <w:rPr>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1</w:t>
                                  </w:r>
                                  <w:r w:rsidRPr="005F29BE">
                                    <w:rPr>
                                      <w:rFonts w:ascii="ＭＳ ゴシック" w:eastAsia="ＭＳ ゴシック" w:hAnsi="ＭＳ ゴシック" w:hint="eastAsia"/>
                                      <w:sz w:val="20"/>
                                      <w:szCs w:val="20"/>
                                    </w:rPr>
                                    <w:t>)</w:t>
                                  </w:r>
                                  <w:r w:rsidRPr="005F29BE">
                                    <w:rPr>
                                      <w:rFonts w:hint="eastAsia"/>
                                      <w:sz w:val="20"/>
                                      <w:szCs w:val="20"/>
                                    </w:rPr>
                                    <w:t>→</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2</w:t>
                                  </w:r>
                                  <w:r w:rsidRPr="005F29BE">
                                    <w:rPr>
                                      <w:rFonts w:ascii="ＭＳ ゴシック" w:eastAsia="ＭＳ ゴシック" w:hAnsi="ＭＳ ゴシック" w:hint="eastAsia"/>
                                      <w:sz w:val="20"/>
                                      <w:szCs w:val="20"/>
                                    </w:rPr>
                                    <w:t>)</w:t>
                                  </w:r>
                                  <w:r w:rsidRPr="005F29BE">
                                    <w:rPr>
                                      <w:sz w:val="20"/>
                                      <w:szCs w:val="20"/>
                                    </w:rPr>
                                    <w:t>へ</w:t>
                                  </w:r>
                                  <w:r w:rsidRPr="005F29BE">
                                    <w:rPr>
                                      <w:rFonts w:hint="eastAsia"/>
                                      <w:sz w:val="20"/>
                                      <w:szCs w:val="20"/>
                                    </w:rPr>
                                    <w:t>の写像及び</w:t>
                                  </w:r>
                                  <w:r w:rsidRPr="005F29BE">
                                    <w:rPr>
                                      <w:sz w:val="20"/>
                                      <w:szCs w:val="20"/>
                                    </w:rPr>
                                    <w:t>具体化</w:t>
                                  </w:r>
                                </w:p>
                              </w:tc>
                              <w:tc>
                                <w:tcPr>
                                  <w:tcW w:w="5245" w:type="dxa"/>
                                  <w:tcBorders>
                                    <w:bottom w:val="single" w:sz="4" w:space="0" w:color="auto"/>
                                  </w:tcBorders>
                                </w:tcPr>
                                <w:p w:rsidR="00416CDB" w:rsidRPr="005F29BE" w:rsidRDefault="00416CDB" w:rsidP="00F139B3">
                                  <w:pPr>
                                    <w:spacing w:line="240" w:lineRule="exact"/>
                                    <w:rPr>
                                      <w:sz w:val="20"/>
                                      <w:szCs w:val="20"/>
                                    </w:rPr>
                                  </w:pPr>
                                  <w:r w:rsidRPr="005F29BE">
                                    <w:rPr>
                                      <w:rFonts w:ascii="ＭＳ ゴシック" w:eastAsia="ＭＳ ゴシック" w:hAnsi="ＭＳ ゴシック"/>
                                      <w:sz w:val="20"/>
                                      <w:szCs w:val="20"/>
                                    </w:rPr>
                                    <w:t>(</w:t>
                                  </w:r>
                                  <w:r w:rsidRPr="005F29BE">
                                    <w:rPr>
                                      <w:rFonts w:ascii="ＭＳ ゴシック" w:eastAsia="ＭＳ ゴシック" w:hAnsi="ＭＳ ゴシック" w:hint="eastAsia"/>
                                      <w:sz w:val="20"/>
                                      <w:szCs w:val="20"/>
                                    </w:rPr>
                                    <w:t>A</w:t>
                                  </w:r>
                                  <w:r w:rsidRPr="005F29BE">
                                    <w:rPr>
                                      <w:rFonts w:ascii="ＭＳ ゴシック" w:eastAsia="ＭＳ ゴシック" w:hAnsi="ＭＳ ゴシック"/>
                                      <w:sz w:val="20"/>
                                      <w:szCs w:val="20"/>
                                    </w:rPr>
                                    <w:t>)</w:t>
                                  </w:r>
                                  <w:r w:rsidRPr="005F29BE">
                                    <w:rPr>
                                      <w:rFonts w:hint="eastAsia"/>
                                      <w:sz w:val="20"/>
                                      <w:szCs w:val="20"/>
                                    </w:rPr>
                                    <w:t>で規定したベース思考概念と思考表現オブジェクト概念との対応を規定し，</w:t>
                                  </w:r>
                                  <w:r w:rsidRPr="005F29BE">
                                    <w:rPr>
                                      <w:sz w:val="20"/>
                                      <w:szCs w:val="20"/>
                                    </w:rPr>
                                    <w:t>この</w:t>
                                  </w:r>
                                  <w:r w:rsidRPr="005F29BE">
                                    <w:rPr>
                                      <w:rFonts w:hint="eastAsia"/>
                                      <w:sz w:val="20"/>
                                      <w:szCs w:val="20"/>
                                    </w:rPr>
                                    <w:t>規定に基づいた思考外化アプリケーションを開発（</w:t>
                                  </w:r>
                                  <w:r w:rsidRPr="005F29BE">
                                    <w:rPr>
                                      <w:rFonts w:hint="eastAsia"/>
                                      <w:sz w:val="20"/>
                                      <w:szCs w:val="20"/>
                                    </w:rPr>
                                    <w:t>5.</w:t>
                                  </w:r>
                                  <w:r w:rsidRPr="005F29BE">
                                    <w:rPr>
                                      <w:sz w:val="20"/>
                                      <w:szCs w:val="20"/>
                                    </w:rPr>
                                    <w:t>2</w:t>
                                  </w:r>
                                  <w:r w:rsidRPr="005F29BE">
                                    <w:rPr>
                                      <w:rFonts w:hint="eastAsia"/>
                                      <w:sz w:val="20"/>
                                      <w:szCs w:val="20"/>
                                    </w:rPr>
                                    <w:t>節）</w:t>
                                  </w:r>
                                </w:p>
                              </w:tc>
                            </w:tr>
                            <w:tr w:rsidR="00416CDB" w:rsidRPr="005F29BE" w:rsidTr="005F29BE">
                              <w:trPr>
                                <w:trHeight w:val="745"/>
                              </w:trPr>
                              <w:tc>
                                <w:tcPr>
                                  <w:tcW w:w="516" w:type="dxa"/>
                                  <w:tcBorders>
                                    <w:bottom w:val="sing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(C)</w:t>
                                  </w:r>
                                </w:p>
                              </w:tc>
                              <w:tc>
                                <w:tcPr>
                                  <w:tcW w:w="1185" w:type="dxa"/>
                                  <w:vMerge/>
                                  <w:tcBorders>
                                    <w:bottom w:val="single" w:sz="4" w:space="0" w:color="auto"/>
                                  </w:tcBorders>
                                </w:tcPr>
                                <w:p w:rsidR="00416CDB" w:rsidRPr="005F29BE" w:rsidRDefault="00416CDB" w:rsidP="00D1050B">
                                  <w:pPr>
                                    <w:jc w:val="left"/>
                                    <w:rPr>
                                      <w:sz w:val="20"/>
                                      <w:szCs w:val="20"/>
                                    </w:rPr>
                                  </w:pPr>
                                </w:p>
                              </w:tc>
                              <w:tc>
                                <w:tcPr>
                                  <w:tcW w:w="1134" w:type="dxa"/>
                                  <w:tcBorders>
                                    <w:bottom w:val="sing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開発者</w:t>
                                  </w:r>
                                </w:p>
                              </w:tc>
                              <w:tc>
                                <w:tcPr>
                                  <w:tcW w:w="1418" w:type="dxa"/>
                                  <w:tcBorders>
                                    <w:bottom w:val="single" w:sz="4" w:space="0" w:color="auto"/>
                                  </w:tcBorders>
                                  <w:vAlign w:val="center"/>
                                </w:tcPr>
                                <w:p w:rsidR="00416CDB" w:rsidRPr="005F29BE" w:rsidRDefault="00416CDB" w:rsidP="00D1050B">
                                  <w:pPr>
                                    <w:spacing w:line="240" w:lineRule="exact"/>
                                    <w:jc w:val="center"/>
                                    <w:rPr>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1</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w:t>
                                  </w:r>
                                  <w:r w:rsidRPr="005F29BE">
                                    <w:rPr>
                                      <w:sz w:val="20"/>
                                      <w:szCs w:val="20"/>
                                    </w:rPr>
                                    <w:t xml:space="preserve"> </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2</w:t>
                                  </w:r>
                                  <w:r w:rsidRPr="005F29BE">
                                    <w:rPr>
                                      <w:rFonts w:ascii="ＭＳ ゴシック" w:eastAsia="ＭＳ ゴシック" w:hAnsi="ＭＳ ゴシック" w:hint="eastAsia"/>
                                      <w:sz w:val="20"/>
                                      <w:szCs w:val="20"/>
                                    </w:rPr>
                                    <w:t>)</w:t>
                                  </w:r>
                                  <w:r w:rsidRPr="005F29BE">
                                    <w:rPr>
                                      <w:rFonts w:hint="eastAsia"/>
                                      <w:sz w:val="20"/>
                                      <w:szCs w:val="20"/>
                                    </w:rPr>
                                    <w:t>に基づく</w:t>
                                  </w:r>
                                  <w:r w:rsidRPr="005F29BE">
                                    <w:rPr>
                                      <w:sz w:val="20"/>
                                      <w:szCs w:val="20"/>
                                    </w:rPr>
                                    <w:br/>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3</w:t>
                                  </w:r>
                                  <w:r w:rsidRPr="005F29BE">
                                    <w:rPr>
                                      <w:rFonts w:ascii="ＭＳ ゴシック" w:eastAsia="ＭＳ ゴシック" w:hAnsi="ＭＳ ゴシック" w:hint="eastAsia"/>
                                      <w:sz w:val="20"/>
                                      <w:szCs w:val="20"/>
                                    </w:rPr>
                                    <w:t>)</w:t>
                                  </w:r>
                                  <w:r w:rsidRPr="005F29BE">
                                    <w:rPr>
                                      <w:rFonts w:hint="eastAsia"/>
                                      <w:sz w:val="20"/>
                                      <w:szCs w:val="20"/>
                                    </w:rPr>
                                    <w:t>の</w:t>
                                  </w:r>
                                  <w:r w:rsidRPr="005F29BE">
                                    <w:rPr>
                                      <w:sz w:val="20"/>
                                      <w:szCs w:val="20"/>
                                    </w:rPr>
                                    <w:t>具体化</w:t>
                                  </w:r>
                                </w:p>
                              </w:tc>
                              <w:tc>
                                <w:tcPr>
                                  <w:tcW w:w="5245" w:type="dxa"/>
                                  <w:tcBorders>
                                    <w:bottom w:val="single" w:sz="4" w:space="0" w:color="auto"/>
                                  </w:tcBorders>
                                </w:tcPr>
                                <w:p w:rsidR="00416CDB" w:rsidRPr="005F29BE" w:rsidRDefault="00416CDB" w:rsidP="001E00C4">
                                  <w:pPr>
                                    <w:spacing w:line="240" w:lineRule="exact"/>
                                    <w:rPr>
                                      <w:sz w:val="20"/>
                                      <w:szCs w:val="20"/>
                                    </w:rPr>
                                  </w:pPr>
                                  <w:r w:rsidRPr="005F29BE">
                                    <w:rPr>
                                      <w:rFonts w:ascii="ＭＳ ゴシック" w:eastAsia="ＭＳ ゴシック" w:hAnsi="ＭＳ ゴシック"/>
                                      <w:sz w:val="20"/>
                                      <w:szCs w:val="20"/>
                                    </w:rPr>
                                    <w:t>(B)</w:t>
                                  </w:r>
                                  <w:r w:rsidRPr="005F29BE">
                                    <w:rPr>
                                      <w:rFonts w:hint="eastAsia"/>
                                      <w:sz w:val="20"/>
                                      <w:szCs w:val="20"/>
                                    </w:rPr>
                                    <w:t>の思考外化アプリケーションで計測される視線行為・思考操作行為を</w:t>
                                  </w:r>
                                  <w:r w:rsidRPr="005F29BE">
                                    <w:rPr>
                                      <w:sz w:val="20"/>
                                      <w:szCs w:val="20"/>
                                    </w:rPr>
                                    <w:t>，</w:t>
                                  </w:r>
                                  <w:r w:rsidRPr="005F29BE">
                                    <w:rPr>
                                      <w:rFonts w:hint="eastAsia"/>
                                      <w:sz w:val="20"/>
                                      <w:szCs w:val="20"/>
                                    </w:rPr>
                                    <w:t>解釈表現クラスの</w:t>
                                  </w:r>
                                  <w:r w:rsidRPr="005F29BE">
                                    <w:rPr>
                                      <w:sz w:val="20"/>
                                      <w:szCs w:val="20"/>
                                    </w:rPr>
                                    <w:t>具体的なインスタンス</w:t>
                                  </w:r>
                                  <w:r w:rsidRPr="005F29BE">
                                    <w:rPr>
                                      <w:rFonts w:hint="eastAsia"/>
                                      <w:sz w:val="20"/>
                                      <w:szCs w:val="20"/>
                                    </w:rPr>
                                    <w:t>として定義し，準メタ認知的モニタリング・コントロール行為を捉えるための思考分析支援システムを開発（</w:t>
                                  </w:r>
                                  <w:r w:rsidRPr="005F29BE">
                                    <w:rPr>
                                      <w:rFonts w:hint="eastAsia"/>
                                      <w:sz w:val="20"/>
                                      <w:szCs w:val="20"/>
                                    </w:rPr>
                                    <w:t>5.3</w:t>
                                  </w:r>
                                  <w:r w:rsidRPr="005F29BE">
                                    <w:rPr>
                                      <w:rFonts w:hint="eastAsia"/>
                                      <w:sz w:val="20"/>
                                      <w:szCs w:val="20"/>
                                    </w:rPr>
                                    <w:t>節）</w:t>
                                  </w:r>
                                </w:p>
                              </w:tc>
                            </w:tr>
                            <w:tr w:rsidR="00416CDB" w:rsidRPr="005F29BE" w:rsidTr="005F29BE">
                              <w:trPr>
                                <w:trHeight w:val="311"/>
                              </w:trPr>
                              <w:tc>
                                <w:tcPr>
                                  <w:tcW w:w="516" w:type="dxa"/>
                                  <w:tcBorders>
                                    <w:top w:val="single" w:sz="4" w:space="0" w:color="auto"/>
                                    <w:bottom w:val="sing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(D)</w:t>
                                  </w:r>
                                </w:p>
                              </w:tc>
                              <w:tc>
                                <w:tcPr>
                                  <w:tcW w:w="1185" w:type="dxa"/>
                                  <w:tcBorders>
                                    <w:top w:val="single" w:sz="4" w:space="0" w:color="auto"/>
                                    <w:bottom w:val="single" w:sz="4" w:space="0" w:color="auto"/>
                                  </w:tcBorders>
                                  <w:vAlign w:val="center"/>
                                </w:tcPr>
                                <w:p w:rsidR="00416CDB" w:rsidRPr="005F29BE" w:rsidRDefault="00416CDB" w:rsidP="00D1050B">
                                  <w:pPr>
                                    <w:jc w:val="center"/>
                                    <w:rPr>
                                      <w:sz w:val="20"/>
                                      <w:szCs w:val="20"/>
                                    </w:rPr>
                                  </w:pPr>
                                  <w:r w:rsidRPr="005F29BE">
                                    <w:rPr>
                                      <w:rFonts w:hint="eastAsia"/>
                                      <w:sz w:val="20"/>
                                      <w:szCs w:val="20"/>
                                    </w:rPr>
                                    <w:t>計測段階</w:t>
                                  </w:r>
                                </w:p>
                              </w:tc>
                              <w:tc>
                                <w:tcPr>
                                  <w:tcW w:w="1134" w:type="dxa"/>
                                  <w:tcBorders>
                                    <w:top w:val="single" w:sz="4" w:space="0" w:color="auto"/>
                                    <w:bottom w:val="sing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思考</w:t>
                                  </w:r>
                                  <w:r w:rsidRPr="005F29BE">
                                    <w:rPr>
                                      <w:sz w:val="20"/>
                                      <w:szCs w:val="20"/>
                                    </w:rPr>
                                    <w:t>行為</w:t>
                                  </w:r>
                                  <w:r w:rsidRPr="005F29BE">
                                    <w:rPr>
                                      <w:rFonts w:hint="eastAsia"/>
                                      <w:sz w:val="20"/>
                                      <w:szCs w:val="20"/>
                                    </w:rPr>
                                    <w:t>者</w:t>
                                  </w:r>
                                </w:p>
                              </w:tc>
                              <w:tc>
                                <w:tcPr>
                                  <w:tcW w:w="1418" w:type="dxa"/>
                                  <w:tcBorders>
                                    <w:top w:val="single" w:sz="4" w:space="0" w:color="auto"/>
                                    <w:bottom w:val="single" w:sz="4" w:space="0" w:color="auto"/>
                                  </w:tcBorders>
                                  <w:vAlign w:val="center"/>
                                </w:tcPr>
                                <w:p w:rsidR="00416CDB" w:rsidRPr="005F29BE" w:rsidRDefault="00416CDB" w:rsidP="00D1050B">
                                  <w:pPr>
                                    <w:spacing w:line="240" w:lineRule="exact"/>
                                    <w:jc w:val="center"/>
                                    <w:rPr>
                                      <w:sz w:val="20"/>
                                      <w:szCs w:val="20"/>
                                    </w:rPr>
                                  </w:pPr>
                                  <w:r w:rsidRPr="005F29BE">
                                    <w:rPr>
                                      <w:rFonts w:hint="eastAsia"/>
                                      <w:sz w:val="20"/>
                                      <w:szCs w:val="20"/>
                                    </w:rPr>
                                    <w:t>―</w:t>
                                  </w:r>
                                </w:p>
                              </w:tc>
                              <w:tc>
                                <w:tcPr>
                                  <w:tcW w:w="5245" w:type="dxa"/>
                                  <w:tcBorders>
                                    <w:top w:val="single" w:sz="4" w:space="0" w:color="auto"/>
                                    <w:bottom w:val="single" w:sz="4" w:space="0" w:color="auto"/>
                                  </w:tcBorders>
                                </w:tcPr>
                                <w:p w:rsidR="00416CDB" w:rsidRPr="005F29BE" w:rsidRDefault="00416CDB" w:rsidP="000076D6">
                                  <w:pPr>
                                    <w:spacing w:line="240" w:lineRule="exact"/>
                                    <w:rPr>
                                      <w:sz w:val="20"/>
                                      <w:szCs w:val="20"/>
                                    </w:rPr>
                                  </w:pPr>
                                  <w:r w:rsidRPr="005F29BE">
                                    <w:rPr>
                                      <w:rFonts w:ascii="ＭＳ ゴシック" w:eastAsia="ＭＳ ゴシック" w:hAnsi="ＭＳ ゴシック"/>
                                      <w:sz w:val="20"/>
                                      <w:szCs w:val="20"/>
                                    </w:rPr>
                                    <w:t>(B)</w:t>
                                  </w:r>
                                  <w:r w:rsidRPr="005F29BE">
                                    <w:rPr>
                                      <w:rFonts w:hint="eastAsia"/>
                                      <w:sz w:val="20"/>
                                      <w:szCs w:val="20"/>
                                    </w:rPr>
                                    <w:t>の思考外化アプリケーションを</w:t>
                                  </w:r>
                                  <w:r w:rsidRPr="005F29BE">
                                    <w:rPr>
                                      <w:sz w:val="20"/>
                                      <w:szCs w:val="20"/>
                                    </w:rPr>
                                    <w:t>利用し，</w:t>
                                  </w:r>
                                  <w:r w:rsidRPr="005F29BE">
                                    <w:rPr>
                                      <w:rFonts w:hint="eastAsia"/>
                                      <w:sz w:val="20"/>
                                      <w:szCs w:val="20"/>
                                    </w:rPr>
                                    <w:t>思考</w:t>
                                  </w:r>
                                  <w:r w:rsidRPr="005F29BE">
                                    <w:rPr>
                                      <w:sz w:val="20"/>
                                      <w:szCs w:val="20"/>
                                    </w:rPr>
                                    <w:t>行為者が思考タスク</w:t>
                                  </w:r>
                                  <w:r w:rsidRPr="005F29BE">
                                    <w:rPr>
                                      <w:rFonts w:hint="eastAsia"/>
                                      <w:sz w:val="20"/>
                                      <w:szCs w:val="20"/>
                                    </w:rPr>
                                    <w:t>を実施（視線</w:t>
                                  </w:r>
                                  <w:r w:rsidRPr="005F29BE">
                                    <w:rPr>
                                      <w:sz w:val="20"/>
                                      <w:szCs w:val="20"/>
                                    </w:rPr>
                                    <w:t>行為</w:t>
                                  </w:r>
                                  <w:r w:rsidRPr="005F29BE">
                                    <w:rPr>
                                      <w:rFonts w:hint="eastAsia"/>
                                      <w:sz w:val="20"/>
                                      <w:szCs w:val="20"/>
                                    </w:rPr>
                                    <w:t>，</w:t>
                                  </w:r>
                                  <w:r w:rsidRPr="005F29BE">
                                    <w:rPr>
                                      <w:sz w:val="20"/>
                                      <w:szCs w:val="20"/>
                                    </w:rPr>
                                    <w:t>思考操作行為</w:t>
                                  </w:r>
                                  <w:r w:rsidRPr="005F29BE">
                                    <w:rPr>
                                      <w:rFonts w:hint="eastAsia"/>
                                      <w:sz w:val="20"/>
                                      <w:szCs w:val="20"/>
                                    </w:rPr>
                                    <w:t>を</w:t>
                                  </w:r>
                                  <w:r w:rsidRPr="005F29BE">
                                    <w:rPr>
                                      <w:sz w:val="20"/>
                                      <w:szCs w:val="20"/>
                                    </w:rPr>
                                    <w:t>計測</w:t>
                                  </w:r>
                                  <w:r w:rsidRPr="005F29BE">
                                    <w:rPr>
                                      <w:rFonts w:hint="eastAsia"/>
                                      <w:sz w:val="20"/>
                                      <w:szCs w:val="20"/>
                                    </w:rPr>
                                    <w:t>）（</w:t>
                                  </w:r>
                                  <w:r w:rsidRPr="005F29BE">
                                    <w:rPr>
                                      <w:sz w:val="20"/>
                                      <w:szCs w:val="20"/>
                                    </w:rPr>
                                    <w:t>6</w:t>
                                  </w:r>
                                  <w:r w:rsidRPr="005F29BE">
                                    <w:rPr>
                                      <w:rFonts w:hint="eastAsia"/>
                                      <w:sz w:val="20"/>
                                      <w:szCs w:val="20"/>
                                    </w:rPr>
                                    <w:t>.1</w:t>
                                  </w:r>
                                  <w:r w:rsidRPr="005F29BE">
                                    <w:rPr>
                                      <w:rFonts w:hint="eastAsia"/>
                                      <w:sz w:val="20"/>
                                      <w:szCs w:val="20"/>
                                    </w:rPr>
                                    <w:t>節）</w:t>
                                  </w:r>
                                </w:p>
                              </w:tc>
                            </w:tr>
                            <w:tr w:rsidR="00416CDB" w:rsidRPr="005F29BE" w:rsidTr="005F29BE">
                              <w:trPr>
                                <w:trHeight w:val="528"/>
                              </w:trPr>
                              <w:tc>
                                <w:tcPr>
                                  <w:tcW w:w="516" w:type="dxa"/>
                                  <w:tcBorders>
                                    <w:top w:val="sing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(E)</w:t>
                                  </w:r>
                                </w:p>
                              </w:tc>
                              <w:tc>
                                <w:tcPr>
                                  <w:tcW w:w="1185" w:type="dxa"/>
                                  <w:tcBorders>
                                    <w:top w:val="single" w:sz="4" w:space="0" w:color="auto"/>
                                  </w:tcBorders>
                                  <w:vAlign w:val="center"/>
                                </w:tcPr>
                                <w:p w:rsidR="00416CDB" w:rsidRPr="005F29BE" w:rsidRDefault="00416CDB" w:rsidP="00D1050B">
                                  <w:pPr>
                                    <w:jc w:val="center"/>
                                    <w:rPr>
                                      <w:sz w:val="20"/>
                                      <w:szCs w:val="20"/>
                                    </w:rPr>
                                  </w:pPr>
                                  <w:r w:rsidRPr="005F29BE">
                                    <w:rPr>
                                      <w:rFonts w:hint="eastAsia"/>
                                      <w:sz w:val="20"/>
                                      <w:szCs w:val="20"/>
                                    </w:rPr>
                                    <w:t>分析段階</w:t>
                                  </w:r>
                                </w:p>
                              </w:tc>
                              <w:tc>
                                <w:tcPr>
                                  <w:tcW w:w="1134" w:type="dxa"/>
                                  <w:tcBorders>
                                    <w:top w:val="sing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分析者</w:t>
                                  </w:r>
                                </w:p>
                              </w:tc>
                              <w:tc>
                                <w:tcPr>
                                  <w:tcW w:w="1418" w:type="dxa"/>
                                  <w:tcBorders>
                                    <w:top w:val="single" w:sz="4" w:space="0" w:color="auto"/>
                                  </w:tcBorders>
                                  <w:vAlign w:val="center"/>
                                </w:tcPr>
                                <w:p w:rsidR="00416CDB" w:rsidRPr="005F29BE" w:rsidRDefault="00416CDB" w:rsidP="00D1050B">
                                  <w:pPr>
                                    <w:spacing w:line="240" w:lineRule="exact"/>
                                    <w:jc w:val="center"/>
                                    <w:rPr>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3</w:t>
                                  </w:r>
                                  <w:r w:rsidRPr="005F29BE">
                                    <w:rPr>
                                      <w:rFonts w:ascii="ＭＳ ゴシック" w:eastAsia="ＭＳ ゴシック" w:hAnsi="ＭＳ ゴシック" w:hint="eastAsia"/>
                                      <w:sz w:val="20"/>
                                      <w:szCs w:val="20"/>
                                    </w:rPr>
                                    <w:t>)</w:t>
                                  </w:r>
                                  <w:r w:rsidRPr="005F29BE">
                                    <w:rPr>
                                      <w:rFonts w:hint="eastAsia"/>
                                      <w:sz w:val="20"/>
                                      <w:szCs w:val="20"/>
                                    </w:rPr>
                                    <w:t>の適用</w:t>
                                  </w:r>
                                </w:p>
                              </w:tc>
                              <w:tc>
                                <w:tcPr>
                                  <w:tcW w:w="5245" w:type="dxa"/>
                                  <w:tcBorders>
                                    <w:top w:val="single" w:sz="4" w:space="0" w:color="auto"/>
                                  </w:tcBorders>
                                </w:tcPr>
                                <w:p w:rsidR="00416CDB" w:rsidRPr="005F29BE" w:rsidRDefault="00416CDB" w:rsidP="000076D6">
                                  <w:pPr>
                                    <w:spacing w:line="240" w:lineRule="exact"/>
                                    <w:rPr>
                                      <w:sz w:val="20"/>
                                      <w:szCs w:val="20"/>
                                    </w:rPr>
                                  </w:pPr>
                                  <w:r w:rsidRPr="005F29BE">
                                    <w:rPr>
                                      <w:rFonts w:ascii="ＭＳ 明朝" w:hAnsi="ＭＳ 明朝" w:hint="eastAsia"/>
                                      <w:sz w:val="20"/>
                                      <w:szCs w:val="20"/>
                                    </w:rPr>
                                    <w:t>解釈</w:t>
                                  </w:r>
                                  <w:r w:rsidRPr="005F29BE">
                                    <w:rPr>
                                      <w:rFonts w:ascii="ＭＳ 明朝" w:hAnsi="ＭＳ 明朝"/>
                                      <w:sz w:val="20"/>
                                      <w:szCs w:val="20"/>
                                    </w:rPr>
                                    <w:t>表現</w:t>
                                  </w:r>
                                  <w:r w:rsidRPr="005F29BE">
                                    <w:rPr>
                                      <w:rFonts w:ascii="ＭＳ 明朝" w:hAnsi="ＭＳ 明朝" w:hint="eastAsia"/>
                                      <w:sz w:val="20"/>
                                      <w:szCs w:val="20"/>
                                    </w:rPr>
                                    <w:t>を</w:t>
                                  </w:r>
                                  <w:r w:rsidRPr="005F29BE">
                                    <w:rPr>
                                      <w:rFonts w:ascii="ＭＳ 明朝" w:hAnsi="ＭＳ 明朝"/>
                                      <w:sz w:val="20"/>
                                      <w:szCs w:val="20"/>
                                    </w:rPr>
                                    <w:t>与える</w:t>
                                  </w:r>
                                  <w:r w:rsidRPr="005F29BE">
                                    <w:rPr>
                                      <w:rFonts w:ascii="ＭＳ ゴシック" w:eastAsia="ＭＳ ゴシック" w:hAnsi="ＭＳ ゴシック"/>
                                      <w:sz w:val="20"/>
                                      <w:szCs w:val="20"/>
                                    </w:rPr>
                                    <w:t>(C)</w:t>
                                  </w:r>
                                  <w:r w:rsidRPr="005F29BE">
                                    <w:rPr>
                                      <w:rFonts w:hint="eastAsia"/>
                                      <w:sz w:val="20"/>
                                      <w:szCs w:val="20"/>
                                    </w:rPr>
                                    <w:t>の思考分析支援システムを用いて，</w:t>
                                  </w:r>
                                  <w:r w:rsidRPr="005F29BE">
                                    <w:rPr>
                                      <w:rFonts w:ascii="ＭＳ ゴシック" w:eastAsia="ＭＳ ゴシック" w:hAnsi="ＭＳ ゴシック"/>
                                      <w:sz w:val="20"/>
                                      <w:szCs w:val="20"/>
                                    </w:rPr>
                                    <w:t>(D)</w:t>
                                  </w:r>
                                  <w:r w:rsidRPr="005F29BE">
                                    <w:rPr>
                                      <w:rFonts w:hint="eastAsia"/>
                                      <w:sz w:val="20"/>
                                      <w:szCs w:val="20"/>
                                    </w:rPr>
                                    <w:t>で計測された視線行為</w:t>
                                  </w:r>
                                  <w:r w:rsidRPr="005F29BE">
                                    <w:rPr>
                                      <w:sz w:val="20"/>
                                      <w:szCs w:val="20"/>
                                    </w:rPr>
                                    <w:t>，</w:t>
                                  </w:r>
                                  <w:r w:rsidRPr="005F29BE">
                                    <w:rPr>
                                      <w:rFonts w:hint="eastAsia"/>
                                      <w:sz w:val="20"/>
                                      <w:szCs w:val="20"/>
                                    </w:rPr>
                                    <w:t>思考操作行為の</w:t>
                                  </w:r>
                                  <w:r w:rsidRPr="005F29BE">
                                    <w:rPr>
                                      <w:sz w:val="20"/>
                                      <w:szCs w:val="20"/>
                                    </w:rPr>
                                    <w:t>解釈表現を規定し，</w:t>
                                  </w:r>
                                  <w:r w:rsidRPr="005F29BE">
                                    <w:rPr>
                                      <w:rFonts w:hint="eastAsia"/>
                                      <w:sz w:val="20"/>
                                      <w:szCs w:val="20"/>
                                    </w:rPr>
                                    <w:t>結果を</w:t>
                                  </w:r>
                                  <w:r w:rsidRPr="005F29BE">
                                    <w:rPr>
                                      <w:sz w:val="20"/>
                                      <w:szCs w:val="20"/>
                                    </w:rPr>
                                    <w:t>分析</w:t>
                                  </w:r>
                                  <w:r w:rsidRPr="005F29BE">
                                    <w:rPr>
                                      <w:rFonts w:hint="eastAsia"/>
                                      <w:sz w:val="20"/>
                                      <w:szCs w:val="20"/>
                                    </w:rPr>
                                    <w:t>（</w:t>
                                  </w:r>
                                  <w:r w:rsidRPr="005F29BE">
                                    <w:rPr>
                                      <w:rFonts w:hint="eastAsia"/>
                                      <w:sz w:val="20"/>
                                      <w:szCs w:val="20"/>
                                    </w:rPr>
                                    <w:t>6</w:t>
                                  </w:r>
                                  <w:r w:rsidRPr="005F29BE">
                                    <w:rPr>
                                      <w:sz w:val="20"/>
                                      <w:szCs w:val="20"/>
                                    </w:rPr>
                                    <w:t>.2</w:t>
                                  </w:r>
                                  <w:r w:rsidRPr="005F29BE">
                                    <w:rPr>
                                      <w:rFonts w:hint="eastAsia"/>
                                      <w:sz w:val="20"/>
                                      <w:szCs w:val="20"/>
                                    </w:rPr>
                                    <w:t>節）</w:t>
                                  </w:r>
                                </w:p>
                              </w:tc>
                            </w:tr>
                          </w:tbl>
                          <w:p w:rsidR="00416CDB" w:rsidRPr="00AD28B1" w:rsidRDefault="00416CDB" w:rsidP="00416C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5BC9" id="テキスト ボックス 17" o:spid="_x0000_s1027" type="#_x0000_t202" style="position:absolute;left:0;text-align:left;margin-left:-1.9pt;margin-top:.1pt;width:487.5pt;height:433.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" filled="f" stroked="f">
                <v:textbox>
                  <w:txbxContent>
                    <w:p w:rsidR="00416CDB" w:rsidRPr="005F29BE" w:rsidRDefault="00416CDB" w:rsidP="00416CDB">
                      <w:pPr>
                        <w:pStyle w:val="a4"/>
                        <w:rPr>
                          <w:sz w:val="20"/>
                          <w:szCs w:val="20"/>
                        </w:rPr>
                      </w:pPr>
                      <w:r w:rsidRPr="005F29BE">
                        <w:rPr>
                          <w:rFonts w:hint="eastAsia"/>
                          <w:sz w:val="20"/>
                          <w:szCs w:val="20"/>
                        </w:rPr>
                        <w:t>表</w:t>
                      </w:r>
                      <w:r w:rsidRPr="005F29BE">
                        <w:rPr>
                          <w:sz w:val="20"/>
                          <w:szCs w:val="20"/>
                        </w:rPr>
                        <w:t>1</w:t>
                      </w:r>
                      <w:r w:rsidRPr="005F29BE">
                        <w:rPr>
                          <w:rFonts w:hint="eastAsia"/>
                          <w:sz w:val="20"/>
                          <w:szCs w:val="20"/>
                        </w:rPr>
                        <w:t xml:space="preserve">　メタ</w:t>
                      </w:r>
                      <w:r w:rsidRPr="005F29BE">
                        <w:rPr>
                          <w:sz w:val="20"/>
                          <w:szCs w:val="20"/>
                        </w:rPr>
                        <w:t>思考</w:t>
                      </w:r>
                      <w:r w:rsidRPr="005F29BE">
                        <w:rPr>
                          <w:rFonts w:hint="eastAsia"/>
                          <w:sz w:val="20"/>
                          <w:szCs w:val="20"/>
                        </w:rPr>
                        <w:t>解釈</w:t>
                      </w:r>
                      <w:r w:rsidRPr="005F29BE">
                        <w:rPr>
                          <w:sz w:val="20"/>
                          <w:szCs w:val="20"/>
                        </w:rPr>
                        <w:t>フレームワーク</w:t>
                      </w:r>
                    </w:p>
                    <w:p w:rsidR="00416CDB" w:rsidRPr="005F29BE" w:rsidRDefault="00416CDB" w:rsidP="00416CDB">
                      <w:pPr>
                        <w:pStyle w:val="a5"/>
                        <w:spacing w:afterLines="50" w:after="180"/>
                        <w:rPr>
                          <w:sz w:val="20"/>
                          <w:szCs w:val="20"/>
                        </w:rPr>
                      </w:pPr>
                      <w:r w:rsidRPr="005F29BE">
                        <w:rPr>
                          <w:sz w:val="20"/>
                          <w:szCs w:val="20"/>
                        </w:rPr>
                        <w:t>Table</w:t>
                      </w:r>
                      <w:r w:rsidRPr="005F29BE">
                        <w:rPr>
                          <w:rFonts w:hint="eastAsia"/>
                          <w:sz w:val="20"/>
                          <w:szCs w:val="20"/>
                        </w:rPr>
                        <w:t xml:space="preserve"> </w:t>
                      </w:r>
                      <w:r w:rsidRPr="005F29BE">
                        <w:rPr>
                          <w:sz w:val="20"/>
                          <w:szCs w:val="20"/>
                        </w:rPr>
                        <w:t>1</w:t>
                      </w:r>
                      <w:r w:rsidRPr="005F29BE">
                        <w:rPr>
                          <w:rFonts w:hint="eastAsia"/>
                          <w:sz w:val="20"/>
                          <w:szCs w:val="20"/>
                        </w:rPr>
                        <w:t xml:space="preserve">　</w:t>
                      </w:r>
                      <w:r w:rsidRPr="005F29BE">
                        <w:rPr>
                          <w:sz w:val="20"/>
                          <w:szCs w:val="20"/>
                        </w:rPr>
                        <w:t xml:space="preserve">Framework to Capture </w:t>
                      </w:r>
                      <w:r w:rsidRPr="005F29BE">
                        <w:rPr>
                          <w:rFonts w:hint="eastAsia"/>
                          <w:sz w:val="20"/>
                          <w:szCs w:val="20"/>
                        </w:rPr>
                        <w:t>Meta</w:t>
                      </w:r>
                      <w:r w:rsidRPr="005F29BE">
                        <w:rPr>
                          <w:sz w:val="20"/>
                          <w:szCs w:val="20"/>
                        </w:rPr>
                        <w:t>-level</w:t>
                      </w:r>
                      <w:r w:rsidRPr="005F29BE">
                        <w:rPr>
                          <w:rFonts w:hint="eastAsia"/>
                          <w:sz w:val="20"/>
                          <w:szCs w:val="20"/>
                        </w:rPr>
                        <w:t xml:space="preserve"> </w:t>
                      </w:r>
                      <w:r w:rsidRPr="005F29BE">
                        <w:rPr>
                          <w:sz w:val="20"/>
                          <w:szCs w:val="20"/>
                        </w:rPr>
                        <w:t>Thinking Processes</w:t>
                      </w:r>
                      <w:r w:rsidRPr="005F29BE">
                        <w:rPr>
                          <w:rFonts w:hint="eastAsia"/>
                          <w:sz w:val="20"/>
                          <w:szCs w:val="20"/>
                        </w:rPr>
                        <w:t xml:space="preserve">. </w:t>
                      </w:r>
                    </w:p>
                    <w:tbl>
                      <w:tblPr>
                        <w:tblStyle w:val="a6"/>
                        <w:tblW w:w="9498" w:type="dxa"/>
                        <w:tblBorders>
                          <w:left w:val="none" w:sz="0" w:space="0" w:color="auto"/>
                          <w:right w:val="none" w:sz="0" w:space="0" w:color="auto"/>
                        </w:tblBorders>
                        <w:tblLook w:val="04A0" w:firstRow="1" w:lastRow="0" w:firstColumn="1" w:lastColumn="0" w:noHBand="0" w:noVBand="1"/>
                      </w:tblPr>
                      <w:tblGrid>
                        <w:gridCol w:w="516"/>
                        <w:gridCol w:w="1752"/>
                        <w:gridCol w:w="1985"/>
                        <w:gridCol w:w="4111"/>
                        <w:gridCol w:w="1134"/>
                      </w:tblGrid>
                      <w:tr w:rsidR="00416CDB" w:rsidRPr="005F29BE" w:rsidTr="004B2125">
                        <w:trPr>
                          <w:trHeight w:val="268"/>
                        </w:trPr>
                        <w:tc>
                          <w:tcPr>
                            <w:tcW w:w="516" w:type="dxa"/>
                            <w:tcBorders>
                              <w:bottom w:val="double" w:sz="4" w:space="0" w:color="auto"/>
                            </w:tcBorders>
                            <w:vAlign w:val="center"/>
                          </w:tcPr>
                          <w:p w:rsidR="00416CDB" w:rsidRPr="005F29BE" w:rsidRDefault="00416CDB" w:rsidP="00D1050B">
                            <w:pPr>
                              <w:jc w:val="center"/>
                              <w:rPr>
                                <w:sz w:val="20"/>
                                <w:szCs w:val="20"/>
                              </w:rPr>
                            </w:pPr>
                          </w:p>
                        </w:tc>
                        <w:tc>
                          <w:tcPr>
                            <w:tcW w:w="3737" w:type="dxa"/>
                            <w:gridSpan w:val="2"/>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フレームワークの</w:t>
                            </w:r>
                            <w:r w:rsidRPr="005F29BE">
                              <w:rPr>
                                <w:sz w:val="20"/>
                                <w:szCs w:val="20"/>
                              </w:rPr>
                              <w:t>概念</w:t>
                            </w:r>
                          </w:p>
                        </w:tc>
                        <w:tc>
                          <w:tcPr>
                            <w:tcW w:w="4111"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内容</w:t>
                            </w:r>
                          </w:p>
                        </w:tc>
                        <w:tc>
                          <w:tcPr>
                            <w:tcW w:w="1134"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参照作業</w:t>
                            </w:r>
                          </w:p>
                        </w:tc>
                      </w:tr>
                      <w:tr w:rsidR="00416CDB" w:rsidRPr="005F29BE" w:rsidTr="004B2125">
                        <w:trPr>
                          <w:trHeight w:val="600"/>
                        </w:trPr>
                        <w:tc>
                          <w:tcPr>
                            <w:tcW w:w="516" w:type="dxa"/>
                            <w:tcBorders>
                              <w:top w:val="doub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(1)</w:t>
                            </w:r>
                          </w:p>
                        </w:tc>
                        <w:tc>
                          <w:tcPr>
                            <w:tcW w:w="1752" w:type="dxa"/>
                            <w:vMerge w:val="restart"/>
                            <w:tcBorders>
                              <w:top w:val="double" w:sz="4" w:space="0" w:color="auto"/>
                            </w:tcBorders>
                            <w:vAlign w:val="center"/>
                          </w:tcPr>
                          <w:p w:rsidR="00416CDB" w:rsidRPr="005F29BE" w:rsidRDefault="00416CDB" w:rsidP="00D1050B">
                            <w:pPr>
                              <w:spacing w:line="240" w:lineRule="exact"/>
                              <w:jc w:val="center"/>
                              <w:rPr>
                                <w:sz w:val="20"/>
                                <w:szCs w:val="20"/>
                              </w:rPr>
                            </w:pPr>
                            <w:r w:rsidRPr="005F29BE">
                              <w:rPr>
                                <w:rFonts w:hint="eastAsia"/>
                                <w:sz w:val="20"/>
                                <w:szCs w:val="20"/>
                              </w:rPr>
                              <w:t>ベース思考表現オントロジー</w:t>
                            </w:r>
                          </w:p>
                        </w:tc>
                        <w:tc>
                          <w:tcPr>
                            <w:tcW w:w="1985" w:type="dxa"/>
                            <w:tcBorders>
                              <w:top w:val="double" w:sz="4" w:space="0" w:color="auto"/>
                            </w:tcBorders>
                            <w:vAlign w:val="center"/>
                          </w:tcPr>
                          <w:p w:rsidR="00416CDB" w:rsidRPr="005F29BE" w:rsidRDefault="00416CDB" w:rsidP="00D1050B">
                            <w:pPr>
                              <w:spacing w:line="240" w:lineRule="exact"/>
                              <w:jc w:val="center"/>
                              <w:rPr>
                                <w:sz w:val="20"/>
                                <w:szCs w:val="20"/>
                              </w:rPr>
                            </w:pPr>
                            <w:r w:rsidRPr="005F29BE">
                              <w:rPr>
                                <w:rFonts w:hint="eastAsia"/>
                                <w:sz w:val="20"/>
                                <w:szCs w:val="20"/>
                              </w:rPr>
                              <w:t>ベース思考活動</w:t>
                            </w:r>
                            <w:r w:rsidRPr="005F29BE">
                              <w:rPr>
                                <w:sz w:val="20"/>
                                <w:szCs w:val="20"/>
                              </w:rPr>
                              <w:t>の</w:t>
                            </w:r>
                            <w:r w:rsidRPr="005F29BE">
                              <w:rPr>
                                <w:sz w:val="20"/>
                                <w:szCs w:val="20"/>
                              </w:rPr>
                              <w:br/>
                            </w:r>
                            <w:r w:rsidRPr="005F29BE">
                              <w:rPr>
                                <w:sz w:val="20"/>
                                <w:szCs w:val="20"/>
                              </w:rPr>
                              <w:t>アウトプット概念</w:t>
                            </w:r>
                          </w:p>
                        </w:tc>
                        <w:tc>
                          <w:tcPr>
                            <w:tcW w:w="4111" w:type="dxa"/>
                            <w:tcBorders>
                              <w:top w:val="double" w:sz="4" w:space="0" w:color="auto"/>
                            </w:tcBorders>
                            <w:vAlign w:val="center"/>
                          </w:tcPr>
                          <w:p w:rsidR="00416CDB" w:rsidRPr="005F29BE" w:rsidRDefault="00416CDB" w:rsidP="00C63AAC">
                            <w:pPr>
                              <w:spacing w:line="240" w:lineRule="exact"/>
                              <w:rPr>
                                <w:sz w:val="20"/>
                                <w:szCs w:val="20"/>
                              </w:rPr>
                            </w:pPr>
                            <w:r w:rsidRPr="005F29BE">
                              <w:rPr>
                                <w:rFonts w:hint="eastAsia"/>
                                <w:sz w:val="20"/>
                                <w:szCs w:val="20"/>
                              </w:rPr>
                              <w:t>対象思考</w:t>
                            </w:r>
                            <w:r w:rsidRPr="005F29BE">
                              <w:rPr>
                                <w:sz w:val="20"/>
                                <w:szCs w:val="20"/>
                              </w:rPr>
                              <w:t>タスクに</w:t>
                            </w:r>
                            <w:r w:rsidRPr="005F29BE">
                              <w:rPr>
                                <w:rFonts w:hint="eastAsia"/>
                                <w:sz w:val="20"/>
                                <w:szCs w:val="20"/>
                              </w:rPr>
                              <w:t>想定されるベース思考活動のアウトプット概念を</w:t>
                            </w:r>
                            <w:r w:rsidRPr="005F29BE">
                              <w:rPr>
                                <w:sz w:val="20"/>
                                <w:szCs w:val="20"/>
                              </w:rPr>
                              <w:t>規定</w:t>
                            </w:r>
                            <w:r w:rsidRPr="005F29BE">
                              <w:rPr>
                                <w:rFonts w:hint="eastAsia"/>
                                <w:sz w:val="20"/>
                                <w:szCs w:val="20"/>
                              </w:rPr>
                              <w:t>し</w:t>
                            </w:r>
                            <w:r w:rsidRPr="005F29BE">
                              <w:rPr>
                                <w:sz w:val="20"/>
                                <w:szCs w:val="20"/>
                              </w:rPr>
                              <w:t>た</w:t>
                            </w:r>
                            <w:r w:rsidRPr="005F29BE">
                              <w:rPr>
                                <w:rFonts w:hint="eastAsia"/>
                                <w:sz w:val="20"/>
                                <w:szCs w:val="20"/>
                              </w:rPr>
                              <w:t>オントロジー（</w:t>
                            </w:r>
                            <w:r w:rsidRPr="005F29BE">
                              <w:rPr>
                                <w:sz w:val="20"/>
                                <w:szCs w:val="20"/>
                              </w:rPr>
                              <w:t>3.1</w:t>
                            </w:r>
                            <w:r w:rsidRPr="005F29BE">
                              <w:rPr>
                                <w:rFonts w:hint="eastAsia"/>
                                <w:sz w:val="20"/>
                                <w:szCs w:val="20"/>
                              </w:rPr>
                              <w:t>節）</w:t>
                            </w:r>
                          </w:p>
                        </w:tc>
                        <w:tc>
                          <w:tcPr>
                            <w:tcW w:w="1134" w:type="dxa"/>
                            <w:tcBorders>
                              <w:top w:val="double" w:sz="4" w:space="0" w:color="auto"/>
                            </w:tcBorders>
                            <w:vAlign w:val="center"/>
                          </w:tcPr>
                          <w:p w:rsidR="00416CDB" w:rsidRPr="005F29BE" w:rsidRDefault="00416CDB" w:rsidP="00D7403D">
                            <w:pPr>
                              <w:spacing w:line="240" w:lineRule="exact"/>
                              <w:jc w:val="left"/>
                              <w:rPr>
                                <w:rFonts w:ascii="ＭＳ ゴシック" w:eastAsia="ＭＳ ゴシック" w:hAnsi="ＭＳ ゴシック"/>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A</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 (B), (C), (E)</w:t>
                            </w:r>
                          </w:p>
                        </w:tc>
                      </w:tr>
                      <w:tr w:rsidR="00416CDB" w:rsidRPr="005F29BE" w:rsidTr="004B2125">
                        <w:trPr>
                          <w:trHeight w:val="591"/>
                        </w:trPr>
                        <w:tc>
                          <w:tcPr>
                            <w:tcW w:w="516" w:type="dxa"/>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(2)</w:t>
                            </w:r>
                          </w:p>
                        </w:tc>
                        <w:tc>
                          <w:tcPr>
                            <w:tcW w:w="1752" w:type="dxa"/>
                            <w:vMerge/>
                            <w:vAlign w:val="center"/>
                          </w:tcPr>
                          <w:p w:rsidR="00416CDB" w:rsidRPr="005F29BE" w:rsidRDefault="00416CDB" w:rsidP="00D1050B">
                            <w:pPr>
                              <w:spacing w:line="240" w:lineRule="exact"/>
                              <w:jc w:val="center"/>
                              <w:rPr>
                                <w:sz w:val="20"/>
                                <w:szCs w:val="20"/>
                              </w:rPr>
                            </w:pPr>
                          </w:p>
                        </w:tc>
                        <w:tc>
                          <w:tcPr>
                            <w:tcW w:w="1985" w:type="dxa"/>
                            <w:vAlign w:val="center"/>
                          </w:tcPr>
                          <w:p w:rsidR="00416CDB" w:rsidRPr="005F29BE" w:rsidRDefault="00416CDB" w:rsidP="00D1050B">
                            <w:pPr>
                              <w:spacing w:line="240" w:lineRule="exact"/>
                              <w:jc w:val="center"/>
                              <w:rPr>
                                <w:sz w:val="20"/>
                                <w:szCs w:val="20"/>
                              </w:rPr>
                            </w:pPr>
                            <w:r w:rsidRPr="005F29BE">
                              <w:rPr>
                                <w:rFonts w:hint="eastAsia"/>
                                <w:sz w:val="20"/>
                                <w:szCs w:val="20"/>
                              </w:rPr>
                              <w:t>思考</w:t>
                            </w:r>
                            <w:r w:rsidRPr="005F29BE">
                              <w:rPr>
                                <w:sz w:val="20"/>
                                <w:szCs w:val="20"/>
                              </w:rPr>
                              <w:t>表現</w:t>
                            </w:r>
                            <w:r w:rsidRPr="005F29BE">
                              <w:rPr>
                                <w:sz w:val="20"/>
                                <w:szCs w:val="20"/>
                              </w:rPr>
                              <w:br/>
                            </w:r>
                            <w:r w:rsidRPr="005F29BE">
                              <w:rPr>
                                <w:sz w:val="20"/>
                                <w:szCs w:val="20"/>
                              </w:rPr>
                              <w:t>オブジェクト概念</w:t>
                            </w:r>
                          </w:p>
                        </w:tc>
                        <w:tc>
                          <w:tcPr>
                            <w:tcW w:w="4111" w:type="dxa"/>
                            <w:vAlign w:val="center"/>
                          </w:tcPr>
                          <w:p w:rsidR="00416CDB" w:rsidRPr="005F29BE" w:rsidRDefault="00416CDB" w:rsidP="00D003BD">
                            <w:pPr>
                              <w:spacing w:line="240" w:lineRule="exact"/>
                              <w:rPr>
                                <w:sz w:val="20"/>
                                <w:szCs w:val="20"/>
                              </w:rPr>
                            </w:pPr>
                            <w:r w:rsidRPr="005F29BE">
                              <w:rPr>
                                <w:rFonts w:hint="eastAsia"/>
                                <w:sz w:val="20"/>
                                <w:szCs w:val="20"/>
                              </w:rPr>
                              <w:t>思考外化部品としての思考表現オブジェクトを</w:t>
                            </w:r>
                            <w:r w:rsidRPr="005F29BE">
                              <w:rPr>
                                <w:sz w:val="20"/>
                                <w:szCs w:val="20"/>
                              </w:rPr>
                              <w:t>規定</w:t>
                            </w:r>
                            <w:r w:rsidRPr="005F29BE">
                              <w:rPr>
                                <w:rFonts w:hint="eastAsia"/>
                                <w:sz w:val="20"/>
                                <w:szCs w:val="20"/>
                              </w:rPr>
                              <w:t>し</w:t>
                            </w:r>
                            <w:r w:rsidRPr="005F29BE">
                              <w:rPr>
                                <w:sz w:val="20"/>
                                <w:szCs w:val="20"/>
                              </w:rPr>
                              <w:t>た</w:t>
                            </w:r>
                            <w:r w:rsidRPr="005F29BE">
                              <w:rPr>
                                <w:rFonts w:hint="eastAsia"/>
                                <w:sz w:val="20"/>
                                <w:szCs w:val="20"/>
                              </w:rPr>
                              <w:t>オントロジー（</w:t>
                            </w:r>
                            <w:r w:rsidRPr="005F29BE">
                              <w:rPr>
                                <w:sz w:val="20"/>
                                <w:szCs w:val="20"/>
                              </w:rPr>
                              <w:t>3.2</w:t>
                            </w:r>
                            <w:r w:rsidRPr="005F29BE">
                              <w:rPr>
                                <w:rFonts w:hint="eastAsia"/>
                                <w:sz w:val="20"/>
                                <w:szCs w:val="20"/>
                              </w:rPr>
                              <w:t>節）</w:t>
                            </w:r>
                          </w:p>
                        </w:tc>
                        <w:tc>
                          <w:tcPr>
                            <w:tcW w:w="1134" w:type="dxa"/>
                            <w:vAlign w:val="center"/>
                          </w:tcPr>
                          <w:p w:rsidR="00416CDB" w:rsidRPr="005F29BE" w:rsidRDefault="00416CDB" w:rsidP="00D7403D">
                            <w:pPr>
                              <w:spacing w:line="240" w:lineRule="exact"/>
                              <w:jc w:val="left"/>
                              <w:rPr>
                                <w:rFonts w:ascii="ＭＳ ゴシック" w:eastAsia="ＭＳ ゴシック" w:hAnsi="ＭＳ ゴシック"/>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B</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 (C), (E)</w:t>
                            </w:r>
                          </w:p>
                        </w:tc>
                      </w:tr>
                      <w:tr w:rsidR="00416CDB" w:rsidRPr="005F29BE" w:rsidTr="004B2125">
                        <w:trPr>
                          <w:trHeight w:val="576"/>
                        </w:trPr>
                        <w:tc>
                          <w:tcPr>
                            <w:tcW w:w="516" w:type="dxa"/>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(3)</w:t>
                            </w:r>
                          </w:p>
                        </w:tc>
                        <w:tc>
                          <w:tcPr>
                            <w:tcW w:w="3737" w:type="dxa"/>
                            <w:gridSpan w:val="2"/>
                            <w:vAlign w:val="center"/>
                          </w:tcPr>
                          <w:p w:rsidR="00416CDB" w:rsidRPr="005F29BE" w:rsidRDefault="00416CDB" w:rsidP="00CC120C">
                            <w:pPr>
                              <w:spacing w:line="240" w:lineRule="exact"/>
                              <w:jc w:val="center"/>
                              <w:rPr>
                                <w:sz w:val="20"/>
                                <w:szCs w:val="20"/>
                              </w:rPr>
                            </w:pPr>
                            <w:r w:rsidRPr="005F29BE">
                              <w:rPr>
                                <w:rFonts w:hint="eastAsia"/>
                                <w:sz w:val="20"/>
                                <w:szCs w:val="20"/>
                              </w:rPr>
                              <w:t>解釈表現記法</w:t>
                            </w:r>
                          </w:p>
                        </w:tc>
                        <w:tc>
                          <w:tcPr>
                            <w:tcW w:w="4111" w:type="dxa"/>
                            <w:vAlign w:val="center"/>
                          </w:tcPr>
                          <w:p w:rsidR="00416CDB" w:rsidRPr="005F29BE" w:rsidRDefault="00416CDB" w:rsidP="00362C9B">
                            <w:pPr>
                              <w:spacing w:line="240" w:lineRule="exact"/>
                              <w:rPr>
                                <w:sz w:val="20"/>
                                <w:szCs w:val="20"/>
                              </w:rPr>
                            </w:pPr>
                            <w:r w:rsidRPr="005F29BE">
                              <w:rPr>
                                <w:rFonts w:hint="eastAsia"/>
                                <w:sz w:val="20"/>
                                <w:szCs w:val="20"/>
                              </w:rPr>
                              <w:t>視線行為と思考操作</w:t>
                            </w:r>
                            <w:r w:rsidRPr="005F29BE">
                              <w:rPr>
                                <w:sz w:val="20"/>
                                <w:szCs w:val="20"/>
                              </w:rPr>
                              <w:t>行為</w:t>
                            </w:r>
                            <w:r w:rsidRPr="005F29BE">
                              <w:rPr>
                                <w:rFonts w:hint="eastAsia"/>
                                <w:sz w:val="20"/>
                                <w:szCs w:val="20"/>
                              </w:rPr>
                              <w:t>の</w:t>
                            </w:r>
                            <w:r w:rsidRPr="005F29BE">
                              <w:rPr>
                                <w:sz w:val="20"/>
                                <w:szCs w:val="20"/>
                              </w:rPr>
                              <w:t>系列に</w:t>
                            </w:r>
                            <w:r w:rsidRPr="005F29BE">
                              <w:rPr>
                                <w:rFonts w:hint="eastAsia"/>
                                <w:sz w:val="20"/>
                                <w:szCs w:val="20"/>
                              </w:rPr>
                              <w:t>ベース思考・</w:t>
                            </w:r>
                            <w:r w:rsidRPr="005F29BE">
                              <w:rPr>
                                <w:sz w:val="20"/>
                                <w:szCs w:val="20"/>
                              </w:rPr>
                              <w:t>メタ思考を捉える</w:t>
                            </w:r>
                            <w:r w:rsidRPr="005F29BE">
                              <w:rPr>
                                <w:rFonts w:hint="eastAsia"/>
                                <w:sz w:val="20"/>
                                <w:szCs w:val="20"/>
                              </w:rPr>
                              <w:t>解釈を</w:t>
                            </w:r>
                            <w:r w:rsidRPr="005F29BE">
                              <w:rPr>
                                <w:sz w:val="20"/>
                                <w:szCs w:val="20"/>
                              </w:rPr>
                              <w:t>与える規定の</w:t>
                            </w:r>
                            <w:r w:rsidRPr="005F29BE">
                              <w:rPr>
                                <w:rFonts w:hint="eastAsia"/>
                                <w:sz w:val="20"/>
                                <w:szCs w:val="20"/>
                              </w:rPr>
                              <w:t>表記法（</w:t>
                            </w:r>
                            <w:r w:rsidRPr="005F29BE">
                              <w:rPr>
                                <w:sz w:val="20"/>
                                <w:szCs w:val="20"/>
                              </w:rPr>
                              <w:t>4</w:t>
                            </w:r>
                            <w:r w:rsidRPr="005F29BE">
                              <w:rPr>
                                <w:rFonts w:hint="eastAsia"/>
                                <w:sz w:val="20"/>
                                <w:szCs w:val="20"/>
                              </w:rPr>
                              <w:t>章）</w:t>
                            </w:r>
                          </w:p>
                        </w:tc>
                        <w:tc>
                          <w:tcPr>
                            <w:tcW w:w="1134" w:type="dxa"/>
                            <w:vAlign w:val="center"/>
                          </w:tcPr>
                          <w:p w:rsidR="00416CDB" w:rsidRPr="005F29BE" w:rsidRDefault="00416CDB" w:rsidP="00D7403D">
                            <w:pPr>
                              <w:spacing w:line="240" w:lineRule="exact"/>
                              <w:jc w:val="left"/>
                              <w:rPr>
                                <w:rFonts w:ascii="ＭＳ ゴシック" w:eastAsia="ＭＳ ゴシック" w:hAnsi="ＭＳ ゴシック"/>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C</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 (E)</w:t>
                            </w:r>
                          </w:p>
                        </w:tc>
                      </w:tr>
                    </w:tbl>
                    <w:p w:rsidR="00416CDB" w:rsidRPr="005F29BE" w:rsidRDefault="00416CDB" w:rsidP="00416CDB">
                      <w:pPr>
                        <w:jc w:val="center"/>
                        <w:rPr>
                          <w:color w:val="000000" w:themeColor="text1"/>
                          <w:sz w:val="20"/>
                          <w:szCs w:val="20"/>
                        </w:rPr>
                      </w:pPr>
                    </w:p>
                    <w:tbl>
                      <w:tblPr>
                        <w:tblStyle w:val="a6"/>
                        <w:tblW w:w="9498" w:type="dxa"/>
                        <w:tblBorders>
                          <w:left w:val="none" w:sz="0" w:space="0" w:color="auto"/>
                          <w:right w:val="none" w:sz="0" w:space="0" w:color="auto"/>
                        </w:tblBorders>
                        <w:tblLook w:val="04A0" w:firstRow="1" w:lastRow="0" w:firstColumn="1" w:lastColumn="0" w:noHBand="0" w:noVBand="1"/>
                      </w:tblPr>
                      <w:tblGrid>
                        <w:gridCol w:w="516"/>
                        <w:gridCol w:w="1185"/>
                        <w:gridCol w:w="1134"/>
                        <w:gridCol w:w="1418"/>
                        <w:gridCol w:w="5245"/>
                      </w:tblGrid>
                      <w:tr w:rsidR="00416CDB" w:rsidRPr="005F29BE" w:rsidTr="005F29BE">
                        <w:trPr>
                          <w:trHeight w:val="259"/>
                        </w:trPr>
                        <w:tc>
                          <w:tcPr>
                            <w:tcW w:w="516" w:type="dxa"/>
                            <w:tcBorders>
                              <w:bottom w:val="double" w:sz="4" w:space="0" w:color="auto"/>
                            </w:tcBorders>
                            <w:vAlign w:val="center"/>
                          </w:tcPr>
                          <w:p w:rsidR="00416CDB" w:rsidRPr="005F29BE" w:rsidRDefault="00416CDB" w:rsidP="00D1050B">
                            <w:pPr>
                              <w:jc w:val="center"/>
                              <w:rPr>
                                <w:sz w:val="20"/>
                                <w:szCs w:val="20"/>
                              </w:rPr>
                            </w:pPr>
                          </w:p>
                        </w:tc>
                        <w:tc>
                          <w:tcPr>
                            <w:tcW w:w="1185"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フェーズ</w:t>
                            </w:r>
                          </w:p>
                        </w:tc>
                        <w:tc>
                          <w:tcPr>
                            <w:tcW w:w="1134"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ステークホルダ</w:t>
                            </w:r>
                          </w:p>
                        </w:tc>
                        <w:tc>
                          <w:tcPr>
                            <w:tcW w:w="1418" w:type="dxa"/>
                            <w:tcBorders>
                              <w:bottom w:val="double" w:sz="4" w:space="0" w:color="auto"/>
                            </w:tcBorders>
                            <w:vAlign w:val="center"/>
                          </w:tcPr>
                          <w:p w:rsidR="00416CDB" w:rsidRPr="005F29BE" w:rsidRDefault="00416CDB" w:rsidP="00FC1A55">
                            <w:pPr>
                              <w:jc w:val="center"/>
                              <w:rPr>
                                <w:sz w:val="20"/>
                                <w:szCs w:val="20"/>
                              </w:rPr>
                            </w:pPr>
                            <w:r w:rsidRPr="005F29BE">
                              <w:rPr>
                                <w:rFonts w:hint="eastAsia"/>
                                <w:sz w:val="20"/>
                                <w:szCs w:val="20"/>
                              </w:rPr>
                              <w:t>作業</w:t>
                            </w:r>
                          </w:p>
                        </w:tc>
                        <w:tc>
                          <w:tcPr>
                            <w:tcW w:w="5245" w:type="dxa"/>
                            <w:tcBorders>
                              <w:bottom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内容</w:t>
                            </w:r>
                          </w:p>
                        </w:tc>
                      </w:tr>
                      <w:tr w:rsidR="00416CDB" w:rsidRPr="005F29BE" w:rsidTr="005F29BE">
                        <w:trPr>
                          <w:trHeight w:val="521"/>
                        </w:trPr>
                        <w:tc>
                          <w:tcPr>
                            <w:tcW w:w="516" w:type="dxa"/>
                            <w:tcBorders>
                              <w:top w:val="double" w:sz="4" w:space="0" w:color="auto"/>
                            </w:tcBorders>
                            <w:vAlign w:val="center"/>
                          </w:tcPr>
                          <w:p w:rsidR="00416CDB" w:rsidRPr="005F29BE" w:rsidRDefault="00416CDB" w:rsidP="00D1050B">
                            <w:pPr>
                              <w:jc w:val="center"/>
                              <w:rPr>
                                <w:sz w:val="20"/>
                                <w:szCs w:val="20"/>
                              </w:rPr>
                            </w:pPr>
                            <w:r w:rsidRPr="005F29BE">
                              <w:rPr>
                                <w:rFonts w:ascii="ＭＳ ゴシック" w:eastAsia="ＭＳ ゴシック" w:hAnsi="ＭＳ ゴシック"/>
                                <w:sz w:val="20"/>
                                <w:szCs w:val="20"/>
                              </w:rPr>
                              <w:t>(</w:t>
                            </w:r>
                            <w:r w:rsidRPr="005F29BE">
                              <w:rPr>
                                <w:rFonts w:ascii="ＭＳ ゴシック" w:eastAsia="ＭＳ ゴシック" w:hAnsi="ＭＳ ゴシック" w:hint="eastAsia"/>
                                <w:sz w:val="20"/>
                                <w:szCs w:val="20"/>
                              </w:rPr>
                              <w:t>A</w:t>
                            </w:r>
                            <w:r w:rsidRPr="005F29BE">
                              <w:rPr>
                                <w:rFonts w:ascii="ＭＳ ゴシック" w:eastAsia="ＭＳ ゴシック" w:hAnsi="ＭＳ ゴシック"/>
                                <w:sz w:val="20"/>
                                <w:szCs w:val="20"/>
                              </w:rPr>
                              <w:t>)</w:t>
                            </w:r>
                          </w:p>
                        </w:tc>
                        <w:tc>
                          <w:tcPr>
                            <w:tcW w:w="1185" w:type="dxa"/>
                            <w:tcBorders>
                              <w:top w:val="double" w:sz="4" w:space="0" w:color="auto"/>
                            </w:tcBorders>
                            <w:vAlign w:val="center"/>
                          </w:tcPr>
                          <w:p w:rsidR="00416CDB" w:rsidRPr="005F29BE" w:rsidRDefault="00416CDB" w:rsidP="00D1050B">
                            <w:pPr>
                              <w:jc w:val="center"/>
                              <w:rPr>
                                <w:sz w:val="20"/>
                                <w:szCs w:val="20"/>
                              </w:rPr>
                            </w:pPr>
                            <w:r w:rsidRPr="005F29BE">
                              <w:rPr>
                                <w:rFonts w:hint="eastAsia"/>
                                <w:sz w:val="20"/>
                                <w:szCs w:val="20"/>
                              </w:rPr>
                              <w:t>設計段階</w:t>
                            </w:r>
                          </w:p>
                        </w:tc>
                        <w:tc>
                          <w:tcPr>
                            <w:tcW w:w="1134" w:type="dxa"/>
                            <w:tcBorders>
                              <w:top w:val="doub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分析者</w:t>
                            </w:r>
                          </w:p>
                        </w:tc>
                        <w:tc>
                          <w:tcPr>
                            <w:tcW w:w="1418" w:type="dxa"/>
                            <w:tcBorders>
                              <w:top w:val="double" w:sz="4" w:space="0" w:color="auto"/>
                            </w:tcBorders>
                            <w:vAlign w:val="center"/>
                          </w:tcPr>
                          <w:p w:rsidR="00416CDB" w:rsidRPr="005F29BE" w:rsidRDefault="00416CDB" w:rsidP="00D1050B">
                            <w:pPr>
                              <w:spacing w:line="240" w:lineRule="exact"/>
                              <w:jc w:val="center"/>
                              <w:rPr>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1</w:t>
                            </w:r>
                            <w:r w:rsidRPr="005F29BE">
                              <w:rPr>
                                <w:rFonts w:ascii="ＭＳ ゴシック" w:eastAsia="ＭＳ ゴシック" w:hAnsi="ＭＳ ゴシック" w:hint="eastAsia"/>
                                <w:sz w:val="20"/>
                                <w:szCs w:val="20"/>
                              </w:rPr>
                              <w:t>)</w:t>
                            </w:r>
                            <w:r w:rsidRPr="005F29BE">
                              <w:rPr>
                                <w:rFonts w:hint="eastAsia"/>
                                <w:sz w:val="20"/>
                                <w:szCs w:val="20"/>
                              </w:rPr>
                              <w:t>の</w:t>
                            </w:r>
                            <w:r w:rsidRPr="005F29BE">
                              <w:rPr>
                                <w:sz w:val="20"/>
                                <w:szCs w:val="20"/>
                              </w:rPr>
                              <w:t>具体化</w:t>
                            </w:r>
                          </w:p>
                        </w:tc>
                        <w:tc>
                          <w:tcPr>
                            <w:tcW w:w="5245" w:type="dxa"/>
                            <w:tcBorders>
                              <w:top w:val="double" w:sz="4" w:space="0" w:color="auto"/>
                            </w:tcBorders>
                          </w:tcPr>
                          <w:p w:rsidR="00416CDB" w:rsidRPr="005F29BE" w:rsidRDefault="00416CDB" w:rsidP="00831E9C">
                            <w:pPr>
                              <w:spacing w:line="240" w:lineRule="exact"/>
                              <w:rPr>
                                <w:sz w:val="20"/>
                                <w:szCs w:val="20"/>
                              </w:rPr>
                            </w:pPr>
                            <w:r w:rsidRPr="005F29BE">
                              <w:rPr>
                                <w:rFonts w:hint="eastAsia"/>
                                <w:sz w:val="20"/>
                                <w:szCs w:val="20"/>
                              </w:rPr>
                              <w:t>対象思考タスクのベース思考のアウトプット</w:t>
                            </w:r>
                            <w:r w:rsidRPr="005F29BE">
                              <w:rPr>
                                <w:sz w:val="20"/>
                                <w:szCs w:val="20"/>
                              </w:rPr>
                              <w:t>概念を</w:t>
                            </w:r>
                            <w:r w:rsidRPr="005F29BE">
                              <w:rPr>
                                <w:rFonts w:hint="eastAsia"/>
                                <w:sz w:val="20"/>
                                <w:szCs w:val="20"/>
                              </w:rPr>
                              <w:t>オントロジーとして</w:t>
                            </w:r>
                            <w:r w:rsidRPr="005F29BE">
                              <w:rPr>
                                <w:sz w:val="20"/>
                                <w:szCs w:val="20"/>
                              </w:rPr>
                              <w:t>追加</w:t>
                            </w:r>
                          </w:p>
                        </w:tc>
                      </w:tr>
                      <w:tr w:rsidR="00416CDB" w:rsidRPr="005F29BE" w:rsidTr="005F29BE">
                        <w:trPr>
                          <w:trHeight w:val="528"/>
                        </w:trPr>
                        <w:tc>
                          <w:tcPr>
                            <w:tcW w:w="516" w:type="dxa"/>
                            <w:tcBorders>
                              <w:bottom w:val="sing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(B)</w:t>
                            </w:r>
                          </w:p>
                        </w:tc>
                        <w:tc>
                          <w:tcPr>
                            <w:tcW w:w="1185" w:type="dxa"/>
                            <w:vMerge w:val="restart"/>
                            <w:vAlign w:val="center"/>
                          </w:tcPr>
                          <w:p w:rsidR="00416CDB" w:rsidRPr="005F29BE" w:rsidRDefault="00416CDB" w:rsidP="00D1050B">
                            <w:pPr>
                              <w:jc w:val="center"/>
                              <w:rPr>
                                <w:sz w:val="20"/>
                                <w:szCs w:val="20"/>
                              </w:rPr>
                            </w:pPr>
                            <w:r w:rsidRPr="005F29BE">
                              <w:rPr>
                                <w:rFonts w:hint="eastAsia"/>
                                <w:sz w:val="20"/>
                                <w:szCs w:val="20"/>
                              </w:rPr>
                              <w:t>開発</w:t>
                            </w:r>
                            <w:r w:rsidRPr="005F29BE">
                              <w:rPr>
                                <w:sz w:val="20"/>
                                <w:szCs w:val="20"/>
                              </w:rPr>
                              <w:t>段階</w:t>
                            </w:r>
                          </w:p>
                        </w:tc>
                        <w:tc>
                          <w:tcPr>
                            <w:tcW w:w="1134" w:type="dxa"/>
                            <w:tcBorders>
                              <w:bottom w:val="sing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分析者・開発者</w:t>
                            </w:r>
                          </w:p>
                        </w:tc>
                        <w:tc>
                          <w:tcPr>
                            <w:tcW w:w="1418" w:type="dxa"/>
                            <w:tcBorders>
                              <w:bottom w:val="single" w:sz="4" w:space="0" w:color="auto"/>
                            </w:tcBorders>
                            <w:vAlign w:val="center"/>
                          </w:tcPr>
                          <w:p w:rsidR="00416CDB" w:rsidRPr="005F29BE" w:rsidRDefault="00416CDB" w:rsidP="00D1050B">
                            <w:pPr>
                              <w:spacing w:line="240" w:lineRule="exact"/>
                              <w:jc w:val="center"/>
                              <w:rPr>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1</w:t>
                            </w:r>
                            <w:r w:rsidRPr="005F29BE">
                              <w:rPr>
                                <w:rFonts w:ascii="ＭＳ ゴシック" w:eastAsia="ＭＳ ゴシック" w:hAnsi="ＭＳ ゴシック" w:hint="eastAsia"/>
                                <w:sz w:val="20"/>
                                <w:szCs w:val="20"/>
                              </w:rPr>
                              <w:t>)</w:t>
                            </w:r>
                            <w:r w:rsidRPr="005F29BE">
                              <w:rPr>
                                <w:rFonts w:hint="eastAsia"/>
                                <w:sz w:val="20"/>
                                <w:szCs w:val="20"/>
                              </w:rPr>
                              <w:t>→</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2</w:t>
                            </w:r>
                            <w:r w:rsidRPr="005F29BE">
                              <w:rPr>
                                <w:rFonts w:ascii="ＭＳ ゴシック" w:eastAsia="ＭＳ ゴシック" w:hAnsi="ＭＳ ゴシック" w:hint="eastAsia"/>
                                <w:sz w:val="20"/>
                                <w:szCs w:val="20"/>
                              </w:rPr>
                              <w:t>)</w:t>
                            </w:r>
                            <w:r w:rsidRPr="005F29BE">
                              <w:rPr>
                                <w:sz w:val="20"/>
                                <w:szCs w:val="20"/>
                              </w:rPr>
                              <w:t>へ</w:t>
                            </w:r>
                            <w:r w:rsidRPr="005F29BE">
                              <w:rPr>
                                <w:rFonts w:hint="eastAsia"/>
                                <w:sz w:val="20"/>
                                <w:szCs w:val="20"/>
                              </w:rPr>
                              <w:t>の写像及び</w:t>
                            </w:r>
                            <w:r w:rsidRPr="005F29BE">
                              <w:rPr>
                                <w:sz w:val="20"/>
                                <w:szCs w:val="20"/>
                              </w:rPr>
                              <w:t>具体化</w:t>
                            </w:r>
                          </w:p>
                        </w:tc>
                        <w:tc>
                          <w:tcPr>
                            <w:tcW w:w="5245" w:type="dxa"/>
                            <w:tcBorders>
                              <w:bottom w:val="single" w:sz="4" w:space="0" w:color="auto"/>
                            </w:tcBorders>
                          </w:tcPr>
                          <w:p w:rsidR="00416CDB" w:rsidRPr="005F29BE" w:rsidRDefault="00416CDB" w:rsidP="00F139B3">
                            <w:pPr>
                              <w:spacing w:line="240" w:lineRule="exact"/>
                              <w:rPr>
                                <w:sz w:val="20"/>
                                <w:szCs w:val="20"/>
                              </w:rPr>
                            </w:pPr>
                            <w:r w:rsidRPr="005F29BE">
                              <w:rPr>
                                <w:rFonts w:ascii="ＭＳ ゴシック" w:eastAsia="ＭＳ ゴシック" w:hAnsi="ＭＳ ゴシック"/>
                                <w:sz w:val="20"/>
                                <w:szCs w:val="20"/>
                              </w:rPr>
                              <w:t>(</w:t>
                            </w:r>
                            <w:r w:rsidRPr="005F29BE">
                              <w:rPr>
                                <w:rFonts w:ascii="ＭＳ ゴシック" w:eastAsia="ＭＳ ゴシック" w:hAnsi="ＭＳ ゴシック" w:hint="eastAsia"/>
                                <w:sz w:val="20"/>
                                <w:szCs w:val="20"/>
                              </w:rPr>
                              <w:t>A</w:t>
                            </w:r>
                            <w:r w:rsidRPr="005F29BE">
                              <w:rPr>
                                <w:rFonts w:ascii="ＭＳ ゴシック" w:eastAsia="ＭＳ ゴシック" w:hAnsi="ＭＳ ゴシック"/>
                                <w:sz w:val="20"/>
                                <w:szCs w:val="20"/>
                              </w:rPr>
                              <w:t>)</w:t>
                            </w:r>
                            <w:r w:rsidRPr="005F29BE">
                              <w:rPr>
                                <w:rFonts w:hint="eastAsia"/>
                                <w:sz w:val="20"/>
                                <w:szCs w:val="20"/>
                              </w:rPr>
                              <w:t>で規定したベース思考概念と思考表現オブジェクト概念との対応を規定し，</w:t>
                            </w:r>
                            <w:r w:rsidRPr="005F29BE">
                              <w:rPr>
                                <w:sz w:val="20"/>
                                <w:szCs w:val="20"/>
                              </w:rPr>
                              <w:t>この</w:t>
                            </w:r>
                            <w:r w:rsidRPr="005F29BE">
                              <w:rPr>
                                <w:rFonts w:hint="eastAsia"/>
                                <w:sz w:val="20"/>
                                <w:szCs w:val="20"/>
                              </w:rPr>
                              <w:t>規定に基づいた思考外化アプリケーションを開発（</w:t>
                            </w:r>
                            <w:r w:rsidRPr="005F29BE">
                              <w:rPr>
                                <w:rFonts w:hint="eastAsia"/>
                                <w:sz w:val="20"/>
                                <w:szCs w:val="20"/>
                              </w:rPr>
                              <w:t>5.</w:t>
                            </w:r>
                            <w:r w:rsidRPr="005F29BE">
                              <w:rPr>
                                <w:sz w:val="20"/>
                                <w:szCs w:val="20"/>
                              </w:rPr>
                              <w:t>2</w:t>
                            </w:r>
                            <w:r w:rsidRPr="005F29BE">
                              <w:rPr>
                                <w:rFonts w:hint="eastAsia"/>
                                <w:sz w:val="20"/>
                                <w:szCs w:val="20"/>
                              </w:rPr>
                              <w:t>節）</w:t>
                            </w:r>
                          </w:p>
                        </w:tc>
                      </w:tr>
                      <w:tr w:rsidR="00416CDB" w:rsidRPr="005F29BE" w:rsidTr="005F29BE">
                        <w:trPr>
                          <w:trHeight w:val="745"/>
                        </w:trPr>
                        <w:tc>
                          <w:tcPr>
                            <w:tcW w:w="516" w:type="dxa"/>
                            <w:tcBorders>
                              <w:bottom w:val="sing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(C)</w:t>
                            </w:r>
                          </w:p>
                        </w:tc>
                        <w:tc>
                          <w:tcPr>
                            <w:tcW w:w="1185" w:type="dxa"/>
                            <w:vMerge/>
                            <w:tcBorders>
                              <w:bottom w:val="single" w:sz="4" w:space="0" w:color="auto"/>
                            </w:tcBorders>
                          </w:tcPr>
                          <w:p w:rsidR="00416CDB" w:rsidRPr="005F29BE" w:rsidRDefault="00416CDB" w:rsidP="00D1050B">
                            <w:pPr>
                              <w:jc w:val="left"/>
                              <w:rPr>
                                <w:sz w:val="20"/>
                                <w:szCs w:val="20"/>
                              </w:rPr>
                            </w:pPr>
                          </w:p>
                        </w:tc>
                        <w:tc>
                          <w:tcPr>
                            <w:tcW w:w="1134" w:type="dxa"/>
                            <w:tcBorders>
                              <w:bottom w:val="sing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開発者</w:t>
                            </w:r>
                          </w:p>
                        </w:tc>
                        <w:tc>
                          <w:tcPr>
                            <w:tcW w:w="1418" w:type="dxa"/>
                            <w:tcBorders>
                              <w:bottom w:val="single" w:sz="4" w:space="0" w:color="auto"/>
                            </w:tcBorders>
                            <w:vAlign w:val="center"/>
                          </w:tcPr>
                          <w:p w:rsidR="00416CDB" w:rsidRPr="005F29BE" w:rsidRDefault="00416CDB" w:rsidP="00D1050B">
                            <w:pPr>
                              <w:spacing w:line="240" w:lineRule="exact"/>
                              <w:jc w:val="center"/>
                              <w:rPr>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1</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w:t>
                            </w:r>
                            <w:r w:rsidRPr="005F29BE">
                              <w:rPr>
                                <w:sz w:val="20"/>
                                <w:szCs w:val="20"/>
                              </w:rPr>
                              <w:t xml:space="preserve"> </w:t>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2</w:t>
                            </w:r>
                            <w:r w:rsidRPr="005F29BE">
                              <w:rPr>
                                <w:rFonts w:ascii="ＭＳ ゴシック" w:eastAsia="ＭＳ ゴシック" w:hAnsi="ＭＳ ゴシック" w:hint="eastAsia"/>
                                <w:sz w:val="20"/>
                                <w:szCs w:val="20"/>
                              </w:rPr>
                              <w:t>)</w:t>
                            </w:r>
                            <w:r w:rsidRPr="005F29BE">
                              <w:rPr>
                                <w:rFonts w:hint="eastAsia"/>
                                <w:sz w:val="20"/>
                                <w:szCs w:val="20"/>
                              </w:rPr>
                              <w:t>に基づく</w:t>
                            </w:r>
                            <w:r w:rsidRPr="005F29BE">
                              <w:rPr>
                                <w:sz w:val="20"/>
                                <w:szCs w:val="20"/>
                              </w:rPr>
                              <w:br/>
                            </w: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3</w:t>
                            </w:r>
                            <w:r w:rsidRPr="005F29BE">
                              <w:rPr>
                                <w:rFonts w:ascii="ＭＳ ゴシック" w:eastAsia="ＭＳ ゴシック" w:hAnsi="ＭＳ ゴシック" w:hint="eastAsia"/>
                                <w:sz w:val="20"/>
                                <w:szCs w:val="20"/>
                              </w:rPr>
                              <w:t>)</w:t>
                            </w:r>
                            <w:r w:rsidRPr="005F29BE">
                              <w:rPr>
                                <w:rFonts w:hint="eastAsia"/>
                                <w:sz w:val="20"/>
                                <w:szCs w:val="20"/>
                              </w:rPr>
                              <w:t>の</w:t>
                            </w:r>
                            <w:r w:rsidRPr="005F29BE">
                              <w:rPr>
                                <w:sz w:val="20"/>
                                <w:szCs w:val="20"/>
                              </w:rPr>
                              <w:t>具体化</w:t>
                            </w:r>
                          </w:p>
                        </w:tc>
                        <w:tc>
                          <w:tcPr>
                            <w:tcW w:w="5245" w:type="dxa"/>
                            <w:tcBorders>
                              <w:bottom w:val="single" w:sz="4" w:space="0" w:color="auto"/>
                            </w:tcBorders>
                          </w:tcPr>
                          <w:p w:rsidR="00416CDB" w:rsidRPr="005F29BE" w:rsidRDefault="00416CDB" w:rsidP="001E00C4">
                            <w:pPr>
                              <w:spacing w:line="240" w:lineRule="exact"/>
                              <w:rPr>
                                <w:sz w:val="20"/>
                                <w:szCs w:val="20"/>
                              </w:rPr>
                            </w:pPr>
                            <w:r w:rsidRPr="005F29BE">
                              <w:rPr>
                                <w:rFonts w:ascii="ＭＳ ゴシック" w:eastAsia="ＭＳ ゴシック" w:hAnsi="ＭＳ ゴシック"/>
                                <w:sz w:val="20"/>
                                <w:szCs w:val="20"/>
                              </w:rPr>
                              <w:t>(B)</w:t>
                            </w:r>
                            <w:r w:rsidRPr="005F29BE">
                              <w:rPr>
                                <w:rFonts w:hint="eastAsia"/>
                                <w:sz w:val="20"/>
                                <w:szCs w:val="20"/>
                              </w:rPr>
                              <w:t>の思考外化アプリケーションで計測される視線行為・思考操作行為を</w:t>
                            </w:r>
                            <w:r w:rsidRPr="005F29BE">
                              <w:rPr>
                                <w:sz w:val="20"/>
                                <w:szCs w:val="20"/>
                              </w:rPr>
                              <w:t>，</w:t>
                            </w:r>
                            <w:r w:rsidRPr="005F29BE">
                              <w:rPr>
                                <w:rFonts w:hint="eastAsia"/>
                                <w:sz w:val="20"/>
                                <w:szCs w:val="20"/>
                              </w:rPr>
                              <w:t>解釈表現クラスの</w:t>
                            </w:r>
                            <w:r w:rsidRPr="005F29BE">
                              <w:rPr>
                                <w:sz w:val="20"/>
                                <w:szCs w:val="20"/>
                              </w:rPr>
                              <w:t>具体的なインスタンス</w:t>
                            </w:r>
                            <w:r w:rsidRPr="005F29BE">
                              <w:rPr>
                                <w:rFonts w:hint="eastAsia"/>
                                <w:sz w:val="20"/>
                                <w:szCs w:val="20"/>
                              </w:rPr>
                              <w:t>として定義し，準メタ認知的モニタリング・コントロール行為を捉えるための思考分析支援システムを開発（</w:t>
                            </w:r>
                            <w:r w:rsidRPr="005F29BE">
                              <w:rPr>
                                <w:rFonts w:hint="eastAsia"/>
                                <w:sz w:val="20"/>
                                <w:szCs w:val="20"/>
                              </w:rPr>
                              <w:t>5.3</w:t>
                            </w:r>
                            <w:r w:rsidRPr="005F29BE">
                              <w:rPr>
                                <w:rFonts w:hint="eastAsia"/>
                                <w:sz w:val="20"/>
                                <w:szCs w:val="20"/>
                              </w:rPr>
                              <w:t>節）</w:t>
                            </w:r>
                          </w:p>
                        </w:tc>
                      </w:tr>
                      <w:tr w:rsidR="00416CDB" w:rsidRPr="005F29BE" w:rsidTr="005F29BE">
                        <w:trPr>
                          <w:trHeight w:val="311"/>
                        </w:trPr>
                        <w:tc>
                          <w:tcPr>
                            <w:tcW w:w="516" w:type="dxa"/>
                            <w:tcBorders>
                              <w:top w:val="single" w:sz="4" w:space="0" w:color="auto"/>
                              <w:bottom w:val="sing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(D)</w:t>
                            </w:r>
                          </w:p>
                        </w:tc>
                        <w:tc>
                          <w:tcPr>
                            <w:tcW w:w="1185" w:type="dxa"/>
                            <w:tcBorders>
                              <w:top w:val="single" w:sz="4" w:space="0" w:color="auto"/>
                              <w:bottom w:val="single" w:sz="4" w:space="0" w:color="auto"/>
                            </w:tcBorders>
                            <w:vAlign w:val="center"/>
                          </w:tcPr>
                          <w:p w:rsidR="00416CDB" w:rsidRPr="005F29BE" w:rsidRDefault="00416CDB" w:rsidP="00D1050B">
                            <w:pPr>
                              <w:jc w:val="center"/>
                              <w:rPr>
                                <w:sz w:val="20"/>
                                <w:szCs w:val="20"/>
                              </w:rPr>
                            </w:pPr>
                            <w:r w:rsidRPr="005F29BE">
                              <w:rPr>
                                <w:rFonts w:hint="eastAsia"/>
                                <w:sz w:val="20"/>
                                <w:szCs w:val="20"/>
                              </w:rPr>
                              <w:t>計測段階</w:t>
                            </w:r>
                          </w:p>
                        </w:tc>
                        <w:tc>
                          <w:tcPr>
                            <w:tcW w:w="1134" w:type="dxa"/>
                            <w:tcBorders>
                              <w:top w:val="single" w:sz="4" w:space="0" w:color="auto"/>
                              <w:bottom w:val="sing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思考</w:t>
                            </w:r>
                            <w:r w:rsidRPr="005F29BE">
                              <w:rPr>
                                <w:sz w:val="20"/>
                                <w:szCs w:val="20"/>
                              </w:rPr>
                              <w:t>行為</w:t>
                            </w:r>
                            <w:r w:rsidRPr="005F29BE">
                              <w:rPr>
                                <w:rFonts w:hint="eastAsia"/>
                                <w:sz w:val="20"/>
                                <w:szCs w:val="20"/>
                              </w:rPr>
                              <w:t>者</w:t>
                            </w:r>
                          </w:p>
                        </w:tc>
                        <w:tc>
                          <w:tcPr>
                            <w:tcW w:w="1418" w:type="dxa"/>
                            <w:tcBorders>
                              <w:top w:val="single" w:sz="4" w:space="0" w:color="auto"/>
                              <w:bottom w:val="single" w:sz="4" w:space="0" w:color="auto"/>
                            </w:tcBorders>
                            <w:vAlign w:val="center"/>
                          </w:tcPr>
                          <w:p w:rsidR="00416CDB" w:rsidRPr="005F29BE" w:rsidRDefault="00416CDB" w:rsidP="00D1050B">
                            <w:pPr>
                              <w:spacing w:line="240" w:lineRule="exact"/>
                              <w:jc w:val="center"/>
                              <w:rPr>
                                <w:sz w:val="20"/>
                                <w:szCs w:val="20"/>
                              </w:rPr>
                            </w:pPr>
                            <w:r w:rsidRPr="005F29BE">
                              <w:rPr>
                                <w:rFonts w:hint="eastAsia"/>
                                <w:sz w:val="20"/>
                                <w:szCs w:val="20"/>
                              </w:rPr>
                              <w:t>―</w:t>
                            </w:r>
                          </w:p>
                        </w:tc>
                        <w:tc>
                          <w:tcPr>
                            <w:tcW w:w="5245" w:type="dxa"/>
                            <w:tcBorders>
                              <w:top w:val="single" w:sz="4" w:space="0" w:color="auto"/>
                              <w:bottom w:val="single" w:sz="4" w:space="0" w:color="auto"/>
                            </w:tcBorders>
                          </w:tcPr>
                          <w:p w:rsidR="00416CDB" w:rsidRPr="005F29BE" w:rsidRDefault="00416CDB" w:rsidP="000076D6">
                            <w:pPr>
                              <w:spacing w:line="240" w:lineRule="exact"/>
                              <w:rPr>
                                <w:sz w:val="20"/>
                                <w:szCs w:val="20"/>
                              </w:rPr>
                            </w:pPr>
                            <w:r w:rsidRPr="005F29BE">
                              <w:rPr>
                                <w:rFonts w:ascii="ＭＳ ゴシック" w:eastAsia="ＭＳ ゴシック" w:hAnsi="ＭＳ ゴシック"/>
                                <w:sz w:val="20"/>
                                <w:szCs w:val="20"/>
                              </w:rPr>
                              <w:t>(B)</w:t>
                            </w:r>
                            <w:r w:rsidRPr="005F29BE">
                              <w:rPr>
                                <w:rFonts w:hint="eastAsia"/>
                                <w:sz w:val="20"/>
                                <w:szCs w:val="20"/>
                              </w:rPr>
                              <w:t>の思考外化アプリケーションを</w:t>
                            </w:r>
                            <w:r w:rsidRPr="005F29BE">
                              <w:rPr>
                                <w:sz w:val="20"/>
                                <w:szCs w:val="20"/>
                              </w:rPr>
                              <w:t>利用し，</w:t>
                            </w:r>
                            <w:r w:rsidRPr="005F29BE">
                              <w:rPr>
                                <w:rFonts w:hint="eastAsia"/>
                                <w:sz w:val="20"/>
                                <w:szCs w:val="20"/>
                              </w:rPr>
                              <w:t>思考</w:t>
                            </w:r>
                            <w:r w:rsidRPr="005F29BE">
                              <w:rPr>
                                <w:sz w:val="20"/>
                                <w:szCs w:val="20"/>
                              </w:rPr>
                              <w:t>行為者が思考タスク</w:t>
                            </w:r>
                            <w:r w:rsidRPr="005F29BE">
                              <w:rPr>
                                <w:rFonts w:hint="eastAsia"/>
                                <w:sz w:val="20"/>
                                <w:szCs w:val="20"/>
                              </w:rPr>
                              <w:t>を実施（視線</w:t>
                            </w:r>
                            <w:r w:rsidRPr="005F29BE">
                              <w:rPr>
                                <w:sz w:val="20"/>
                                <w:szCs w:val="20"/>
                              </w:rPr>
                              <w:t>行為</w:t>
                            </w:r>
                            <w:r w:rsidRPr="005F29BE">
                              <w:rPr>
                                <w:rFonts w:hint="eastAsia"/>
                                <w:sz w:val="20"/>
                                <w:szCs w:val="20"/>
                              </w:rPr>
                              <w:t>，</w:t>
                            </w:r>
                            <w:r w:rsidRPr="005F29BE">
                              <w:rPr>
                                <w:sz w:val="20"/>
                                <w:szCs w:val="20"/>
                              </w:rPr>
                              <w:t>思考操作行為</w:t>
                            </w:r>
                            <w:r w:rsidRPr="005F29BE">
                              <w:rPr>
                                <w:rFonts w:hint="eastAsia"/>
                                <w:sz w:val="20"/>
                                <w:szCs w:val="20"/>
                              </w:rPr>
                              <w:t>を</w:t>
                            </w:r>
                            <w:r w:rsidRPr="005F29BE">
                              <w:rPr>
                                <w:sz w:val="20"/>
                                <w:szCs w:val="20"/>
                              </w:rPr>
                              <w:t>計測</w:t>
                            </w:r>
                            <w:r w:rsidRPr="005F29BE">
                              <w:rPr>
                                <w:rFonts w:hint="eastAsia"/>
                                <w:sz w:val="20"/>
                                <w:szCs w:val="20"/>
                              </w:rPr>
                              <w:t>）（</w:t>
                            </w:r>
                            <w:r w:rsidRPr="005F29BE">
                              <w:rPr>
                                <w:sz w:val="20"/>
                                <w:szCs w:val="20"/>
                              </w:rPr>
                              <w:t>6</w:t>
                            </w:r>
                            <w:r w:rsidRPr="005F29BE">
                              <w:rPr>
                                <w:rFonts w:hint="eastAsia"/>
                                <w:sz w:val="20"/>
                                <w:szCs w:val="20"/>
                              </w:rPr>
                              <w:t>.1</w:t>
                            </w:r>
                            <w:r w:rsidRPr="005F29BE">
                              <w:rPr>
                                <w:rFonts w:hint="eastAsia"/>
                                <w:sz w:val="20"/>
                                <w:szCs w:val="20"/>
                              </w:rPr>
                              <w:t>節）</w:t>
                            </w:r>
                          </w:p>
                        </w:tc>
                      </w:tr>
                      <w:tr w:rsidR="00416CDB" w:rsidRPr="005F29BE" w:rsidTr="005F29BE">
                        <w:trPr>
                          <w:trHeight w:val="528"/>
                        </w:trPr>
                        <w:tc>
                          <w:tcPr>
                            <w:tcW w:w="516" w:type="dxa"/>
                            <w:tcBorders>
                              <w:top w:val="single" w:sz="4" w:space="0" w:color="auto"/>
                            </w:tcBorders>
                            <w:vAlign w:val="center"/>
                          </w:tcPr>
                          <w:p w:rsidR="00416CDB" w:rsidRPr="005F29BE" w:rsidRDefault="00416CDB" w:rsidP="0075057A">
                            <w:pPr>
                              <w:jc w:val="center"/>
                              <w:rPr>
                                <w:sz w:val="20"/>
                                <w:szCs w:val="20"/>
                              </w:rPr>
                            </w:pPr>
                            <w:r w:rsidRPr="005F29BE">
                              <w:rPr>
                                <w:rFonts w:ascii="ＭＳ ゴシック" w:eastAsia="ＭＳ ゴシック" w:hAnsi="ＭＳ ゴシック"/>
                                <w:sz w:val="20"/>
                                <w:szCs w:val="20"/>
                              </w:rPr>
                              <w:t>(E)</w:t>
                            </w:r>
                          </w:p>
                        </w:tc>
                        <w:tc>
                          <w:tcPr>
                            <w:tcW w:w="1185" w:type="dxa"/>
                            <w:tcBorders>
                              <w:top w:val="single" w:sz="4" w:space="0" w:color="auto"/>
                            </w:tcBorders>
                            <w:vAlign w:val="center"/>
                          </w:tcPr>
                          <w:p w:rsidR="00416CDB" w:rsidRPr="005F29BE" w:rsidRDefault="00416CDB" w:rsidP="00D1050B">
                            <w:pPr>
                              <w:jc w:val="center"/>
                              <w:rPr>
                                <w:sz w:val="20"/>
                                <w:szCs w:val="20"/>
                              </w:rPr>
                            </w:pPr>
                            <w:r w:rsidRPr="005F29BE">
                              <w:rPr>
                                <w:rFonts w:hint="eastAsia"/>
                                <w:sz w:val="20"/>
                                <w:szCs w:val="20"/>
                              </w:rPr>
                              <w:t>分析段階</w:t>
                            </w:r>
                          </w:p>
                        </w:tc>
                        <w:tc>
                          <w:tcPr>
                            <w:tcW w:w="1134" w:type="dxa"/>
                            <w:tcBorders>
                              <w:top w:val="single" w:sz="4" w:space="0" w:color="auto"/>
                            </w:tcBorders>
                            <w:vAlign w:val="center"/>
                          </w:tcPr>
                          <w:p w:rsidR="00416CDB" w:rsidRPr="005F29BE" w:rsidRDefault="00416CDB" w:rsidP="009C6732">
                            <w:pPr>
                              <w:spacing w:line="240" w:lineRule="exact"/>
                              <w:jc w:val="center"/>
                              <w:rPr>
                                <w:sz w:val="20"/>
                                <w:szCs w:val="20"/>
                              </w:rPr>
                            </w:pPr>
                            <w:r w:rsidRPr="005F29BE">
                              <w:rPr>
                                <w:rFonts w:hint="eastAsia"/>
                                <w:sz w:val="20"/>
                                <w:szCs w:val="20"/>
                              </w:rPr>
                              <w:t>分析者</w:t>
                            </w:r>
                          </w:p>
                        </w:tc>
                        <w:tc>
                          <w:tcPr>
                            <w:tcW w:w="1418" w:type="dxa"/>
                            <w:tcBorders>
                              <w:top w:val="single" w:sz="4" w:space="0" w:color="auto"/>
                            </w:tcBorders>
                            <w:vAlign w:val="center"/>
                          </w:tcPr>
                          <w:p w:rsidR="00416CDB" w:rsidRPr="005F29BE" w:rsidRDefault="00416CDB" w:rsidP="00D1050B">
                            <w:pPr>
                              <w:spacing w:line="240" w:lineRule="exact"/>
                              <w:jc w:val="center"/>
                              <w:rPr>
                                <w:sz w:val="20"/>
                                <w:szCs w:val="20"/>
                              </w:rPr>
                            </w:pPr>
                            <w:r w:rsidRPr="005F29BE">
                              <w:rPr>
                                <w:rFonts w:ascii="ＭＳ ゴシック" w:eastAsia="ＭＳ ゴシック" w:hAnsi="ＭＳ ゴシック" w:hint="eastAsia"/>
                                <w:sz w:val="20"/>
                                <w:szCs w:val="20"/>
                              </w:rPr>
                              <w:t>(</w:t>
                            </w:r>
                            <w:r w:rsidRPr="005F29BE">
                              <w:rPr>
                                <w:rFonts w:ascii="ＭＳ ゴシック" w:eastAsia="ＭＳ ゴシック" w:hAnsi="ＭＳ ゴシック"/>
                                <w:sz w:val="20"/>
                                <w:szCs w:val="20"/>
                              </w:rPr>
                              <w:t>3</w:t>
                            </w:r>
                            <w:r w:rsidRPr="005F29BE">
                              <w:rPr>
                                <w:rFonts w:ascii="ＭＳ ゴシック" w:eastAsia="ＭＳ ゴシック" w:hAnsi="ＭＳ ゴシック" w:hint="eastAsia"/>
                                <w:sz w:val="20"/>
                                <w:szCs w:val="20"/>
                              </w:rPr>
                              <w:t>)</w:t>
                            </w:r>
                            <w:r w:rsidRPr="005F29BE">
                              <w:rPr>
                                <w:rFonts w:hint="eastAsia"/>
                                <w:sz w:val="20"/>
                                <w:szCs w:val="20"/>
                              </w:rPr>
                              <w:t>の適用</w:t>
                            </w:r>
                          </w:p>
                        </w:tc>
                        <w:tc>
                          <w:tcPr>
                            <w:tcW w:w="5245" w:type="dxa"/>
                            <w:tcBorders>
                              <w:top w:val="single" w:sz="4" w:space="0" w:color="auto"/>
                            </w:tcBorders>
                          </w:tcPr>
                          <w:p w:rsidR="00416CDB" w:rsidRPr="005F29BE" w:rsidRDefault="00416CDB" w:rsidP="000076D6">
                            <w:pPr>
                              <w:spacing w:line="240" w:lineRule="exact"/>
                              <w:rPr>
                                <w:sz w:val="20"/>
                                <w:szCs w:val="20"/>
                              </w:rPr>
                            </w:pPr>
                            <w:r w:rsidRPr="005F29BE">
                              <w:rPr>
                                <w:rFonts w:ascii="ＭＳ 明朝" w:hAnsi="ＭＳ 明朝" w:hint="eastAsia"/>
                                <w:sz w:val="20"/>
                                <w:szCs w:val="20"/>
                              </w:rPr>
                              <w:t>解釈</w:t>
                            </w:r>
                            <w:r w:rsidRPr="005F29BE">
                              <w:rPr>
                                <w:rFonts w:ascii="ＭＳ 明朝" w:hAnsi="ＭＳ 明朝"/>
                                <w:sz w:val="20"/>
                                <w:szCs w:val="20"/>
                              </w:rPr>
                              <w:t>表現</w:t>
                            </w:r>
                            <w:r w:rsidRPr="005F29BE">
                              <w:rPr>
                                <w:rFonts w:ascii="ＭＳ 明朝" w:hAnsi="ＭＳ 明朝" w:hint="eastAsia"/>
                                <w:sz w:val="20"/>
                                <w:szCs w:val="20"/>
                              </w:rPr>
                              <w:t>を</w:t>
                            </w:r>
                            <w:r w:rsidRPr="005F29BE">
                              <w:rPr>
                                <w:rFonts w:ascii="ＭＳ 明朝" w:hAnsi="ＭＳ 明朝"/>
                                <w:sz w:val="20"/>
                                <w:szCs w:val="20"/>
                              </w:rPr>
                              <w:t>与える</w:t>
                            </w:r>
                            <w:r w:rsidRPr="005F29BE">
                              <w:rPr>
                                <w:rFonts w:ascii="ＭＳ ゴシック" w:eastAsia="ＭＳ ゴシック" w:hAnsi="ＭＳ ゴシック"/>
                                <w:sz w:val="20"/>
                                <w:szCs w:val="20"/>
                              </w:rPr>
                              <w:t>(C)</w:t>
                            </w:r>
                            <w:r w:rsidRPr="005F29BE">
                              <w:rPr>
                                <w:rFonts w:hint="eastAsia"/>
                                <w:sz w:val="20"/>
                                <w:szCs w:val="20"/>
                              </w:rPr>
                              <w:t>の思考分析支援システムを用いて，</w:t>
                            </w:r>
                            <w:r w:rsidRPr="005F29BE">
                              <w:rPr>
                                <w:rFonts w:ascii="ＭＳ ゴシック" w:eastAsia="ＭＳ ゴシック" w:hAnsi="ＭＳ ゴシック"/>
                                <w:sz w:val="20"/>
                                <w:szCs w:val="20"/>
                              </w:rPr>
                              <w:t>(D)</w:t>
                            </w:r>
                            <w:r w:rsidRPr="005F29BE">
                              <w:rPr>
                                <w:rFonts w:hint="eastAsia"/>
                                <w:sz w:val="20"/>
                                <w:szCs w:val="20"/>
                              </w:rPr>
                              <w:t>で計測された視線行為</w:t>
                            </w:r>
                            <w:r w:rsidRPr="005F29BE">
                              <w:rPr>
                                <w:sz w:val="20"/>
                                <w:szCs w:val="20"/>
                              </w:rPr>
                              <w:t>，</w:t>
                            </w:r>
                            <w:r w:rsidRPr="005F29BE">
                              <w:rPr>
                                <w:rFonts w:hint="eastAsia"/>
                                <w:sz w:val="20"/>
                                <w:szCs w:val="20"/>
                              </w:rPr>
                              <w:t>思考操作行為の</w:t>
                            </w:r>
                            <w:r w:rsidRPr="005F29BE">
                              <w:rPr>
                                <w:sz w:val="20"/>
                                <w:szCs w:val="20"/>
                              </w:rPr>
                              <w:t>解釈表現を規定し，</w:t>
                            </w:r>
                            <w:r w:rsidRPr="005F29BE">
                              <w:rPr>
                                <w:rFonts w:hint="eastAsia"/>
                                <w:sz w:val="20"/>
                                <w:szCs w:val="20"/>
                              </w:rPr>
                              <w:t>結果を</w:t>
                            </w:r>
                            <w:r w:rsidRPr="005F29BE">
                              <w:rPr>
                                <w:sz w:val="20"/>
                                <w:szCs w:val="20"/>
                              </w:rPr>
                              <w:t>分析</w:t>
                            </w:r>
                            <w:r w:rsidRPr="005F29BE">
                              <w:rPr>
                                <w:rFonts w:hint="eastAsia"/>
                                <w:sz w:val="20"/>
                                <w:szCs w:val="20"/>
                              </w:rPr>
                              <w:t>（</w:t>
                            </w:r>
                            <w:r w:rsidRPr="005F29BE">
                              <w:rPr>
                                <w:rFonts w:hint="eastAsia"/>
                                <w:sz w:val="20"/>
                                <w:szCs w:val="20"/>
                              </w:rPr>
                              <w:t>6</w:t>
                            </w:r>
                            <w:r w:rsidRPr="005F29BE">
                              <w:rPr>
                                <w:sz w:val="20"/>
                                <w:szCs w:val="20"/>
                              </w:rPr>
                              <w:t>.2</w:t>
                            </w:r>
                            <w:r w:rsidRPr="005F29BE">
                              <w:rPr>
                                <w:rFonts w:hint="eastAsia"/>
                                <w:sz w:val="20"/>
                                <w:szCs w:val="20"/>
                              </w:rPr>
                              <w:t>節）</w:t>
                            </w:r>
                          </w:p>
                        </w:tc>
                      </w:tr>
                    </w:tbl>
                    <w:p w:rsidR="00416CDB" w:rsidRPr="00AD28B1" w:rsidRDefault="00416CDB" w:rsidP="00416CDB"/>
                  </w:txbxContent>
                </v:textbox>
                <w10:wrap type="square" anchorx="margin"/>
              </v:shape>
            </w:pict>
          </mc:Fallback>
        </mc:AlternateContent>
      </w:r>
      <w:r w:rsidRPr="00BA5DF8">
        <w:rPr>
          <w:rFonts w:hint="eastAsia"/>
        </w:rPr>
        <w:t>解釈表現を記述することにより，メタ思考解釈に向けた計測</w:t>
      </w:r>
      <w:r w:rsidRPr="00EE2AC7">
        <w:rPr>
          <w:rFonts w:hint="eastAsia"/>
        </w:rPr>
        <w:t>から解釈に至る一連の過程に込めた分析者の意図を，合意性を高める形式で表現できるようになると考える．</w:t>
      </w:r>
    </w:p>
    <w:p w:rsidR="003F4F52" w:rsidRDefault="003F4F52" w:rsidP="0097448B"/>
    <w:p w:rsidR="003F4F52" w:rsidRPr="008A59B5" w:rsidRDefault="0025714F" w:rsidP="0097448B">
      <w:pPr>
        <w:rPr>
          <w:rFonts w:ascii="ＭＳ ゴシック" w:eastAsia="ＭＳ ゴシック" w:hAnsi="ＭＳ ゴシック"/>
        </w:rPr>
      </w:pPr>
      <w:r w:rsidRPr="008A59B5">
        <w:rPr>
          <w:rFonts w:ascii="ＭＳ ゴシック" w:eastAsia="ＭＳ ゴシック" w:hAnsi="ＭＳ ゴシック"/>
        </w:rPr>
        <w:t>2.2　メタ思考解釈フレームワーク</w:t>
      </w:r>
    </w:p>
    <w:p w:rsidR="003F4F52" w:rsidRDefault="0025714F" w:rsidP="0097448B">
      <w:r>
        <w:rPr>
          <w:rFonts w:hint="eastAsia"/>
        </w:rPr>
        <w:t xml:space="preserve">　図1で示したメタ思考プロセスの解釈モデルをメタ</w:t>
      </w:r>
      <w:r w:rsidRPr="00EE2AC7">
        <w:rPr>
          <w:rFonts w:hint="eastAsia"/>
        </w:rPr>
        <w:t>思考解釈</w:t>
      </w:r>
      <w:r>
        <w:rPr>
          <w:rFonts w:hint="eastAsia"/>
        </w:rPr>
        <w:t>フレームワークとして規定</w:t>
      </w:r>
      <w:r w:rsidRPr="00DC6B18">
        <w:rPr>
          <w:rFonts w:hint="eastAsia"/>
        </w:rPr>
        <w:t>したものを表1に示す．本フレームワークでは，思考プロセスを捉えるための作業プロセスの枠組みを与え，この一連の作業を遂行するための概念となるベース思考表現オントロジー（</w:t>
      </w:r>
      <w:r w:rsidRPr="00DC6B18">
        <w:rPr>
          <w:rFonts w:ascii="ＭＳ ゴシック" w:eastAsia="ＭＳ ゴシック" w:hAnsi="ＭＳ ゴシック" w:hint="eastAsia"/>
        </w:rPr>
        <w:t>(</w:t>
      </w:r>
      <w:r w:rsidRPr="00DC6B18">
        <w:rPr>
          <w:rFonts w:ascii="ＭＳ ゴシック" w:eastAsia="ＭＳ ゴシック" w:hAnsi="ＭＳ ゴシック"/>
        </w:rPr>
        <w:t>1</w:t>
      </w:r>
      <w:r w:rsidRPr="00DC6B18">
        <w:rPr>
          <w:rFonts w:ascii="ＭＳ ゴシック" w:eastAsia="ＭＳ ゴシック" w:hAnsi="ＭＳ ゴシック" w:hint="eastAsia"/>
        </w:rPr>
        <w:t>)</w:t>
      </w:r>
      <w:r w:rsidRPr="00DC6B18">
        <w:t xml:space="preserve">, </w:t>
      </w:r>
      <w:r w:rsidRPr="00DC6B18">
        <w:rPr>
          <w:rFonts w:ascii="ＭＳ ゴシック" w:eastAsia="ＭＳ ゴシック" w:hAnsi="ＭＳ ゴシック"/>
        </w:rPr>
        <w:t>(2)</w:t>
      </w:r>
      <w:r w:rsidRPr="00DC6B18">
        <w:rPr>
          <w:rFonts w:hint="eastAsia"/>
        </w:rPr>
        <w:t>）及び，解釈表現記法（</w:t>
      </w:r>
      <w:r w:rsidRPr="00DC6B18">
        <w:rPr>
          <w:rFonts w:ascii="ＭＳ ゴシック" w:eastAsia="ＭＳ ゴシック" w:hAnsi="ＭＳ ゴシック" w:hint="eastAsia"/>
        </w:rPr>
        <w:t>(</w:t>
      </w:r>
      <w:r w:rsidRPr="00DC6B18">
        <w:rPr>
          <w:rFonts w:ascii="ＭＳ ゴシック" w:eastAsia="ＭＳ ゴシック" w:hAnsi="ＭＳ ゴシック"/>
        </w:rPr>
        <w:t>3</w:t>
      </w:r>
      <w:r w:rsidRPr="00DC6B18">
        <w:rPr>
          <w:rFonts w:ascii="ＭＳ ゴシック" w:eastAsia="ＭＳ ゴシック" w:hAnsi="ＭＳ ゴシック" w:hint="eastAsia"/>
        </w:rPr>
        <w:t>)</w:t>
      </w:r>
      <w:r w:rsidRPr="00DC6B18">
        <w:rPr>
          <w:rFonts w:hint="eastAsia"/>
        </w:rPr>
        <w:t>）を規定している．ここでは，作業プロセス（表1下段）について述べ，フレームワークが規定する概念（表1上段）については，3章および4章で詳述する．</w:t>
      </w:r>
    </w:p>
    <w:p w:rsidR="003F4F52" w:rsidRPr="0025714F" w:rsidRDefault="0025714F" w:rsidP="0097448B">
      <w:r>
        <w:rPr>
          <w:rFonts w:hint="eastAsia"/>
        </w:rPr>
        <w:t xml:space="preserve">　</w:t>
      </w:r>
      <w:r w:rsidRPr="0025714F">
        <w:rPr>
          <w:rFonts w:hint="eastAsia"/>
        </w:rPr>
        <w:t>具体的な作業プロセスとして，「設計段階」，「開発段階」，「計測段階」，「分析段階」の４つのフェーズに区分して整理している．各作業にあたるステークホルダとしては，メタ思考分析の行為者（分析者），</w:t>
      </w:r>
      <w:r w:rsidRPr="0025714F">
        <w:rPr>
          <w:rFonts w:hint="eastAsia"/>
        </w:rPr>
        <w:lastRenderedPageBreak/>
        <w:t>メタ思考分析に際して利用するシステム開発者（開発者），そしてメタ思考の被分析者となる思考の行為者（思考行為者）を想定している．</w:t>
      </w:r>
    </w:p>
    <w:p w:rsidR="0025714F" w:rsidRDefault="0025714F" w:rsidP="0025714F">
      <w:r w:rsidRPr="008A59B5">
        <w:rPr>
          <w:rFonts w:ascii="ＭＳ ゴシック" w:eastAsia="ＭＳ ゴシック" w:hAnsi="ＭＳ ゴシック" w:hint="eastAsia"/>
        </w:rPr>
        <w:t>設計段階</w:t>
      </w:r>
      <w:r w:rsidRPr="008A59B5">
        <w:rPr>
          <w:rFonts w:ascii="ＭＳ ゴシック" w:eastAsia="ＭＳ ゴシック" w:hAnsi="ＭＳ ゴシック"/>
        </w:rPr>
        <w:t>(A)</w:t>
      </w:r>
      <w:r>
        <w:t>：分析対象とする思考タスクに想定されるベース思考活動のアウトプット概念を，分析者がオントロジーとして体系化する．</w:t>
      </w:r>
    </w:p>
    <w:p w:rsidR="0025714F" w:rsidRDefault="0025714F" w:rsidP="0025714F">
      <w:r w:rsidRPr="008A59B5">
        <w:rPr>
          <w:rFonts w:ascii="ＭＳ ゴシック" w:eastAsia="ＭＳ ゴシック" w:hAnsi="ＭＳ ゴシック" w:hint="eastAsia"/>
        </w:rPr>
        <w:t>開発段階</w:t>
      </w:r>
      <w:r w:rsidRPr="008A59B5">
        <w:rPr>
          <w:rFonts w:ascii="ＭＳ ゴシック" w:eastAsia="ＭＳ ゴシック" w:hAnsi="ＭＳ ゴシック"/>
        </w:rPr>
        <w:t>(B)</w:t>
      </w:r>
      <w:r>
        <w:t>：(A)で規定されたベース思考活動のアウトプット概念と，予めオントロジーとして規定されている思考表現オブジェクトとの対応を分析者と開発者間で議論し，これに基づく思考表現オブジェクト概念のインスタンスとして構成されるインタフェースデザインを採る思考外化アプリケーションを構築する．</w:t>
      </w:r>
    </w:p>
    <w:p w:rsidR="0025714F" w:rsidRDefault="0025714F" w:rsidP="0025714F">
      <w:r w:rsidRPr="008A59B5">
        <w:rPr>
          <w:rFonts w:ascii="ＭＳ ゴシック" w:eastAsia="ＭＳ ゴシック" w:hAnsi="ＭＳ ゴシック" w:hint="eastAsia"/>
        </w:rPr>
        <w:t>開発段階</w:t>
      </w:r>
      <w:r w:rsidRPr="008A59B5">
        <w:rPr>
          <w:rFonts w:ascii="ＭＳ ゴシック" w:eastAsia="ＭＳ ゴシック" w:hAnsi="ＭＳ ゴシック"/>
        </w:rPr>
        <w:t>(C)</w:t>
      </w:r>
      <w:r>
        <w:t>：(B)を通して計測される視線行為，思考操作行為から分析対象とするものを抽出したり，解釈を与えるための解釈表現（4章）を設定できる思考分析支援システムを実装開発する．</w:t>
      </w:r>
    </w:p>
    <w:p w:rsidR="003F4F52" w:rsidRPr="0025714F" w:rsidRDefault="0025714F" w:rsidP="0025714F">
      <w:r w:rsidRPr="008A59B5">
        <w:rPr>
          <w:rFonts w:ascii="ＭＳ ゴシック" w:eastAsia="ＭＳ ゴシック" w:hAnsi="ＭＳ ゴシック" w:hint="eastAsia"/>
        </w:rPr>
        <w:t>計測段階</w:t>
      </w:r>
      <w:r w:rsidRPr="008A59B5">
        <w:rPr>
          <w:rFonts w:ascii="ＭＳ ゴシック" w:eastAsia="ＭＳ ゴシック" w:hAnsi="ＭＳ ゴシック"/>
        </w:rPr>
        <w:t>(D)</w:t>
      </w:r>
      <w:r>
        <w:t>：(B)で構築した思考外化アプリケーションを通して思考行為者が思考タスクを実施する作業である．</w:t>
      </w:r>
    </w:p>
    <w:p w:rsidR="0025714F" w:rsidRDefault="0025714F" w:rsidP="0025714F">
      <w:r w:rsidRPr="008A59B5">
        <w:rPr>
          <w:rFonts w:ascii="ＭＳ ゴシック" w:eastAsia="ＭＳ ゴシック" w:hAnsi="ＭＳ ゴシック" w:hint="eastAsia"/>
        </w:rPr>
        <w:t>分析段階</w:t>
      </w:r>
      <w:r w:rsidRPr="008A59B5">
        <w:rPr>
          <w:rFonts w:ascii="ＭＳ ゴシック" w:eastAsia="ＭＳ ゴシック" w:hAnsi="ＭＳ ゴシック"/>
        </w:rPr>
        <w:t>(E)</w:t>
      </w:r>
      <w:r>
        <w:t>：(D)で計測された思考行為者の視線行為，思考操作行為情報に対して，(C)で開発した思考分析支援システム上に解釈表現を設定・適用し，これを洗練していくことによりメタ思考を仮説検証的に捉える．</w:t>
      </w:r>
    </w:p>
    <w:p w:rsidR="003F4F52" w:rsidRDefault="0025714F" w:rsidP="0025714F">
      <w:pPr>
        <w:ind w:firstLineChars="100" w:firstLine="210"/>
      </w:pPr>
      <w:r>
        <w:rPr>
          <w:rFonts w:hint="eastAsia"/>
        </w:rPr>
        <w:t>以下，フレームワークが規定するベース思考表現オントロジーを</w:t>
      </w:r>
      <w:r>
        <w:t>3章で，解釈表現記法について4章で説明する．</w:t>
      </w:r>
    </w:p>
    <w:p w:rsidR="003F4F52" w:rsidRDefault="003F4F52" w:rsidP="0097448B"/>
    <w:p w:rsidR="0025714F" w:rsidRPr="008A59B5" w:rsidRDefault="009F4984" w:rsidP="0097448B">
      <w:pPr>
        <w:rPr>
          <w:rFonts w:ascii="ＭＳ ゴシック" w:eastAsia="ＭＳ ゴシック" w:hAnsi="ＭＳ ゴシック"/>
        </w:rPr>
      </w:pPr>
      <w:r w:rsidRPr="008A59B5">
        <w:rPr>
          <w:rFonts w:ascii="ＭＳ ゴシック" w:eastAsia="ＭＳ ゴシック" w:hAnsi="ＭＳ ゴシック"/>
        </w:rPr>
        <w:t>3．ベース思考表現オントロジー</w:t>
      </w:r>
    </w:p>
    <w:p w:rsidR="0025714F" w:rsidRDefault="00EA7D26" w:rsidP="0097448B">
      <w:r>
        <w:rPr>
          <w:rFonts w:hint="eastAsia"/>
        </w:rPr>
        <w:t xml:space="preserve">　</w:t>
      </w:r>
      <w:r>
        <w:rPr>
          <w:rFonts w:hint="eastAsia"/>
          <w:kern w:val="0"/>
        </w:rPr>
        <w:t>図</w:t>
      </w:r>
      <w:r>
        <w:rPr>
          <w:kern w:val="0"/>
        </w:rPr>
        <w:t>1</w:t>
      </w:r>
      <w:r>
        <w:rPr>
          <w:rFonts w:hint="eastAsia"/>
          <w:kern w:val="0"/>
        </w:rPr>
        <w:t>に示したメタ思考プロセスの解釈モデルを，思考外化アプリケーション及び思考分析支援システム開発へと接続する基礎となるのが，フレームワークが規定するベース思考表現オントロジー（表</w:t>
      </w:r>
      <w:r>
        <w:rPr>
          <w:kern w:val="0"/>
        </w:rPr>
        <w:t>1</w:t>
      </w:r>
      <w:r>
        <w:rPr>
          <w:rFonts w:ascii="ＭＳ ゴシック" w:eastAsia="ＭＳ ゴシック" w:hAnsi="ＭＳ ゴシック" w:hint="eastAsia"/>
          <w:kern w:val="0"/>
        </w:rPr>
        <w:t>(1)</w:t>
      </w:r>
      <w:r>
        <w:rPr>
          <w:kern w:val="0"/>
        </w:rPr>
        <w:t xml:space="preserve"> , </w:t>
      </w:r>
      <w:r>
        <w:rPr>
          <w:rFonts w:ascii="ＭＳ ゴシック" w:eastAsia="ＭＳ ゴシック" w:hAnsi="ＭＳ ゴシック" w:hint="eastAsia"/>
          <w:kern w:val="0"/>
        </w:rPr>
        <w:t>(2)</w:t>
      </w:r>
      <w:r>
        <w:rPr>
          <w:rFonts w:hint="eastAsia"/>
          <w:kern w:val="0"/>
        </w:rPr>
        <w:t>）である．ここでは，思考タスクタイプに共通の概念が規定され，この下で分析者が対象思考タスク固有のベース思考活動のアウトプット概念を規定（表</w:t>
      </w:r>
      <w:r>
        <w:rPr>
          <w:kern w:val="0"/>
        </w:rPr>
        <w:t>1</w:t>
      </w:r>
      <w:r>
        <w:rPr>
          <w:rFonts w:ascii="ＭＳ ゴシック" w:eastAsia="ＭＳ ゴシック" w:hAnsi="ＭＳ ゴシック" w:hint="eastAsia"/>
          <w:kern w:val="0"/>
        </w:rPr>
        <w:t>(A)</w:t>
      </w:r>
      <w:r>
        <w:rPr>
          <w:rFonts w:hint="eastAsia"/>
          <w:kern w:val="0"/>
        </w:rPr>
        <w:t>）することで，これと接続するシステム開発基盤が整えられる．</w:t>
      </w:r>
    </w:p>
    <w:p w:rsidR="0025714F" w:rsidRDefault="0025714F" w:rsidP="0097448B"/>
    <w:p w:rsidR="003F4F52" w:rsidRPr="008A59B5" w:rsidRDefault="00EA7D26" w:rsidP="0097448B">
      <w:pPr>
        <w:rPr>
          <w:rFonts w:ascii="ＭＳ ゴシック" w:eastAsia="ＭＳ ゴシック" w:hAnsi="ＭＳ ゴシック"/>
        </w:rPr>
      </w:pPr>
      <w:r w:rsidRPr="008A59B5">
        <w:rPr>
          <w:rFonts w:ascii="ＭＳ ゴシック" w:eastAsia="ＭＳ ゴシック" w:hAnsi="ＭＳ ゴシック"/>
        </w:rPr>
        <w:t>3.1　ベース思考活動のアウトプット概念</w:t>
      </w:r>
    </w:p>
    <w:p w:rsidR="00C61195" w:rsidRDefault="00EA7D26" w:rsidP="0097448B">
      <w:r>
        <w:rPr>
          <w:rFonts w:hint="eastAsia"/>
        </w:rPr>
        <w:t xml:space="preserve">　</w:t>
      </w:r>
      <w:r w:rsidRPr="00EE2AC7">
        <w:rPr>
          <w:rFonts w:hint="eastAsia"/>
        </w:rPr>
        <w:t>思考表現オントロジーにおけるベース思考活動のアウトプット概念（以後，ベ</w:t>
      </w:r>
      <w:r w:rsidRPr="00BA5DF8">
        <w:rPr>
          <w:rFonts w:hint="eastAsia"/>
        </w:rPr>
        <w:t>ース思考概念）を図2に示す</w:t>
      </w:r>
      <w:r>
        <w:rPr>
          <w:rStyle w:val="a9"/>
        </w:rPr>
        <w:footnoteReference w:id="1"/>
      </w:r>
      <w:r w:rsidRPr="00BA5DF8">
        <w:rPr>
          <w:rFonts w:hint="eastAsia"/>
        </w:rPr>
        <w:t>．一口に思考といっても，対象とする思考タスクに応じて様々に捉えることができる．このような思考の粒度の違いを規定するために，思考概念（</w:t>
      </w:r>
      <w:r w:rsidRPr="00BA5DF8">
        <w:rPr>
          <w:rFonts w:hint="eastAsia"/>
          <w:u w:val="single"/>
        </w:rPr>
        <w:t>thinking</w:t>
      </w:r>
      <w:r w:rsidRPr="00BA5DF8">
        <w:rPr>
          <w:rFonts w:hint="eastAsia"/>
        </w:rPr>
        <w:t>）以下にベース思考活動の最小単位を表す原始的な概念（</w:t>
      </w:r>
      <w:r w:rsidRPr="00BA5DF8">
        <w:rPr>
          <w:rFonts w:hint="eastAsia"/>
          <w:u w:val="single"/>
        </w:rPr>
        <w:t>primitive-BL-thinking</w:t>
      </w:r>
      <w:r w:rsidRPr="00BA5DF8">
        <w:rPr>
          <w:rFonts w:hint="eastAsia"/>
        </w:rPr>
        <w:t>）及び，その集積体として表現されるベース思考概念（</w:t>
      </w:r>
      <w:r w:rsidRPr="00BA5DF8">
        <w:rPr>
          <w:rFonts w:hint="eastAsia"/>
          <w:u w:val="single"/>
        </w:rPr>
        <w:t>collective-BL-thinking</w:t>
      </w:r>
      <w:r w:rsidRPr="00BA5DF8">
        <w:rPr>
          <w:rFonts w:hint="eastAsia"/>
        </w:rPr>
        <w:t>）の大きく2つの概念からベース思考活動のアウトプット概念を規定している（図2赤枠内）．</w:t>
      </w:r>
    </w:p>
    <w:p w:rsidR="00EA7D26" w:rsidRDefault="00EA7D26" w:rsidP="0097448B">
      <w:r>
        <w:rPr>
          <w:rFonts w:hint="eastAsia"/>
        </w:rPr>
        <w:t xml:space="preserve">　</w:t>
      </w:r>
      <w:r w:rsidRPr="00BA5DF8">
        <w:rPr>
          <w:rFonts w:hint="eastAsia"/>
        </w:rPr>
        <w:t>primitive-BL-thinkingの下位概念には，「事実（</w:t>
      </w:r>
      <w:r w:rsidRPr="00BA5DF8">
        <w:rPr>
          <w:rFonts w:hint="eastAsia"/>
          <w:u w:val="single"/>
        </w:rPr>
        <w:t>fact</w:t>
      </w:r>
      <w:r w:rsidRPr="00BA5DF8">
        <w:rPr>
          <w:rFonts w:hint="eastAsia"/>
        </w:rPr>
        <w:t>）」，</w:t>
      </w:r>
      <w:r w:rsidRPr="00500642">
        <w:rPr>
          <w:rFonts w:hint="eastAsia"/>
        </w:rPr>
        <w:t>「前提（</w:t>
      </w:r>
      <w:r w:rsidRPr="00500642">
        <w:rPr>
          <w:u w:val="single"/>
        </w:rPr>
        <w:t>condition</w:t>
      </w:r>
      <w:r w:rsidRPr="00500642">
        <w:rPr>
          <w:rFonts w:hint="eastAsia"/>
        </w:rPr>
        <w:t>）」，「推定（</w:t>
      </w:r>
      <w:r w:rsidRPr="00500642">
        <w:rPr>
          <w:u w:val="single"/>
        </w:rPr>
        <w:t>estimate</w:t>
      </w:r>
      <w:r w:rsidRPr="00500642">
        <w:rPr>
          <w:rFonts w:hint="eastAsia"/>
        </w:rPr>
        <w:t>）」，「指針（</w:t>
      </w:r>
      <w:r w:rsidRPr="00500642">
        <w:rPr>
          <w:rFonts w:hint="eastAsia"/>
          <w:u w:val="single"/>
        </w:rPr>
        <w:t>policy</w:t>
      </w:r>
      <w:r w:rsidRPr="00500642">
        <w:rPr>
          <w:rFonts w:hint="eastAsia"/>
        </w:rPr>
        <w:t>）」，「判断（</w:t>
      </w:r>
      <w:r w:rsidRPr="00500642">
        <w:rPr>
          <w:rFonts w:hint="eastAsia"/>
          <w:u w:val="single"/>
        </w:rPr>
        <w:t>d</w:t>
      </w:r>
      <w:r w:rsidRPr="00500642">
        <w:rPr>
          <w:u w:val="single"/>
        </w:rPr>
        <w:t>ecision</w:t>
      </w:r>
      <w:r w:rsidRPr="00500642">
        <w:rPr>
          <w:rFonts w:hint="eastAsia"/>
        </w:rPr>
        <w:t>）」，「結果（</w:t>
      </w:r>
      <w:r w:rsidRPr="00500642">
        <w:rPr>
          <w:u w:val="single"/>
        </w:rPr>
        <w:t>result</w:t>
      </w:r>
      <w:r w:rsidRPr="00500642">
        <w:rPr>
          <w:rFonts w:hint="eastAsia"/>
        </w:rPr>
        <w:t>）」など，論理的な思考を構成する上で一般的に</w:t>
      </w:r>
      <w:r w:rsidRPr="00BA5DF8">
        <w:rPr>
          <w:rFonts w:hint="eastAsia"/>
        </w:rPr>
        <w:t>重要と考えられる最小単位のベース思考概念が体系化されている（図2青枠内）．対象思考タスクに求められる固有の概念については追加規定することを分析者に許している．</w:t>
      </w:r>
    </w:p>
    <w:p w:rsidR="00EA7D26" w:rsidRDefault="007179B0" w:rsidP="0097448B">
      <w:r w:rsidRPr="00EE2AC7">
        <w:rPr>
          <w:noProof/>
        </w:rPr>
        <w:lastRenderedPageBreak/>
        <mc:AlternateContent>
          <mc:Choice Requires="wps">
            <w:drawing>
              <wp:anchor distT="0" distB="0" distL="114300" distR="114300" simplePos="0" relativeHeight="251663360" behindDoc="0" locked="0" layoutInCell="1" allowOverlap="1" wp14:anchorId="1A5432D3" wp14:editId="2B2E935C">
                <wp:simplePos x="0" y="0"/>
                <wp:positionH relativeFrom="margin">
                  <wp:posOffset>-17145</wp:posOffset>
                </wp:positionH>
                <wp:positionV relativeFrom="paragraph">
                  <wp:posOffset>62865</wp:posOffset>
                </wp:positionV>
                <wp:extent cx="6195695" cy="4805680"/>
                <wp:effectExtent l="0" t="0" r="0" b="0"/>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6195695" cy="4805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179B0" w:rsidRPr="00000CAD" w:rsidRDefault="007179B0" w:rsidP="007179B0">
                            <w:pPr>
                              <w:jc w:val="center"/>
                            </w:pPr>
                            <w:r w:rsidRPr="00DB5609">
                              <w:rPr>
                                <w:noProof/>
                              </w:rPr>
                              <w:drawing>
                                <wp:inline distT="0" distB="0" distL="0" distR="0" wp14:anchorId="46EED043" wp14:editId="52B87B25">
                                  <wp:extent cx="4326340" cy="3961102"/>
                                  <wp:effectExtent l="0" t="0" r="5715" b="0"/>
                                  <wp:docPr id="35" name="図 35" descr="C:\Users\troika\Dropbox\1_Research\2017 IEICE Journal\pictures\ベース思考オントロジー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ベース思考オントロジー３.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6340" cy="3961102"/>
                                          </a:xfrm>
                                          <a:prstGeom prst="rect">
                                            <a:avLst/>
                                          </a:prstGeom>
                                          <a:noFill/>
                                          <a:ln>
                                            <a:noFill/>
                                          </a:ln>
                                        </pic:spPr>
                                      </pic:pic>
                                    </a:graphicData>
                                  </a:graphic>
                                </wp:inline>
                              </w:drawing>
                            </w:r>
                          </w:p>
                          <w:p w:rsidR="007179B0" w:rsidRPr="007179B0" w:rsidRDefault="007179B0" w:rsidP="007179B0">
                            <w:pPr>
                              <w:pStyle w:val="a4"/>
                              <w:rPr>
                                <w:sz w:val="20"/>
                                <w:szCs w:val="20"/>
                              </w:rPr>
                            </w:pPr>
                            <w:r w:rsidRPr="007179B0">
                              <w:rPr>
                                <w:rFonts w:hint="eastAsia"/>
                                <w:sz w:val="20"/>
                                <w:szCs w:val="20"/>
                              </w:rPr>
                              <w:t>図</w:t>
                            </w:r>
                            <w:r w:rsidRPr="007179B0">
                              <w:rPr>
                                <w:sz w:val="20"/>
                                <w:szCs w:val="20"/>
                              </w:rPr>
                              <w:t>2</w:t>
                            </w:r>
                            <w:r w:rsidRPr="007179B0">
                              <w:rPr>
                                <w:rFonts w:hint="eastAsia"/>
                                <w:sz w:val="20"/>
                                <w:szCs w:val="20"/>
                              </w:rPr>
                              <w:t xml:space="preserve">　信念対立思考</w:t>
                            </w:r>
                            <w:r w:rsidRPr="007179B0">
                              <w:rPr>
                                <w:sz w:val="20"/>
                                <w:szCs w:val="20"/>
                              </w:rPr>
                              <w:t>を対象とした</w:t>
                            </w:r>
                            <w:r w:rsidRPr="007179B0">
                              <w:rPr>
                                <w:rFonts w:hint="eastAsia"/>
                                <w:sz w:val="20"/>
                                <w:szCs w:val="20"/>
                              </w:rPr>
                              <w:t>ベース思考活動のアウトプット概念</w:t>
                            </w:r>
                          </w:p>
                          <w:p w:rsidR="007179B0" w:rsidRPr="007179B0" w:rsidRDefault="007179B0" w:rsidP="007179B0">
                            <w:pPr>
                              <w:pStyle w:val="a5"/>
                              <w:spacing w:after="360"/>
                              <w:rPr>
                                <w:sz w:val="20"/>
                                <w:szCs w:val="20"/>
                              </w:rPr>
                            </w:pPr>
                            <w:r w:rsidRPr="007179B0">
                              <w:rPr>
                                <w:rFonts w:hint="eastAsia"/>
                                <w:sz w:val="20"/>
                                <w:szCs w:val="20"/>
                              </w:rPr>
                              <w:t xml:space="preserve">Figure </w:t>
                            </w:r>
                            <w:r w:rsidRPr="007179B0">
                              <w:rPr>
                                <w:sz w:val="20"/>
                                <w:szCs w:val="20"/>
                              </w:rPr>
                              <w:t>2</w:t>
                            </w:r>
                            <w:r w:rsidRPr="007179B0">
                              <w:rPr>
                                <w:rFonts w:hint="eastAsia"/>
                                <w:sz w:val="20"/>
                                <w:szCs w:val="20"/>
                              </w:rPr>
                              <w:t xml:space="preserve">　</w:t>
                            </w:r>
                            <w:r w:rsidRPr="007179B0">
                              <w:rPr>
                                <w:sz w:val="20"/>
                                <w:szCs w:val="20"/>
                              </w:rPr>
                              <w:t>Concepts of Output of Base-level Thinking Activity in Thinking of Belief Conflict</w:t>
                            </w:r>
                            <w:r w:rsidRPr="007179B0">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32D3" id="テキスト ボックス 26" o:spid="_x0000_s1028" type="#_x0000_t202" style="position:absolute;left:0;text-align:left;margin-left:-1.35pt;margin-top:4.95pt;width:487.85pt;height:378.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" filled="f" stroked="f">
                <v:textbox>
                  <w:txbxContent>
                    <w:p w:rsidR="007179B0" w:rsidRPr="00000CAD" w:rsidRDefault="007179B0" w:rsidP="007179B0">
                      <w:pPr>
                        <w:jc w:val="center"/>
                      </w:pPr>
                      <w:r w:rsidRPr="00DB5609">
                        <w:rPr>
                          <w:noProof/>
                        </w:rPr>
                        <w:drawing>
                          <wp:inline distT="0" distB="0" distL="0" distR="0" wp14:anchorId="46EED043" wp14:editId="52B87B25">
                            <wp:extent cx="4326340" cy="3961102"/>
                            <wp:effectExtent l="0" t="0" r="5715" b="0"/>
                            <wp:docPr id="35" name="図 35" descr="C:\Users\troika\Dropbox\1_Research\2017 IEICE Journal\pictures\ベース思考オントロジー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ベース思考オントロジー３.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6340" cy="3961102"/>
                                    </a:xfrm>
                                    <a:prstGeom prst="rect">
                                      <a:avLst/>
                                    </a:prstGeom>
                                    <a:noFill/>
                                    <a:ln>
                                      <a:noFill/>
                                    </a:ln>
                                  </pic:spPr>
                                </pic:pic>
                              </a:graphicData>
                            </a:graphic>
                          </wp:inline>
                        </w:drawing>
                      </w:r>
                    </w:p>
                    <w:p w:rsidR="007179B0" w:rsidRPr="007179B0" w:rsidRDefault="007179B0" w:rsidP="007179B0">
                      <w:pPr>
                        <w:pStyle w:val="a4"/>
                        <w:rPr>
                          <w:sz w:val="20"/>
                          <w:szCs w:val="20"/>
                        </w:rPr>
                      </w:pPr>
                      <w:r w:rsidRPr="007179B0">
                        <w:rPr>
                          <w:rFonts w:hint="eastAsia"/>
                          <w:sz w:val="20"/>
                          <w:szCs w:val="20"/>
                        </w:rPr>
                        <w:t>図</w:t>
                      </w:r>
                      <w:r w:rsidRPr="007179B0">
                        <w:rPr>
                          <w:sz w:val="20"/>
                          <w:szCs w:val="20"/>
                        </w:rPr>
                        <w:t>2</w:t>
                      </w:r>
                      <w:r w:rsidRPr="007179B0">
                        <w:rPr>
                          <w:rFonts w:hint="eastAsia"/>
                          <w:sz w:val="20"/>
                          <w:szCs w:val="20"/>
                        </w:rPr>
                        <w:t xml:space="preserve">　信念対立思考</w:t>
                      </w:r>
                      <w:r w:rsidRPr="007179B0">
                        <w:rPr>
                          <w:sz w:val="20"/>
                          <w:szCs w:val="20"/>
                        </w:rPr>
                        <w:t>を対象とした</w:t>
                      </w:r>
                      <w:r w:rsidRPr="007179B0">
                        <w:rPr>
                          <w:rFonts w:hint="eastAsia"/>
                          <w:sz w:val="20"/>
                          <w:szCs w:val="20"/>
                        </w:rPr>
                        <w:t>ベース思考活動のアウトプット概念</w:t>
                      </w:r>
                    </w:p>
                    <w:p w:rsidR="007179B0" w:rsidRPr="007179B0" w:rsidRDefault="007179B0" w:rsidP="007179B0">
                      <w:pPr>
                        <w:pStyle w:val="a5"/>
                        <w:spacing w:after="360"/>
                        <w:rPr>
                          <w:sz w:val="20"/>
                          <w:szCs w:val="20"/>
                        </w:rPr>
                      </w:pPr>
                      <w:r w:rsidRPr="007179B0">
                        <w:rPr>
                          <w:rFonts w:hint="eastAsia"/>
                          <w:sz w:val="20"/>
                          <w:szCs w:val="20"/>
                        </w:rPr>
                        <w:t xml:space="preserve">Figure </w:t>
                      </w:r>
                      <w:r w:rsidRPr="007179B0">
                        <w:rPr>
                          <w:sz w:val="20"/>
                          <w:szCs w:val="20"/>
                        </w:rPr>
                        <w:t>2</w:t>
                      </w:r>
                      <w:r w:rsidRPr="007179B0">
                        <w:rPr>
                          <w:rFonts w:hint="eastAsia"/>
                          <w:sz w:val="20"/>
                          <w:szCs w:val="20"/>
                        </w:rPr>
                        <w:t xml:space="preserve">　</w:t>
                      </w:r>
                      <w:r w:rsidRPr="007179B0">
                        <w:rPr>
                          <w:sz w:val="20"/>
                          <w:szCs w:val="20"/>
                        </w:rPr>
                        <w:t>Concepts of Output of Base-level Thinking Activity in Thinking of Belief Conflict</w:t>
                      </w:r>
                      <w:r w:rsidRPr="007179B0">
                        <w:rPr>
                          <w:rFonts w:hint="eastAsia"/>
                          <w:sz w:val="20"/>
                          <w:szCs w:val="20"/>
                        </w:rPr>
                        <w:t>.</w:t>
                      </w:r>
                    </w:p>
                  </w:txbxContent>
                </v:textbox>
                <w10:wrap type="square" anchorx="margin"/>
              </v:shape>
            </w:pict>
          </mc:Fallback>
        </mc:AlternateContent>
      </w:r>
      <w:r w:rsidR="00EA7D26">
        <w:rPr>
          <w:rFonts w:hint="eastAsia"/>
        </w:rPr>
        <w:t xml:space="preserve">　</w:t>
      </w:r>
      <w:r w:rsidR="00EA7D26" w:rsidRPr="00BA5DF8">
        <w:rPr>
          <w:rFonts w:hint="eastAsia"/>
        </w:rPr>
        <w:t>collective-BL-thinkingの下位概念には，primitive-BL-thinkingの集積体から構成される対象思考タスクに応じた思考概念を分析者が規定する（表1</w:t>
      </w:r>
      <w:r w:rsidR="00EA7D26" w:rsidRPr="00BA5DF8">
        <w:rPr>
          <w:rFonts w:ascii="ＭＳ ゴシック" w:eastAsia="ＭＳ ゴシック" w:hAnsi="ＭＳ ゴシック" w:hint="eastAsia"/>
        </w:rPr>
        <w:t>(</w:t>
      </w:r>
      <w:r w:rsidR="00EA7D26" w:rsidRPr="00BA5DF8">
        <w:rPr>
          <w:rFonts w:ascii="ＭＳ ゴシック" w:eastAsia="ＭＳ ゴシック" w:hAnsi="ＭＳ ゴシック"/>
        </w:rPr>
        <w:t>A</w:t>
      </w:r>
      <w:r w:rsidR="00EA7D26" w:rsidRPr="00BA5DF8">
        <w:rPr>
          <w:rFonts w:ascii="ＭＳ ゴシック" w:eastAsia="ＭＳ ゴシック" w:hAnsi="ＭＳ ゴシック" w:hint="eastAsia"/>
        </w:rPr>
        <w:t>)</w:t>
      </w:r>
      <w:r w:rsidR="00EA7D26" w:rsidRPr="00BA5DF8">
        <w:rPr>
          <w:rFonts w:hint="eastAsia"/>
        </w:rPr>
        <w:t>）．図2では，本稿が事例として扱う信念対立思考概念（</w:t>
      </w:r>
      <w:r w:rsidR="00EA7D26" w:rsidRPr="00BA5DF8">
        <w:rPr>
          <w:rFonts w:hint="eastAsia"/>
          <w:u w:val="single"/>
        </w:rPr>
        <w:t>thinking-of</w:t>
      </w:r>
      <w:r w:rsidR="00EA7D26" w:rsidRPr="00BA5DF8">
        <w:rPr>
          <w:u w:val="single"/>
        </w:rPr>
        <w:t>-</w:t>
      </w:r>
      <w:r w:rsidR="00EA7D26" w:rsidRPr="00BA5DF8">
        <w:rPr>
          <w:rFonts w:hint="eastAsia"/>
          <w:u w:val="single"/>
        </w:rPr>
        <w:t>belief-conflict</w:t>
      </w:r>
      <w:r w:rsidR="00EA7D26" w:rsidRPr="00BA5DF8">
        <w:rPr>
          <w:rFonts w:hint="eastAsia"/>
        </w:rPr>
        <w:t>，</w:t>
      </w:r>
      <w:r w:rsidR="00EA7D26" w:rsidRPr="00BA5DF8">
        <w:t>5.1</w:t>
      </w:r>
      <w:r w:rsidR="00EA7D26" w:rsidRPr="00BA5DF8">
        <w:rPr>
          <w:rFonts w:hint="eastAsia"/>
        </w:rPr>
        <w:t>節）を例とした概念体系を記載している．thinking-of</w:t>
      </w:r>
      <w:r w:rsidR="00EA7D26" w:rsidRPr="00BA5DF8">
        <w:t>-</w:t>
      </w:r>
      <w:r w:rsidR="00EA7D26" w:rsidRPr="00BA5DF8">
        <w:rPr>
          <w:rFonts w:hint="eastAsia"/>
        </w:rPr>
        <w:t>belief-conflictは，信念対立を成すベース思考の論理的な道筋を表す概念（</w:t>
      </w:r>
      <w:r w:rsidR="00EA7D26" w:rsidRPr="00BA5DF8">
        <w:rPr>
          <w:rFonts w:hint="eastAsia"/>
          <w:u w:val="single"/>
        </w:rPr>
        <w:t>one</w:t>
      </w:r>
      <w:r w:rsidR="00EA7D26" w:rsidRPr="00BA5DF8">
        <w:rPr>
          <w:u w:val="single"/>
        </w:rPr>
        <w:t>’s-thinking</w:t>
      </w:r>
      <w:r w:rsidR="00EA7D26" w:rsidRPr="00BA5DF8">
        <w:rPr>
          <w:rFonts w:hint="eastAsia"/>
        </w:rPr>
        <w:t>）として規定される，自身の思考・別の思考の概念（思考A，思考B），各々の思考の対立の根源を表す葛藤概念（</w:t>
      </w:r>
      <w:r w:rsidR="00EA7D26" w:rsidRPr="00BA5DF8">
        <w:rPr>
          <w:rFonts w:hint="eastAsia"/>
          <w:u w:val="single"/>
        </w:rPr>
        <w:t>conflict-thinking</w:t>
      </w:r>
      <w:r w:rsidR="00EA7D26" w:rsidRPr="00BA5DF8">
        <w:rPr>
          <w:rFonts w:hint="eastAsia"/>
        </w:rPr>
        <w:t>），そして葛藤を乗り越えた知識を構築する概念（</w:t>
      </w:r>
      <w:r w:rsidR="00EA7D26" w:rsidRPr="00BA5DF8">
        <w:rPr>
          <w:rFonts w:hint="eastAsia"/>
          <w:u w:val="single"/>
        </w:rPr>
        <w:t>knowledge-building</w:t>
      </w:r>
      <w:r w:rsidR="00EA7D26" w:rsidRPr="00BA5DF8">
        <w:rPr>
          <w:rFonts w:hint="eastAsia"/>
        </w:rPr>
        <w:t>）から構成（part-of）されるものとして規定されている（図2緑枠内）．さらに，one</w:t>
      </w:r>
      <w:r w:rsidR="00EA7D26" w:rsidRPr="00BA5DF8">
        <w:t>’s-thinking</w:t>
      </w:r>
      <w:r w:rsidR="00EA7D26" w:rsidRPr="00BA5DF8">
        <w:rPr>
          <w:rFonts w:hint="eastAsia"/>
        </w:rPr>
        <w:t>，conflict-thinking，knowledge-buildingは，primitive-BL-thinkingの下位概念に規定される概念から構成されるものとして定義されている．例えば，信念対立の根源を表すconflict-thinkingは，思考A，思考Bの異なる（different）２つの判断の指針（policy）の対立として定義される（図</w:t>
      </w:r>
      <w:r w:rsidR="00EA7D26" w:rsidRPr="00BA5DF8">
        <w:t>2</w:t>
      </w:r>
      <w:r w:rsidR="00EA7D26" w:rsidRPr="00BA5DF8">
        <w:rPr>
          <w:rFonts w:hint="eastAsia"/>
        </w:rPr>
        <w:t>紫枠内）．分析者</w:t>
      </w:r>
      <w:r w:rsidR="00EA7D26" w:rsidRPr="00BA5DF8">
        <w:t>は</w:t>
      </w:r>
      <w:r w:rsidR="00EA7D26" w:rsidRPr="00BA5DF8">
        <w:rPr>
          <w:rFonts w:hint="eastAsia"/>
        </w:rPr>
        <w:t>対象とするこのようなベース思考</w:t>
      </w:r>
      <w:r w:rsidR="00EA7D26" w:rsidRPr="00BA5DF8">
        <w:t>概念を</w:t>
      </w:r>
      <w:r w:rsidR="00EA7D26" w:rsidRPr="00BA5DF8">
        <w:rPr>
          <w:rFonts w:hint="eastAsia"/>
        </w:rPr>
        <w:t>primitive-BL-thinkingの集積体で表現されるcollective-BL-thinkingとして，設計段階</w:t>
      </w:r>
      <w:r w:rsidR="00EA7D26" w:rsidRPr="00BA5DF8">
        <w:rPr>
          <w:rFonts w:ascii="ＭＳ ゴシック" w:eastAsia="ＭＳ ゴシック" w:hAnsi="ＭＳ ゴシック"/>
        </w:rPr>
        <w:t>(A)</w:t>
      </w:r>
      <w:r w:rsidR="00EA7D26" w:rsidRPr="00BA5DF8">
        <w:rPr>
          <w:rFonts w:hint="eastAsia"/>
        </w:rPr>
        <w:t>で規定する．</w:t>
      </w:r>
    </w:p>
    <w:p w:rsidR="00EA7D26" w:rsidRDefault="00EA7D26" w:rsidP="0097448B">
      <w:r>
        <w:rPr>
          <w:rFonts w:hint="eastAsia"/>
        </w:rPr>
        <w:t xml:space="preserve">　</w:t>
      </w:r>
      <w:r w:rsidRPr="00BA5DF8">
        <w:t>primitive- / collective-</w:t>
      </w:r>
      <w:r w:rsidRPr="00BA5DF8">
        <w:rPr>
          <w:rFonts w:hint="eastAsia"/>
        </w:rPr>
        <w:t>BL-thinkingそのものは外界からは観測することが不可能な活動（</w:t>
      </w:r>
      <w:r w:rsidRPr="00BA5DF8">
        <w:rPr>
          <w:rFonts w:hint="eastAsia"/>
          <w:u w:val="single"/>
        </w:rPr>
        <w:t>invisible-activity</w:t>
      </w:r>
      <w:r w:rsidRPr="00BA5DF8">
        <w:rPr>
          <w:rFonts w:hint="eastAsia"/>
        </w:rPr>
        <w:t>）として規定されている．これを対象とするメタ思考では，“ある判断の根拠を成す前提を考える”，“信念対立を成す指針を比較する”，“仮定が正しいかを吟味する”，“判断指針を確認修正する”等の思考が該当することになり，このような思考タスク固有のメタ思考を捉えるための解釈表現記法（4章）をフレームワークは与える．</w:t>
      </w:r>
    </w:p>
    <w:p w:rsidR="00EA7D26" w:rsidRDefault="00EA7D26" w:rsidP="0097448B"/>
    <w:p w:rsidR="00EA7D26" w:rsidRPr="0006666E" w:rsidRDefault="002526A1" w:rsidP="0097448B">
      <w:pPr>
        <w:rPr>
          <w:rFonts w:ascii="ＭＳ ゴシック" w:eastAsia="ＭＳ ゴシック" w:hAnsi="ＭＳ ゴシック"/>
        </w:rPr>
      </w:pPr>
      <w:r w:rsidRPr="00EE2AC7">
        <w:rPr>
          <w:i/>
          <w:noProof/>
        </w:rPr>
        <w:lastRenderedPageBreak/>
        <mc:AlternateContent>
          <mc:Choice Requires="wps">
            <w:drawing>
              <wp:anchor distT="0" distB="0" distL="114300" distR="114300" simplePos="0" relativeHeight="251665408" behindDoc="0" locked="0" layoutInCell="1" allowOverlap="1" wp14:anchorId="0BACB9A8" wp14:editId="7C5B2709">
                <wp:simplePos x="0" y="0"/>
                <wp:positionH relativeFrom="margin">
                  <wp:posOffset>-17145</wp:posOffset>
                </wp:positionH>
                <wp:positionV relativeFrom="paragraph">
                  <wp:posOffset>62865</wp:posOffset>
                </wp:positionV>
                <wp:extent cx="6209665" cy="3891280"/>
                <wp:effectExtent l="0" t="0" r="0" b="0"/>
                <wp:wrapSquare wrapText="bothSides"/>
                <wp:docPr id="20" name="テキスト ボックス 20"/>
                <wp:cNvGraphicFramePr/>
                <a:graphic xmlns:a="http://schemas.openxmlformats.org/drawingml/2006/main">
                  <a:graphicData uri="http://schemas.microsoft.com/office/word/2010/wordprocessingShape">
                    <wps:wsp>
                      <wps:cNvSpPr txBox="1"/>
                      <wps:spPr>
                        <a:xfrm>
                          <a:off x="0" y="0"/>
                          <a:ext cx="6209665" cy="3891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C7ADB" w:rsidRDefault="00AC7ADB" w:rsidP="00AC7ADB">
                            <w:pPr>
                              <w:pStyle w:val="a4"/>
                              <w:spacing w:line="240" w:lineRule="auto"/>
                            </w:pPr>
                            <w:r w:rsidRPr="002E6CC0">
                              <w:rPr>
                                <w:noProof/>
                              </w:rPr>
                              <w:drawing>
                                <wp:inline distT="0" distB="0" distL="0" distR="0" wp14:anchorId="711D37BF" wp14:editId="08F092BA">
                                  <wp:extent cx="3621433" cy="3267406"/>
                                  <wp:effectExtent l="0" t="0" r="0" b="9525"/>
                                  <wp:docPr id="31" name="図 31" descr="C:\Users\troika\Dropbox\1_Research\2017 IEICE Journal\pictures\表現オブジェクトオントロジ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表現オブジェクトオントロジ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0638" cy="3293756"/>
                                          </a:xfrm>
                                          <a:prstGeom prst="rect">
                                            <a:avLst/>
                                          </a:prstGeom>
                                          <a:noFill/>
                                          <a:ln>
                                            <a:noFill/>
                                          </a:ln>
                                        </pic:spPr>
                                      </pic:pic>
                                    </a:graphicData>
                                  </a:graphic>
                                </wp:inline>
                              </w:drawing>
                            </w:r>
                          </w:p>
                          <w:p w:rsidR="00AC7ADB" w:rsidRPr="00AC7ADB" w:rsidRDefault="00AC7ADB" w:rsidP="00AC7ADB">
                            <w:pPr>
                              <w:pStyle w:val="a4"/>
                              <w:rPr>
                                <w:sz w:val="20"/>
                                <w:szCs w:val="20"/>
                              </w:rPr>
                            </w:pPr>
                            <w:r w:rsidRPr="00AC7ADB">
                              <w:rPr>
                                <w:rFonts w:hint="eastAsia"/>
                                <w:sz w:val="20"/>
                                <w:szCs w:val="20"/>
                              </w:rPr>
                              <w:t>図</w:t>
                            </w:r>
                            <w:r w:rsidRPr="00AC7ADB">
                              <w:rPr>
                                <w:sz w:val="20"/>
                                <w:szCs w:val="20"/>
                              </w:rPr>
                              <w:t>3</w:t>
                            </w:r>
                            <w:r w:rsidRPr="00AC7ADB">
                              <w:rPr>
                                <w:rFonts w:hint="eastAsia"/>
                                <w:sz w:val="20"/>
                                <w:szCs w:val="20"/>
                              </w:rPr>
                              <w:t xml:space="preserve">　思考表現オブジェクトの概念</w:t>
                            </w:r>
                          </w:p>
                          <w:p w:rsidR="00AC7ADB" w:rsidRPr="00AC7ADB" w:rsidRDefault="00AC7ADB" w:rsidP="00AC7ADB">
                            <w:pPr>
                              <w:pStyle w:val="a5"/>
                              <w:spacing w:after="360"/>
                              <w:rPr>
                                <w:sz w:val="20"/>
                                <w:szCs w:val="20"/>
                              </w:rPr>
                            </w:pPr>
                            <w:r w:rsidRPr="00AC7ADB">
                              <w:rPr>
                                <w:rFonts w:hint="eastAsia"/>
                                <w:sz w:val="20"/>
                                <w:szCs w:val="20"/>
                              </w:rPr>
                              <w:t xml:space="preserve">Figure </w:t>
                            </w:r>
                            <w:r w:rsidRPr="00AC7ADB">
                              <w:rPr>
                                <w:sz w:val="20"/>
                                <w:szCs w:val="20"/>
                              </w:rPr>
                              <w:t>3</w:t>
                            </w:r>
                            <w:r w:rsidRPr="00AC7ADB">
                              <w:rPr>
                                <w:rFonts w:hint="eastAsia"/>
                                <w:sz w:val="20"/>
                                <w:szCs w:val="20"/>
                              </w:rPr>
                              <w:t xml:space="preserve">　</w:t>
                            </w:r>
                            <w:r w:rsidRPr="00AC7ADB">
                              <w:rPr>
                                <w:sz w:val="20"/>
                                <w:szCs w:val="20"/>
                              </w:rPr>
                              <w:t xml:space="preserve"> Concepts of Thinking Representation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B9A8" id="テキスト ボックス 20" o:spid="_x0000_s1029" type="#_x0000_t202" style="position:absolute;left:0;text-align:left;margin-left:-1.35pt;margin-top:4.95pt;width:488.95pt;height:306.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" filled="f" stroked="f">
                <v:textbox>
                  <w:txbxContent>
                    <w:p w:rsidR="00AC7ADB" w:rsidRDefault="00AC7ADB" w:rsidP="00AC7ADB">
                      <w:pPr>
                        <w:pStyle w:val="a4"/>
                        <w:spacing w:line="240" w:lineRule="auto"/>
                      </w:pPr>
                      <w:r w:rsidRPr="002E6CC0">
                        <w:rPr>
                          <w:noProof/>
                        </w:rPr>
                        <w:drawing>
                          <wp:inline distT="0" distB="0" distL="0" distR="0" wp14:anchorId="711D37BF" wp14:editId="08F092BA">
                            <wp:extent cx="3621433" cy="3267406"/>
                            <wp:effectExtent l="0" t="0" r="0" b="9525"/>
                            <wp:docPr id="31" name="図 31" descr="C:\Users\troika\Dropbox\1_Research\2017 IEICE Journal\pictures\表現オブジェクトオントロジ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表現オブジェクトオントロジ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0638" cy="3293756"/>
                                    </a:xfrm>
                                    <a:prstGeom prst="rect">
                                      <a:avLst/>
                                    </a:prstGeom>
                                    <a:noFill/>
                                    <a:ln>
                                      <a:noFill/>
                                    </a:ln>
                                  </pic:spPr>
                                </pic:pic>
                              </a:graphicData>
                            </a:graphic>
                          </wp:inline>
                        </w:drawing>
                      </w:r>
                    </w:p>
                    <w:p w:rsidR="00AC7ADB" w:rsidRPr="00AC7ADB" w:rsidRDefault="00AC7ADB" w:rsidP="00AC7ADB">
                      <w:pPr>
                        <w:pStyle w:val="a4"/>
                        <w:rPr>
                          <w:sz w:val="20"/>
                          <w:szCs w:val="20"/>
                        </w:rPr>
                      </w:pPr>
                      <w:r w:rsidRPr="00AC7ADB">
                        <w:rPr>
                          <w:rFonts w:hint="eastAsia"/>
                          <w:sz w:val="20"/>
                          <w:szCs w:val="20"/>
                        </w:rPr>
                        <w:t>図</w:t>
                      </w:r>
                      <w:r w:rsidRPr="00AC7ADB">
                        <w:rPr>
                          <w:sz w:val="20"/>
                          <w:szCs w:val="20"/>
                        </w:rPr>
                        <w:t>3</w:t>
                      </w:r>
                      <w:r w:rsidRPr="00AC7ADB">
                        <w:rPr>
                          <w:rFonts w:hint="eastAsia"/>
                          <w:sz w:val="20"/>
                          <w:szCs w:val="20"/>
                        </w:rPr>
                        <w:t xml:space="preserve">　思考表現オブジェクトの概念</w:t>
                      </w:r>
                    </w:p>
                    <w:p w:rsidR="00AC7ADB" w:rsidRPr="00AC7ADB" w:rsidRDefault="00AC7ADB" w:rsidP="00AC7ADB">
                      <w:pPr>
                        <w:pStyle w:val="a5"/>
                        <w:spacing w:after="360"/>
                        <w:rPr>
                          <w:sz w:val="20"/>
                          <w:szCs w:val="20"/>
                        </w:rPr>
                      </w:pPr>
                      <w:r w:rsidRPr="00AC7ADB">
                        <w:rPr>
                          <w:rFonts w:hint="eastAsia"/>
                          <w:sz w:val="20"/>
                          <w:szCs w:val="20"/>
                        </w:rPr>
                        <w:t xml:space="preserve">Figure </w:t>
                      </w:r>
                      <w:r w:rsidRPr="00AC7ADB">
                        <w:rPr>
                          <w:sz w:val="20"/>
                          <w:szCs w:val="20"/>
                        </w:rPr>
                        <w:t>3</w:t>
                      </w:r>
                      <w:r w:rsidRPr="00AC7ADB">
                        <w:rPr>
                          <w:rFonts w:hint="eastAsia"/>
                          <w:sz w:val="20"/>
                          <w:szCs w:val="20"/>
                        </w:rPr>
                        <w:t xml:space="preserve">　</w:t>
                      </w:r>
                      <w:r w:rsidRPr="00AC7ADB">
                        <w:rPr>
                          <w:sz w:val="20"/>
                          <w:szCs w:val="20"/>
                        </w:rPr>
                        <w:t xml:space="preserve"> Concepts of Thinking Representation Objects.</w:t>
                      </w:r>
                    </w:p>
                  </w:txbxContent>
                </v:textbox>
                <w10:wrap type="square" anchorx="margin"/>
              </v:shape>
            </w:pict>
          </mc:Fallback>
        </mc:AlternateContent>
      </w:r>
      <w:r w:rsidR="00EA7D26" w:rsidRPr="0006666E">
        <w:rPr>
          <w:rFonts w:ascii="ＭＳ ゴシック" w:eastAsia="ＭＳ ゴシック" w:hAnsi="ＭＳ ゴシック"/>
        </w:rPr>
        <w:t>3.2　思考表現オブジェクト概念</w:t>
      </w:r>
    </w:p>
    <w:p w:rsidR="00EA7D26" w:rsidRDefault="00EA7D26" w:rsidP="0097448B">
      <w:r>
        <w:rPr>
          <w:rFonts w:hint="eastAsia"/>
        </w:rPr>
        <w:t xml:space="preserve">　</w:t>
      </w:r>
      <w:r w:rsidRPr="00BA5DF8">
        <w:t>1</w:t>
      </w:r>
      <w:r w:rsidRPr="00BA5DF8">
        <w:rPr>
          <w:rFonts w:hint="eastAsia"/>
        </w:rPr>
        <w:t>章で述べたように本研究においては，思考タスク文脈と成果物との間に対応が付けられたインタフェース（思考外化アプリケーション）を前提としており，前節のベース思考活動のアウトプットが思考表現オブ</w:t>
      </w:r>
      <w:r w:rsidRPr="00EA7D26">
        <w:rPr>
          <w:rFonts w:hint="eastAsia"/>
        </w:rPr>
        <w:t>ジェクト上に言語化される．フレームワークは，この前提をベース思考概念と思考表現オブジェクト概念の関係として規定している．</w:t>
      </w:r>
    </w:p>
    <w:p w:rsidR="00934DA1" w:rsidRDefault="00934DA1" w:rsidP="0097448B">
      <w:r>
        <w:rPr>
          <w:rFonts w:hint="eastAsia"/>
        </w:rPr>
        <w:t xml:space="preserve">　</w:t>
      </w:r>
      <w:r w:rsidRPr="00BA5DF8">
        <w:rPr>
          <w:rFonts w:hint="eastAsia"/>
        </w:rPr>
        <w:t>思考表現オブジェクトの概念を体系化したオントロジーを図</w:t>
      </w:r>
      <w:r w:rsidRPr="00BA5DF8">
        <w:t>3</w:t>
      </w:r>
      <w:r w:rsidRPr="00BA5DF8">
        <w:rPr>
          <w:rFonts w:hint="eastAsia"/>
        </w:rPr>
        <w:t>に示す．具体オブジェクト（</w:t>
      </w:r>
      <w:r w:rsidRPr="00BA5DF8">
        <w:rPr>
          <w:rFonts w:hint="eastAsia"/>
          <w:u w:val="single"/>
        </w:rPr>
        <w:t>concrete-object</w:t>
      </w:r>
      <w:r w:rsidRPr="00BA5DF8">
        <w:rPr>
          <w:rFonts w:hint="eastAsia"/>
        </w:rPr>
        <w:t>）の下位概念として，表現内容（</w:t>
      </w:r>
      <w:r w:rsidRPr="00BA5DF8">
        <w:rPr>
          <w:rFonts w:hint="eastAsia"/>
          <w:u w:val="single"/>
        </w:rPr>
        <w:t>content</w:t>
      </w:r>
      <w:r w:rsidRPr="00BA5DF8">
        <w:rPr>
          <w:rFonts w:hint="eastAsia"/>
        </w:rPr>
        <w:t>）及び表現メディア（</w:t>
      </w:r>
      <w:r w:rsidRPr="00BA5DF8">
        <w:rPr>
          <w:rFonts w:hint="eastAsia"/>
          <w:u w:val="single"/>
        </w:rPr>
        <w:t>media</w:t>
      </w:r>
      <w:r w:rsidRPr="00BA5DF8">
        <w:rPr>
          <w:rFonts w:hint="eastAsia"/>
        </w:rPr>
        <w:t>）から構成される表現オブジェクトの概念（</w:t>
      </w:r>
      <w:r w:rsidRPr="00BA5DF8">
        <w:rPr>
          <w:rFonts w:hint="eastAsia"/>
          <w:u w:val="single"/>
        </w:rPr>
        <w:t>representation-object</w:t>
      </w:r>
      <w:r w:rsidRPr="00BA5DF8">
        <w:rPr>
          <w:rFonts w:hint="eastAsia"/>
        </w:rPr>
        <w:t>）及び，表現メディア媒体の概念（</w:t>
      </w:r>
      <w:r w:rsidRPr="00BA5DF8">
        <w:rPr>
          <w:rFonts w:hint="eastAsia"/>
          <w:u w:val="single"/>
        </w:rPr>
        <w:t>medium</w:t>
      </w:r>
      <w:r w:rsidRPr="00BA5DF8">
        <w:rPr>
          <w:rFonts w:hint="eastAsia"/>
        </w:rPr>
        <w:t>）を定義している．</w:t>
      </w:r>
    </w:p>
    <w:p w:rsidR="00934DA1" w:rsidRDefault="00934DA1" w:rsidP="0097448B">
      <w:r>
        <w:rPr>
          <w:rFonts w:hint="eastAsia"/>
        </w:rPr>
        <w:t xml:space="preserve">　</w:t>
      </w:r>
      <w:r w:rsidRPr="00BA5DF8">
        <w:t>m</w:t>
      </w:r>
      <w:r w:rsidRPr="00BA5DF8">
        <w:rPr>
          <w:rFonts w:hint="eastAsia"/>
        </w:rPr>
        <w:t>ediumの具体物となるソフトウェアコンポーネント（</w:t>
      </w:r>
      <w:r w:rsidRPr="00BA5DF8">
        <w:rPr>
          <w:rFonts w:hint="eastAsia"/>
          <w:u w:val="single"/>
        </w:rPr>
        <w:t>interface-component</w:t>
      </w:r>
      <w:r w:rsidRPr="00BA5DF8">
        <w:rPr>
          <w:rFonts w:hint="eastAsia"/>
        </w:rPr>
        <w:t>）の</w:t>
      </w:r>
      <w:r w:rsidRPr="00EE2AC7">
        <w:rPr>
          <w:rFonts w:hint="eastAsia"/>
        </w:rPr>
        <w:t>下位概念として，パネル，ボタン，ラベル，テキストボックス等の部品が定義されており，機能（</w:t>
      </w:r>
      <w:r w:rsidRPr="00EE2AC7">
        <w:rPr>
          <w:rFonts w:hint="eastAsia"/>
          <w:u w:val="single"/>
        </w:rPr>
        <w:t>software-function</w:t>
      </w:r>
      <w:r w:rsidRPr="00EE2AC7">
        <w:rPr>
          <w:rFonts w:hint="eastAsia"/>
        </w:rPr>
        <w:t>）に応じた特殊化がなされている（図</w:t>
      </w:r>
      <w:r w:rsidRPr="00EE2AC7">
        <w:t>3</w:t>
      </w:r>
      <w:r w:rsidRPr="00EE2AC7">
        <w:rPr>
          <w:rFonts w:hint="eastAsia"/>
        </w:rPr>
        <w:t>赤枠内）．</w:t>
      </w:r>
    </w:p>
    <w:p w:rsidR="00934DA1" w:rsidRDefault="00934DA1" w:rsidP="00934DA1">
      <w:pPr>
        <w:ind w:firstLineChars="100" w:firstLine="210"/>
      </w:pPr>
      <w:r w:rsidRPr="00EE2AC7">
        <w:t>r</w:t>
      </w:r>
      <w:r w:rsidRPr="00EE2AC7">
        <w:rPr>
          <w:rFonts w:hint="eastAsia"/>
        </w:rPr>
        <w:t>epresentation-objectの下位概念には，m</w:t>
      </w:r>
      <w:r w:rsidRPr="00EE2AC7">
        <w:t>edium</w:t>
      </w:r>
      <w:r w:rsidRPr="00EE2AC7">
        <w:rPr>
          <w:rFonts w:hint="eastAsia"/>
        </w:rPr>
        <w:t>がinterface-componentに特殊化された概念として構成される思考表現オブジェクト（</w:t>
      </w:r>
      <w:r w:rsidRPr="00EE2AC7">
        <w:rPr>
          <w:rFonts w:hint="eastAsia"/>
          <w:u w:val="single"/>
        </w:rPr>
        <w:t>thinking-rep-object</w:t>
      </w:r>
      <w:r w:rsidRPr="00EE2AC7">
        <w:rPr>
          <w:rFonts w:hint="eastAsia"/>
        </w:rPr>
        <w:t>）</w:t>
      </w:r>
      <w:r>
        <w:rPr>
          <w:rFonts w:hint="eastAsia"/>
        </w:rPr>
        <w:t>を</w:t>
      </w:r>
      <w:r w:rsidRPr="00EE2AC7">
        <w:rPr>
          <w:rFonts w:hint="eastAsia"/>
        </w:rPr>
        <w:t>規定</w:t>
      </w:r>
      <w:r>
        <w:rPr>
          <w:rFonts w:hint="eastAsia"/>
        </w:rPr>
        <w:t>し</w:t>
      </w:r>
      <w:r w:rsidRPr="00EE2AC7">
        <w:rPr>
          <w:rFonts w:hint="eastAsia"/>
        </w:rPr>
        <w:t>ている（図</w:t>
      </w:r>
      <w:r w:rsidRPr="00EE2AC7">
        <w:t>3</w:t>
      </w:r>
      <w:r w:rsidRPr="00EE2AC7">
        <w:rPr>
          <w:rFonts w:hint="eastAsia"/>
        </w:rPr>
        <w:t>青枠内）．</w:t>
      </w:r>
      <w:r w:rsidRPr="009C1E31">
        <w:rPr>
          <w:rFonts w:hint="eastAsia"/>
        </w:rPr>
        <w:t>表現内容として言語化される思考の粒度を</w:t>
      </w:r>
      <w:r w:rsidRPr="009C1E31">
        <w:t>3.1</w:t>
      </w:r>
      <w:r w:rsidRPr="009C1E31">
        <w:rPr>
          <w:rFonts w:hint="eastAsia"/>
        </w:rPr>
        <w:t>節のベース思考概念と対応づけるために，thinking-rep-objectを構成するcontentをprimitive-BL-thinkingが格納されるものとして特殊化された表現オブジェクト概念（</w:t>
      </w:r>
      <w:r w:rsidRPr="009C1E31">
        <w:rPr>
          <w:rFonts w:hint="eastAsia"/>
          <w:u w:val="single"/>
        </w:rPr>
        <w:t>primitive-tro</w:t>
      </w:r>
      <w:r w:rsidRPr="009C1E31">
        <w:rPr>
          <w:rFonts w:hint="eastAsia"/>
        </w:rPr>
        <w:t>）及び，</w:t>
      </w:r>
      <w:r w:rsidRPr="009C1E31">
        <w:t>collective</w:t>
      </w:r>
      <w:r w:rsidRPr="009C1E31">
        <w:rPr>
          <w:rFonts w:hint="eastAsia"/>
        </w:rPr>
        <w:t>-BL-thinkingが格納される表現オブジェクト概念（</w:t>
      </w:r>
      <w:r w:rsidRPr="009C1E31">
        <w:rPr>
          <w:rFonts w:hint="eastAsia"/>
          <w:u w:val="single"/>
        </w:rPr>
        <w:t>collective-tro</w:t>
      </w:r>
      <w:r w:rsidRPr="009C1E31">
        <w:rPr>
          <w:rFonts w:hint="eastAsia"/>
        </w:rPr>
        <w:t>）を定義している．</w:t>
      </w:r>
      <w:r w:rsidRPr="00EE2AC7">
        <w:rPr>
          <w:rFonts w:hint="eastAsia"/>
        </w:rPr>
        <w:t>collective-tro</w:t>
      </w:r>
      <w:r>
        <w:rPr>
          <w:rFonts w:hint="eastAsia"/>
        </w:rPr>
        <w:t>は，</w:t>
      </w:r>
      <w:r w:rsidRPr="00EE2AC7">
        <w:rPr>
          <w:rFonts w:hint="eastAsia"/>
        </w:rPr>
        <w:t>primitive-troの集積体</w:t>
      </w:r>
      <w:r>
        <w:rPr>
          <w:rFonts w:hint="eastAsia"/>
        </w:rPr>
        <w:t>として規定している．したがって，</w:t>
      </w:r>
      <w:r w:rsidRPr="00EE2AC7">
        <w:rPr>
          <w:rFonts w:hint="eastAsia"/>
        </w:rPr>
        <w:t>どのような粒度のベース思考概念（</w:t>
      </w:r>
      <w:r w:rsidRPr="00EE2AC7">
        <w:t>primitive- / collective-</w:t>
      </w:r>
      <w:r w:rsidRPr="00EE2AC7">
        <w:rPr>
          <w:rFonts w:hint="eastAsia"/>
        </w:rPr>
        <w:t>BL-thinking）</w:t>
      </w:r>
      <w:r>
        <w:rPr>
          <w:rFonts w:hint="eastAsia"/>
        </w:rPr>
        <w:t>が</w:t>
      </w:r>
      <w:r w:rsidRPr="00EE2AC7">
        <w:rPr>
          <w:rFonts w:hint="eastAsia"/>
        </w:rPr>
        <w:t>，どのような思考表現オブジェクト（primitive-</w:t>
      </w:r>
      <w:r w:rsidRPr="00EE2AC7">
        <w:t xml:space="preserve"> / collective-</w:t>
      </w:r>
      <w:r w:rsidRPr="00EE2AC7">
        <w:rPr>
          <w:rFonts w:hint="eastAsia"/>
        </w:rPr>
        <w:t>tro）に言語化されることを意図しているかを表現している</w:t>
      </w:r>
      <w:r>
        <w:rPr>
          <w:rFonts w:hint="eastAsia"/>
        </w:rPr>
        <w:t>ことになっている</w:t>
      </w:r>
      <w:r w:rsidRPr="00EE2AC7">
        <w:rPr>
          <w:rFonts w:hint="eastAsia"/>
        </w:rPr>
        <w:t>．</w:t>
      </w:r>
    </w:p>
    <w:p w:rsidR="00934DA1" w:rsidRDefault="00934DA1" w:rsidP="0097448B">
      <w:r>
        <w:rPr>
          <w:rFonts w:hint="eastAsia"/>
        </w:rPr>
        <w:t xml:space="preserve">　</w:t>
      </w:r>
      <w:r>
        <w:rPr>
          <w:rFonts w:hint="eastAsia"/>
        </w:rPr>
        <w:t>ここで規定した</w:t>
      </w:r>
      <w:r w:rsidRPr="00EE2AC7">
        <w:rPr>
          <w:rFonts w:hint="eastAsia"/>
        </w:rPr>
        <w:t>インタフェースを備えることを前提</w:t>
      </w:r>
      <w:r>
        <w:rPr>
          <w:rFonts w:hint="eastAsia"/>
        </w:rPr>
        <w:t>に</w:t>
      </w:r>
      <w:r w:rsidRPr="00EE2AC7">
        <w:rPr>
          <w:rFonts w:hint="eastAsia"/>
        </w:rPr>
        <w:t>すること</w:t>
      </w:r>
      <w:r>
        <w:rPr>
          <w:rFonts w:hint="eastAsia"/>
        </w:rPr>
        <w:t>で</w:t>
      </w:r>
      <w:r w:rsidRPr="00EE2AC7">
        <w:rPr>
          <w:rFonts w:hint="eastAsia"/>
        </w:rPr>
        <w:t>，</w:t>
      </w:r>
      <w:r>
        <w:rPr>
          <w:rFonts w:hint="eastAsia"/>
        </w:rPr>
        <w:t>他の</w:t>
      </w:r>
      <w:r w:rsidRPr="00EE2AC7">
        <w:rPr>
          <w:rFonts w:hint="eastAsia"/>
        </w:rPr>
        <w:t>思考タスクの文脈に</w:t>
      </w:r>
      <w:r>
        <w:rPr>
          <w:rFonts w:hint="eastAsia"/>
        </w:rPr>
        <w:t>も適用</w:t>
      </w:r>
      <w:r w:rsidRPr="00EE2AC7">
        <w:rPr>
          <w:rFonts w:hint="eastAsia"/>
        </w:rPr>
        <w:t>できる</w:t>
      </w:r>
      <w:r>
        <w:rPr>
          <w:rFonts w:hint="eastAsia"/>
        </w:rPr>
        <w:t>のでは</w:t>
      </w:r>
      <w:r w:rsidRPr="00EE2AC7">
        <w:rPr>
          <w:rFonts w:hint="eastAsia"/>
        </w:rPr>
        <w:t>という</w:t>
      </w:r>
      <w:r>
        <w:rPr>
          <w:rFonts w:hint="eastAsia"/>
        </w:rPr>
        <w:t>本研究の研究仮説そのものも</w:t>
      </w:r>
      <w:r w:rsidRPr="00EE2AC7">
        <w:rPr>
          <w:rFonts w:hint="eastAsia"/>
        </w:rPr>
        <w:t>概念体系として</w:t>
      </w:r>
      <w:r>
        <w:rPr>
          <w:rFonts w:hint="eastAsia"/>
        </w:rPr>
        <w:t>明確に</w:t>
      </w:r>
      <w:r w:rsidRPr="00EE2AC7">
        <w:rPr>
          <w:rFonts w:hint="eastAsia"/>
        </w:rPr>
        <w:t>規定している．</w:t>
      </w:r>
    </w:p>
    <w:p w:rsidR="00934DA1" w:rsidRDefault="002526A1" w:rsidP="0097448B">
      <w:r w:rsidRPr="00BA5DF8">
        <w:rPr>
          <w:noProof/>
        </w:rPr>
        <w:lastRenderedPageBreak/>
        <mc:AlternateContent>
          <mc:Choice Requires="wps">
            <w:drawing>
              <wp:anchor distT="0" distB="0" distL="114300" distR="114300" simplePos="0" relativeHeight="251667456" behindDoc="0" locked="0" layoutInCell="1" allowOverlap="1" wp14:anchorId="6EF8F1A0" wp14:editId="5F5A6C47">
                <wp:simplePos x="0" y="0"/>
                <wp:positionH relativeFrom="column">
                  <wp:posOffset>-17145</wp:posOffset>
                </wp:positionH>
                <wp:positionV relativeFrom="paragraph">
                  <wp:posOffset>74295</wp:posOffset>
                </wp:positionV>
                <wp:extent cx="6115685" cy="3372485"/>
                <wp:effectExtent l="0" t="0" r="0" b="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6115685" cy="3372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815BE" w:rsidRPr="00000CAD" w:rsidRDefault="00C815BE" w:rsidP="00C815BE">
                            <w:pPr>
                              <w:jc w:val="center"/>
                            </w:pPr>
                            <w:r w:rsidRPr="00AB39E6">
                              <w:rPr>
                                <w:noProof/>
                              </w:rPr>
                              <w:drawing>
                                <wp:inline distT="0" distB="0" distL="0" distR="0" wp14:anchorId="5BF55925" wp14:editId="6E69C524">
                                  <wp:extent cx="4562057" cy="2731325"/>
                                  <wp:effectExtent l="0" t="0" r="0" b="0"/>
                                  <wp:docPr id="27" name="図 27" descr="C:\Users\troika\Desktop\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oika\Desktop\Fig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540" cy="2742391"/>
                                          </a:xfrm>
                                          <a:prstGeom prst="rect">
                                            <a:avLst/>
                                          </a:prstGeom>
                                          <a:noFill/>
                                          <a:ln>
                                            <a:noFill/>
                                          </a:ln>
                                        </pic:spPr>
                                      </pic:pic>
                                    </a:graphicData>
                                  </a:graphic>
                                </wp:inline>
                              </w:drawing>
                            </w:r>
                          </w:p>
                          <w:p w:rsidR="00C815BE" w:rsidRPr="00C815BE" w:rsidRDefault="00C815BE" w:rsidP="00C815BE">
                            <w:pPr>
                              <w:pStyle w:val="a4"/>
                              <w:rPr>
                                <w:sz w:val="20"/>
                                <w:szCs w:val="20"/>
                              </w:rPr>
                            </w:pPr>
                            <w:r w:rsidRPr="00C815BE">
                              <w:rPr>
                                <w:rFonts w:hint="eastAsia"/>
                                <w:sz w:val="20"/>
                                <w:szCs w:val="20"/>
                              </w:rPr>
                              <w:t>図</w:t>
                            </w:r>
                            <w:r w:rsidRPr="00C815BE">
                              <w:rPr>
                                <w:sz w:val="20"/>
                                <w:szCs w:val="20"/>
                              </w:rPr>
                              <w:t>4</w:t>
                            </w:r>
                            <w:r w:rsidRPr="00C815BE">
                              <w:rPr>
                                <w:rFonts w:hint="eastAsia"/>
                                <w:sz w:val="20"/>
                                <w:szCs w:val="20"/>
                              </w:rPr>
                              <w:t xml:space="preserve">　解釈表現適用段階の概念図</w:t>
                            </w:r>
                          </w:p>
                          <w:p w:rsidR="00C815BE" w:rsidRPr="00C815BE" w:rsidRDefault="00C815BE" w:rsidP="00C815BE">
                            <w:pPr>
                              <w:pStyle w:val="a5"/>
                              <w:spacing w:after="360"/>
                              <w:rPr>
                                <w:sz w:val="20"/>
                                <w:szCs w:val="20"/>
                              </w:rPr>
                            </w:pPr>
                            <w:r w:rsidRPr="00C815BE">
                              <w:rPr>
                                <w:rFonts w:hint="eastAsia"/>
                                <w:sz w:val="20"/>
                                <w:szCs w:val="20"/>
                              </w:rPr>
                              <w:t xml:space="preserve">Figure </w:t>
                            </w:r>
                            <w:r w:rsidRPr="00C815BE">
                              <w:rPr>
                                <w:sz w:val="20"/>
                                <w:szCs w:val="20"/>
                              </w:rPr>
                              <w:t>4</w:t>
                            </w:r>
                            <w:r w:rsidRPr="00C815BE">
                              <w:rPr>
                                <w:rFonts w:hint="eastAsia"/>
                                <w:sz w:val="20"/>
                                <w:szCs w:val="20"/>
                              </w:rPr>
                              <w:t xml:space="preserve">　</w:t>
                            </w:r>
                            <w:r w:rsidRPr="00C815BE">
                              <w:rPr>
                                <w:sz w:val="20"/>
                                <w:szCs w:val="20"/>
                              </w:rPr>
                              <w:t>Concept Image of Applying Interpretation Representations</w:t>
                            </w:r>
                            <w:r w:rsidRPr="00C815BE">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F1A0" id="テキスト ボックス 30" o:spid="_x0000_s1030" type="#_x0000_t202" style="position:absolute;left:0;text-align:left;margin-left:-1.35pt;margin-top:5.85pt;width:481.55pt;height:26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" filled="f" stroked="f">
                <v:textbox>
                  <w:txbxContent>
                    <w:p w:rsidR="00C815BE" w:rsidRPr="00000CAD" w:rsidRDefault="00C815BE" w:rsidP="00C815BE">
                      <w:pPr>
                        <w:jc w:val="center"/>
                      </w:pPr>
                      <w:r w:rsidRPr="00AB39E6">
                        <w:rPr>
                          <w:noProof/>
                        </w:rPr>
                        <w:drawing>
                          <wp:inline distT="0" distB="0" distL="0" distR="0" wp14:anchorId="5BF55925" wp14:editId="6E69C524">
                            <wp:extent cx="4562057" cy="2731325"/>
                            <wp:effectExtent l="0" t="0" r="0" b="0"/>
                            <wp:docPr id="27" name="図 27" descr="C:\Users\troika\Desktop\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oika\Desktop\Fig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540" cy="2742391"/>
                                    </a:xfrm>
                                    <a:prstGeom prst="rect">
                                      <a:avLst/>
                                    </a:prstGeom>
                                    <a:noFill/>
                                    <a:ln>
                                      <a:noFill/>
                                    </a:ln>
                                  </pic:spPr>
                                </pic:pic>
                              </a:graphicData>
                            </a:graphic>
                          </wp:inline>
                        </w:drawing>
                      </w:r>
                    </w:p>
                    <w:p w:rsidR="00C815BE" w:rsidRPr="00C815BE" w:rsidRDefault="00C815BE" w:rsidP="00C815BE">
                      <w:pPr>
                        <w:pStyle w:val="a4"/>
                        <w:rPr>
                          <w:sz w:val="20"/>
                          <w:szCs w:val="20"/>
                        </w:rPr>
                      </w:pPr>
                      <w:r w:rsidRPr="00C815BE">
                        <w:rPr>
                          <w:rFonts w:hint="eastAsia"/>
                          <w:sz w:val="20"/>
                          <w:szCs w:val="20"/>
                        </w:rPr>
                        <w:t>図</w:t>
                      </w:r>
                      <w:r w:rsidRPr="00C815BE">
                        <w:rPr>
                          <w:sz w:val="20"/>
                          <w:szCs w:val="20"/>
                        </w:rPr>
                        <w:t>4</w:t>
                      </w:r>
                      <w:r w:rsidRPr="00C815BE">
                        <w:rPr>
                          <w:rFonts w:hint="eastAsia"/>
                          <w:sz w:val="20"/>
                          <w:szCs w:val="20"/>
                        </w:rPr>
                        <w:t xml:space="preserve">　解釈表現適用段階の概念図</w:t>
                      </w:r>
                    </w:p>
                    <w:p w:rsidR="00C815BE" w:rsidRPr="00C815BE" w:rsidRDefault="00C815BE" w:rsidP="00C815BE">
                      <w:pPr>
                        <w:pStyle w:val="a5"/>
                        <w:spacing w:after="360"/>
                        <w:rPr>
                          <w:sz w:val="20"/>
                          <w:szCs w:val="20"/>
                        </w:rPr>
                      </w:pPr>
                      <w:r w:rsidRPr="00C815BE">
                        <w:rPr>
                          <w:rFonts w:hint="eastAsia"/>
                          <w:sz w:val="20"/>
                          <w:szCs w:val="20"/>
                        </w:rPr>
                        <w:t xml:space="preserve">Figure </w:t>
                      </w:r>
                      <w:r w:rsidRPr="00C815BE">
                        <w:rPr>
                          <w:sz w:val="20"/>
                          <w:szCs w:val="20"/>
                        </w:rPr>
                        <w:t>4</w:t>
                      </w:r>
                      <w:r w:rsidRPr="00C815BE">
                        <w:rPr>
                          <w:rFonts w:hint="eastAsia"/>
                          <w:sz w:val="20"/>
                          <w:szCs w:val="20"/>
                        </w:rPr>
                        <w:t xml:space="preserve">　</w:t>
                      </w:r>
                      <w:r w:rsidRPr="00C815BE">
                        <w:rPr>
                          <w:sz w:val="20"/>
                          <w:szCs w:val="20"/>
                        </w:rPr>
                        <w:t>Concept Image of Applying Interpretation Representations</w:t>
                      </w:r>
                      <w:r w:rsidRPr="00C815BE">
                        <w:rPr>
                          <w:rFonts w:hint="eastAsia"/>
                          <w:sz w:val="20"/>
                          <w:szCs w:val="20"/>
                        </w:rPr>
                        <w:t>.</w:t>
                      </w:r>
                    </w:p>
                  </w:txbxContent>
                </v:textbox>
                <w10:wrap type="square"/>
              </v:shape>
            </w:pict>
          </mc:Fallback>
        </mc:AlternateContent>
      </w:r>
    </w:p>
    <w:p w:rsidR="00934DA1" w:rsidRPr="0006666E" w:rsidRDefault="00934DA1" w:rsidP="0097448B">
      <w:pPr>
        <w:rPr>
          <w:rFonts w:ascii="ＭＳ ゴシック" w:eastAsia="ＭＳ ゴシック" w:hAnsi="ＭＳ ゴシック"/>
        </w:rPr>
      </w:pPr>
      <w:r w:rsidRPr="0006666E">
        <w:rPr>
          <w:rFonts w:ascii="ＭＳ ゴシック" w:eastAsia="ＭＳ ゴシック" w:hAnsi="ＭＳ ゴシック"/>
        </w:rPr>
        <w:t>4．解釈表現記法</w:t>
      </w:r>
    </w:p>
    <w:p w:rsidR="00D52B63" w:rsidRDefault="00D52B63" w:rsidP="00D52B63">
      <w:pPr>
        <w:ind w:firstLineChars="100" w:firstLine="210"/>
      </w:pPr>
      <w:r>
        <w:rPr>
          <w:rFonts w:hint="eastAsia"/>
        </w:rPr>
        <w:t>前章で述べたベース思考表現オントロジーに則した思考外化アプリケーションを構築することにより，思考タスクに取り組むユーザの視線行為と思考操作行為を，オントロジーに規定された思考概念と対応付けて計測できるようになる．本章では，こうして計測されたローデータを対象に，思考タスク構造に依存したメタ思考解釈を与えるためにフレームワークが規定する解釈処理の前提と，これを前提とした解釈表現記法（表</w:t>
      </w:r>
      <w:r>
        <w:t>1(3)）について説明する．</w:t>
      </w:r>
    </w:p>
    <w:p w:rsidR="00EA7D26" w:rsidRDefault="00D52B63" w:rsidP="00D52B63">
      <w:pPr>
        <w:ind w:firstLineChars="100" w:firstLine="210"/>
      </w:pPr>
      <w:r>
        <w:rPr>
          <w:rFonts w:hint="eastAsia"/>
        </w:rPr>
        <w:t>図</w:t>
      </w:r>
      <w:r>
        <w:t>4に解釈表現適用の概念図を示す．思考タスク構造に非依存な前処理段階（図4上部）を経て，思考タスク構造の特徴を捉えた解釈表現が適用される（図4下部）．</w:t>
      </w:r>
    </w:p>
    <w:p w:rsidR="00EA7D26" w:rsidRDefault="00EA7D26" w:rsidP="0097448B"/>
    <w:p w:rsidR="00D52B63" w:rsidRDefault="00D52B63" w:rsidP="00D52B63">
      <w:r w:rsidRPr="0006666E">
        <w:rPr>
          <w:rFonts w:ascii="ＭＳ ゴシック" w:eastAsia="ＭＳ ゴシック" w:hAnsi="ＭＳ ゴシック" w:hint="eastAsia"/>
        </w:rPr>
        <w:t>前処理</w:t>
      </w:r>
      <w:r>
        <w:rPr>
          <w:rFonts w:hint="eastAsia"/>
        </w:rPr>
        <w:t>：表現オブジェクトに対する視線行為及び，思考操作行為からなるローデータを整備する処理である．規定された視線停留時間に基づくノイズ除去，同一の表現オブジェクトに対して微小時間空けて注視した視線行為，思考操作行為を一つの行為と見なすか否かを決定する時間間隔を設定することにより実現される．</w:t>
      </w:r>
    </w:p>
    <w:p w:rsidR="00EA7D26" w:rsidRDefault="00D52B63" w:rsidP="00D52B63">
      <w:r w:rsidRPr="0006666E">
        <w:rPr>
          <w:rFonts w:ascii="ＭＳ ゴシック" w:eastAsia="ＭＳ ゴシック" w:hAnsi="ＭＳ ゴシック" w:hint="eastAsia"/>
        </w:rPr>
        <w:t>思考タスク構造依存処理</w:t>
      </w:r>
      <w:r>
        <w:rPr>
          <w:rFonts w:hint="eastAsia"/>
        </w:rPr>
        <w:t>：前処理で区分された各々のデータ系列に解釈を与える処理である．解釈処理には，低次レベルの解釈を与える解釈表現処理（</w:t>
      </w:r>
      <w:r>
        <w:t>low-level interpretation）と，この処理で解釈が与えられた区間を対象とした，メタ思考を含む解釈を与える高次解釈表現処理（high-level interpretation）の二つの処理から構成される．</w:t>
      </w:r>
    </w:p>
    <w:p w:rsidR="00EA7D26" w:rsidRDefault="00EA7D26" w:rsidP="0097448B"/>
    <w:p w:rsidR="00EA7D26" w:rsidRPr="0006666E" w:rsidRDefault="009D7E22" w:rsidP="0097448B">
      <w:pPr>
        <w:rPr>
          <w:rFonts w:ascii="ＭＳ ゴシック" w:eastAsia="ＭＳ ゴシック" w:hAnsi="ＭＳ ゴシック" w:hint="eastAsia"/>
        </w:rPr>
      </w:pPr>
      <w:r w:rsidRPr="0006666E">
        <w:rPr>
          <w:rFonts w:ascii="ＭＳ ゴシック" w:eastAsia="ＭＳ ゴシック" w:hAnsi="ＭＳ ゴシック"/>
        </w:rPr>
        <w:t>4.1　低次レベルの解釈表現記法</w:t>
      </w:r>
    </w:p>
    <w:p w:rsidR="00EA7D26" w:rsidRDefault="00766DE4" w:rsidP="00766DE4">
      <w:pPr>
        <w:ind w:firstLineChars="100" w:firstLine="210"/>
      </w:pPr>
      <w:r w:rsidRPr="00766DE4">
        <w:rPr>
          <w:rFonts w:hint="eastAsia"/>
        </w:rPr>
        <w:t>視線行為と思考操作行為の系列データに低次レベルの解釈</w:t>
      </w:r>
      <w:r w:rsidRPr="00766DE4">
        <w:t>PI_Lを与える解釈表現記法は，以下の(1)で表現される．</w:t>
      </w:r>
    </w:p>
    <w:p w:rsidR="00766DE4" w:rsidRPr="00EE2AC7" w:rsidRDefault="00766DE4" w:rsidP="00766DE4">
      <w:pPr>
        <w:pStyle w:val="ICCENormalText1stparagraph"/>
        <w:rPr>
          <w:sz w:val="18"/>
          <w:szCs w:val="20"/>
          <w:lang w:eastAsia="ja-JP"/>
        </w:rPr>
      </w:pPr>
      <m:oMathPara>
        <m:oMath>
          <m:sSub>
            <m:sSubPr>
              <m:ctrlPr>
                <w:rPr>
                  <w:rFonts w:ascii="Cambria Math" w:eastAsia="ＭＳ 明朝" w:hAnsi="Cambria Math"/>
                  <w:noProof/>
                  <w:sz w:val="22"/>
                  <w:szCs w:val="22"/>
                  <w:lang w:eastAsia="ja-JP"/>
                </w:rPr>
              </m:ctrlPr>
            </m:sSubPr>
            <m:e>
              <m:r>
                <w:rPr>
                  <w:rFonts w:ascii="Cambria Math" w:eastAsia="ＭＳ 明朝" w:hAnsi="Cambria Math"/>
                  <w:noProof/>
                  <w:sz w:val="22"/>
                  <w:szCs w:val="22"/>
                  <w:lang w:eastAsia="ja-JP"/>
                </w:rPr>
                <m:t>lr</m:t>
              </m:r>
            </m:e>
            <m:sub>
              <m:r>
                <w:rPr>
                  <w:rFonts w:ascii="Cambria Math" w:eastAsia="ＭＳ 明朝" w:hAnsi="Cambria Math"/>
                  <w:noProof/>
                  <w:sz w:val="22"/>
                  <w:szCs w:val="22"/>
                  <w:lang w:eastAsia="ja-JP"/>
                </w:rPr>
                <m:t>x</m:t>
              </m:r>
            </m:sub>
          </m:sSub>
          <m:d>
            <m:dPr>
              <m:ctrlPr>
                <w:rPr>
                  <w:rFonts w:ascii="Cambria Math" w:hAnsi="Cambria Math"/>
                  <w:i/>
                  <w:sz w:val="22"/>
                  <w:szCs w:val="22"/>
                  <w:lang w:eastAsia="ja-JP"/>
                </w:rPr>
              </m:ctrlPr>
            </m:dPr>
            <m:e>
              <m:r>
                <w:rPr>
                  <w:rFonts w:ascii="Cambria Math" w:hAnsi="Cambria Math"/>
                  <w:sz w:val="22"/>
                  <w:szCs w:val="22"/>
                  <w:lang w:eastAsia="ja-JP"/>
                </w:rPr>
                <m:t>Act(</m:t>
              </m:r>
              <m:sSub>
                <m:sSubPr>
                  <m:ctrlPr>
                    <w:rPr>
                      <w:rFonts w:ascii="Cambria Math" w:hAnsi="Cambria Math"/>
                      <w:i/>
                      <w:sz w:val="22"/>
                      <w:szCs w:val="22"/>
                      <w:lang w:eastAsia="ja-JP"/>
                    </w:rPr>
                  </m:ctrlPr>
                </m:sSubPr>
                <m:e>
                  <m:r>
                    <w:rPr>
                      <w:rFonts w:ascii="Cambria Math" w:hAnsi="Cambria Math"/>
                      <w:sz w:val="22"/>
                      <w:szCs w:val="22"/>
                      <w:lang w:eastAsia="ja-JP"/>
                    </w:rPr>
                    <m:t>tro</m:t>
                  </m:r>
                </m:e>
                <m:sub>
                  <m:r>
                    <w:rPr>
                      <w:rFonts w:ascii="Cambria Math" w:hAnsi="Cambria Math"/>
                      <w:sz w:val="22"/>
                      <w:szCs w:val="22"/>
                      <w:lang w:eastAsia="ja-JP"/>
                    </w:rPr>
                    <m:t>i</m:t>
                  </m:r>
                </m:sub>
              </m:sSub>
              <m:r>
                <w:rPr>
                  <w:rFonts w:ascii="Cambria Math" w:hAnsi="Cambria Math"/>
                  <w:sz w:val="22"/>
                  <w:szCs w:val="22"/>
                  <w:lang w:eastAsia="ja-JP"/>
                </w:rPr>
                <m:t>),PI_L</m:t>
              </m:r>
            </m:e>
          </m:d>
          <m:r>
            <w:rPr>
              <w:rFonts w:ascii="Cambria Math" w:hAnsi="Cambria Math"/>
              <w:sz w:val="22"/>
              <w:szCs w:val="22"/>
              <w:lang w:eastAsia="ja-JP"/>
            </w:rPr>
            <m:t xml:space="preserve">     (1)</m:t>
          </m:r>
        </m:oMath>
      </m:oMathPara>
    </w:p>
    <w:p w:rsidR="0068479C" w:rsidRDefault="00CB572E" w:rsidP="0097448B">
      <w:r w:rsidRPr="00BA5DF8">
        <w:rPr>
          <w:i/>
          <w:noProof/>
        </w:rPr>
        <w:lastRenderedPageBreak/>
        <mc:AlternateContent>
          <mc:Choice Requires="wps">
            <w:drawing>
              <wp:anchor distT="0" distB="0" distL="114300" distR="114300" simplePos="0" relativeHeight="251669504" behindDoc="0" locked="0" layoutInCell="1" allowOverlap="1" wp14:anchorId="1F74CD74" wp14:editId="5EFA9D3A">
                <wp:simplePos x="0" y="0"/>
                <wp:positionH relativeFrom="margin">
                  <wp:posOffset>-21590</wp:posOffset>
                </wp:positionH>
                <wp:positionV relativeFrom="paragraph">
                  <wp:posOffset>64770</wp:posOffset>
                </wp:positionV>
                <wp:extent cx="6179820" cy="1821815"/>
                <wp:effectExtent l="0" t="0" r="0" b="6985"/>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6179820" cy="1821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938C0" w:rsidRPr="00F938C0" w:rsidRDefault="00F938C0" w:rsidP="00F938C0">
                            <w:pPr>
                              <w:pStyle w:val="a4"/>
                              <w:rPr>
                                <w:sz w:val="20"/>
                                <w:szCs w:val="20"/>
                              </w:rPr>
                            </w:pPr>
                            <w:r w:rsidRPr="00F938C0">
                              <w:rPr>
                                <w:rFonts w:hint="eastAsia"/>
                                <w:sz w:val="20"/>
                                <w:szCs w:val="20"/>
                              </w:rPr>
                              <w:t>表</w:t>
                            </w:r>
                            <w:r w:rsidRPr="00F938C0">
                              <w:rPr>
                                <w:sz w:val="20"/>
                                <w:szCs w:val="20"/>
                              </w:rPr>
                              <w:t>2</w:t>
                            </w:r>
                            <w:r w:rsidRPr="00F938C0">
                              <w:rPr>
                                <w:rFonts w:hint="eastAsia"/>
                                <w:sz w:val="20"/>
                                <w:szCs w:val="20"/>
                              </w:rPr>
                              <w:t xml:space="preserve">　条件部に設定する関数</w:t>
                            </w:r>
                          </w:p>
                          <w:p w:rsidR="00F938C0" w:rsidRPr="00F938C0" w:rsidRDefault="00F938C0" w:rsidP="00F938C0">
                            <w:pPr>
                              <w:pStyle w:val="a5"/>
                              <w:spacing w:afterLines="50" w:after="180"/>
                              <w:rPr>
                                <w:sz w:val="20"/>
                                <w:szCs w:val="20"/>
                              </w:rPr>
                            </w:pPr>
                            <w:r w:rsidRPr="00F938C0">
                              <w:rPr>
                                <w:sz w:val="20"/>
                                <w:szCs w:val="20"/>
                              </w:rPr>
                              <w:t>Table</w:t>
                            </w:r>
                            <w:r w:rsidRPr="00F938C0">
                              <w:rPr>
                                <w:rFonts w:hint="eastAsia"/>
                                <w:sz w:val="20"/>
                                <w:szCs w:val="20"/>
                              </w:rPr>
                              <w:t xml:space="preserve"> </w:t>
                            </w:r>
                            <w:r w:rsidRPr="00F938C0">
                              <w:rPr>
                                <w:sz w:val="20"/>
                                <w:szCs w:val="20"/>
                              </w:rPr>
                              <w:t>2</w:t>
                            </w:r>
                            <w:r w:rsidRPr="00F938C0">
                              <w:rPr>
                                <w:rFonts w:hint="eastAsia"/>
                                <w:sz w:val="20"/>
                                <w:szCs w:val="20"/>
                              </w:rPr>
                              <w:t xml:space="preserve">　</w:t>
                            </w:r>
                            <w:r w:rsidRPr="00F938C0">
                              <w:rPr>
                                <w:sz w:val="20"/>
                                <w:szCs w:val="20"/>
                              </w:rPr>
                              <w:t>Function List for Condition Setting</w:t>
                            </w:r>
                            <w:r w:rsidRPr="00F938C0">
                              <w:rPr>
                                <w:rFonts w:hint="eastAsia"/>
                                <w:sz w:val="20"/>
                                <w:szCs w:val="20"/>
                              </w:rPr>
                              <w:t xml:space="preserve">. </w:t>
                            </w:r>
                          </w:p>
                          <w:tbl>
                            <w:tblPr>
                              <w:tblStyle w:val="a6"/>
                              <w:tblW w:w="0" w:type="auto"/>
                              <w:tblInd w:w="1342" w:type="dxa"/>
                              <w:tblLook w:val="04A0" w:firstRow="1" w:lastRow="0" w:firstColumn="1" w:lastColumn="0" w:noHBand="0" w:noVBand="1"/>
                            </w:tblPr>
                            <w:tblGrid>
                              <w:gridCol w:w="2627"/>
                              <w:gridCol w:w="4177"/>
                            </w:tblGrid>
                            <w:tr w:rsidR="00F938C0" w:rsidRPr="00414D7B" w:rsidTr="00F938C0">
                              <w:tc>
                                <w:tcPr>
                                  <w:tcW w:w="2627" w:type="dxa"/>
                                  <w:tcBorders>
                                    <w:left w:val="nil"/>
                                    <w:bottom w:val="double" w:sz="4" w:space="0" w:color="000000"/>
                                  </w:tcBorders>
                                </w:tcPr>
                                <w:p w:rsidR="00F938C0" w:rsidRPr="00F938C0" w:rsidRDefault="00F938C0" w:rsidP="00452001">
                                  <w:pPr>
                                    <w:jc w:val="center"/>
                                    <w:rPr>
                                      <w:sz w:val="20"/>
                                      <w:szCs w:val="20"/>
                                    </w:rPr>
                                  </w:pPr>
                                  <w:r w:rsidRPr="00F938C0">
                                    <w:rPr>
                                      <w:sz w:val="20"/>
                                      <w:szCs w:val="20"/>
                                    </w:rPr>
                                    <w:t>Function</w:t>
                                  </w:r>
                                </w:p>
                              </w:tc>
                              <w:tc>
                                <w:tcPr>
                                  <w:tcW w:w="4177" w:type="dxa"/>
                                  <w:tcBorders>
                                    <w:bottom w:val="double" w:sz="4" w:space="0" w:color="000000"/>
                                    <w:right w:val="nil"/>
                                  </w:tcBorders>
                                </w:tcPr>
                                <w:p w:rsidR="00F938C0" w:rsidRPr="00F938C0" w:rsidRDefault="00F938C0" w:rsidP="00452001">
                                  <w:pPr>
                                    <w:jc w:val="center"/>
                                    <w:rPr>
                                      <w:sz w:val="20"/>
                                      <w:szCs w:val="20"/>
                                    </w:rPr>
                                  </w:pPr>
                                  <w:r w:rsidRPr="00F938C0">
                                    <w:rPr>
                                      <w:sz w:val="20"/>
                                      <w:szCs w:val="20"/>
                                    </w:rPr>
                                    <w:t>Interpretation</w:t>
                                  </w:r>
                                </w:p>
                              </w:tc>
                            </w:tr>
                            <w:tr w:rsidR="00F938C0" w:rsidRPr="00414D7B" w:rsidTr="00F938C0">
                              <w:tc>
                                <w:tcPr>
                                  <w:tcW w:w="2627" w:type="dxa"/>
                                  <w:tcBorders>
                                    <w:top w:val="double" w:sz="4" w:space="0" w:color="000000"/>
                                    <w:left w:val="nil"/>
                                  </w:tcBorders>
                                  <w:vAlign w:val="center"/>
                                </w:tcPr>
                                <w:p w:rsidR="00F938C0" w:rsidRPr="00F938C0" w:rsidRDefault="00F938C0" w:rsidP="00CA73EF">
                                  <w:pPr>
                                    <w:jc w:val="center"/>
                                    <w:rPr>
                                      <w:i/>
                                      <w:sz w:val="20"/>
                                      <w:szCs w:val="20"/>
                                    </w:rPr>
                                  </w:pPr>
                                  <w:r w:rsidRPr="00F938C0">
                                    <w:rPr>
                                      <w:i/>
                                      <w:sz w:val="20"/>
                                      <w:szCs w:val="20"/>
                                    </w:rPr>
                                    <w:t xml:space="preserve">ALL </w:t>
                                  </w:r>
                                  <w:r w:rsidRPr="00F938C0">
                                    <w:rPr>
                                      <w:sz w:val="20"/>
                                      <w:szCs w:val="20"/>
                                    </w:rPr>
                                    <w:t>(L</w:t>
                                  </w:r>
                                  <w:r w:rsidRPr="00F938C0">
                                    <w:rPr>
                                      <w:sz w:val="20"/>
                                      <w:szCs w:val="20"/>
                                      <w:vertAlign w:val="subscript"/>
                                    </w:rPr>
                                    <w:t>1</w:t>
                                  </w:r>
                                  <w:r w:rsidRPr="00F938C0">
                                    <w:rPr>
                                      <w:sz w:val="20"/>
                                      <w:szCs w:val="20"/>
                                    </w:rPr>
                                    <w:t>)</w:t>
                                  </w:r>
                                </w:p>
                              </w:tc>
                              <w:tc>
                                <w:tcPr>
                                  <w:tcW w:w="4177" w:type="dxa"/>
                                  <w:tcBorders>
                                    <w:top w:val="double" w:sz="4" w:space="0" w:color="000000"/>
                                    <w:right w:val="nil"/>
                                  </w:tcBorders>
                                  <w:vAlign w:val="center"/>
                                </w:tcPr>
                                <w:p w:rsidR="00F938C0" w:rsidRPr="00F938C0" w:rsidRDefault="00F938C0" w:rsidP="00CA73EF">
                                  <w:pPr>
                                    <w:jc w:val="center"/>
                                    <w:rPr>
                                      <w:sz w:val="20"/>
                                      <w:szCs w:val="20"/>
                                    </w:rPr>
                                  </w:pPr>
                                  <w:r w:rsidRPr="00F938C0">
                                    <w:rPr>
                                      <w:i/>
                                      <w:sz w:val="20"/>
                                      <w:szCs w:val="20"/>
                                    </w:rPr>
                                    <w:t xml:space="preserve">all </w:t>
                                  </w:r>
                                  <w:r w:rsidRPr="00F938C0">
                                    <w:rPr>
                                      <w:sz w:val="20"/>
                                      <w:szCs w:val="20"/>
                                    </w:rPr>
                                    <w:t>L</w:t>
                                  </w:r>
                                  <w:r w:rsidRPr="00F938C0">
                                    <w:rPr>
                                      <w:sz w:val="20"/>
                                      <w:szCs w:val="20"/>
                                      <w:vertAlign w:val="subscript"/>
                                    </w:rPr>
                                    <w:t>1</w:t>
                                  </w:r>
                                </w:p>
                              </w:tc>
                            </w:tr>
                            <w:tr w:rsidR="00F938C0" w:rsidRPr="00414D7B" w:rsidTr="00F938C0">
                              <w:tc>
                                <w:tcPr>
                                  <w:tcW w:w="2627" w:type="dxa"/>
                                  <w:tcBorders>
                                    <w:left w:val="nil"/>
                                  </w:tcBorders>
                                  <w:vAlign w:val="center"/>
                                </w:tcPr>
                                <w:p w:rsidR="00F938C0" w:rsidRPr="00F938C0" w:rsidRDefault="00F938C0" w:rsidP="00CA73EF">
                                  <w:pPr>
                                    <w:jc w:val="center"/>
                                    <w:rPr>
                                      <w:i/>
                                      <w:sz w:val="20"/>
                                      <w:szCs w:val="20"/>
                                    </w:rPr>
                                  </w:pPr>
                                  <w:r w:rsidRPr="00F938C0">
                                    <w:rPr>
                                      <w:i/>
                                      <w:sz w:val="20"/>
                                      <w:szCs w:val="20"/>
                                    </w:rPr>
                                    <w:t xml:space="preserve">BEFORE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 t)</w:t>
                                  </w:r>
                                </w:p>
                              </w:tc>
                              <w:tc>
                                <w:tcPr>
                                  <w:tcW w:w="4177" w:type="dxa"/>
                                  <w:tcBorders>
                                    <w:right w:val="nil"/>
                                  </w:tcBorders>
                                  <w:vAlign w:val="center"/>
                                </w:tcPr>
                                <w:p w:rsidR="00F938C0" w:rsidRPr="00F938C0" w:rsidRDefault="00F938C0" w:rsidP="00DF1F52">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 xml:space="preserve">takes place before </w:t>
                                  </w:r>
                                  <w:r w:rsidRPr="00F938C0">
                                    <w:rPr>
                                      <w:sz w:val="20"/>
                                      <w:szCs w:val="20"/>
                                    </w:rPr>
                                    <w:t>L</w:t>
                                  </w:r>
                                  <w:r w:rsidRPr="00F938C0">
                                    <w:rPr>
                                      <w:sz w:val="20"/>
                                      <w:szCs w:val="20"/>
                                      <w:vertAlign w:val="subscript"/>
                                    </w:rPr>
                                    <w:t>2</w:t>
                                  </w:r>
                                  <w:r w:rsidRPr="00F938C0">
                                    <w:rPr>
                                      <w:sz w:val="20"/>
                                      <w:szCs w:val="20"/>
                                    </w:rPr>
                                    <w:t xml:space="preserve"> </w:t>
                                  </w:r>
                                  <w:r w:rsidRPr="00F938C0">
                                    <w:rPr>
                                      <w:i/>
                                      <w:sz w:val="20"/>
                                      <w:szCs w:val="20"/>
                                    </w:rPr>
                                    <w:t>within</w:t>
                                  </w:r>
                                  <w:r w:rsidRPr="00F938C0">
                                    <w:rPr>
                                      <w:sz w:val="20"/>
                                      <w:szCs w:val="20"/>
                                    </w:rPr>
                                    <w:t xml:space="preserve"> t </w:t>
                                  </w:r>
                                  <w:r w:rsidRPr="00F938C0">
                                    <w:rPr>
                                      <w:i/>
                                      <w:sz w:val="20"/>
                                      <w:szCs w:val="20"/>
                                    </w:rPr>
                                    <w:t>msec.</w:t>
                                  </w:r>
                                </w:p>
                              </w:tc>
                            </w:tr>
                            <w:tr w:rsidR="00F938C0" w:rsidRPr="00414D7B" w:rsidTr="00F938C0">
                              <w:tc>
                                <w:tcPr>
                                  <w:tcW w:w="2627" w:type="dxa"/>
                                  <w:tcBorders>
                                    <w:left w:val="nil"/>
                                  </w:tcBorders>
                                  <w:vAlign w:val="center"/>
                                </w:tcPr>
                                <w:p w:rsidR="00F938C0" w:rsidRPr="00F938C0" w:rsidRDefault="00F938C0" w:rsidP="00CA73EF">
                                  <w:pPr>
                                    <w:jc w:val="center"/>
                                    <w:rPr>
                                      <w:i/>
                                      <w:sz w:val="20"/>
                                      <w:szCs w:val="20"/>
                                    </w:rPr>
                                  </w:pPr>
                                  <w:r w:rsidRPr="00F938C0">
                                    <w:rPr>
                                      <w:i/>
                                      <w:sz w:val="20"/>
                                      <w:szCs w:val="20"/>
                                    </w:rPr>
                                    <w:t xml:space="preserve">OVERLAPS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w:t>
                                  </w:r>
                                </w:p>
                              </w:tc>
                              <w:tc>
                                <w:tcPr>
                                  <w:tcW w:w="4177" w:type="dxa"/>
                                  <w:tcBorders>
                                    <w:right w:val="nil"/>
                                  </w:tcBorders>
                                  <w:vAlign w:val="center"/>
                                </w:tcPr>
                                <w:p w:rsidR="00F938C0" w:rsidRPr="00F938C0" w:rsidRDefault="00F938C0" w:rsidP="00CA73EF">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overlaps with</w:t>
                                  </w:r>
                                  <w:r w:rsidRPr="00F938C0">
                                    <w:rPr>
                                      <w:sz w:val="20"/>
                                      <w:szCs w:val="20"/>
                                    </w:rPr>
                                    <w:t xml:space="preserve"> L</w:t>
                                  </w:r>
                                  <w:r w:rsidRPr="00F938C0">
                                    <w:rPr>
                                      <w:sz w:val="20"/>
                                      <w:szCs w:val="20"/>
                                      <w:vertAlign w:val="subscript"/>
                                    </w:rPr>
                                    <w:t>2</w:t>
                                  </w:r>
                                </w:p>
                              </w:tc>
                            </w:tr>
                            <w:tr w:rsidR="00F938C0" w:rsidRPr="00414D7B" w:rsidTr="00F938C0">
                              <w:tc>
                                <w:tcPr>
                                  <w:tcW w:w="2627" w:type="dxa"/>
                                  <w:tcBorders>
                                    <w:left w:val="nil"/>
                                  </w:tcBorders>
                                  <w:vAlign w:val="center"/>
                                </w:tcPr>
                                <w:p w:rsidR="00F938C0" w:rsidRPr="00F938C0" w:rsidRDefault="00F938C0" w:rsidP="00CA73EF">
                                  <w:pPr>
                                    <w:jc w:val="center"/>
                                    <w:rPr>
                                      <w:i/>
                                      <w:sz w:val="20"/>
                                      <w:szCs w:val="20"/>
                                    </w:rPr>
                                  </w:pPr>
                                  <w:r w:rsidRPr="00F938C0">
                                    <w:rPr>
                                      <w:i/>
                                      <w:sz w:val="20"/>
                                      <w:szCs w:val="20"/>
                                    </w:rPr>
                                    <w:t xml:space="preserve">DURING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w:t>
                                  </w:r>
                                </w:p>
                              </w:tc>
                              <w:tc>
                                <w:tcPr>
                                  <w:tcW w:w="4177" w:type="dxa"/>
                                  <w:tcBorders>
                                    <w:right w:val="nil"/>
                                  </w:tcBorders>
                                  <w:vAlign w:val="center"/>
                                </w:tcPr>
                                <w:p w:rsidR="00F938C0" w:rsidRPr="00F938C0" w:rsidRDefault="00F938C0" w:rsidP="00CA73EF">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during</w:t>
                                  </w:r>
                                  <w:r w:rsidRPr="00F938C0">
                                    <w:rPr>
                                      <w:sz w:val="20"/>
                                      <w:szCs w:val="20"/>
                                    </w:rPr>
                                    <w:t xml:space="preserve"> L</w:t>
                                  </w:r>
                                  <w:r w:rsidRPr="00F938C0">
                                    <w:rPr>
                                      <w:sz w:val="20"/>
                                      <w:szCs w:val="20"/>
                                      <w:vertAlign w:val="subscript"/>
                                    </w:rPr>
                                    <w:t>2</w:t>
                                  </w:r>
                                </w:p>
                              </w:tc>
                            </w:tr>
                          </w:tbl>
                          <w:p w:rsidR="00F938C0" w:rsidRPr="00414D7B" w:rsidRDefault="00F938C0" w:rsidP="00F938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4CD74" id="テキスト ボックス 9" o:spid="_x0000_s1031" type="#_x0000_t202" style="position:absolute;left:0;text-align:left;margin-left:-1.7pt;margin-top:5.1pt;width:486.6pt;height:14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" filled="f" stroked="f">
                <v:textbox>
                  <w:txbxContent>
                    <w:p w:rsidR="00F938C0" w:rsidRPr="00F938C0" w:rsidRDefault="00F938C0" w:rsidP="00F938C0">
                      <w:pPr>
                        <w:pStyle w:val="a4"/>
                        <w:rPr>
                          <w:sz w:val="20"/>
                          <w:szCs w:val="20"/>
                        </w:rPr>
                      </w:pPr>
                      <w:r w:rsidRPr="00F938C0">
                        <w:rPr>
                          <w:rFonts w:hint="eastAsia"/>
                          <w:sz w:val="20"/>
                          <w:szCs w:val="20"/>
                        </w:rPr>
                        <w:t>表</w:t>
                      </w:r>
                      <w:r w:rsidRPr="00F938C0">
                        <w:rPr>
                          <w:sz w:val="20"/>
                          <w:szCs w:val="20"/>
                        </w:rPr>
                        <w:t>2</w:t>
                      </w:r>
                      <w:r w:rsidRPr="00F938C0">
                        <w:rPr>
                          <w:rFonts w:hint="eastAsia"/>
                          <w:sz w:val="20"/>
                          <w:szCs w:val="20"/>
                        </w:rPr>
                        <w:t xml:space="preserve">　条件部に設定する関数</w:t>
                      </w:r>
                    </w:p>
                    <w:p w:rsidR="00F938C0" w:rsidRPr="00F938C0" w:rsidRDefault="00F938C0" w:rsidP="00F938C0">
                      <w:pPr>
                        <w:pStyle w:val="a5"/>
                        <w:spacing w:afterLines="50" w:after="180"/>
                        <w:rPr>
                          <w:sz w:val="20"/>
                          <w:szCs w:val="20"/>
                        </w:rPr>
                      </w:pPr>
                      <w:r w:rsidRPr="00F938C0">
                        <w:rPr>
                          <w:sz w:val="20"/>
                          <w:szCs w:val="20"/>
                        </w:rPr>
                        <w:t>Table</w:t>
                      </w:r>
                      <w:r w:rsidRPr="00F938C0">
                        <w:rPr>
                          <w:rFonts w:hint="eastAsia"/>
                          <w:sz w:val="20"/>
                          <w:szCs w:val="20"/>
                        </w:rPr>
                        <w:t xml:space="preserve"> </w:t>
                      </w:r>
                      <w:r w:rsidRPr="00F938C0">
                        <w:rPr>
                          <w:sz w:val="20"/>
                          <w:szCs w:val="20"/>
                        </w:rPr>
                        <w:t>2</w:t>
                      </w:r>
                      <w:r w:rsidRPr="00F938C0">
                        <w:rPr>
                          <w:rFonts w:hint="eastAsia"/>
                          <w:sz w:val="20"/>
                          <w:szCs w:val="20"/>
                        </w:rPr>
                        <w:t xml:space="preserve">　</w:t>
                      </w:r>
                      <w:r w:rsidRPr="00F938C0">
                        <w:rPr>
                          <w:sz w:val="20"/>
                          <w:szCs w:val="20"/>
                        </w:rPr>
                        <w:t>Function List for Condition Setting</w:t>
                      </w:r>
                      <w:r w:rsidRPr="00F938C0">
                        <w:rPr>
                          <w:rFonts w:hint="eastAsia"/>
                          <w:sz w:val="20"/>
                          <w:szCs w:val="20"/>
                        </w:rPr>
                        <w:t xml:space="preserve">. </w:t>
                      </w:r>
                    </w:p>
                    <w:tbl>
                      <w:tblPr>
                        <w:tblStyle w:val="a6"/>
                        <w:tblW w:w="0" w:type="auto"/>
                        <w:tblInd w:w="1342" w:type="dxa"/>
                        <w:tblLook w:val="04A0" w:firstRow="1" w:lastRow="0" w:firstColumn="1" w:lastColumn="0" w:noHBand="0" w:noVBand="1"/>
                      </w:tblPr>
                      <w:tblGrid>
                        <w:gridCol w:w="2627"/>
                        <w:gridCol w:w="4177"/>
                      </w:tblGrid>
                      <w:tr w:rsidR="00F938C0" w:rsidRPr="00414D7B" w:rsidTr="00F938C0">
                        <w:tc>
                          <w:tcPr>
                            <w:tcW w:w="2627" w:type="dxa"/>
                            <w:tcBorders>
                              <w:left w:val="nil"/>
                              <w:bottom w:val="double" w:sz="4" w:space="0" w:color="000000"/>
                            </w:tcBorders>
                          </w:tcPr>
                          <w:p w:rsidR="00F938C0" w:rsidRPr="00F938C0" w:rsidRDefault="00F938C0" w:rsidP="00452001">
                            <w:pPr>
                              <w:jc w:val="center"/>
                              <w:rPr>
                                <w:sz w:val="20"/>
                                <w:szCs w:val="20"/>
                              </w:rPr>
                            </w:pPr>
                            <w:r w:rsidRPr="00F938C0">
                              <w:rPr>
                                <w:sz w:val="20"/>
                                <w:szCs w:val="20"/>
                              </w:rPr>
                              <w:t>Function</w:t>
                            </w:r>
                          </w:p>
                        </w:tc>
                        <w:tc>
                          <w:tcPr>
                            <w:tcW w:w="4177" w:type="dxa"/>
                            <w:tcBorders>
                              <w:bottom w:val="double" w:sz="4" w:space="0" w:color="000000"/>
                              <w:right w:val="nil"/>
                            </w:tcBorders>
                          </w:tcPr>
                          <w:p w:rsidR="00F938C0" w:rsidRPr="00F938C0" w:rsidRDefault="00F938C0" w:rsidP="00452001">
                            <w:pPr>
                              <w:jc w:val="center"/>
                              <w:rPr>
                                <w:sz w:val="20"/>
                                <w:szCs w:val="20"/>
                              </w:rPr>
                            </w:pPr>
                            <w:r w:rsidRPr="00F938C0">
                              <w:rPr>
                                <w:sz w:val="20"/>
                                <w:szCs w:val="20"/>
                              </w:rPr>
                              <w:t>Interpretation</w:t>
                            </w:r>
                          </w:p>
                        </w:tc>
                      </w:tr>
                      <w:tr w:rsidR="00F938C0" w:rsidRPr="00414D7B" w:rsidTr="00F938C0">
                        <w:tc>
                          <w:tcPr>
                            <w:tcW w:w="2627" w:type="dxa"/>
                            <w:tcBorders>
                              <w:top w:val="double" w:sz="4" w:space="0" w:color="000000"/>
                              <w:left w:val="nil"/>
                            </w:tcBorders>
                            <w:vAlign w:val="center"/>
                          </w:tcPr>
                          <w:p w:rsidR="00F938C0" w:rsidRPr="00F938C0" w:rsidRDefault="00F938C0" w:rsidP="00CA73EF">
                            <w:pPr>
                              <w:jc w:val="center"/>
                              <w:rPr>
                                <w:i/>
                                <w:sz w:val="20"/>
                                <w:szCs w:val="20"/>
                              </w:rPr>
                            </w:pPr>
                            <w:r w:rsidRPr="00F938C0">
                              <w:rPr>
                                <w:i/>
                                <w:sz w:val="20"/>
                                <w:szCs w:val="20"/>
                              </w:rPr>
                              <w:t xml:space="preserve">ALL </w:t>
                            </w:r>
                            <w:r w:rsidRPr="00F938C0">
                              <w:rPr>
                                <w:sz w:val="20"/>
                                <w:szCs w:val="20"/>
                              </w:rPr>
                              <w:t>(L</w:t>
                            </w:r>
                            <w:r w:rsidRPr="00F938C0">
                              <w:rPr>
                                <w:sz w:val="20"/>
                                <w:szCs w:val="20"/>
                                <w:vertAlign w:val="subscript"/>
                              </w:rPr>
                              <w:t>1</w:t>
                            </w:r>
                            <w:r w:rsidRPr="00F938C0">
                              <w:rPr>
                                <w:sz w:val="20"/>
                                <w:szCs w:val="20"/>
                              </w:rPr>
                              <w:t>)</w:t>
                            </w:r>
                          </w:p>
                        </w:tc>
                        <w:tc>
                          <w:tcPr>
                            <w:tcW w:w="4177" w:type="dxa"/>
                            <w:tcBorders>
                              <w:top w:val="double" w:sz="4" w:space="0" w:color="000000"/>
                              <w:right w:val="nil"/>
                            </w:tcBorders>
                            <w:vAlign w:val="center"/>
                          </w:tcPr>
                          <w:p w:rsidR="00F938C0" w:rsidRPr="00F938C0" w:rsidRDefault="00F938C0" w:rsidP="00CA73EF">
                            <w:pPr>
                              <w:jc w:val="center"/>
                              <w:rPr>
                                <w:sz w:val="20"/>
                                <w:szCs w:val="20"/>
                              </w:rPr>
                            </w:pPr>
                            <w:r w:rsidRPr="00F938C0">
                              <w:rPr>
                                <w:i/>
                                <w:sz w:val="20"/>
                                <w:szCs w:val="20"/>
                              </w:rPr>
                              <w:t xml:space="preserve">all </w:t>
                            </w:r>
                            <w:r w:rsidRPr="00F938C0">
                              <w:rPr>
                                <w:sz w:val="20"/>
                                <w:szCs w:val="20"/>
                              </w:rPr>
                              <w:t>L</w:t>
                            </w:r>
                            <w:r w:rsidRPr="00F938C0">
                              <w:rPr>
                                <w:sz w:val="20"/>
                                <w:szCs w:val="20"/>
                                <w:vertAlign w:val="subscript"/>
                              </w:rPr>
                              <w:t>1</w:t>
                            </w:r>
                          </w:p>
                        </w:tc>
                      </w:tr>
                      <w:tr w:rsidR="00F938C0" w:rsidRPr="00414D7B" w:rsidTr="00F938C0">
                        <w:tc>
                          <w:tcPr>
                            <w:tcW w:w="2627" w:type="dxa"/>
                            <w:tcBorders>
                              <w:left w:val="nil"/>
                            </w:tcBorders>
                            <w:vAlign w:val="center"/>
                          </w:tcPr>
                          <w:p w:rsidR="00F938C0" w:rsidRPr="00F938C0" w:rsidRDefault="00F938C0" w:rsidP="00CA73EF">
                            <w:pPr>
                              <w:jc w:val="center"/>
                              <w:rPr>
                                <w:i/>
                                <w:sz w:val="20"/>
                                <w:szCs w:val="20"/>
                              </w:rPr>
                            </w:pPr>
                            <w:r w:rsidRPr="00F938C0">
                              <w:rPr>
                                <w:i/>
                                <w:sz w:val="20"/>
                                <w:szCs w:val="20"/>
                              </w:rPr>
                              <w:t xml:space="preserve">BEFORE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 t)</w:t>
                            </w:r>
                          </w:p>
                        </w:tc>
                        <w:tc>
                          <w:tcPr>
                            <w:tcW w:w="4177" w:type="dxa"/>
                            <w:tcBorders>
                              <w:right w:val="nil"/>
                            </w:tcBorders>
                            <w:vAlign w:val="center"/>
                          </w:tcPr>
                          <w:p w:rsidR="00F938C0" w:rsidRPr="00F938C0" w:rsidRDefault="00F938C0" w:rsidP="00DF1F52">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 xml:space="preserve">takes place before </w:t>
                            </w:r>
                            <w:r w:rsidRPr="00F938C0">
                              <w:rPr>
                                <w:sz w:val="20"/>
                                <w:szCs w:val="20"/>
                              </w:rPr>
                              <w:t>L</w:t>
                            </w:r>
                            <w:r w:rsidRPr="00F938C0">
                              <w:rPr>
                                <w:sz w:val="20"/>
                                <w:szCs w:val="20"/>
                                <w:vertAlign w:val="subscript"/>
                              </w:rPr>
                              <w:t>2</w:t>
                            </w:r>
                            <w:r w:rsidRPr="00F938C0">
                              <w:rPr>
                                <w:sz w:val="20"/>
                                <w:szCs w:val="20"/>
                              </w:rPr>
                              <w:t xml:space="preserve"> </w:t>
                            </w:r>
                            <w:r w:rsidRPr="00F938C0">
                              <w:rPr>
                                <w:i/>
                                <w:sz w:val="20"/>
                                <w:szCs w:val="20"/>
                              </w:rPr>
                              <w:t>within</w:t>
                            </w:r>
                            <w:r w:rsidRPr="00F938C0">
                              <w:rPr>
                                <w:sz w:val="20"/>
                                <w:szCs w:val="20"/>
                              </w:rPr>
                              <w:t xml:space="preserve"> t </w:t>
                            </w:r>
                            <w:r w:rsidRPr="00F938C0">
                              <w:rPr>
                                <w:i/>
                                <w:sz w:val="20"/>
                                <w:szCs w:val="20"/>
                              </w:rPr>
                              <w:t>msec.</w:t>
                            </w:r>
                          </w:p>
                        </w:tc>
                      </w:tr>
                      <w:tr w:rsidR="00F938C0" w:rsidRPr="00414D7B" w:rsidTr="00F938C0">
                        <w:tc>
                          <w:tcPr>
                            <w:tcW w:w="2627" w:type="dxa"/>
                            <w:tcBorders>
                              <w:left w:val="nil"/>
                            </w:tcBorders>
                            <w:vAlign w:val="center"/>
                          </w:tcPr>
                          <w:p w:rsidR="00F938C0" w:rsidRPr="00F938C0" w:rsidRDefault="00F938C0" w:rsidP="00CA73EF">
                            <w:pPr>
                              <w:jc w:val="center"/>
                              <w:rPr>
                                <w:i/>
                                <w:sz w:val="20"/>
                                <w:szCs w:val="20"/>
                              </w:rPr>
                            </w:pPr>
                            <w:r w:rsidRPr="00F938C0">
                              <w:rPr>
                                <w:i/>
                                <w:sz w:val="20"/>
                                <w:szCs w:val="20"/>
                              </w:rPr>
                              <w:t xml:space="preserve">OVERLAPS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w:t>
                            </w:r>
                          </w:p>
                        </w:tc>
                        <w:tc>
                          <w:tcPr>
                            <w:tcW w:w="4177" w:type="dxa"/>
                            <w:tcBorders>
                              <w:right w:val="nil"/>
                            </w:tcBorders>
                            <w:vAlign w:val="center"/>
                          </w:tcPr>
                          <w:p w:rsidR="00F938C0" w:rsidRPr="00F938C0" w:rsidRDefault="00F938C0" w:rsidP="00CA73EF">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overlaps with</w:t>
                            </w:r>
                            <w:r w:rsidRPr="00F938C0">
                              <w:rPr>
                                <w:sz w:val="20"/>
                                <w:szCs w:val="20"/>
                              </w:rPr>
                              <w:t xml:space="preserve"> L</w:t>
                            </w:r>
                            <w:r w:rsidRPr="00F938C0">
                              <w:rPr>
                                <w:sz w:val="20"/>
                                <w:szCs w:val="20"/>
                                <w:vertAlign w:val="subscript"/>
                              </w:rPr>
                              <w:t>2</w:t>
                            </w:r>
                          </w:p>
                        </w:tc>
                      </w:tr>
                      <w:tr w:rsidR="00F938C0" w:rsidRPr="00414D7B" w:rsidTr="00F938C0">
                        <w:tc>
                          <w:tcPr>
                            <w:tcW w:w="2627" w:type="dxa"/>
                            <w:tcBorders>
                              <w:left w:val="nil"/>
                            </w:tcBorders>
                            <w:vAlign w:val="center"/>
                          </w:tcPr>
                          <w:p w:rsidR="00F938C0" w:rsidRPr="00F938C0" w:rsidRDefault="00F938C0" w:rsidP="00CA73EF">
                            <w:pPr>
                              <w:jc w:val="center"/>
                              <w:rPr>
                                <w:i/>
                                <w:sz w:val="20"/>
                                <w:szCs w:val="20"/>
                              </w:rPr>
                            </w:pPr>
                            <w:r w:rsidRPr="00F938C0">
                              <w:rPr>
                                <w:i/>
                                <w:sz w:val="20"/>
                                <w:szCs w:val="20"/>
                              </w:rPr>
                              <w:t xml:space="preserve">DURING </w:t>
                            </w:r>
                            <w:r w:rsidRPr="00F938C0">
                              <w:rPr>
                                <w:sz w:val="20"/>
                                <w:szCs w:val="20"/>
                              </w:rPr>
                              <w:t>(L</w:t>
                            </w:r>
                            <w:r w:rsidRPr="00F938C0">
                              <w:rPr>
                                <w:sz w:val="20"/>
                                <w:szCs w:val="20"/>
                                <w:vertAlign w:val="subscript"/>
                              </w:rPr>
                              <w:t>1</w:t>
                            </w:r>
                            <w:r w:rsidRPr="00F938C0">
                              <w:rPr>
                                <w:sz w:val="20"/>
                                <w:szCs w:val="20"/>
                              </w:rPr>
                              <w:t>, L</w:t>
                            </w:r>
                            <w:r w:rsidRPr="00F938C0">
                              <w:rPr>
                                <w:sz w:val="20"/>
                                <w:szCs w:val="20"/>
                                <w:vertAlign w:val="subscript"/>
                              </w:rPr>
                              <w:t>2</w:t>
                            </w:r>
                            <w:r w:rsidRPr="00F938C0">
                              <w:rPr>
                                <w:sz w:val="20"/>
                                <w:szCs w:val="20"/>
                              </w:rPr>
                              <w:t>)</w:t>
                            </w:r>
                          </w:p>
                        </w:tc>
                        <w:tc>
                          <w:tcPr>
                            <w:tcW w:w="4177" w:type="dxa"/>
                            <w:tcBorders>
                              <w:right w:val="nil"/>
                            </w:tcBorders>
                            <w:vAlign w:val="center"/>
                          </w:tcPr>
                          <w:p w:rsidR="00F938C0" w:rsidRPr="00F938C0" w:rsidRDefault="00F938C0" w:rsidP="00CA73EF">
                            <w:pPr>
                              <w:jc w:val="center"/>
                              <w:rPr>
                                <w:sz w:val="20"/>
                                <w:szCs w:val="20"/>
                              </w:rPr>
                            </w:pPr>
                            <w:r w:rsidRPr="00F938C0">
                              <w:rPr>
                                <w:sz w:val="20"/>
                                <w:szCs w:val="20"/>
                              </w:rPr>
                              <w:t>L</w:t>
                            </w:r>
                            <w:r w:rsidRPr="00F938C0">
                              <w:rPr>
                                <w:sz w:val="20"/>
                                <w:szCs w:val="20"/>
                                <w:vertAlign w:val="subscript"/>
                              </w:rPr>
                              <w:t>1</w:t>
                            </w:r>
                            <w:r w:rsidRPr="00F938C0">
                              <w:rPr>
                                <w:sz w:val="20"/>
                                <w:szCs w:val="20"/>
                              </w:rPr>
                              <w:t xml:space="preserve"> </w:t>
                            </w:r>
                            <w:r w:rsidRPr="00F938C0">
                              <w:rPr>
                                <w:i/>
                                <w:sz w:val="20"/>
                                <w:szCs w:val="20"/>
                              </w:rPr>
                              <w:t>during</w:t>
                            </w:r>
                            <w:r w:rsidRPr="00F938C0">
                              <w:rPr>
                                <w:sz w:val="20"/>
                                <w:szCs w:val="20"/>
                              </w:rPr>
                              <w:t xml:space="preserve"> L</w:t>
                            </w:r>
                            <w:r w:rsidRPr="00F938C0">
                              <w:rPr>
                                <w:sz w:val="20"/>
                                <w:szCs w:val="20"/>
                                <w:vertAlign w:val="subscript"/>
                              </w:rPr>
                              <w:t>2</w:t>
                            </w:r>
                          </w:p>
                        </w:tc>
                      </w:tr>
                    </w:tbl>
                    <w:p w:rsidR="00F938C0" w:rsidRPr="00414D7B" w:rsidRDefault="00F938C0" w:rsidP="00F938C0">
                      <w:pPr>
                        <w:jc w:val="center"/>
                      </w:pPr>
                    </w:p>
                  </w:txbxContent>
                </v:textbox>
                <w10:wrap type="square" anchorx="margin"/>
              </v:shape>
            </w:pict>
          </mc:Fallback>
        </mc:AlternateContent>
      </w:r>
      <w:r w:rsidR="00A26C48" w:rsidRPr="00EE2AC7">
        <w:rPr>
          <w:rFonts w:hint="eastAsia"/>
        </w:rPr>
        <w:t>第一引数</w:t>
      </w:r>
      <w:r w:rsidR="00A26C48" w:rsidRPr="00EE2AC7">
        <w:rPr>
          <w:i/>
        </w:rPr>
        <w:t>Act</w:t>
      </w:r>
      <w:r w:rsidR="00A26C48">
        <w:rPr>
          <w:i/>
        </w:rPr>
        <w:t xml:space="preserve"> </w:t>
      </w:r>
      <w:r w:rsidR="00A26C48" w:rsidRPr="00753B69">
        <w:t>(</w:t>
      </w:r>
      <w:r w:rsidR="00A26C48" w:rsidRPr="00753B69">
        <w:rPr>
          <w:i/>
        </w:rPr>
        <w:t>tro</w:t>
      </w:r>
      <w:r w:rsidR="00A26C48" w:rsidRPr="00753B69">
        <w:rPr>
          <w:i/>
          <w:vertAlign w:val="subscript"/>
        </w:rPr>
        <w:t>i</w:t>
      </w:r>
      <w:r w:rsidR="00A26C48" w:rsidRPr="00753B69">
        <w:t>)</w:t>
      </w:r>
      <w:r w:rsidR="00A26C48" w:rsidRPr="00EE2AC7">
        <w:rPr>
          <w:rFonts w:hint="eastAsia"/>
        </w:rPr>
        <w:t>は，上述の前処理で</w:t>
      </w:r>
      <w:r w:rsidR="00A26C48">
        <w:rPr>
          <w:rFonts w:hint="eastAsia"/>
        </w:rPr>
        <w:t>思考表現オブジェクト（</w:t>
      </w:r>
      <w:r w:rsidR="00A26C48" w:rsidRPr="00753B69">
        <w:rPr>
          <w:i/>
        </w:rPr>
        <w:t>tro</w:t>
      </w:r>
      <w:r w:rsidR="00A26C48" w:rsidRPr="00753B69">
        <w:rPr>
          <w:i/>
          <w:vertAlign w:val="subscript"/>
        </w:rPr>
        <w:t>i</w:t>
      </w:r>
      <w:r w:rsidR="00A26C48">
        <w:rPr>
          <w:rFonts w:hint="eastAsia"/>
        </w:rPr>
        <w:t>）に付与される</w:t>
      </w:r>
      <w:r w:rsidR="00A26C48" w:rsidRPr="00EE2AC7">
        <w:rPr>
          <w:rFonts w:hint="eastAsia"/>
        </w:rPr>
        <w:t>視線行為，思考操作行為</w:t>
      </w:r>
      <w:r w:rsidR="00A26C48">
        <w:rPr>
          <w:rFonts w:hint="eastAsia"/>
        </w:rPr>
        <w:t>を表す</w:t>
      </w:r>
      <w:r w:rsidR="00A26C48" w:rsidRPr="00EE2AC7">
        <w:rPr>
          <w:rFonts w:hint="eastAsia"/>
        </w:rPr>
        <w:t>．視線行為の要素として</w:t>
      </w:r>
      <w:r w:rsidR="00A26C48">
        <w:rPr>
          <w:rFonts w:hint="eastAsia"/>
        </w:rPr>
        <w:t>は</w:t>
      </w:r>
      <w:r w:rsidR="00A26C48" w:rsidRPr="00EE2AC7">
        <w:rPr>
          <w:rFonts w:hint="eastAsia"/>
          <w:i/>
        </w:rPr>
        <w:t xml:space="preserve">GazeAt </w:t>
      </w:r>
      <w:r w:rsidR="00A26C48" w:rsidRPr="00EE2AC7">
        <w:rPr>
          <w:rFonts w:hint="eastAsia"/>
        </w:rPr>
        <w:t>(</w:t>
      </w:r>
      <w:r w:rsidR="00A26C48" w:rsidRPr="00EE2AC7">
        <w:rPr>
          <w:rFonts w:hint="eastAsia"/>
          <w:i/>
        </w:rPr>
        <w:t>tro</w:t>
      </w:r>
      <w:r w:rsidR="00A26C48" w:rsidRPr="00EE2AC7">
        <w:rPr>
          <w:i/>
          <w:vertAlign w:val="subscript"/>
        </w:rPr>
        <w:t>i</w:t>
      </w:r>
      <w:r w:rsidR="00A26C48" w:rsidRPr="00EE2AC7">
        <w:rPr>
          <w:rFonts w:hint="eastAsia"/>
        </w:rPr>
        <w:t>)</w:t>
      </w:r>
      <w:r w:rsidR="00C815BE" w:rsidRPr="00C815BE">
        <w:rPr>
          <w:noProof/>
        </w:rPr>
        <w:t xml:space="preserve"> </w:t>
      </w:r>
      <w:r w:rsidR="00A26C48" w:rsidRPr="00EE2AC7">
        <w:rPr>
          <w:rFonts w:hint="eastAsia"/>
        </w:rPr>
        <w:t>，思考操作行為の要素として</w:t>
      </w:r>
      <w:r w:rsidR="00A26C48">
        <w:rPr>
          <w:rFonts w:hint="eastAsia"/>
        </w:rPr>
        <w:t>は</w:t>
      </w:r>
      <w:r w:rsidR="00A26C48" w:rsidRPr="00EE2AC7">
        <w:rPr>
          <w:rFonts w:hint="eastAsia"/>
          <w:i/>
        </w:rPr>
        <w:t xml:space="preserve">Keypress </w:t>
      </w:r>
      <w:r w:rsidR="00A26C48" w:rsidRPr="00EE2AC7">
        <w:rPr>
          <w:rFonts w:hint="eastAsia"/>
        </w:rPr>
        <w:t>(</w:t>
      </w:r>
      <w:r w:rsidR="00A26C48" w:rsidRPr="00EE2AC7">
        <w:rPr>
          <w:rFonts w:hint="eastAsia"/>
          <w:i/>
        </w:rPr>
        <w:t>tro</w:t>
      </w:r>
      <w:r w:rsidR="00A26C48" w:rsidRPr="00EE2AC7">
        <w:rPr>
          <w:i/>
          <w:vertAlign w:val="subscript"/>
        </w:rPr>
        <w:t>i</w:t>
      </w:r>
      <w:r w:rsidR="00A26C48" w:rsidRPr="00EE2AC7">
        <w:rPr>
          <w:rFonts w:hint="eastAsia"/>
        </w:rPr>
        <w:t xml:space="preserve">), </w:t>
      </w:r>
      <w:r w:rsidR="00A26C48" w:rsidRPr="00EE2AC7">
        <w:rPr>
          <w:rFonts w:hint="eastAsia"/>
          <w:i/>
        </w:rPr>
        <w:t xml:space="preserve">Delete </w:t>
      </w:r>
      <w:r w:rsidR="00A26C48" w:rsidRPr="00EE2AC7">
        <w:rPr>
          <w:rFonts w:hint="eastAsia"/>
        </w:rPr>
        <w:t>(</w:t>
      </w:r>
      <w:r w:rsidR="00A26C48" w:rsidRPr="00EE2AC7">
        <w:rPr>
          <w:rFonts w:hint="eastAsia"/>
          <w:i/>
        </w:rPr>
        <w:t>tro</w:t>
      </w:r>
      <w:r w:rsidR="00A26C48" w:rsidRPr="00EE2AC7">
        <w:rPr>
          <w:i/>
          <w:vertAlign w:val="subscript"/>
        </w:rPr>
        <w:t>i</w:t>
      </w:r>
      <w:r w:rsidR="00A26C48" w:rsidRPr="00EE2AC7">
        <w:rPr>
          <w:rFonts w:hint="eastAsia"/>
        </w:rPr>
        <w:t xml:space="preserve">), </w:t>
      </w:r>
      <w:r w:rsidR="00A26C48" w:rsidRPr="00EE2AC7">
        <w:rPr>
          <w:rFonts w:hint="eastAsia"/>
          <w:i/>
        </w:rPr>
        <w:t xml:space="preserve">Press </w:t>
      </w:r>
      <w:r w:rsidR="00A26C48" w:rsidRPr="00EE2AC7">
        <w:rPr>
          <w:rFonts w:hint="eastAsia"/>
        </w:rPr>
        <w:t>(</w:t>
      </w:r>
      <w:r w:rsidR="00A26C48" w:rsidRPr="00EE2AC7">
        <w:rPr>
          <w:rFonts w:hint="eastAsia"/>
          <w:i/>
        </w:rPr>
        <w:t>tro</w:t>
      </w:r>
      <w:r w:rsidR="00A26C48" w:rsidRPr="00EE2AC7">
        <w:rPr>
          <w:i/>
          <w:vertAlign w:val="subscript"/>
        </w:rPr>
        <w:t>i</w:t>
      </w:r>
      <w:r w:rsidR="00A26C48" w:rsidRPr="00EE2AC7">
        <w:rPr>
          <w:rFonts w:hint="eastAsia"/>
        </w:rPr>
        <w:t>)等</w:t>
      </w:r>
      <w:r w:rsidR="00A26C48">
        <w:rPr>
          <w:rFonts w:hint="eastAsia"/>
        </w:rPr>
        <w:t>がある</w:t>
      </w:r>
      <w:r w:rsidR="00A26C48" w:rsidRPr="00EE2AC7">
        <w:rPr>
          <w:rFonts w:hint="eastAsia"/>
        </w:rPr>
        <w:t>．ここで同定された時区間に，第二引数の低次レベルの解釈</w:t>
      </w:r>
      <w:r w:rsidR="00A26C48" w:rsidRPr="00EE2AC7">
        <w:rPr>
          <w:i/>
        </w:rPr>
        <w:t>PI_L</w:t>
      </w:r>
      <w:r w:rsidR="00A26C48" w:rsidRPr="009D6FAC">
        <w:rPr>
          <w:rFonts w:hint="eastAsia"/>
        </w:rPr>
        <w:t>を</w:t>
      </w:r>
      <w:r w:rsidR="00A26C48" w:rsidRPr="00EE2AC7">
        <w:rPr>
          <w:rFonts w:hint="eastAsia"/>
        </w:rPr>
        <w:t>与</w:t>
      </w:r>
      <w:r w:rsidR="00A26C48">
        <w:rPr>
          <w:rFonts w:hint="eastAsia"/>
        </w:rPr>
        <w:t>え</w:t>
      </w:r>
      <w:r w:rsidR="00A26C48" w:rsidRPr="00EE2AC7">
        <w:rPr>
          <w:rFonts w:hint="eastAsia"/>
        </w:rPr>
        <w:t>ることを表す．</w:t>
      </w:r>
    </w:p>
    <w:p w:rsidR="0068479C" w:rsidRDefault="0068479C" w:rsidP="0097448B"/>
    <w:p w:rsidR="0068479C" w:rsidRPr="0006666E" w:rsidRDefault="00A26C48" w:rsidP="0097448B">
      <w:pPr>
        <w:rPr>
          <w:rFonts w:ascii="ＭＳ ゴシック" w:eastAsia="ＭＳ ゴシック" w:hAnsi="ＭＳ ゴシック"/>
        </w:rPr>
      </w:pPr>
      <w:r w:rsidRPr="0006666E">
        <w:rPr>
          <w:rFonts w:ascii="ＭＳ ゴシック" w:eastAsia="ＭＳ ゴシック" w:hAnsi="ＭＳ ゴシック"/>
        </w:rPr>
        <w:t>4.2　高次レベルの解釈表現記法</w:t>
      </w:r>
    </w:p>
    <w:p w:rsidR="0068479C" w:rsidRDefault="00A26C48" w:rsidP="0097448B">
      <w:r>
        <w:rPr>
          <w:rFonts w:hint="eastAsia"/>
        </w:rPr>
        <w:t xml:space="preserve">　</w:t>
      </w:r>
      <w:r w:rsidRPr="00EE2AC7">
        <w:rPr>
          <w:rFonts w:hint="eastAsia"/>
        </w:rPr>
        <w:t>低次レベルの解釈を，</w:t>
      </w:r>
      <w:r>
        <w:rPr>
          <w:rFonts w:hint="eastAsia"/>
        </w:rPr>
        <w:t>ベース思考レベル，</w:t>
      </w:r>
      <w:r w:rsidRPr="00EE2AC7">
        <w:rPr>
          <w:rFonts w:hint="eastAsia"/>
        </w:rPr>
        <w:t>メタ思考レベルの解釈</w:t>
      </w:r>
      <w:r w:rsidRPr="00EE2AC7">
        <w:rPr>
          <w:i/>
        </w:rPr>
        <w:t>HI_L</w:t>
      </w:r>
      <w:r w:rsidRPr="00EE2AC7">
        <w:rPr>
          <w:rFonts w:hint="eastAsia"/>
        </w:rPr>
        <w:t>として持ち上げるための解釈表現</w:t>
      </w:r>
      <w:r>
        <w:rPr>
          <w:rFonts w:hint="eastAsia"/>
        </w:rPr>
        <w:t>記法</w:t>
      </w:r>
      <w:r w:rsidRPr="00EE2AC7">
        <w:rPr>
          <w:rFonts w:hint="eastAsia"/>
        </w:rPr>
        <w:t>を(2)に示す．</w:t>
      </w:r>
    </w:p>
    <w:p w:rsidR="00A26C48" w:rsidRPr="00A26C48" w:rsidRDefault="00A26C48" w:rsidP="00A26C48">
      <w:pPr>
        <w:pStyle w:val="ICCENormalText1stparagraph"/>
        <w:rPr>
          <w:rFonts w:eastAsia="ＭＳ 明朝"/>
          <w:lang w:eastAsia="ja-JP"/>
        </w:rPr>
      </w:pPr>
      <m:oMathPara>
        <m:oMath>
          <m:sSub>
            <m:sSubPr>
              <m:ctrlPr>
                <w:rPr>
                  <w:rFonts w:ascii="Cambria Math" w:hAnsi="Cambria Math"/>
                  <w:i/>
                  <w:lang w:eastAsia="ja-JP"/>
                </w:rPr>
              </m:ctrlPr>
            </m:sSubPr>
            <m:e>
              <m:r>
                <w:rPr>
                  <w:rFonts w:ascii="Cambria Math" w:hAnsi="Cambria Math"/>
                  <w:lang w:eastAsia="ja-JP"/>
                </w:rPr>
                <m:t>hr</m:t>
              </m:r>
            </m:e>
            <m:sub>
              <m:r>
                <w:rPr>
                  <w:rFonts w:ascii="Cambria Math" w:hAnsi="Cambria Math"/>
                  <w:lang w:eastAsia="ja-JP"/>
                </w:rPr>
                <m:t>x</m:t>
              </m:r>
            </m:sub>
          </m:sSub>
          <m:d>
            <m:dPr>
              <m:ctrlPr>
                <w:rPr>
                  <w:rFonts w:ascii="Cambria Math" w:hAnsi="Cambria Math"/>
                  <w:i/>
                  <w:lang w:eastAsia="ja-JP"/>
                </w:rPr>
              </m:ctrlPr>
            </m:dPr>
            <m:e>
              <m:r>
                <w:rPr>
                  <w:rFonts w:ascii="Cambria Math" w:hAnsi="Cambria Math"/>
                  <w:lang w:eastAsia="ja-JP"/>
                </w:rPr>
                <m:t>Cond,HI_L</m:t>
              </m:r>
            </m:e>
          </m:d>
          <m:r>
            <w:rPr>
              <w:rFonts w:ascii="Cambria Math" w:hAnsi="Cambria Math"/>
              <w:lang w:eastAsia="ja-JP"/>
            </w:rPr>
            <m:t xml:space="preserve">    </m:t>
          </m:r>
          <m:d>
            <m:dPr>
              <m:ctrlPr>
                <w:rPr>
                  <w:rFonts w:ascii="Cambria Math" w:hAnsi="Cambria Math"/>
                  <w:i/>
                  <w:lang w:eastAsia="ja-JP"/>
                </w:rPr>
              </m:ctrlPr>
            </m:dPr>
            <m:e>
              <m:r>
                <w:rPr>
                  <w:rFonts w:ascii="Cambria Math" w:hAnsi="Cambria Math"/>
                  <w:lang w:eastAsia="ja-JP"/>
                </w:rPr>
                <m:t>2</m:t>
              </m:r>
            </m:e>
          </m:d>
        </m:oMath>
      </m:oMathPara>
    </w:p>
    <w:p w:rsidR="0068479C" w:rsidRDefault="00A26C48" w:rsidP="0097448B">
      <w:r w:rsidRPr="00EE2AC7">
        <w:rPr>
          <w:rFonts w:hint="eastAsia"/>
        </w:rPr>
        <w:t>第一引数</w:t>
      </w:r>
      <w:r w:rsidRPr="00EE2AC7">
        <w:rPr>
          <w:rFonts w:hint="eastAsia"/>
          <w:i/>
        </w:rPr>
        <w:t>C</w:t>
      </w:r>
      <w:r w:rsidRPr="00EE2AC7">
        <w:rPr>
          <w:i/>
        </w:rPr>
        <w:t>ond</w:t>
      </w:r>
      <w:r w:rsidRPr="00EE2AC7">
        <w:rPr>
          <w:rFonts w:hint="eastAsia"/>
        </w:rPr>
        <w:t>は，マッチング条件を表す関数群から構成される</w:t>
      </w:r>
      <w:r>
        <w:rPr>
          <w:rStyle w:val="a9"/>
        </w:rPr>
        <w:footnoteReference w:id="2"/>
      </w:r>
      <w:r w:rsidRPr="00EE2AC7">
        <w:rPr>
          <w:rFonts w:hint="eastAsia"/>
        </w:rPr>
        <w:t>．表2に引数に指定できる関数を示す．引数</w:t>
      </w:r>
      <w:r w:rsidRPr="00EE2AC7">
        <w:rPr>
          <w:i/>
        </w:rPr>
        <w:t>L</w:t>
      </w:r>
      <w:r w:rsidRPr="00EE2AC7">
        <w:rPr>
          <w:i/>
          <w:vertAlign w:val="subscript"/>
        </w:rPr>
        <w:t>1</w:t>
      </w:r>
      <w:r w:rsidRPr="00EE2AC7">
        <w:rPr>
          <w:rFonts w:hint="eastAsia"/>
        </w:rPr>
        <w:t>,</w:t>
      </w:r>
      <w:r w:rsidRPr="00EE2AC7">
        <w:rPr>
          <w:i/>
        </w:rPr>
        <w:t xml:space="preserve"> L</w:t>
      </w:r>
      <w:r w:rsidRPr="00EE2AC7">
        <w:rPr>
          <w:i/>
          <w:vertAlign w:val="subscript"/>
        </w:rPr>
        <w:t>2</w:t>
      </w:r>
      <w:r w:rsidRPr="00EE2AC7">
        <w:rPr>
          <w:rFonts w:hint="eastAsia"/>
        </w:rPr>
        <w:t>は低次／高次解釈</w:t>
      </w:r>
      <w:r>
        <w:rPr>
          <w:rFonts w:hint="eastAsia"/>
        </w:rPr>
        <w:t>により解釈</w:t>
      </w:r>
      <w:r w:rsidRPr="00EE2AC7">
        <w:rPr>
          <w:rFonts w:hint="eastAsia"/>
        </w:rPr>
        <w:t>が付与され</w:t>
      </w:r>
      <w:r>
        <w:rPr>
          <w:rFonts w:hint="eastAsia"/>
        </w:rPr>
        <w:t>た</w:t>
      </w:r>
      <w:r w:rsidRPr="00EE2AC7">
        <w:rPr>
          <w:rFonts w:hint="eastAsia"/>
        </w:rPr>
        <w:t>データ区間を表す．</w:t>
      </w:r>
      <w:r w:rsidRPr="00EE2AC7">
        <w:rPr>
          <w:rFonts w:hint="eastAsia"/>
          <w:i/>
        </w:rPr>
        <w:t xml:space="preserve">ALL </w:t>
      </w:r>
      <w:r w:rsidRPr="00EE2AC7">
        <w:rPr>
          <w:rFonts w:hint="eastAsia"/>
        </w:rPr>
        <w:t>(</w:t>
      </w:r>
      <w:r w:rsidRPr="00EE2AC7">
        <w:t>L</w:t>
      </w:r>
      <w:r w:rsidRPr="00EE2AC7">
        <w:rPr>
          <w:vertAlign w:val="subscript"/>
        </w:rPr>
        <w:t>1</w:t>
      </w:r>
      <w:r w:rsidRPr="00EE2AC7">
        <w:rPr>
          <w:rFonts w:hint="eastAsia"/>
        </w:rPr>
        <w:t>)は全ての</w:t>
      </w:r>
      <w:r w:rsidRPr="00EE2AC7">
        <w:t>L</w:t>
      </w:r>
      <w:r w:rsidRPr="00EE2AC7">
        <w:rPr>
          <w:vertAlign w:val="subscript"/>
        </w:rPr>
        <w:t>1</w:t>
      </w:r>
      <w:r w:rsidRPr="00EE2AC7">
        <w:rPr>
          <w:rFonts w:hint="eastAsia"/>
        </w:rPr>
        <w:t>を，</w:t>
      </w:r>
      <w:r w:rsidRPr="00EE2AC7">
        <w:rPr>
          <w:rFonts w:hint="eastAsia"/>
          <w:i/>
        </w:rPr>
        <w:t xml:space="preserve">BEFORE </w:t>
      </w:r>
      <w:r w:rsidRPr="00EE2AC7">
        <w:rPr>
          <w:rFonts w:hint="eastAsia"/>
        </w:rPr>
        <w:t>(</w:t>
      </w:r>
      <w:r w:rsidRPr="00EE2AC7">
        <w:t>L</w:t>
      </w:r>
      <w:r w:rsidRPr="00EE2AC7">
        <w:rPr>
          <w:vertAlign w:val="subscript"/>
        </w:rPr>
        <w:t>1</w:t>
      </w:r>
      <w:r w:rsidRPr="00EE2AC7">
        <w:rPr>
          <w:rFonts w:hint="eastAsia"/>
        </w:rPr>
        <w:t xml:space="preserve">, </w:t>
      </w:r>
      <w:r w:rsidRPr="00EE2AC7">
        <w:t>L</w:t>
      </w:r>
      <w:r w:rsidRPr="00EE2AC7">
        <w:rPr>
          <w:vertAlign w:val="subscript"/>
        </w:rPr>
        <w:t>2</w:t>
      </w:r>
      <w:r w:rsidRPr="00EE2AC7">
        <w:rPr>
          <w:rFonts w:hint="eastAsia"/>
        </w:rPr>
        <w:t xml:space="preserve">, </w:t>
      </w:r>
      <w:r w:rsidRPr="00EE2AC7">
        <w:t>t</w:t>
      </w:r>
      <w:r w:rsidRPr="00EE2AC7">
        <w:rPr>
          <w:rFonts w:hint="eastAsia"/>
        </w:rPr>
        <w:t>)は</w:t>
      </w:r>
      <w:r w:rsidRPr="00EE2AC7">
        <w:t>t</w:t>
      </w:r>
      <w:r w:rsidRPr="00EE2AC7">
        <w:rPr>
          <w:rFonts w:hint="eastAsia"/>
        </w:rPr>
        <w:t>ミリ秒以内で</w:t>
      </w:r>
      <w:r w:rsidRPr="00EE2AC7">
        <w:t>L</w:t>
      </w:r>
      <w:r w:rsidRPr="00EE2AC7">
        <w:rPr>
          <w:vertAlign w:val="subscript"/>
        </w:rPr>
        <w:t>2</w:t>
      </w:r>
      <w:r w:rsidRPr="00EE2AC7">
        <w:rPr>
          <w:rFonts w:hint="eastAsia"/>
        </w:rPr>
        <w:t>より前に</w:t>
      </w:r>
      <w:r w:rsidRPr="00EE2AC7">
        <w:t>L</w:t>
      </w:r>
      <w:r w:rsidRPr="00EE2AC7">
        <w:rPr>
          <w:vertAlign w:val="subscript"/>
        </w:rPr>
        <w:t>1</w:t>
      </w:r>
      <w:r w:rsidRPr="00EE2AC7">
        <w:rPr>
          <w:rFonts w:hint="eastAsia"/>
        </w:rPr>
        <w:t>が現れているデータ区間を表現する．</w:t>
      </w:r>
      <w:r w:rsidRPr="00EE2AC7">
        <w:rPr>
          <w:rFonts w:hint="eastAsia"/>
          <w:i/>
        </w:rPr>
        <w:t xml:space="preserve">OVERLAPS </w:t>
      </w:r>
      <w:r w:rsidRPr="00EE2AC7">
        <w:rPr>
          <w:rFonts w:hint="eastAsia"/>
        </w:rPr>
        <w:t>(</w:t>
      </w:r>
      <w:r w:rsidRPr="00EE2AC7">
        <w:t>L</w:t>
      </w:r>
      <w:r w:rsidRPr="00EE2AC7">
        <w:rPr>
          <w:vertAlign w:val="subscript"/>
        </w:rPr>
        <w:t>1</w:t>
      </w:r>
      <w:r w:rsidRPr="00EE2AC7">
        <w:rPr>
          <w:rFonts w:hint="eastAsia"/>
        </w:rPr>
        <w:t xml:space="preserve">, </w:t>
      </w:r>
      <w:r w:rsidRPr="00EE2AC7">
        <w:t>L</w:t>
      </w:r>
      <w:r w:rsidRPr="00EE2AC7">
        <w:rPr>
          <w:vertAlign w:val="subscript"/>
        </w:rPr>
        <w:t>2</w:t>
      </w:r>
      <w:r w:rsidRPr="00EE2AC7">
        <w:rPr>
          <w:rFonts w:hint="eastAsia"/>
        </w:rPr>
        <w:t>)は</w:t>
      </w:r>
      <w:r w:rsidRPr="00EE2AC7">
        <w:t>L</w:t>
      </w:r>
      <w:r w:rsidRPr="00EE2AC7">
        <w:rPr>
          <w:vertAlign w:val="subscript"/>
        </w:rPr>
        <w:t>1</w:t>
      </w:r>
      <w:r w:rsidRPr="00EE2AC7">
        <w:rPr>
          <w:rFonts w:hint="eastAsia"/>
        </w:rPr>
        <w:t xml:space="preserve">, </w:t>
      </w:r>
      <w:r w:rsidRPr="00EE2AC7">
        <w:t>L</w:t>
      </w:r>
      <w:r w:rsidRPr="00EE2AC7">
        <w:rPr>
          <w:vertAlign w:val="subscript"/>
        </w:rPr>
        <w:t>2</w:t>
      </w:r>
      <w:r w:rsidRPr="00EE2AC7">
        <w:rPr>
          <w:rFonts w:hint="eastAsia"/>
        </w:rPr>
        <w:t>の重畳区間を，</w:t>
      </w:r>
      <w:r w:rsidRPr="00EE2AC7">
        <w:rPr>
          <w:rFonts w:hint="eastAsia"/>
          <w:i/>
        </w:rPr>
        <w:t xml:space="preserve">DURING </w:t>
      </w:r>
      <w:r w:rsidRPr="00EE2AC7">
        <w:rPr>
          <w:rFonts w:hint="eastAsia"/>
        </w:rPr>
        <w:t>(</w:t>
      </w:r>
      <w:r w:rsidRPr="00EE2AC7">
        <w:t>L</w:t>
      </w:r>
      <w:r w:rsidRPr="00EE2AC7">
        <w:rPr>
          <w:vertAlign w:val="subscript"/>
        </w:rPr>
        <w:t>1</w:t>
      </w:r>
      <w:r w:rsidRPr="00EE2AC7">
        <w:rPr>
          <w:rFonts w:hint="eastAsia"/>
        </w:rPr>
        <w:t xml:space="preserve">, </w:t>
      </w:r>
      <w:r w:rsidRPr="00EE2AC7">
        <w:t>L</w:t>
      </w:r>
      <w:r w:rsidRPr="00EE2AC7">
        <w:rPr>
          <w:vertAlign w:val="subscript"/>
        </w:rPr>
        <w:t>2</w:t>
      </w:r>
      <w:r w:rsidRPr="00EE2AC7">
        <w:rPr>
          <w:rFonts w:hint="eastAsia"/>
        </w:rPr>
        <w:t>)は</w:t>
      </w:r>
      <w:r w:rsidRPr="00EE2AC7">
        <w:t>L</w:t>
      </w:r>
      <w:r w:rsidRPr="00EE2AC7">
        <w:rPr>
          <w:vertAlign w:val="subscript"/>
        </w:rPr>
        <w:t>2</w:t>
      </w:r>
      <w:r w:rsidRPr="00EE2AC7">
        <w:rPr>
          <w:rFonts w:hint="eastAsia"/>
        </w:rPr>
        <w:t>の区間に</w:t>
      </w:r>
      <w:r w:rsidRPr="00EE2AC7">
        <w:t>L</w:t>
      </w:r>
      <w:r w:rsidRPr="00EE2AC7">
        <w:rPr>
          <w:vertAlign w:val="subscript"/>
        </w:rPr>
        <w:t>1</w:t>
      </w:r>
      <w:r w:rsidRPr="00EE2AC7">
        <w:rPr>
          <w:rFonts w:hint="eastAsia"/>
        </w:rPr>
        <w:t>が包含されている区間を表し，これらの区間に</w:t>
      </w:r>
      <w:r>
        <w:rPr>
          <w:rFonts w:hint="eastAsia"/>
        </w:rPr>
        <w:t>対して</w:t>
      </w:r>
      <w:r w:rsidRPr="00EE2AC7">
        <w:rPr>
          <w:rFonts w:hint="eastAsia"/>
        </w:rPr>
        <w:t>高次レベルの解釈</w:t>
      </w:r>
      <w:r w:rsidRPr="00EE2AC7">
        <w:rPr>
          <w:i/>
        </w:rPr>
        <w:t>HI_L</w:t>
      </w:r>
      <w:r>
        <w:rPr>
          <w:rFonts w:hint="eastAsia"/>
        </w:rPr>
        <w:t>を</w:t>
      </w:r>
      <w:r w:rsidRPr="00EE2AC7">
        <w:rPr>
          <w:rFonts w:hint="eastAsia"/>
        </w:rPr>
        <w:t>与</w:t>
      </w:r>
      <w:r>
        <w:rPr>
          <w:rFonts w:hint="eastAsia"/>
        </w:rPr>
        <w:t>え</w:t>
      </w:r>
      <w:r w:rsidRPr="00EE2AC7">
        <w:rPr>
          <w:rFonts w:hint="eastAsia"/>
        </w:rPr>
        <w:t>ることを表している．</w:t>
      </w:r>
    </w:p>
    <w:p w:rsidR="0068479C" w:rsidRDefault="00A26C48" w:rsidP="00A26C48">
      <w:pPr>
        <w:ind w:firstLineChars="100" w:firstLine="210"/>
      </w:pPr>
      <w:r w:rsidRPr="00A26C48">
        <w:rPr>
          <w:rFonts w:hint="eastAsia"/>
        </w:rPr>
        <w:t>低次／高次解釈表現の具体例と適用例については</w:t>
      </w:r>
      <w:r w:rsidRPr="00A26C48">
        <w:t>6.2節で述べる．</w:t>
      </w:r>
    </w:p>
    <w:p w:rsidR="0068479C" w:rsidRDefault="0068479C" w:rsidP="0097448B"/>
    <w:p w:rsidR="0068479C" w:rsidRPr="0006666E" w:rsidRDefault="004A7E81" w:rsidP="0097448B">
      <w:pPr>
        <w:rPr>
          <w:rFonts w:ascii="ＭＳ ゴシック" w:eastAsia="ＭＳ ゴシック" w:hAnsi="ＭＳ ゴシック"/>
        </w:rPr>
      </w:pPr>
      <w:r w:rsidRPr="0006666E">
        <w:rPr>
          <w:rFonts w:ascii="ＭＳ ゴシック" w:eastAsia="ＭＳ ゴシック" w:hAnsi="ＭＳ ゴシック"/>
        </w:rPr>
        <w:t>5．フレームワークに基づくシステム開発例</w:t>
      </w:r>
    </w:p>
    <w:p w:rsidR="0068479C" w:rsidRDefault="004A7E81" w:rsidP="0097448B">
      <w:r>
        <w:rPr>
          <w:rFonts w:hint="eastAsia"/>
        </w:rPr>
        <w:t xml:space="preserve">　</w:t>
      </w:r>
      <w:r>
        <w:rPr>
          <w:rFonts w:hint="eastAsia"/>
        </w:rPr>
        <w:t>本章では，メタ</w:t>
      </w:r>
      <w:r w:rsidRPr="00EE2AC7">
        <w:rPr>
          <w:rFonts w:hint="eastAsia"/>
        </w:rPr>
        <w:t>思考解釈フレームワークに則した思考外化アプリケーション，思考分析支援システムの実装例を示す．この作業は表1の</w:t>
      </w:r>
      <w:r>
        <w:rPr>
          <w:rFonts w:hint="eastAsia"/>
        </w:rPr>
        <w:t>フェーズ</w:t>
      </w:r>
      <w:r w:rsidRPr="00EE2AC7">
        <w:rPr>
          <w:rFonts w:hint="eastAsia"/>
        </w:rPr>
        <w:t>における設計・開発段階</w:t>
      </w:r>
      <w:r w:rsidRPr="00EE2AC7">
        <w:rPr>
          <w:rFonts w:ascii="ＭＳ ゴシック" w:eastAsia="ＭＳ ゴシック" w:hAnsi="ＭＳ ゴシック"/>
        </w:rPr>
        <w:t>(A)</w:t>
      </w:r>
      <w:r w:rsidRPr="00EE2AC7">
        <w:rPr>
          <w:rFonts w:hint="eastAsia"/>
        </w:rPr>
        <w:t>〜</w:t>
      </w:r>
      <w:r w:rsidRPr="00EE2AC7">
        <w:rPr>
          <w:rFonts w:ascii="ＭＳ ゴシック" w:eastAsia="ＭＳ ゴシック" w:hAnsi="ＭＳ ゴシック"/>
        </w:rPr>
        <w:t>(C)</w:t>
      </w:r>
      <w:r w:rsidRPr="00EE2AC7">
        <w:rPr>
          <w:rFonts w:hint="eastAsia"/>
        </w:rPr>
        <w:t>の実施に該当し，</w:t>
      </w:r>
      <w:r>
        <w:rPr>
          <w:rFonts w:hint="eastAsia"/>
        </w:rPr>
        <w:t>本システム開発においては，</w:t>
      </w:r>
      <w:r w:rsidRPr="00EE2AC7">
        <w:rPr>
          <w:rFonts w:hint="eastAsia"/>
        </w:rPr>
        <w:t>ステークホルダとしての分析者・システム開発者は著者らである．</w:t>
      </w:r>
      <w:r w:rsidRPr="00EE2AC7">
        <w:t>5.1</w:t>
      </w:r>
      <w:r w:rsidRPr="00EE2AC7">
        <w:rPr>
          <w:rFonts w:hint="eastAsia"/>
        </w:rPr>
        <w:t>節では，本研究が対象とする思考プロセス「信念対立思考」について説明し，</w:t>
      </w:r>
      <w:r>
        <w:rPr>
          <w:rFonts w:hint="eastAsia"/>
        </w:rPr>
        <w:t>その</w:t>
      </w:r>
      <w:r w:rsidRPr="00EE2AC7">
        <w:rPr>
          <w:rFonts w:hint="eastAsia"/>
        </w:rPr>
        <w:t>トレーニング</w:t>
      </w:r>
      <w:r>
        <w:rPr>
          <w:rFonts w:hint="eastAsia"/>
        </w:rPr>
        <w:t>環境</w:t>
      </w:r>
      <w:r w:rsidRPr="00EE2AC7">
        <w:rPr>
          <w:rFonts w:hint="eastAsia"/>
        </w:rPr>
        <w:t>「思知」を</w:t>
      </w:r>
      <w:r>
        <w:rPr>
          <w:rFonts w:hint="eastAsia"/>
        </w:rPr>
        <w:t>概説</w:t>
      </w:r>
      <w:r w:rsidRPr="00EE2AC7">
        <w:rPr>
          <w:rFonts w:hint="eastAsia"/>
        </w:rPr>
        <w:t>する．5.2節では</w:t>
      </w:r>
      <w:r>
        <w:rPr>
          <w:rFonts w:hint="eastAsia"/>
        </w:rPr>
        <w:t>思知を基礎とし，</w:t>
      </w:r>
      <w:r w:rsidRPr="00EE2AC7">
        <w:rPr>
          <w:rFonts w:hint="eastAsia"/>
        </w:rPr>
        <w:t>フレームワークに基づく信念対立思考のトレーニング環境を備えた</w:t>
      </w:r>
      <w:r>
        <w:rPr>
          <w:rFonts w:hint="eastAsia"/>
        </w:rPr>
        <w:t>思考外化</w:t>
      </w:r>
      <w:r w:rsidRPr="00EE2AC7">
        <w:rPr>
          <w:rFonts w:hint="eastAsia"/>
        </w:rPr>
        <w:t>アプリケーション「アイ思知」を，</w:t>
      </w:r>
      <w:r w:rsidRPr="00EE2AC7">
        <w:t>5.3</w:t>
      </w:r>
      <w:r w:rsidRPr="00EE2AC7">
        <w:rPr>
          <w:rFonts w:hint="eastAsia"/>
        </w:rPr>
        <w:t>節ではアイ思知が計測する視線行為，思考操作行為</w:t>
      </w:r>
      <w:r>
        <w:rPr>
          <w:rFonts w:hint="eastAsia"/>
        </w:rPr>
        <w:t>を解釈するための解釈表現の設定と，これに基づいた解釈を</w:t>
      </w:r>
      <w:r w:rsidRPr="00EE2AC7">
        <w:rPr>
          <w:rFonts w:hint="eastAsia"/>
        </w:rPr>
        <w:t>可視化する思考分析支援システムを説明する．</w:t>
      </w:r>
    </w:p>
    <w:p w:rsidR="0068479C" w:rsidRDefault="0068479C" w:rsidP="0097448B"/>
    <w:p w:rsidR="004A7E81" w:rsidRPr="0006666E" w:rsidRDefault="004A7E81" w:rsidP="0097448B">
      <w:pPr>
        <w:rPr>
          <w:rFonts w:ascii="ＭＳ ゴシック" w:eastAsia="ＭＳ ゴシック" w:hAnsi="ＭＳ ゴシック"/>
        </w:rPr>
      </w:pPr>
      <w:r w:rsidRPr="0006666E">
        <w:rPr>
          <w:rFonts w:ascii="ＭＳ ゴシック" w:eastAsia="ＭＳ ゴシック" w:hAnsi="ＭＳ ゴシック"/>
        </w:rPr>
        <w:t>5.1　対象とする思考プロセスとその教育プログラム</w:t>
      </w:r>
    </w:p>
    <w:p w:rsidR="004A7E81" w:rsidRDefault="007A0D9D" w:rsidP="0097448B">
      <w:r>
        <w:rPr>
          <w:rFonts w:hint="eastAsia"/>
        </w:rPr>
        <w:lastRenderedPageBreak/>
        <w:t xml:space="preserve">　</w:t>
      </w:r>
      <w:r w:rsidRPr="00EE2AC7">
        <w:rPr>
          <w:rFonts w:hint="eastAsia"/>
        </w:rPr>
        <w:t>伊藤は学習方略の観点から思考の言語化効果を検討し，知識陳述サイクル，認知的葛藤，知識構築サイクルの３つのプロセスから構成される学習方略としての言語化の目標達成モデルを提案している[</w:t>
      </w:r>
      <w:r>
        <w:t>21</w:t>
      </w:r>
      <w:r w:rsidRPr="00EE2AC7">
        <w:rPr>
          <w:rFonts w:hint="eastAsia"/>
        </w:rPr>
        <w:t>]．このプロセスに沿って，論理性を重視しながら能動的に自己内対話をすることで，自身の思考は洗練され，その思考過程は明確になると考えられる[</w:t>
      </w:r>
      <w:r>
        <w:t>22</w:t>
      </w:r>
      <w:r w:rsidRPr="00EE2AC7">
        <w:rPr>
          <w:rFonts w:hint="eastAsia"/>
        </w:rPr>
        <w:t>]．</w:t>
      </w:r>
    </w:p>
    <w:p w:rsidR="004A7E81" w:rsidRDefault="007A0D9D" w:rsidP="0097448B">
      <w:r>
        <w:rPr>
          <w:rFonts w:hint="eastAsia"/>
        </w:rPr>
        <w:t xml:space="preserve">　</w:t>
      </w:r>
      <w:r w:rsidRPr="00EE2AC7">
        <w:rPr>
          <w:rFonts w:hint="eastAsia"/>
        </w:rPr>
        <w:t>目標達成モデルに基づき，「考えていること（ベース思考）を考える（メタ思考）」思考</w:t>
      </w:r>
      <w:r>
        <w:rPr>
          <w:rFonts w:hint="eastAsia"/>
        </w:rPr>
        <w:t>スキル</w:t>
      </w:r>
      <w:r w:rsidRPr="00EE2AC7">
        <w:rPr>
          <w:rFonts w:hint="eastAsia"/>
        </w:rPr>
        <w:t>をトレーニングする学習環境として，自己内対話促進環境「思知」が提案されている[</w:t>
      </w:r>
      <w:r>
        <w:t>23</w:t>
      </w:r>
      <w:r w:rsidRPr="00EE2AC7">
        <w:rPr>
          <w:rFonts w:hint="eastAsia"/>
        </w:rPr>
        <w:t>]．質の良い知識構築を考える上で重要なことは，異なる価値観において信念が対立している根本的な葛藤を掘り起こすことである．</w:t>
      </w:r>
      <w:r>
        <w:rPr>
          <w:rFonts w:hint="eastAsia"/>
        </w:rPr>
        <w:t>思知</w:t>
      </w:r>
      <w:r w:rsidRPr="00EE2AC7">
        <w:rPr>
          <w:rFonts w:hint="eastAsia"/>
        </w:rPr>
        <w:t>では，自身の経験に基づく葛藤を内包した正解のない信念対立構造[</w:t>
      </w:r>
      <w:r>
        <w:t>24</w:t>
      </w:r>
      <w:r w:rsidRPr="00EE2AC7">
        <w:rPr>
          <w:rFonts w:hint="eastAsia"/>
        </w:rPr>
        <w:t>]を乗り越えるための知識構築を課題とし，自身が下した判断の論理的な道筋（思考A），別の判断の論理的な道筋（思考B）の各々を，思考の最小単位を表現する「ステートメント」として言語化する．そして，思考A，思考Bの信念を形成する「指針」</w:t>
      </w:r>
      <w:r>
        <w:rPr>
          <w:rFonts w:hint="eastAsia"/>
        </w:rPr>
        <w:t>と，その「根拠」となる</w:t>
      </w:r>
      <w:r w:rsidRPr="00EE2AC7">
        <w:rPr>
          <w:rFonts w:hint="eastAsia"/>
        </w:rPr>
        <w:t>ステートメント</w:t>
      </w:r>
      <w:r>
        <w:rPr>
          <w:rFonts w:hint="eastAsia"/>
        </w:rPr>
        <w:t>を</w:t>
      </w:r>
      <w:r w:rsidRPr="00EE2AC7">
        <w:rPr>
          <w:rFonts w:hint="eastAsia"/>
        </w:rPr>
        <w:t>明示した上で，それらの信念対立を生じさせる根源的理由を</w:t>
      </w:r>
      <w:r>
        <w:rPr>
          <w:rFonts w:hint="eastAsia"/>
        </w:rPr>
        <w:t>「</w:t>
      </w:r>
      <w:r w:rsidRPr="00EE2AC7">
        <w:rPr>
          <w:rFonts w:hint="eastAsia"/>
        </w:rPr>
        <w:t>葛藤</w:t>
      </w:r>
      <w:r>
        <w:rPr>
          <w:rFonts w:hint="eastAsia"/>
        </w:rPr>
        <w:t>」</w:t>
      </w:r>
      <w:r w:rsidRPr="00EE2AC7">
        <w:rPr>
          <w:rFonts w:hint="eastAsia"/>
        </w:rPr>
        <w:t>として表明</w:t>
      </w:r>
      <w:r>
        <w:rPr>
          <w:rFonts w:hint="eastAsia"/>
        </w:rPr>
        <w:t>する．さらに，</w:t>
      </w:r>
      <w:r w:rsidRPr="00EE2AC7">
        <w:rPr>
          <w:rFonts w:hint="eastAsia"/>
        </w:rPr>
        <w:t>そ</w:t>
      </w:r>
      <w:r>
        <w:rPr>
          <w:rFonts w:hint="eastAsia"/>
        </w:rPr>
        <w:t>れ</w:t>
      </w:r>
      <w:r w:rsidRPr="00EE2AC7">
        <w:rPr>
          <w:rFonts w:hint="eastAsia"/>
        </w:rPr>
        <w:t>を乗り越える解決案を構築（知識構築）する．自身の思考の論理構造を明確に意識させることを狙いとして，論理構造上の役割を表す「思知タグ」を各ステートメントに明示的に</w:t>
      </w:r>
      <w:r>
        <w:rPr>
          <w:rFonts w:hint="eastAsia"/>
        </w:rPr>
        <w:t>意識，</w:t>
      </w:r>
      <w:r w:rsidRPr="00EE2AC7">
        <w:rPr>
          <w:rFonts w:hint="eastAsia"/>
        </w:rPr>
        <w:t>付与させる思考活動を要求する．</w:t>
      </w:r>
    </w:p>
    <w:p w:rsidR="004A7E81" w:rsidRDefault="006A6F81" w:rsidP="0097448B">
      <w:r>
        <w:rPr>
          <w:rFonts w:hint="eastAsia"/>
        </w:rPr>
        <w:t xml:space="preserve">　</w:t>
      </w:r>
      <w:r w:rsidRPr="006A6F81">
        <w:rPr>
          <w:rFonts w:hint="eastAsia"/>
        </w:rPr>
        <w:t>思知を用いて，大学初年次生を対象とした授業実践</w:t>
      </w:r>
      <w:r w:rsidRPr="006A6F81">
        <w:t>[22]や，医療看護従事者を対象とした看護思考法育成プログラム[25]が実践されており，学習者のメタ思考スキルを育む効果が報告されている．思知と連携し，学習者／添削者の思考の表出化過程を再生表示するためのツール[26]や，論理構造グラフに表現するツール[27]，従事者が作成したケースの信念対立構造を添削者が添削・講評することを対象とするツールも提案されている．</w:t>
      </w:r>
    </w:p>
    <w:p w:rsidR="004A7E81" w:rsidRDefault="006A6F81" w:rsidP="0097448B">
      <w:r>
        <w:rPr>
          <w:rFonts w:hint="eastAsia"/>
        </w:rPr>
        <w:t xml:space="preserve">　</w:t>
      </w:r>
      <w:r w:rsidRPr="00EE2AC7">
        <w:rPr>
          <w:rFonts w:hint="eastAsia"/>
        </w:rPr>
        <w:t>一方で，思知上の思考表出に至る思考プロセスは依然暗黙的であるため，その解釈は思考を内省する学習者，または吟味・修正を行う添削者に委ねられている．この暗黙的な思考プロセスに解釈の可能性を示唆できれば，葛藤を深掘りする思考表出プロセスの学習者間に見られる相違や，添削経験が豊富な熟達者と，相対的に添削経験の浅い添削者の添削思考プロセスの相違といった，これまで捉えることのできなかった学習者／添削者の思考プロセスの一端を捉えることができると考えている．</w:t>
      </w:r>
    </w:p>
    <w:p w:rsidR="004A7E81" w:rsidRDefault="004A7E81" w:rsidP="0097448B"/>
    <w:p w:rsidR="004A7E81" w:rsidRPr="00634695" w:rsidRDefault="006A6F81" w:rsidP="0097448B">
      <w:pPr>
        <w:rPr>
          <w:rFonts w:ascii="ＭＳ ゴシック" w:eastAsia="ＭＳ ゴシック" w:hAnsi="ＭＳ ゴシック" w:hint="eastAsia"/>
        </w:rPr>
      </w:pPr>
      <w:r w:rsidRPr="00634695">
        <w:rPr>
          <w:rFonts w:ascii="ＭＳ ゴシック" w:eastAsia="ＭＳ ゴシック" w:hAnsi="ＭＳ ゴシック"/>
        </w:rPr>
        <w:t>5.2　アイ思知</w:t>
      </w:r>
    </w:p>
    <w:p w:rsidR="004A7E81" w:rsidRDefault="0099717F" w:rsidP="0097448B">
      <w:r>
        <w:rPr>
          <w:rFonts w:hint="eastAsia"/>
        </w:rPr>
        <w:t xml:space="preserve">　</w:t>
      </w:r>
      <w:r w:rsidRPr="00EE2AC7">
        <w:rPr>
          <w:rFonts w:hint="eastAsia"/>
        </w:rPr>
        <w:t>信念対立思考</w:t>
      </w:r>
      <w:r>
        <w:rPr>
          <w:rFonts w:hint="eastAsia"/>
        </w:rPr>
        <w:t>の</w:t>
      </w:r>
      <w:r w:rsidRPr="00EE2AC7">
        <w:rPr>
          <w:rFonts w:hint="eastAsia"/>
        </w:rPr>
        <w:t>言語化</w:t>
      </w:r>
      <w:r>
        <w:rPr>
          <w:rFonts w:hint="eastAsia"/>
        </w:rPr>
        <w:t>を促す</w:t>
      </w:r>
      <w:r w:rsidRPr="00EE2AC7">
        <w:rPr>
          <w:rFonts w:hint="eastAsia"/>
        </w:rPr>
        <w:t>教具として利用されることを前提とし，ユーザの視線行為，思考操作行為を計測するためのアプリケーション「アイ思知」を</w:t>
      </w:r>
      <w:r>
        <w:rPr>
          <w:rFonts w:hint="eastAsia"/>
        </w:rPr>
        <w:t>，フレームワークを基礎として</w:t>
      </w:r>
      <w:r w:rsidRPr="00EE2AC7">
        <w:rPr>
          <w:rFonts w:hint="eastAsia"/>
        </w:rPr>
        <w:t>構築した．図</w:t>
      </w:r>
      <w:r w:rsidRPr="00EE2AC7">
        <w:t>5</w:t>
      </w:r>
      <w:r w:rsidRPr="00EE2AC7">
        <w:rPr>
          <w:rFonts w:hint="eastAsia"/>
        </w:rPr>
        <w:t>にアイ思知のインタフェースを示す．思知の</w:t>
      </w:r>
      <w:r>
        <w:rPr>
          <w:rFonts w:hint="eastAsia"/>
        </w:rPr>
        <w:t>設計思想</w:t>
      </w:r>
      <w:r w:rsidRPr="00EE2AC7">
        <w:rPr>
          <w:rFonts w:hint="eastAsia"/>
        </w:rPr>
        <w:t>を踏襲する形で実装</w:t>
      </w:r>
      <w:r>
        <w:rPr>
          <w:rFonts w:hint="eastAsia"/>
        </w:rPr>
        <w:t>し</w:t>
      </w:r>
      <w:r w:rsidRPr="00EE2AC7">
        <w:rPr>
          <w:rFonts w:hint="eastAsia"/>
        </w:rPr>
        <w:t>ており，信念対立思考エリアに含まれる“思考A”，“思考B”，“葛藤”，“知識構築”の４つの思考エリアに信念対立思考構造を言語化することができる．本アプリケーションは，</w:t>
      </w:r>
      <w:r w:rsidRPr="00EE2AC7">
        <w:t>3</w:t>
      </w:r>
      <w:r w:rsidRPr="00EE2AC7">
        <w:rPr>
          <w:rFonts w:hint="eastAsia"/>
        </w:rPr>
        <w:t>章で示したベース思考表現オントロジーを基礎として</w:t>
      </w:r>
      <w:r>
        <w:rPr>
          <w:rFonts w:hint="eastAsia"/>
        </w:rPr>
        <w:t>いる．</w:t>
      </w:r>
    </w:p>
    <w:p w:rsidR="004A7E81" w:rsidRDefault="0099717F" w:rsidP="0097448B">
      <w:r>
        <w:rPr>
          <w:rFonts w:hint="eastAsia"/>
        </w:rPr>
        <w:t xml:space="preserve">　</w:t>
      </w:r>
      <w:r>
        <w:rPr>
          <w:rFonts w:hint="eastAsia"/>
        </w:rPr>
        <w:t>具体的には，表1で示したフレームワーク作業</w:t>
      </w:r>
      <w:r w:rsidRPr="00EE2AC7">
        <w:rPr>
          <w:rFonts w:ascii="ＭＳ ゴシック" w:eastAsia="ＭＳ ゴシック" w:hAnsi="ＭＳ ゴシック"/>
        </w:rPr>
        <w:t>(A)</w:t>
      </w:r>
      <w:r w:rsidRPr="0060653E">
        <w:rPr>
          <w:rFonts w:ascii="ＭＳ 明朝" w:hAnsi="ＭＳ 明朝"/>
        </w:rPr>
        <w:t xml:space="preserve">, </w:t>
      </w:r>
      <w:r w:rsidRPr="00EE2AC7">
        <w:rPr>
          <w:rFonts w:ascii="ＭＳ ゴシック" w:eastAsia="ＭＳ ゴシック" w:hAnsi="ＭＳ ゴシック"/>
        </w:rPr>
        <w:t>(</w:t>
      </w:r>
      <w:r>
        <w:rPr>
          <w:rFonts w:ascii="ＭＳ ゴシック" w:eastAsia="ＭＳ ゴシック" w:hAnsi="ＭＳ ゴシック"/>
        </w:rPr>
        <w:t>B</w:t>
      </w:r>
      <w:r w:rsidRPr="00EE2AC7">
        <w:rPr>
          <w:rFonts w:ascii="ＭＳ ゴシック" w:eastAsia="ＭＳ ゴシック" w:hAnsi="ＭＳ ゴシック"/>
        </w:rPr>
        <w:t>)</w:t>
      </w:r>
      <w:r>
        <w:rPr>
          <w:rFonts w:hint="eastAsia"/>
        </w:rPr>
        <w:t>において，</w:t>
      </w:r>
      <w:r w:rsidRPr="00EE2AC7">
        <w:rPr>
          <w:rFonts w:hint="eastAsia"/>
        </w:rPr>
        <w:t>図</w:t>
      </w:r>
      <w:r w:rsidRPr="00EE2AC7">
        <w:t>2</w:t>
      </w:r>
      <w:r w:rsidRPr="00EE2AC7">
        <w:rPr>
          <w:rFonts w:hint="eastAsia"/>
        </w:rPr>
        <w:t>に示す信念対立思考タスクを題材としたベース思考概念</w:t>
      </w:r>
      <w:r w:rsidRPr="00EE2AC7">
        <w:t>primitive-BL-thinking</w:t>
      </w:r>
      <w:r>
        <w:rPr>
          <w:rFonts w:hint="eastAsia"/>
        </w:rPr>
        <w:t>と</w:t>
      </w:r>
      <w:r w:rsidRPr="00EE2AC7">
        <w:t>collective-BL-thinking</w:t>
      </w:r>
      <w:r>
        <w:rPr>
          <w:rFonts w:hint="eastAsia"/>
        </w:rPr>
        <w:t>を，思考表現オブジェクト概念（図3）の</w:t>
      </w:r>
      <w:r w:rsidRPr="00EE2AC7">
        <w:rPr>
          <w:rFonts w:hint="eastAsia"/>
        </w:rPr>
        <w:t>ステートメントエリア，思考エリア</w:t>
      </w:r>
      <w:r>
        <w:rPr>
          <w:rFonts w:hint="eastAsia"/>
        </w:rPr>
        <w:t>に表現するものとしてそれぞれ対応を規定している．そして</w:t>
      </w:r>
      <w:r w:rsidRPr="00EE2AC7">
        <w:rPr>
          <w:rFonts w:ascii="ＭＳ ゴシック" w:eastAsia="ＭＳ ゴシック" w:hAnsi="ＭＳ ゴシック"/>
        </w:rPr>
        <w:t>(</w:t>
      </w:r>
      <w:r>
        <w:rPr>
          <w:rFonts w:ascii="ＭＳ ゴシック" w:eastAsia="ＭＳ ゴシック" w:hAnsi="ＭＳ ゴシック"/>
        </w:rPr>
        <w:t>C</w:t>
      </w:r>
      <w:r w:rsidRPr="00EE2AC7">
        <w:rPr>
          <w:rFonts w:ascii="ＭＳ ゴシック" w:eastAsia="ＭＳ ゴシック" w:hAnsi="ＭＳ ゴシック"/>
        </w:rPr>
        <w:t>)</w:t>
      </w:r>
      <w:r>
        <w:rPr>
          <w:rFonts w:hint="eastAsia"/>
        </w:rPr>
        <w:t>において，この規定に基づき図5に示すアイ思知を実装している．</w:t>
      </w:r>
    </w:p>
    <w:p w:rsidR="0099717F" w:rsidRDefault="00612D7D" w:rsidP="0097448B">
      <w:r>
        <w:rPr>
          <w:rFonts w:hint="eastAsia"/>
        </w:rPr>
        <w:t xml:space="preserve">　</w:t>
      </w:r>
      <w:r w:rsidRPr="00EE2AC7">
        <w:rPr>
          <w:rFonts w:hint="eastAsia"/>
        </w:rPr>
        <w:t>アイ思知は，据置型のアイトラッカを利用することでユーザの視線対象オブジェクトを追跡する機能を持つ．インタフェースに配置された思考表現オブジェクトには興味領域（Area of Interest: AOI）が付与されており，スクリーン上の視線座標がオブジェクトのAOIに入った／抜けた時点の情報がミリ秒単</w:t>
      </w:r>
      <w:r w:rsidR="00CB572E" w:rsidRPr="00EE2AC7">
        <w:rPr>
          <w:noProof/>
        </w:rPr>
        <w:lastRenderedPageBreak/>
        <mc:AlternateContent>
          <mc:Choice Requires="wps">
            <w:drawing>
              <wp:anchor distT="0" distB="0" distL="114300" distR="114300" simplePos="0" relativeHeight="251671552" behindDoc="0" locked="0" layoutInCell="1" allowOverlap="1" wp14:anchorId="66F150A4" wp14:editId="52AF807D">
                <wp:simplePos x="0" y="0"/>
                <wp:positionH relativeFrom="column">
                  <wp:posOffset>43180</wp:posOffset>
                </wp:positionH>
                <wp:positionV relativeFrom="paragraph">
                  <wp:posOffset>73025</wp:posOffset>
                </wp:positionV>
                <wp:extent cx="6096000" cy="4953000"/>
                <wp:effectExtent l="0" t="0" r="0" b="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6096000" cy="495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E5009" w:rsidRDefault="002E5009" w:rsidP="002E5009">
                            <w:pPr>
                              <w:jc w:val="center"/>
                            </w:pPr>
                            <w:r w:rsidRPr="00E05401">
                              <w:rPr>
                                <w:noProof/>
                              </w:rPr>
                              <w:drawing>
                                <wp:inline distT="0" distB="0" distL="0" distR="0" wp14:anchorId="22ADEB88" wp14:editId="0531862B">
                                  <wp:extent cx="4049823" cy="4152900"/>
                                  <wp:effectExtent l="0" t="0" r="8255" b="0"/>
                                  <wp:docPr id="28" name="図 28" descr="C:\Users\troika\Dropbox\1_Research\2017 IEICE Journal\pictures\Eye-Siz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oika\Dropbox\1_Research\2017 IEICE Journal\pictures\Eye-Sizhi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2384" cy="4176036"/>
                                          </a:xfrm>
                                          <a:prstGeom prst="rect">
                                            <a:avLst/>
                                          </a:prstGeom>
                                          <a:noFill/>
                                          <a:ln>
                                            <a:noFill/>
                                          </a:ln>
                                        </pic:spPr>
                                      </pic:pic>
                                    </a:graphicData>
                                  </a:graphic>
                                </wp:inline>
                              </w:drawing>
                            </w:r>
                          </w:p>
                          <w:p w:rsidR="002E5009" w:rsidRPr="002E5009" w:rsidRDefault="002E5009" w:rsidP="002E5009">
                            <w:pPr>
                              <w:pStyle w:val="a4"/>
                              <w:rPr>
                                <w:sz w:val="20"/>
                                <w:szCs w:val="20"/>
                              </w:rPr>
                            </w:pPr>
                            <w:r w:rsidRPr="002E5009">
                              <w:rPr>
                                <w:rFonts w:hint="eastAsia"/>
                                <w:sz w:val="20"/>
                                <w:szCs w:val="20"/>
                              </w:rPr>
                              <w:t>図</w:t>
                            </w:r>
                            <w:r w:rsidRPr="002E5009">
                              <w:rPr>
                                <w:sz w:val="20"/>
                                <w:szCs w:val="20"/>
                              </w:rPr>
                              <w:t>5</w:t>
                            </w:r>
                            <w:r w:rsidRPr="002E5009">
                              <w:rPr>
                                <w:rFonts w:hint="eastAsia"/>
                                <w:sz w:val="20"/>
                                <w:szCs w:val="20"/>
                              </w:rPr>
                              <w:t xml:space="preserve">　アイ思知のインタフェース</w:t>
                            </w:r>
                          </w:p>
                          <w:p w:rsidR="002E5009" w:rsidRPr="002E5009" w:rsidRDefault="002E5009" w:rsidP="002E5009">
                            <w:pPr>
                              <w:pStyle w:val="a5"/>
                              <w:spacing w:after="360"/>
                              <w:rPr>
                                <w:sz w:val="20"/>
                                <w:szCs w:val="20"/>
                              </w:rPr>
                            </w:pPr>
                            <w:r w:rsidRPr="002E5009">
                              <w:rPr>
                                <w:rFonts w:hint="eastAsia"/>
                                <w:sz w:val="20"/>
                                <w:szCs w:val="20"/>
                              </w:rPr>
                              <w:t xml:space="preserve">Figure </w:t>
                            </w:r>
                            <w:r w:rsidRPr="002E5009">
                              <w:rPr>
                                <w:sz w:val="20"/>
                                <w:szCs w:val="20"/>
                              </w:rPr>
                              <w:t>5</w:t>
                            </w:r>
                            <w:r w:rsidRPr="002E5009">
                              <w:rPr>
                                <w:rFonts w:hint="eastAsia"/>
                                <w:sz w:val="20"/>
                                <w:szCs w:val="20"/>
                              </w:rPr>
                              <w:t xml:space="preserve">　</w:t>
                            </w:r>
                            <w:r w:rsidRPr="002E5009">
                              <w:rPr>
                                <w:sz w:val="20"/>
                                <w:szCs w:val="20"/>
                              </w:rPr>
                              <w:t>Interface of Eye-Sizhi</w:t>
                            </w:r>
                            <w:r w:rsidRPr="002E5009">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150A4" id="テキスト ボックス 13" o:spid="_x0000_s1032" type="#_x0000_t202" style="position:absolute;left:0;text-align:left;margin-left:3.4pt;margin-top:5.75pt;width:480pt;height:3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" filled="f" stroked="f">
                <v:textbox>
                  <w:txbxContent>
                    <w:p w:rsidR="002E5009" w:rsidRDefault="002E5009" w:rsidP="002E5009">
                      <w:pPr>
                        <w:jc w:val="center"/>
                      </w:pPr>
                      <w:r w:rsidRPr="00E05401">
                        <w:rPr>
                          <w:noProof/>
                        </w:rPr>
                        <w:drawing>
                          <wp:inline distT="0" distB="0" distL="0" distR="0" wp14:anchorId="22ADEB88" wp14:editId="0531862B">
                            <wp:extent cx="4049823" cy="4152900"/>
                            <wp:effectExtent l="0" t="0" r="8255" b="0"/>
                            <wp:docPr id="28" name="図 28" descr="C:\Users\troika\Dropbox\1_Research\2017 IEICE Journal\pictures\Eye-Siz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oika\Dropbox\1_Research\2017 IEICE Journal\pictures\Eye-Sizhi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2384" cy="4176036"/>
                                    </a:xfrm>
                                    <a:prstGeom prst="rect">
                                      <a:avLst/>
                                    </a:prstGeom>
                                    <a:noFill/>
                                    <a:ln>
                                      <a:noFill/>
                                    </a:ln>
                                  </pic:spPr>
                                </pic:pic>
                              </a:graphicData>
                            </a:graphic>
                          </wp:inline>
                        </w:drawing>
                      </w:r>
                    </w:p>
                    <w:p w:rsidR="002E5009" w:rsidRPr="002E5009" w:rsidRDefault="002E5009" w:rsidP="002E5009">
                      <w:pPr>
                        <w:pStyle w:val="a4"/>
                        <w:rPr>
                          <w:sz w:val="20"/>
                          <w:szCs w:val="20"/>
                        </w:rPr>
                      </w:pPr>
                      <w:r w:rsidRPr="002E5009">
                        <w:rPr>
                          <w:rFonts w:hint="eastAsia"/>
                          <w:sz w:val="20"/>
                          <w:szCs w:val="20"/>
                        </w:rPr>
                        <w:t>図</w:t>
                      </w:r>
                      <w:r w:rsidRPr="002E5009">
                        <w:rPr>
                          <w:sz w:val="20"/>
                          <w:szCs w:val="20"/>
                        </w:rPr>
                        <w:t>5</w:t>
                      </w:r>
                      <w:r w:rsidRPr="002E5009">
                        <w:rPr>
                          <w:rFonts w:hint="eastAsia"/>
                          <w:sz w:val="20"/>
                          <w:szCs w:val="20"/>
                        </w:rPr>
                        <w:t xml:space="preserve">　アイ思知のインタフェース</w:t>
                      </w:r>
                    </w:p>
                    <w:p w:rsidR="002E5009" w:rsidRPr="002E5009" w:rsidRDefault="002E5009" w:rsidP="002E5009">
                      <w:pPr>
                        <w:pStyle w:val="a5"/>
                        <w:spacing w:after="360"/>
                        <w:rPr>
                          <w:sz w:val="20"/>
                          <w:szCs w:val="20"/>
                        </w:rPr>
                      </w:pPr>
                      <w:r w:rsidRPr="002E5009">
                        <w:rPr>
                          <w:rFonts w:hint="eastAsia"/>
                          <w:sz w:val="20"/>
                          <w:szCs w:val="20"/>
                        </w:rPr>
                        <w:t xml:space="preserve">Figure </w:t>
                      </w:r>
                      <w:r w:rsidRPr="002E5009">
                        <w:rPr>
                          <w:sz w:val="20"/>
                          <w:szCs w:val="20"/>
                        </w:rPr>
                        <w:t>5</w:t>
                      </w:r>
                      <w:r w:rsidRPr="002E5009">
                        <w:rPr>
                          <w:rFonts w:hint="eastAsia"/>
                          <w:sz w:val="20"/>
                          <w:szCs w:val="20"/>
                        </w:rPr>
                        <w:t xml:space="preserve">　</w:t>
                      </w:r>
                      <w:r w:rsidRPr="002E5009">
                        <w:rPr>
                          <w:sz w:val="20"/>
                          <w:szCs w:val="20"/>
                        </w:rPr>
                        <w:t>Interface of Eye-Sizhi</w:t>
                      </w:r>
                      <w:r w:rsidRPr="002E5009">
                        <w:rPr>
                          <w:rFonts w:hint="eastAsia"/>
                          <w:sz w:val="20"/>
                          <w:szCs w:val="20"/>
                        </w:rPr>
                        <w:t>.</w:t>
                      </w:r>
                    </w:p>
                  </w:txbxContent>
                </v:textbox>
                <w10:wrap type="square"/>
              </v:shape>
            </w:pict>
          </mc:Fallback>
        </mc:AlternateContent>
      </w:r>
      <w:r w:rsidRPr="00EE2AC7">
        <w:rPr>
          <w:rFonts w:hint="eastAsia"/>
        </w:rPr>
        <w:t>位で記録される仕組みとなっている．AOIが設定されている視線対象オブジェクトは，思考エリア（思考A，思考B，葛藤，知識構築），ステートメントエリア，葛藤テキストエリアである．自動検知される視線行為情報に加え，思考表現オブジェクトに対するキー入力操作及び，マウス操作</w:t>
      </w:r>
      <w:r>
        <w:rPr>
          <w:rFonts w:hint="eastAsia"/>
        </w:rPr>
        <w:t>が</w:t>
      </w:r>
      <w:r w:rsidRPr="00EE2AC7">
        <w:rPr>
          <w:rFonts w:hint="eastAsia"/>
        </w:rPr>
        <w:t>思考操作情報として記録される仕様となっている．</w:t>
      </w:r>
    </w:p>
    <w:p w:rsidR="0099717F" w:rsidRDefault="0099717F" w:rsidP="0097448B"/>
    <w:p w:rsidR="0099717F" w:rsidRPr="00634695" w:rsidRDefault="00612D7D" w:rsidP="0097448B">
      <w:pPr>
        <w:rPr>
          <w:rFonts w:ascii="ＭＳ ゴシック" w:eastAsia="ＭＳ ゴシック" w:hAnsi="ＭＳ ゴシック"/>
        </w:rPr>
      </w:pPr>
      <w:r w:rsidRPr="00634695">
        <w:rPr>
          <w:rFonts w:ascii="ＭＳ ゴシック" w:eastAsia="ＭＳ ゴシック" w:hAnsi="ＭＳ ゴシック"/>
        </w:rPr>
        <w:t>5.3　思考分析支援システム</w:t>
      </w:r>
    </w:p>
    <w:p w:rsidR="0099717F" w:rsidRDefault="00612D7D" w:rsidP="0097448B">
      <w:r>
        <w:rPr>
          <w:rFonts w:hint="eastAsia"/>
        </w:rPr>
        <w:t xml:space="preserve">　</w:t>
      </w:r>
      <w:r w:rsidRPr="00EE2AC7">
        <w:rPr>
          <w:rFonts w:hint="eastAsia"/>
        </w:rPr>
        <w:t>アイ思知の</w:t>
      </w:r>
      <w:r>
        <w:rPr>
          <w:rFonts w:hint="eastAsia"/>
        </w:rPr>
        <w:t>ログ</w:t>
      </w:r>
      <w:r w:rsidRPr="00EE2AC7">
        <w:rPr>
          <w:rFonts w:hint="eastAsia"/>
        </w:rPr>
        <w:t>ファイルを入力とし，</w:t>
      </w:r>
      <w:r w:rsidRPr="00EE2AC7">
        <w:t>4</w:t>
      </w:r>
      <w:r w:rsidRPr="00EE2AC7">
        <w:rPr>
          <w:rFonts w:hint="eastAsia"/>
        </w:rPr>
        <w:t>章で述べた低次／高次レベルの解釈表現</w:t>
      </w:r>
      <w:r>
        <w:rPr>
          <w:rFonts w:hint="eastAsia"/>
        </w:rPr>
        <w:t>を適用し，その</w:t>
      </w:r>
      <w:r w:rsidRPr="00EE2AC7">
        <w:rPr>
          <w:rFonts w:hint="eastAsia"/>
        </w:rPr>
        <w:t>結果を</w:t>
      </w:r>
      <w:r>
        <w:rPr>
          <w:rFonts w:hint="eastAsia"/>
        </w:rPr>
        <w:t>可視化</w:t>
      </w:r>
      <w:r w:rsidRPr="00EE2AC7">
        <w:rPr>
          <w:rFonts w:hint="eastAsia"/>
        </w:rPr>
        <w:t>する思考分析支援システムを開発した．図</w:t>
      </w:r>
      <w:r w:rsidRPr="00EE2AC7">
        <w:t>6</w:t>
      </w:r>
      <w:r w:rsidRPr="00EE2AC7">
        <w:rPr>
          <w:rFonts w:hint="eastAsia"/>
        </w:rPr>
        <w:t>にシステムのインタフェースを示す．本システムは大きく以下の３つのエリアと，解釈結果の可視化画面から構成されている．</w:t>
      </w:r>
    </w:p>
    <w:p w:rsidR="0099717F" w:rsidRDefault="0099717F" w:rsidP="0097448B"/>
    <w:p w:rsidR="0099717F" w:rsidRDefault="00612D7D" w:rsidP="0097448B">
      <w:r w:rsidRPr="00EE2AC7">
        <w:rPr>
          <w:rFonts w:ascii="ＭＳ ゴシック" w:eastAsia="ＭＳ ゴシック" w:hAnsi="ＭＳ ゴシック"/>
        </w:rPr>
        <w:t xml:space="preserve">(1) </w:t>
      </w:r>
      <w:r w:rsidRPr="00EE2AC7">
        <w:rPr>
          <w:rFonts w:ascii="ＭＳ ゴシック" w:eastAsia="ＭＳ ゴシック" w:hAnsi="ＭＳ ゴシック" w:hint="eastAsia"/>
        </w:rPr>
        <w:t>低次解釈処理エリア</w:t>
      </w:r>
      <w:r w:rsidRPr="00EE2AC7">
        <w:rPr>
          <w:rFonts w:hint="eastAsia"/>
        </w:rPr>
        <w:t>：</w:t>
      </w:r>
      <w:r>
        <w:rPr>
          <w:rFonts w:hint="eastAsia"/>
        </w:rPr>
        <w:t>まず</w:t>
      </w:r>
      <w:r w:rsidRPr="00EE2AC7">
        <w:rPr>
          <w:rFonts w:hint="eastAsia"/>
        </w:rPr>
        <w:t>，</w:t>
      </w:r>
      <w:r>
        <w:rPr>
          <w:rFonts w:hint="eastAsia"/>
        </w:rPr>
        <w:t>(</w:t>
      </w:r>
      <w:r w:rsidRPr="00EE2AC7">
        <w:t>1</w:t>
      </w:r>
      <w:r>
        <w:t>)</w:t>
      </w:r>
      <w:r w:rsidRPr="00EE2AC7">
        <w:t xml:space="preserve"> </w:t>
      </w:r>
      <w:r w:rsidRPr="00EE2AC7">
        <w:rPr>
          <w:rFonts w:hint="eastAsia"/>
        </w:rPr>
        <w:t>注視時間，</w:t>
      </w:r>
      <w:r>
        <w:rPr>
          <w:rFonts w:hint="eastAsia"/>
        </w:rPr>
        <w:t>(</w:t>
      </w:r>
      <w:r w:rsidRPr="00EE2AC7">
        <w:t>2</w:t>
      </w:r>
      <w:r>
        <w:t>)</w:t>
      </w:r>
      <w:r w:rsidRPr="00EE2AC7">
        <w:t xml:space="preserve"> </w:t>
      </w:r>
      <w:r w:rsidRPr="00EE2AC7">
        <w:rPr>
          <w:rFonts w:hint="eastAsia"/>
        </w:rPr>
        <w:t>隣接して現れる同一の視線行為，思考操作行為（思考エリアの注視，ステートメントエリアの注視，キー入力操作）の結合間隔時間，</w:t>
      </w:r>
      <w:r>
        <w:rPr>
          <w:rFonts w:hint="eastAsia"/>
        </w:rPr>
        <w:t>(</w:t>
      </w:r>
      <w:r w:rsidRPr="00EE2AC7">
        <w:t>3</w:t>
      </w:r>
      <w:r>
        <w:t>)</w:t>
      </w:r>
      <w:r w:rsidRPr="00EE2AC7">
        <w:t xml:space="preserve"> </w:t>
      </w:r>
      <w:r w:rsidRPr="00EE2AC7">
        <w:rPr>
          <w:rFonts w:hint="eastAsia"/>
        </w:rPr>
        <w:t>マウスによるボタンクリックなど，瞬発的に観測される</w:t>
      </w:r>
      <w:r>
        <w:rPr>
          <w:rFonts w:hint="eastAsia"/>
        </w:rPr>
        <w:t>思考操作</w:t>
      </w:r>
      <w:r w:rsidRPr="00EE2AC7">
        <w:rPr>
          <w:rFonts w:hint="eastAsia"/>
        </w:rPr>
        <w:t>行為の時間間隔を設定</w:t>
      </w:r>
      <w:r>
        <w:rPr>
          <w:rFonts w:hint="eastAsia"/>
        </w:rPr>
        <w:t>する．そして，システムは</w:t>
      </w:r>
      <w:r w:rsidRPr="00EE2AC7">
        <w:rPr>
          <w:rFonts w:hint="eastAsia"/>
        </w:rPr>
        <w:t>アイ思知のログファイルを</w:t>
      </w:r>
      <w:r>
        <w:rPr>
          <w:rFonts w:hint="eastAsia"/>
        </w:rPr>
        <w:t>読み込む</w:t>
      </w:r>
      <w:r w:rsidRPr="00EE2AC7">
        <w:rPr>
          <w:rFonts w:hint="eastAsia"/>
        </w:rPr>
        <w:t>ことで，ローデータから各行為の時区間データ</w:t>
      </w:r>
      <w:r>
        <w:rPr>
          <w:rFonts w:hint="eastAsia"/>
        </w:rPr>
        <w:t>を</w:t>
      </w:r>
      <w:r w:rsidRPr="00EE2AC7">
        <w:rPr>
          <w:rFonts w:hint="eastAsia"/>
        </w:rPr>
        <w:t>抽出</w:t>
      </w:r>
      <w:r>
        <w:rPr>
          <w:rFonts w:hint="eastAsia"/>
        </w:rPr>
        <w:t>し</w:t>
      </w:r>
      <w:r w:rsidRPr="00EE2AC7">
        <w:rPr>
          <w:rFonts w:hint="eastAsia"/>
        </w:rPr>
        <w:t>，低次レベルの解釈表現</w:t>
      </w:r>
      <w:r>
        <w:rPr>
          <w:rFonts w:hint="eastAsia"/>
        </w:rPr>
        <w:t>を</w:t>
      </w:r>
      <w:r w:rsidRPr="00EE2AC7">
        <w:rPr>
          <w:rFonts w:hint="eastAsia"/>
        </w:rPr>
        <w:t>各時区間に付与</w:t>
      </w:r>
      <w:r>
        <w:rPr>
          <w:rFonts w:hint="eastAsia"/>
        </w:rPr>
        <w:t>す</w:t>
      </w:r>
      <w:r w:rsidRPr="00EE2AC7">
        <w:rPr>
          <w:rFonts w:hint="eastAsia"/>
        </w:rPr>
        <w:t>る（図</w:t>
      </w:r>
      <w:r w:rsidRPr="00EE2AC7">
        <w:t>4</w:t>
      </w:r>
      <w:r w:rsidRPr="00EE2AC7">
        <w:rPr>
          <w:rFonts w:hint="eastAsia"/>
        </w:rPr>
        <w:t>の</w:t>
      </w:r>
      <w:r w:rsidRPr="00EE2AC7">
        <w:t>Raw data</w:t>
      </w:r>
      <w:r w:rsidRPr="00EE2AC7">
        <w:rPr>
          <w:rFonts w:hint="eastAsia"/>
        </w:rPr>
        <w:t xml:space="preserve">からLow-level </w:t>
      </w:r>
      <w:r w:rsidRPr="00EE2AC7">
        <w:t>interpretation</w:t>
      </w:r>
      <w:r w:rsidRPr="00EE2AC7">
        <w:rPr>
          <w:rFonts w:hint="eastAsia"/>
        </w:rPr>
        <w:t>に至る処理に該当）．</w:t>
      </w:r>
    </w:p>
    <w:p w:rsidR="0099717F" w:rsidRDefault="00612D7D" w:rsidP="0097448B">
      <w:r>
        <w:rPr>
          <w:rFonts w:hint="eastAsia"/>
        </w:rPr>
        <w:t xml:space="preserve">　</w:t>
      </w:r>
      <w:r w:rsidRPr="00612D7D">
        <w:rPr>
          <w:rFonts w:hint="eastAsia"/>
        </w:rPr>
        <w:t>低次レベル解釈表現の適用結果は，タイムライン可視化画面（図</w:t>
      </w:r>
      <w:r w:rsidRPr="00612D7D">
        <w:t>6右下）に表示される．この画面の内</w:t>
      </w:r>
      <w:r w:rsidR="00CB572E" w:rsidRPr="00EE2AC7">
        <w:rPr>
          <w:noProof/>
          <w:sz w:val="22"/>
        </w:rPr>
        <w:lastRenderedPageBreak/>
        <mc:AlternateContent>
          <mc:Choice Requires="wps">
            <w:drawing>
              <wp:anchor distT="0" distB="0" distL="114300" distR="114300" simplePos="0" relativeHeight="251673600" behindDoc="0" locked="0" layoutInCell="1" allowOverlap="1" wp14:anchorId="44AAED18" wp14:editId="6C5696A5">
                <wp:simplePos x="0" y="0"/>
                <wp:positionH relativeFrom="column">
                  <wp:posOffset>-17780</wp:posOffset>
                </wp:positionH>
                <wp:positionV relativeFrom="paragraph">
                  <wp:posOffset>61595</wp:posOffset>
                </wp:positionV>
                <wp:extent cx="6134100" cy="55816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6134100" cy="5581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72C21" w:rsidRDefault="00272C21" w:rsidP="00272C21">
                            <w:pPr>
                              <w:jc w:val="center"/>
                            </w:pPr>
                            <w:r w:rsidRPr="00E96637">
                              <w:rPr>
                                <w:noProof/>
                              </w:rPr>
                              <w:drawing>
                                <wp:inline distT="0" distB="0" distL="0" distR="0" wp14:anchorId="41C314B4" wp14:editId="73FE0B03">
                                  <wp:extent cx="5871602" cy="4838700"/>
                                  <wp:effectExtent l="0" t="0" r="0" b="0"/>
                                  <wp:docPr id="25" name="図 25" descr="C:\Users\troika\Dropbox\1_Research\2017 IEICE Journal\pictures\Eye-Sizhi-analyz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Eye-Sizhi-analyze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120" cy="4845719"/>
                                          </a:xfrm>
                                          <a:prstGeom prst="rect">
                                            <a:avLst/>
                                          </a:prstGeom>
                                          <a:noFill/>
                                          <a:ln>
                                            <a:noFill/>
                                          </a:ln>
                                        </pic:spPr>
                                      </pic:pic>
                                    </a:graphicData>
                                  </a:graphic>
                                </wp:inline>
                              </w:drawing>
                            </w:r>
                          </w:p>
                          <w:p w:rsidR="00272C21" w:rsidRPr="00272C21" w:rsidRDefault="00272C21" w:rsidP="00272C21">
                            <w:pPr>
                              <w:pStyle w:val="a4"/>
                              <w:rPr>
                                <w:sz w:val="20"/>
                                <w:szCs w:val="20"/>
                              </w:rPr>
                            </w:pPr>
                            <w:r w:rsidRPr="00272C21">
                              <w:rPr>
                                <w:rFonts w:hint="eastAsia"/>
                                <w:sz w:val="20"/>
                                <w:szCs w:val="20"/>
                              </w:rPr>
                              <w:t>図</w:t>
                            </w:r>
                            <w:r w:rsidRPr="00272C21">
                              <w:rPr>
                                <w:sz w:val="20"/>
                                <w:szCs w:val="20"/>
                              </w:rPr>
                              <w:t>6</w:t>
                            </w:r>
                            <w:r w:rsidRPr="00272C21">
                              <w:rPr>
                                <w:rFonts w:hint="eastAsia"/>
                                <w:sz w:val="20"/>
                                <w:szCs w:val="20"/>
                              </w:rPr>
                              <w:t xml:space="preserve">　思考分析支援システムのインタフェース</w:t>
                            </w:r>
                          </w:p>
                          <w:p w:rsidR="00272C21" w:rsidRPr="00272C21" w:rsidRDefault="00272C21" w:rsidP="00272C21">
                            <w:pPr>
                              <w:pStyle w:val="a5"/>
                              <w:spacing w:after="360"/>
                              <w:rPr>
                                <w:sz w:val="20"/>
                                <w:szCs w:val="20"/>
                              </w:rPr>
                            </w:pPr>
                            <w:r w:rsidRPr="00272C21">
                              <w:rPr>
                                <w:rFonts w:hint="eastAsia"/>
                                <w:sz w:val="20"/>
                                <w:szCs w:val="20"/>
                              </w:rPr>
                              <w:t xml:space="preserve">Figure </w:t>
                            </w:r>
                            <w:r w:rsidRPr="00272C21">
                              <w:rPr>
                                <w:sz w:val="20"/>
                                <w:szCs w:val="20"/>
                              </w:rPr>
                              <w:t>6</w:t>
                            </w:r>
                            <w:r w:rsidRPr="00272C21">
                              <w:rPr>
                                <w:rFonts w:hint="eastAsia"/>
                                <w:sz w:val="20"/>
                                <w:szCs w:val="20"/>
                              </w:rPr>
                              <w:t xml:space="preserve">　</w:t>
                            </w:r>
                            <w:r w:rsidRPr="00272C21">
                              <w:rPr>
                                <w:sz w:val="20"/>
                                <w:szCs w:val="20"/>
                              </w:rPr>
                              <w:t>Interface of Thinking Analysis Support System</w:t>
                            </w:r>
                            <w:r w:rsidRPr="00272C21">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ED18" id="テキスト ボックス 15" o:spid="_x0000_s1033" type="#_x0000_t202" style="position:absolute;left:0;text-align:left;margin-left:-1.4pt;margin-top:4.85pt;width:483pt;height:4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" filled="f" stroked="f">
                <v:textbox>
                  <w:txbxContent>
                    <w:p w:rsidR="00272C21" w:rsidRDefault="00272C21" w:rsidP="00272C21">
                      <w:pPr>
                        <w:jc w:val="center"/>
                      </w:pPr>
                      <w:r w:rsidRPr="00E96637">
                        <w:rPr>
                          <w:noProof/>
                        </w:rPr>
                        <w:drawing>
                          <wp:inline distT="0" distB="0" distL="0" distR="0" wp14:anchorId="41C314B4" wp14:editId="73FE0B03">
                            <wp:extent cx="5871602" cy="4838700"/>
                            <wp:effectExtent l="0" t="0" r="0" b="0"/>
                            <wp:docPr id="25" name="図 25" descr="C:\Users\troika\Dropbox\1_Research\2017 IEICE Journal\pictures\Eye-Sizhi-analyz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ropbox\1_Research\2017 IEICE Journal\pictures\Eye-Sizhi-analyze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120" cy="4845719"/>
                                    </a:xfrm>
                                    <a:prstGeom prst="rect">
                                      <a:avLst/>
                                    </a:prstGeom>
                                    <a:noFill/>
                                    <a:ln>
                                      <a:noFill/>
                                    </a:ln>
                                  </pic:spPr>
                                </pic:pic>
                              </a:graphicData>
                            </a:graphic>
                          </wp:inline>
                        </w:drawing>
                      </w:r>
                    </w:p>
                    <w:p w:rsidR="00272C21" w:rsidRPr="00272C21" w:rsidRDefault="00272C21" w:rsidP="00272C21">
                      <w:pPr>
                        <w:pStyle w:val="a4"/>
                        <w:rPr>
                          <w:sz w:val="20"/>
                          <w:szCs w:val="20"/>
                        </w:rPr>
                      </w:pPr>
                      <w:r w:rsidRPr="00272C21">
                        <w:rPr>
                          <w:rFonts w:hint="eastAsia"/>
                          <w:sz w:val="20"/>
                          <w:szCs w:val="20"/>
                        </w:rPr>
                        <w:t>図</w:t>
                      </w:r>
                      <w:r w:rsidRPr="00272C21">
                        <w:rPr>
                          <w:sz w:val="20"/>
                          <w:szCs w:val="20"/>
                        </w:rPr>
                        <w:t>6</w:t>
                      </w:r>
                      <w:r w:rsidRPr="00272C21">
                        <w:rPr>
                          <w:rFonts w:hint="eastAsia"/>
                          <w:sz w:val="20"/>
                          <w:szCs w:val="20"/>
                        </w:rPr>
                        <w:t xml:space="preserve">　思考分析支援システムのインタフェース</w:t>
                      </w:r>
                    </w:p>
                    <w:p w:rsidR="00272C21" w:rsidRPr="00272C21" w:rsidRDefault="00272C21" w:rsidP="00272C21">
                      <w:pPr>
                        <w:pStyle w:val="a5"/>
                        <w:spacing w:after="360"/>
                        <w:rPr>
                          <w:sz w:val="20"/>
                          <w:szCs w:val="20"/>
                        </w:rPr>
                      </w:pPr>
                      <w:r w:rsidRPr="00272C21">
                        <w:rPr>
                          <w:rFonts w:hint="eastAsia"/>
                          <w:sz w:val="20"/>
                          <w:szCs w:val="20"/>
                        </w:rPr>
                        <w:t xml:space="preserve">Figure </w:t>
                      </w:r>
                      <w:r w:rsidRPr="00272C21">
                        <w:rPr>
                          <w:sz w:val="20"/>
                          <w:szCs w:val="20"/>
                        </w:rPr>
                        <w:t>6</w:t>
                      </w:r>
                      <w:r w:rsidRPr="00272C21">
                        <w:rPr>
                          <w:rFonts w:hint="eastAsia"/>
                          <w:sz w:val="20"/>
                          <w:szCs w:val="20"/>
                        </w:rPr>
                        <w:t xml:space="preserve">　</w:t>
                      </w:r>
                      <w:r w:rsidRPr="00272C21">
                        <w:rPr>
                          <w:sz w:val="20"/>
                          <w:szCs w:val="20"/>
                        </w:rPr>
                        <w:t>Interface of Thinking Analysis Support System</w:t>
                      </w:r>
                      <w:r w:rsidRPr="00272C21">
                        <w:rPr>
                          <w:rFonts w:hint="eastAsia"/>
                          <w:sz w:val="20"/>
                          <w:szCs w:val="20"/>
                        </w:rPr>
                        <w:t>.</w:t>
                      </w:r>
                    </w:p>
                  </w:txbxContent>
                </v:textbox>
                <w10:wrap type="square"/>
              </v:shape>
            </w:pict>
          </mc:Fallback>
        </mc:AlternateContent>
      </w:r>
      <w:r w:rsidRPr="00612D7D">
        <w:t>容は特定の時区間をマウスで指定して拡大表示でき，その詳細を確認できる．図6の例では，セッション全体（約42分）から「1:00 – 2:00」の区間に注目して拡大表示し，ステートメントを対象とする視線区間情報を詳細に確認している状況である．マウスオーバーにより，ツールチップ画面に視線行為対象となっているアイ思知上のステートメント情報（ステートメントID: 36, 思知タグ:「結果」，根拠ステートメントID: 35，注視</w:t>
      </w:r>
      <w:r w:rsidRPr="00612D7D">
        <w:rPr>
          <w:rFonts w:hint="eastAsia"/>
        </w:rPr>
        <w:t>間隔時間）が表示されている．</w:t>
      </w:r>
    </w:p>
    <w:p w:rsidR="0099717F" w:rsidRPr="00CB572E" w:rsidRDefault="0099717F" w:rsidP="0097448B"/>
    <w:p w:rsidR="00B85EF9" w:rsidRDefault="00B85EF9" w:rsidP="00B85EF9">
      <w:r w:rsidRPr="00B85EF9">
        <w:rPr>
          <w:rFonts w:ascii="ＭＳ ゴシック" w:eastAsia="ＭＳ ゴシック" w:hAnsi="ＭＳ ゴシック"/>
        </w:rPr>
        <w:t>(2) 全体結果表示エリア</w:t>
      </w:r>
      <w:r>
        <w:t>：セッション全体を通して，各思考エリアへの注視時間やキー入力操作など，どの程度の視線行為，思考操作行為が発生していたかを総合表示するエリアであり，アイ思知ユーザが何にどの程度注目していたかが把握できるようになっている．</w:t>
      </w:r>
    </w:p>
    <w:p w:rsidR="005E7BB6" w:rsidRDefault="005E7BB6" w:rsidP="00B85EF9">
      <w:pPr>
        <w:rPr>
          <w:rFonts w:hint="eastAsia"/>
        </w:rPr>
      </w:pPr>
    </w:p>
    <w:p w:rsidR="0099717F" w:rsidRDefault="00B85EF9" w:rsidP="00B85EF9">
      <w:r w:rsidRPr="005E7BB6">
        <w:rPr>
          <w:rFonts w:ascii="ＭＳ ゴシック" w:eastAsia="ＭＳ ゴシック" w:hAnsi="ＭＳ ゴシック"/>
        </w:rPr>
        <w:t>(3) 高次解釈処理エリア</w:t>
      </w:r>
      <w:r>
        <w:t>：高次レベルの解釈表現を(1)での低次レベル解釈結果に適用することで，メタ思考レベルに持ち上げた解釈結果を表示するエリアである．</w:t>
      </w:r>
    </w:p>
    <w:p w:rsidR="0099717F" w:rsidRDefault="0099717F" w:rsidP="0097448B"/>
    <w:p w:rsidR="0099717F" w:rsidRDefault="005E7BB6" w:rsidP="005E7BB6">
      <w:pPr>
        <w:ind w:firstLineChars="100" w:firstLine="210"/>
      </w:pPr>
      <w:r>
        <w:rPr>
          <w:rFonts w:hint="eastAsia"/>
        </w:rPr>
        <w:t>高次レベルの解釈表現の設定にあたり</w:t>
      </w:r>
      <w:r w:rsidRPr="00EE2AC7">
        <w:rPr>
          <w:rFonts w:hint="eastAsia"/>
        </w:rPr>
        <w:t>分析者は，新規に作成する解釈表現名を（</w:t>
      </w:r>
      <w:r w:rsidRPr="00EE2AC7">
        <w:t>a</w:t>
      </w:r>
      <w:r w:rsidRPr="00EE2AC7">
        <w:rPr>
          <w:rFonts w:hint="eastAsia"/>
        </w:rPr>
        <w:t>）のテキストエリア</w:t>
      </w:r>
      <w:r w:rsidRPr="00EE2AC7">
        <w:rPr>
          <w:rFonts w:hint="eastAsia"/>
        </w:rPr>
        <w:lastRenderedPageBreak/>
        <w:t>に設定し，</w:t>
      </w:r>
      <w:r w:rsidRPr="00EE2AC7">
        <w:t>4.2</w:t>
      </w:r>
      <w:r w:rsidRPr="00EE2AC7">
        <w:rPr>
          <w:rFonts w:hint="eastAsia"/>
        </w:rPr>
        <w:t>節で述べた条件部に設定する関数及び，引数となる低次／高次解釈結果のラベルを（</w:t>
      </w:r>
      <w:r w:rsidRPr="00EE2AC7">
        <w:t>b</w:t>
      </w:r>
      <w:r w:rsidRPr="00EE2AC7">
        <w:rPr>
          <w:rFonts w:hint="eastAsia"/>
        </w:rPr>
        <w:t>）のコンボボックス群より選択・設定できる．ここでは，</w:t>
      </w:r>
      <w:r>
        <w:rPr>
          <w:rFonts w:hint="eastAsia"/>
        </w:rPr>
        <w:t>アイ</w:t>
      </w:r>
      <w:r w:rsidRPr="00EE2AC7">
        <w:rPr>
          <w:rFonts w:hint="eastAsia"/>
        </w:rPr>
        <w:t>思知に依存した</w:t>
      </w:r>
      <w:r w:rsidRPr="00A363A3">
        <w:rPr>
          <w:rFonts w:hint="eastAsia"/>
        </w:rPr>
        <w:t>機能</w:t>
      </w:r>
      <w:r w:rsidRPr="00EE2AC7">
        <w:rPr>
          <w:rFonts w:hint="eastAsia"/>
        </w:rPr>
        <w:t>として，引数対象が思考ステートメントである場合には，そのステートメントに付与された思知タグ，根拠対象の思知タグ，ステートメントIDを指定することができる．解釈表現は（</w:t>
      </w:r>
      <w:r w:rsidRPr="00EE2AC7">
        <w:t>c</w:t>
      </w:r>
      <w:r w:rsidRPr="00EE2AC7">
        <w:rPr>
          <w:rFonts w:hint="eastAsia"/>
        </w:rPr>
        <w:t>）のエリア</w:t>
      </w:r>
      <w:r>
        <w:rPr>
          <w:rFonts w:hint="eastAsia"/>
        </w:rPr>
        <w:t>で</w:t>
      </w:r>
      <w:r w:rsidRPr="00EE2AC7">
        <w:rPr>
          <w:rFonts w:hint="eastAsia"/>
        </w:rPr>
        <w:t>確認・追加可能であり，追加された解釈表現は，（</w:t>
      </w:r>
      <w:r w:rsidRPr="00EE2AC7">
        <w:t>d</w:t>
      </w:r>
      <w:r w:rsidRPr="00EE2AC7">
        <w:rPr>
          <w:rFonts w:hint="eastAsia"/>
        </w:rPr>
        <w:t>）の解釈表現表示</w:t>
      </w:r>
      <w:r>
        <w:rPr>
          <w:rFonts w:hint="eastAsia"/>
        </w:rPr>
        <w:t>エリア</w:t>
      </w:r>
      <w:r w:rsidRPr="00EE2AC7">
        <w:rPr>
          <w:rFonts w:hint="eastAsia"/>
        </w:rPr>
        <w:t>に追加表示される．この</w:t>
      </w:r>
      <w:r>
        <w:rPr>
          <w:rFonts w:hint="eastAsia"/>
        </w:rPr>
        <w:t>エリア</w:t>
      </w:r>
      <w:r w:rsidRPr="00EE2AC7">
        <w:rPr>
          <w:rFonts w:hint="eastAsia"/>
        </w:rPr>
        <w:t>では</w:t>
      </w:r>
      <w:r w:rsidRPr="00EE2AC7">
        <w:rPr>
          <w:rFonts w:ascii="ＭＳ ゴシック" w:eastAsia="ＭＳ ゴシック" w:hAnsi="ＭＳ ゴシック"/>
        </w:rPr>
        <w:t>(1)</w:t>
      </w:r>
      <w:r w:rsidRPr="00EE2AC7">
        <w:rPr>
          <w:rFonts w:hint="eastAsia"/>
        </w:rPr>
        <w:t>で処理される低次レベルの解釈表現を含</w:t>
      </w:r>
      <w:r>
        <w:rPr>
          <w:rFonts w:hint="eastAsia"/>
        </w:rPr>
        <w:t>む</w:t>
      </w:r>
      <w:r w:rsidRPr="00EE2AC7">
        <w:rPr>
          <w:rFonts w:hint="eastAsia"/>
        </w:rPr>
        <w:t>一覧が表示され，（</w:t>
      </w:r>
      <w:r w:rsidRPr="00EE2AC7">
        <w:t>b</w:t>
      </w:r>
      <w:r w:rsidRPr="00EE2AC7">
        <w:rPr>
          <w:rFonts w:hint="eastAsia"/>
        </w:rPr>
        <w:t>）で設定する関数の引数として利用できる．一連の解釈表現を設定した後に，適用ボタンを押すことにより，</w:t>
      </w:r>
      <w:r>
        <w:rPr>
          <w:rFonts w:hint="eastAsia"/>
        </w:rPr>
        <w:t>適用された</w:t>
      </w:r>
      <w:r w:rsidRPr="00EE2AC7">
        <w:rPr>
          <w:rFonts w:hint="eastAsia"/>
        </w:rPr>
        <w:t>解釈表現毎に区分されてタイムライン可視化画面（図8（6.</w:t>
      </w:r>
      <w:r w:rsidRPr="00EE2AC7">
        <w:t>2</w:t>
      </w:r>
      <w:r w:rsidRPr="00EE2AC7">
        <w:rPr>
          <w:rFonts w:hint="eastAsia"/>
        </w:rPr>
        <w:t>節にて詳説））に表示され</w:t>
      </w:r>
      <w:r>
        <w:rPr>
          <w:rFonts w:hint="eastAsia"/>
        </w:rPr>
        <w:t>，それらの詳細情報が（e）のエリアに示される</w:t>
      </w:r>
      <w:r w:rsidRPr="00EE2AC7">
        <w:rPr>
          <w:rFonts w:hint="eastAsia"/>
        </w:rPr>
        <w:t>．</w:t>
      </w:r>
    </w:p>
    <w:p w:rsidR="0099717F" w:rsidRDefault="0099717F" w:rsidP="0097448B"/>
    <w:p w:rsidR="0099717F" w:rsidRDefault="005E7BB6" w:rsidP="005E7BB6">
      <w:pPr>
        <w:ind w:firstLineChars="100" w:firstLine="210"/>
      </w:pPr>
      <w:r w:rsidRPr="005E7BB6">
        <w:rPr>
          <w:rFonts w:hint="eastAsia"/>
        </w:rPr>
        <w:t>このようにして，アイ思知が計測する信念対立思考の視線行為，思考操作行為に対して，準メタ認知的モニタリング／コントロール行為としての解釈を与え，高次レベルの解釈の積み上げを視覚的に把握可能とする処理が実現される．</w:t>
      </w:r>
    </w:p>
    <w:p w:rsidR="0099717F" w:rsidRDefault="0099717F" w:rsidP="0097448B"/>
    <w:p w:rsidR="0099717F" w:rsidRPr="0065621C" w:rsidRDefault="0065621C" w:rsidP="0097448B">
      <w:pPr>
        <w:rPr>
          <w:rFonts w:ascii="ＭＳ ゴシック" w:eastAsia="ＭＳ ゴシック" w:hAnsi="ＭＳ ゴシック"/>
        </w:rPr>
      </w:pPr>
      <w:r w:rsidRPr="0065621C">
        <w:rPr>
          <w:rFonts w:ascii="ＭＳ ゴシック" w:eastAsia="ＭＳ ゴシック" w:hAnsi="ＭＳ ゴシック"/>
        </w:rPr>
        <w:t>6．解釈表現に基づく思考プロセス解釈</w:t>
      </w:r>
    </w:p>
    <w:p w:rsidR="0099717F" w:rsidRDefault="00577C04" w:rsidP="00577C04">
      <w:pPr>
        <w:ind w:firstLineChars="100" w:firstLine="210"/>
        <w:rPr>
          <w:rFonts w:hint="eastAsia"/>
        </w:rPr>
      </w:pPr>
      <w:r w:rsidRPr="00EE2AC7">
        <w:rPr>
          <w:rFonts w:hint="eastAsia"/>
        </w:rPr>
        <w:t>図1に示した</w:t>
      </w:r>
      <w:r>
        <w:rPr>
          <w:rFonts w:hint="eastAsia"/>
        </w:rPr>
        <w:t>メタ思考解釈モデルが表1に示すメタ</w:t>
      </w:r>
      <w:r>
        <w:t>思考</w:t>
      </w:r>
      <w:r>
        <w:rPr>
          <w:rFonts w:hint="eastAsia"/>
        </w:rPr>
        <w:t>解釈フレームワークへと具現化され，これに基づいた思考外化アプリケーション，思考分析支援システムの開発，分析へと至り，一連のプロセスが連接</w:t>
      </w:r>
      <w:r w:rsidRPr="00EE2AC7">
        <w:rPr>
          <w:rFonts w:hint="eastAsia"/>
        </w:rPr>
        <w:t>可能となったことを確認するために，</w:t>
      </w:r>
      <w:r>
        <w:rPr>
          <w:rFonts w:hint="eastAsia"/>
        </w:rPr>
        <w:t>開発したシステムの動作例を示す．</w:t>
      </w:r>
    </w:p>
    <w:p w:rsidR="004A7E81" w:rsidRDefault="004A7E81" w:rsidP="0097448B"/>
    <w:p w:rsidR="00577C04" w:rsidRPr="00A80346" w:rsidRDefault="00A80346" w:rsidP="0097448B">
      <w:pPr>
        <w:rPr>
          <w:rFonts w:ascii="ＭＳ ゴシック" w:eastAsia="ＭＳ ゴシック" w:hAnsi="ＭＳ ゴシック"/>
        </w:rPr>
      </w:pPr>
      <w:r w:rsidRPr="00A80346">
        <w:rPr>
          <w:rFonts w:ascii="ＭＳ ゴシック" w:eastAsia="ＭＳ ゴシック" w:hAnsi="ＭＳ ゴシック"/>
        </w:rPr>
        <w:t>6.1　対象とするデータ</w:t>
      </w:r>
    </w:p>
    <w:p w:rsidR="00577C04" w:rsidRDefault="00A80346" w:rsidP="00411908">
      <w:pPr>
        <w:ind w:firstLineChars="100" w:firstLine="210"/>
      </w:pPr>
      <w:r w:rsidRPr="00EE2AC7">
        <w:t>5.2</w:t>
      </w:r>
      <w:r w:rsidRPr="00EE2AC7">
        <w:rPr>
          <w:rFonts w:hint="eastAsia"/>
        </w:rPr>
        <w:t>節で述べたアイ思知を利用して，信念対立思考における添削者のデータを収集し</w:t>
      </w:r>
      <w:r>
        <w:rPr>
          <w:rFonts w:hint="eastAsia"/>
        </w:rPr>
        <w:t>た</w:t>
      </w:r>
      <w:r w:rsidRPr="00EE2AC7">
        <w:rPr>
          <w:rFonts w:hint="eastAsia"/>
        </w:rPr>
        <w:t>（表</w:t>
      </w:r>
      <w:r w:rsidRPr="00EE2AC7">
        <w:t>1</w:t>
      </w:r>
      <w:r w:rsidRPr="00EE2AC7">
        <w:rPr>
          <w:rFonts w:hint="eastAsia"/>
        </w:rPr>
        <w:t>計測段階</w:t>
      </w:r>
      <w:r w:rsidRPr="00EE2AC7">
        <w:rPr>
          <w:rFonts w:ascii="ＭＳ ゴシック" w:eastAsia="ＭＳ ゴシック" w:hAnsi="ＭＳ ゴシック"/>
        </w:rPr>
        <w:t>(D)</w:t>
      </w:r>
      <w:r w:rsidRPr="00EE2AC7">
        <w:rPr>
          <w:rFonts w:hint="eastAsia"/>
        </w:rPr>
        <w:t>に該当）．具体的には，看護思考法育成プログラム</w:t>
      </w:r>
      <w:r>
        <w:t>[25</w:t>
      </w:r>
      <w:r w:rsidRPr="00EE2AC7">
        <w:t>]</w:t>
      </w:r>
      <w:r w:rsidRPr="00EE2AC7">
        <w:rPr>
          <w:rFonts w:hint="eastAsia"/>
        </w:rPr>
        <w:t>を機会とし，現場で抱える信念対立を題材として思知に記述された看護師の成果物（ケース）に対してアイ思知を実践利用している</w:t>
      </w:r>
      <w:r>
        <w:rPr>
          <w:rStyle w:val="a9"/>
        </w:rPr>
        <w:footnoteReference w:id="3"/>
      </w:r>
      <w:r w:rsidRPr="00EE2AC7">
        <w:rPr>
          <w:rFonts w:hint="eastAsia"/>
        </w:rPr>
        <w:t>．</w:t>
      </w:r>
    </w:p>
    <w:p w:rsidR="00577C04" w:rsidRDefault="00411908" w:rsidP="0097448B">
      <w:r>
        <w:rPr>
          <w:rFonts w:hint="eastAsia"/>
        </w:rPr>
        <w:t xml:space="preserve">　</w:t>
      </w:r>
      <w:r>
        <w:rPr>
          <w:rFonts w:hint="eastAsia"/>
        </w:rPr>
        <w:t>この教育プログラムにおいて</w:t>
      </w:r>
      <w:r w:rsidRPr="00EE2AC7">
        <w:rPr>
          <w:rFonts w:hint="eastAsia"/>
        </w:rPr>
        <w:t>添削者は，信念対立を契機とした知識創造を志向するため</w:t>
      </w:r>
      <w:r>
        <w:rPr>
          <w:rFonts w:hint="eastAsia"/>
        </w:rPr>
        <w:t>の</w:t>
      </w:r>
      <w:r w:rsidRPr="00EE2AC7">
        <w:rPr>
          <w:rFonts w:hint="eastAsia"/>
        </w:rPr>
        <w:t>重要な思考スキルの一つである，筋</w:t>
      </w:r>
      <w:r>
        <w:rPr>
          <w:rFonts w:hint="eastAsia"/>
        </w:rPr>
        <w:t>の通った</w:t>
      </w:r>
      <w:r w:rsidRPr="00EE2AC7">
        <w:rPr>
          <w:rFonts w:hint="eastAsia"/>
        </w:rPr>
        <w:t>論理構造</w:t>
      </w:r>
      <w:r>
        <w:rPr>
          <w:rFonts w:hint="eastAsia"/>
        </w:rPr>
        <w:t>が形成され</w:t>
      </w:r>
      <w:r w:rsidRPr="00EE2AC7">
        <w:rPr>
          <w:rFonts w:hint="eastAsia"/>
        </w:rPr>
        <w:t>葛藤に至っているかを評価する方針のもとで添削</w:t>
      </w:r>
      <w:r>
        <w:rPr>
          <w:rFonts w:hint="eastAsia"/>
        </w:rPr>
        <w:t>を行っている</w:t>
      </w:r>
      <w:r w:rsidRPr="00EE2AC7">
        <w:rPr>
          <w:rFonts w:hint="eastAsia"/>
        </w:rPr>
        <w:t>．</w:t>
      </w:r>
      <w:r>
        <w:rPr>
          <w:rFonts w:hint="eastAsia"/>
        </w:rPr>
        <w:t>このような</w:t>
      </w:r>
      <w:r w:rsidRPr="00EE2AC7">
        <w:rPr>
          <w:rFonts w:hint="eastAsia"/>
        </w:rPr>
        <w:t>状況では，成果物を添削するという目的のもとで</w:t>
      </w:r>
      <w:r>
        <w:rPr>
          <w:rFonts w:hint="eastAsia"/>
        </w:rPr>
        <w:t>の</w:t>
      </w:r>
      <w:r w:rsidRPr="00EE2AC7">
        <w:rPr>
          <w:rFonts w:hint="eastAsia"/>
        </w:rPr>
        <w:t>メタ認知的モニタリング・コントロール</w:t>
      </w:r>
      <w:r>
        <w:rPr>
          <w:rFonts w:hint="eastAsia"/>
        </w:rPr>
        <w:t>が</w:t>
      </w:r>
      <w:r w:rsidRPr="00EE2AC7">
        <w:rPr>
          <w:rFonts w:hint="eastAsia"/>
        </w:rPr>
        <w:t>実施される</w:t>
      </w:r>
      <w:r>
        <w:rPr>
          <w:rFonts w:hint="eastAsia"/>
        </w:rPr>
        <w:t>ため</w:t>
      </w:r>
      <w:r w:rsidRPr="00EE2AC7">
        <w:rPr>
          <w:rFonts w:hint="eastAsia"/>
        </w:rPr>
        <w:t>，このメタ思考の一端が，準メタ認知的モニタリング・コントロールとしての視線行為と添削行為（思考操作行為）</w:t>
      </w:r>
      <w:r>
        <w:rPr>
          <w:rFonts w:hint="eastAsia"/>
        </w:rPr>
        <w:t>として</w:t>
      </w:r>
      <w:r w:rsidRPr="00EE2AC7">
        <w:rPr>
          <w:rFonts w:hint="eastAsia"/>
        </w:rPr>
        <w:t>表出されると考えられる．</w:t>
      </w:r>
      <w:r>
        <w:rPr>
          <w:rFonts w:hint="eastAsia"/>
        </w:rPr>
        <w:t>なお</w:t>
      </w:r>
      <w:r w:rsidRPr="00EE2AC7">
        <w:rPr>
          <w:rFonts w:hint="eastAsia"/>
        </w:rPr>
        <w:t>添削に際して</w:t>
      </w:r>
      <w:r>
        <w:rPr>
          <w:rFonts w:hint="eastAsia"/>
        </w:rPr>
        <w:t>は</w:t>
      </w:r>
      <w:r w:rsidRPr="00EE2AC7">
        <w:rPr>
          <w:rFonts w:hint="eastAsia"/>
        </w:rPr>
        <w:t>，</w:t>
      </w:r>
      <w:r>
        <w:rPr>
          <w:rFonts w:hint="eastAsia"/>
        </w:rPr>
        <w:t>通常のプログラム通り</w:t>
      </w:r>
      <w:r w:rsidRPr="00EE2AC7">
        <w:rPr>
          <w:rFonts w:hint="eastAsia"/>
        </w:rPr>
        <w:t>終了時間</w:t>
      </w:r>
      <w:r>
        <w:rPr>
          <w:rFonts w:hint="eastAsia"/>
        </w:rPr>
        <w:t>は</w:t>
      </w:r>
      <w:r w:rsidRPr="00EE2AC7">
        <w:rPr>
          <w:rFonts w:hint="eastAsia"/>
        </w:rPr>
        <w:t>設けず，添削者が納得するまで添削を実施し</w:t>
      </w:r>
      <w:r>
        <w:rPr>
          <w:rFonts w:hint="eastAsia"/>
        </w:rPr>
        <w:t>た</w:t>
      </w:r>
      <w:r w:rsidRPr="00EE2AC7">
        <w:rPr>
          <w:rFonts w:hint="eastAsia"/>
        </w:rPr>
        <w:t>．</w:t>
      </w:r>
    </w:p>
    <w:p w:rsidR="00577C04" w:rsidRDefault="00577C04" w:rsidP="0097448B"/>
    <w:p w:rsidR="00577C04" w:rsidRPr="000358C8" w:rsidRDefault="000358C8" w:rsidP="0097448B">
      <w:pPr>
        <w:rPr>
          <w:rFonts w:ascii="ＭＳ ゴシック" w:eastAsia="ＭＳ ゴシック" w:hAnsi="ＭＳ ゴシック"/>
        </w:rPr>
      </w:pPr>
      <w:r w:rsidRPr="000358C8">
        <w:rPr>
          <w:rFonts w:ascii="ＭＳ ゴシック" w:eastAsia="ＭＳ ゴシック" w:hAnsi="ＭＳ ゴシック"/>
        </w:rPr>
        <w:t>6.2　解釈表現の適用結果</w:t>
      </w:r>
    </w:p>
    <w:p w:rsidR="00577C04" w:rsidRDefault="000358C8" w:rsidP="000358C8">
      <w:pPr>
        <w:ind w:firstLineChars="100" w:firstLine="210"/>
      </w:pPr>
      <w:r w:rsidRPr="00EE2AC7">
        <w:rPr>
          <w:rFonts w:hint="eastAsia"/>
        </w:rPr>
        <w:t>表</w:t>
      </w:r>
      <w:r w:rsidRPr="00EE2AC7">
        <w:t>1</w:t>
      </w:r>
      <w:r>
        <w:rPr>
          <w:rFonts w:hint="eastAsia"/>
        </w:rPr>
        <w:t>分析段階</w:t>
      </w:r>
      <w:r w:rsidRPr="00EE2AC7">
        <w:rPr>
          <w:rFonts w:ascii="ＭＳ ゴシック" w:eastAsia="ＭＳ ゴシック" w:hAnsi="ＭＳ ゴシック"/>
        </w:rPr>
        <w:t>(E)</w:t>
      </w:r>
      <w:r w:rsidRPr="00EE2AC7">
        <w:rPr>
          <w:rFonts w:hint="eastAsia"/>
        </w:rPr>
        <w:t>の</w:t>
      </w:r>
      <w:r>
        <w:rPr>
          <w:rFonts w:hint="eastAsia"/>
        </w:rPr>
        <w:t>例示</w:t>
      </w:r>
      <w:r w:rsidRPr="00EE2AC7">
        <w:rPr>
          <w:rFonts w:hint="eastAsia"/>
        </w:rPr>
        <w:t>として，</w:t>
      </w:r>
      <w:r>
        <w:rPr>
          <w:rFonts w:hint="eastAsia"/>
        </w:rPr>
        <w:t>ケース添削データに対する低次レベルの解釈表現の適用結果（可視化画面の一部）を図7に示す．</w:t>
      </w:r>
      <w:r w:rsidRPr="00EE2AC7">
        <w:rPr>
          <w:rFonts w:hint="eastAsia"/>
        </w:rPr>
        <w:t>この例では，</w:t>
      </w:r>
      <w:r>
        <w:rPr>
          <w:rFonts w:hint="eastAsia"/>
        </w:rPr>
        <w:t>オントロジーで規定されたベース思考概念と思考表現オブジェクトの対応に基づいた，</w:t>
      </w:r>
      <w:r w:rsidRPr="00EE2AC7">
        <w:rPr>
          <w:rFonts w:hint="eastAsia"/>
        </w:rPr>
        <w:t>表3に示される</w:t>
      </w:r>
      <w:r>
        <w:t>4</w:t>
      </w:r>
      <w:r w:rsidRPr="00EE2AC7">
        <w:rPr>
          <w:rFonts w:hint="eastAsia"/>
        </w:rPr>
        <w:t>種の低次解釈表現を適用している．タイムラインでは</w:t>
      </w:r>
      <w:r>
        <w:rPr>
          <w:rFonts w:hint="eastAsia"/>
        </w:rPr>
        <w:t>それぞれの解釈表現に対応して</w:t>
      </w:r>
      <w:r w:rsidRPr="00EE2AC7">
        <w:rPr>
          <w:rFonts w:hint="eastAsia"/>
        </w:rPr>
        <w:t>，①</w:t>
      </w:r>
      <w:r w:rsidRPr="00EE2AC7">
        <w:t xml:space="preserve"> 4</w:t>
      </w:r>
      <w:r w:rsidRPr="00EE2AC7">
        <w:rPr>
          <w:rFonts w:hint="eastAsia"/>
        </w:rPr>
        <w:t>つの</w:t>
      </w:r>
      <w:r>
        <w:rPr>
          <w:rFonts w:hint="eastAsia"/>
        </w:rPr>
        <w:t>思考エリアそれぞれの</w:t>
      </w:r>
      <w:r w:rsidRPr="00EE2AC7">
        <w:rPr>
          <w:rFonts w:hint="eastAsia"/>
        </w:rPr>
        <w:t>理解（</w:t>
      </w:r>
      <w:r w:rsidRPr="00EE2AC7">
        <w:rPr>
          <w:i/>
        </w:rPr>
        <w:t>lr</w:t>
      </w:r>
      <w:r w:rsidRPr="00EE2AC7">
        <w:rPr>
          <w:i/>
          <w:vertAlign w:val="subscript"/>
        </w:rPr>
        <w:t>1</w:t>
      </w:r>
      <w:r w:rsidRPr="00EE2AC7">
        <w:rPr>
          <w:rFonts w:hint="eastAsia"/>
        </w:rPr>
        <w:t>），②</w:t>
      </w:r>
      <w:r w:rsidRPr="00EE2AC7">
        <w:t xml:space="preserve"> </w:t>
      </w:r>
      <w:r w:rsidRPr="00EE2AC7">
        <w:rPr>
          <w:rFonts w:hint="eastAsia"/>
        </w:rPr>
        <w:t>葛藤</w:t>
      </w:r>
      <w:r>
        <w:rPr>
          <w:rFonts w:hint="eastAsia"/>
        </w:rPr>
        <w:t>エリアの</w:t>
      </w:r>
      <w:r w:rsidRPr="00EE2AC7">
        <w:rPr>
          <w:rFonts w:hint="eastAsia"/>
        </w:rPr>
        <w:t>思考内容の理解（</w:t>
      </w:r>
      <w:r w:rsidRPr="00EE2AC7">
        <w:rPr>
          <w:i/>
        </w:rPr>
        <w:t>lr</w:t>
      </w:r>
      <w:r w:rsidRPr="00EE2AC7">
        <w:rPr>
          <w:i/>
          <w:vertAlign w:val="subscript"/>
        </w:rPr>
        <w:t>2</w:t>
      </w:r>
      <w:r w:rsidRPr="00EE2AC7">
        <w:rPr>
          <w:rFonts w:hint="eastAsia"/>
        </w:rPr>
        <w:t>：思考Aの指針ステートメント，思考Bの指針ステートメント，葛藤テキスト），③</w:t>
      </w:r>
      <w:r w:rsidRPr="00EE2AC7">
        <w:t xml:space="preserve"> </w:t>
      </w:r>
      <w:r>
        <w:rPr>
          <w:rFonts w:hint="eastAsia"/>
        </w:rPr>
        <w:t>ステートメ</w:t>
      </w:r>
      <w:r>
        <w:rPr>
          <w:rFonts w:hint="eastAsia"/>
        </w:rPr>
        <w:lastRenderedPageBreak/>
        <w:t>ント内容の理解</w:t>
      </w:r>
      <w:r w:rsidRPr="00EE2AC7">
        <w:rPr>
          <w:rFonts w:hint="eastAsia"/>
        </w:rPr>
        <w:t>（</w:t>
      </w:r>
      <w:r w:rsidRPr="00EE2AC7">
        <w:rPr>
          <w:i/>
        </w:rPr>
        <w:t>lr</w:t>
      </w:r>
      <w:r w:rsidRPr="00EE2AC7">
        <w:rPr>
          <w:i/>
          <w:vertAlign w:val="subscript"/>
        </w:rPr>
        <w:t>3</w:t>
      </w:r>
      <w:r w:rsidRPr="00EE2AC7">
        <w:rPr>
          <w:rFonts w:hint="eastAsia"/>
        </w:rPr>
        <w:t>）</w:t>
      </w:r>
      <w:r>
        <w:rPr>
          <w:rFonts w:hint="eastAsia"/>
        </w:rPr>
        <w:t>，</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3"/>
          </mc:Choice>
          <mc:Fallback>
            <w:t>④</w:t>
          </mc:Fallback>
        </mc:AlternateContent>
      </w:r>
      <w:r>
        <w:t xml:space="preserve"> </w:t>
      </w:r>
      <w:r w:rsidRPr="00EE2AC7">
        <w:rPr>
          <w:rFonts w:hint="eastAsia"/>
        </w:rPr>
        <w:t>キーボードにより任意のステートメントテキストが編集された区間（</w:t>
      </w:r>
      <w:r w:rsidRPr="00EE2AC7">
        <w:rPr>
          <w:i/>
        </w:rPr>
        <w:t>lr</w:t>
      </w:r>
      <w:r>
        <w:rPr>
          <w:i/>
          <w:vertAlign w:val="subscript"/>
        </w:rPr>
        <w:t>4</w:t>
      </w:r>
      <w:r w:rsidRPr="00EE2AC7">
        <w:rPr>
          <w:rFonts w:hint="eastAsia"/>
        </w:rPr>
        <w:t>）が示されている．</w:t>
      </w:r>
    </w:p>
    <w:p w:rsidR="00A80346" w:rsidRDefault="00E90938" w:rsidP="0097448B">
      <w:r w:rsidRPr="00EE2AC7">
        <w:rPr>
          <w:noProof/>
          <w:sz w:val="22"/>
        </w:rPr>
        <mc:AlternateContent>
          <mc:Choice Requires="wps">
            <w:drawing>
              <wp:anchor distT="0" distB="0" distL="114300" distR="114300" simplePos="0" relativeHeight="251675648" behindDoc="0" locked="0" layoutInCell="1" allowOverlap="1" wp14:anchorId="0FCA8A87" wp14:editId="68310607">
                <wp:simplePos x="0" y="0"/>
                <wp:positionH relativeFrom="margin">
                  <wp:posOffset>0</wp:posOffset>
                </wp:positionH>
                <wp:positionV relativeFrom="margin">
                  <wp:posOffset>49530</wp:posOffset>
                </wp:positionV>
                <wp:extent cx="6210300" cy="3943350"/>
                <wp:effectExtent l="0" t="0" r="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6210300" cy="3943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90938" w:rsidRDefault="00E90938" w:rsidP="00E90938">
                            <w:pPr>
                              <w:ind w:leftChars="82" w:left="172" w:firstLine="1"/>
                              <w:jc w:val="left"/>
                            </w:pPr>
                            <w:r w:rsidRPr="00FC3045">
                              <w:rPr>
                                <w:noProof/>
                              </w:rPr>
                              <w:drawing>
                                <wp:inline distT="0" distB="0" distL="0" distR="0" wp14:anchorId="4169BF0D" wp14:editId="10D3266C">
                                  <wp:extent cx="4702957" cy="593678"/>
                                  <wp:effectExtent l="0" t="0" r="2540" b="0"/>
                                  <wp:docPr id="6" name="図 6" descr="C:\Users\troika\Desktop\legend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esktop\legend_timelin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1553" cy="618748"/>
                                          </a:xfrm>
                                          <a:prstGeom prst="rect">
                                            <a:avLst/>
                                          </a:prstGeom>
                                          <a:noFill/>
                                          <a:ln>
                                            <a:noFill/>
                                          </a:ln>
                                        </pic:spPr>
                                      </pic:pic>
                                    </a:graphicData>
                                  </a:graphic>
                                </wp:inline>
                              </w:drawing>
                            </w:r>
                          </w:p>
                          <w:p w:rsidR="00E90938" w:rsidRDefault="00E90938" w:rsidP="00E90938">
                            <w:pPr>
                              <w:ind w:leftChars="82" w:left="172" w:firstLine="1"/>
                              <w:jc w:val="left"/>
                            </w:pPr>
                            <w:r w:rsidRPr="00B262A8">
                              <w:rPr>
                                <w:noProof/>
                              </w:rPr>
                              <w:drawing>
                                <wp:inline distT="0" distB="0" distL="0" distR="0" wp14:anchorId="0F75C8C4" wp14:editId="34A3BE47">
                                  <wp:extent cx="5730301" cy="682388"/>
                                  <wp:effectExtent l="19050" t="19050" r="22860" b="22860"/>
                                  <wp:docPr id="12" name="図 12" descr="C:\Users\troika\Desktop\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ika\Desktop\tim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5419" cy="698478"/>
                                          </a:xfrm>
                                          <a:prstGeom prst="rect">
                                            <a:avLst/>
                                          </a:prstGeom>
                                          <a:noFill/>
                                          <a:ln w="6350">
                                            <a:solidFill>
                                              <a:schemeClr val="tx1"/>
                                            </a:solidFill>
                                          </a:ln>
                                        </pic:spPr>
                                      </pic:pic>
                                    </a:graphicData>
                                  </a:graphic>
                                </wp:inline>
                              </w:drawing>
                            </w:r>
                          </w:p>
                          <w:p w:rsidR="00E90938" w:rsidRDefault="00E90938" w:rsidP="00E90938">
                            <w:pPr>
                              <w:ind w:leftChars="82" w:left="172" w:firstLine="1"/>
                              <w:jc w:val="left"/>
                            </w:pPr>
                            <w:r w:rsidRPr="00B262A8">
                              <w:rPr>
                                <w:noProof/>
                              </w:rPr>
                              <w:drawing>
                                <wp:inline distT="0" distB="0" distL="0" distR="0" wp14:anchorId="08C770AE" wp14:editId="663A703E">
                                  <wp:extent cx="5741840" cy="692296"/>
                                  <wp:effectExtent l="19050" t="19050" r="11430" b="12700"/>
                                  <wp:docPr id="19" name="図 19" descr="C:\Users\troika\Desktop\ti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ika\Desktop\tim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3471" cy="720224"/>
                                          </a:xfrm>
                                          <a:prstGeom prst="rect">
                                            <a:avLst/>
                                          </a:prstGeom>
                                          <a:noFill/>
                                          <a:ln w="6350">
                                            <a:solidFill>
                                              <a:schemeClr val="tx1"/>
                                            </a:solidFill>
                                          </a:ln>
                                        </pic:spPr>
                                      </pic:pic>
                                    </a:graphicData>
                                  </a:graphic>
                                </wp:inline>
                              </w:drawing>
                            </w:r>
                          </w:p>
                          <w:p w:rsidR="00E90938" w:rsidRDefault="00E90938" w:rsidP="00E90938">
                            <w:pPr>
                              <w:ind w:leftChars="82" w:left="172" w:firstLine="1"/>
                              <w:jc w:val="left"/>
                            </w:pPr>
                            <w:r w:rsidRPr="00B262A8">
                              <w:rPr>
                                <w:noProof/>
                              </w:rPr>
                              <w:drawing>
                                <wp:inline distT="0" distB="0" distL="0" distR="0" wp14:anchorId="6AF0DABB" wp14:editId="35041A77">
                                  <wp:extent cx="5754886" cy="691018"/>
                                  <wp:effectExtent l="19050" t="19050" r="17780" b="13970"/>
                                  <wp:docPr id="22" name="図 22" descr="C:\Users\troika\Desktop\ti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ika\Desktop\tim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9565" cy="717996"/>
                                          </a:xfrm>
                                          <a:prstGeom prst="rect">
                                            <a:avLst/>
                                          </a:prstGeom>
                                          <a:noFill/>
                                          <a:ln w="6350">
                                            <a:solidFill>
                                              <a:schemeClr val="tx1"/>
                                            </a:solidFill>
                                          </a:ln>
                                        </pic:spPr>
                                      </pic:pic>
                                    </a:graphicData>
                                  </a:graphic>
                                </wp:inline>
                              </w:drawing>
                            </w:r>
                          </w:p>
                          <w:p w:rsidR="00E90938" w:rsidRPr="00E90938" w:rsidRDefault="00E90938" w:rsidP="00E90938">
                            <w:pPr>
                              <w:pStyle w:val="a4"/>
                              <w:rPr>
                                <w:sz w:val="20"/>
                                <w:szCs w:val="20"/>
                              </w:rPr>
                            </w:pPr>
                            <w:r w:rsidRPr="00E90938">
                              <w:rPr>
                                <w:rFonts w:hint="eastAsia"/>
                                <w:sz w:val="20"/>
                                <w:szCs w:val="20"/>
                              </w:rPr>
                              <w:t>図</w:t>
                            </w:r>
                            <w:r w:rsidRPr="00E90938">
                              <w:rPr>
                                <w:sz w:val="20"/>
                                <w:szCs w:val="20"/>
                              </w:rPr>
                              <w:t>7</w:t>
                            </w:r>
                            <w:r w:rsidRPr="00E90938">
                              <w:rPr>
                                <w:rFonts w:hint="eastAsia"/>
                                <w:sz w:val="20"/>
                                <w:szCs w:val="20"/>
                              </w:rPr>
                              <w:t xml:space="preserve">　低次レベル解釈表現の適用結果例</w:t>
                            </w:r>
                          </w:p>
                          <w:p w:rsidR="00E90938" w:rsidRPr="00E90938" w:rsidRDefault="00E90938" w:rsidP="00E90938">
                            <w:pPr>
                              <w:pStyle w:val="a5"/>
                              <w:spacing w:after="360"/>
                              <w:rPr>
                                <w:sz w:val="20"/>
                                <w:szCs w:val="20"/>
                              </w:rPr>
                            </w:pPr>
                            <w:r w:rsidRPr="00E90938">
                              <w:rPr>
                                <w:rFonts w:hint="eastAsia"/>
                                <w:sz w:val="20"/>
                                <w:szCs w:val="20"/>
                              </w:rPr>
                              <w:t xml:space="preserve">Figure </w:t>
                            </w:r>
                            <w:r w:rsidRPr="00E90938">
                              <w:rPr>
                                <w:sz w:val="20"/>
                                <w:szCs w:val="20"/>
                              </w:rPr>
                              <w:t>7</w:t>
                            </w:r>
                            <w:r w:rsidRPr="00E90938">
                              <w:rPr>
                                <w:rFonts w:hint="eastAsia"/>
                                <w:sz w:val="20"/>
                                <w:szCs w:val="20"/>
                              </w:rPr>
                              <w:t xml:space="preserve">　</w:t>
                            </w:r>
                            <w:r w:rsidRPr="00E90938">
                              <w:rPr>
                                <w:sz w:val="20"/>
                                <w:szCs w:val="20"/>
                              </w:rPr>
                              <w:t xml:space="preserve"> Result Examples of Applied Low-level Interpretation Representations</w:t>
                            </w:r>
                            <w:r w:rsidRPr="00E90938">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8A87" id="テキスト ボックス 5" o:spid="_x0000_s1034" type="#_x0000_t202" style="position:absolute;left:0;text-align:left;margin-left:0;margin-top:3.9pt;width:489pt;height:31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" filled="f" stroked="f">
                <v:textbox>
                  <w:txbxContent>
                    <w:p w:rsidR="00E90938" w:rsidRDefault="00E90938" w:rsidP="00E90938">
                      <w:pPr>
                        <w:ind w:leftChars="82" w:left="172" w:firstLine="1"/>
                        <w:jc w:val="left"/>
                      </w:pPr>
                      <w:r w:rsidRPr="00FC3045">
                        <w:rPr>
                          <w:noProof/>
                        </w:rPr>
                        <w:drawing>
                          <wp:inline distT="0" distB="0" distL="0" distR="0" wp14:anchorId="4169BF0D" wp14:editId="10D3266C">
                            <wp:extent cx="4702957" cy="593678"/>
                            <wp:effectExtent l="0" t="0" r="2540" b="0"/>
                            <wp:docPr id="6" name="図 6" descr="C:\Users\troika\Desktop\legend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ika\Desktop\legend_timelin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1553" cy="618748"/>
                                    </a:xfrm>
                                    <a:prstGeom prst="rect">
                                      <a:avLst/>
                                    </a:prstGeom>
                                    <a:noFill/>
                                    <a:ln>
                                      <a:noFill/>
                                    </a:ln>
                                  </pic:spPr>
                                </pic:pic>
                              </a:graphicData>
                            </a:graphic>
                          </wp:inline>
                        </w:drawing>
                      </w:r>
                    </w:p>
                    <w:p w:rsidR="00E90938" w:rsidRDefault="00E90938" w:rsidP="00E90938">
                      <w:pPr>
                        <w:ind w:leftChars="82" w:left="172" w:firstLine="1"/>
                        <w:jc w:val="left"/>
                      </w:pPr>
                      <w:r w:rsidRPr="00B262A8">
                        <w:rPr>
                          <w:noProof/>
                        </w:rPr>
                        <w:drawing>
                          <wp:inline distT="0" distB="0" distL="0" distR="0" wp14:anchorId="0F75C8C4" wp14:editId="34A3BE47">
                            <wp:extent cx="5730301" cy="682388"/>
                            <wp:effectExtent l="19050" t="19050" r="22860" b="22860"/>
                            <wp:docPr id="12" name="図 12" descr="C:\Users\troika\Desktop\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ika\Desktop\tim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5419" cy="698478"/>
                                    </a:xfrm>
                                    <a:prstGeom prst="rect">
                                      <a:avLst/>
                                    </a:prstGeom>
                                    <a:noFill/>
                                    <a:ln w="6350">
                                      <a:solidFill>
                                        <a:schemeClr val="tx1"/>
                                      </a:solidFill>
                                    </a:ln>
                                  </pic:spPr>
                                </pic:pic>
                              </a:graphicData>
                            </a:graphic>
                          </wp:inline>
                        </w:drawing>
                      </w:r>
                    </w:p>
                    <w:p w:rsidR="00E90938" w:rsidRDefault="00E90938" w:rsidP="00E90938">
                      <w:pPr>
                        <w:ind w:leftChars="82" w:left="172" w:firstLine="1"/>
                        <w:jc w:val="left"/>
                      </w:pPr>
                      <w:r w:rsidRPr="00B262A8">
                        <w:rPr>
                          <w:noProof/>
                        </w:rPr>
                        <w:drawing>
                          <wp:inline distT="0" distB="0" distL="0" distR="0" wp14:anchorId="08C770AE" wp14:editId="663A703E">
                            <wp:extent cx="5741840" cy="692296"/>
                            <wp:effectExtent l="19050" t="19050" r="11430" b="12700"/>
                            <wp:docPr id="19" name="図 19" descr="C:\Users\troika\Desktop\ti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ika\Desktop\tim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3471" cy="720224"/>
                                    </a:xfrm>
                                    <a:prstGeom prst="rect">
                                      <a:avLst/>
                                    </a:prstGeom>
                                    <a:noFill/>
                                    <a:ln w="6350">
                                      <a:solidFill>
                                        <a:schemeClr val="tx1"/>
                                      </a:solidFill>
                                    </a:ln>
                                  </pic:spPr>
                                </pic:pic>
                              </a:graphicData>
                            </a:graphic>
                          </wp:inline>
                        </w:drawing>
                      </w:r>
                    </w:p>
                    <w:p w:rsidR="00E90938" w:rsidRDefault="00E90938" w:rsidP="00E90938">
                      <w:pPr>
                        <w:ind w:leftChars="82" w:left="172" w:firstLine="1"/>
                        <w:jc w:val="left"/>
                      </w:pPr>
                      <w:r w:rsidRPr="00B262A8">
                        <w:rPr>
                          <w:noProof/>
                        </w:rPr>
                        <w:drawing>
                          <wp:inline distT="0" distB="0" distL="0" distR="0" wp14:anchorId="6AF0DABB" wp14:editId="35041A77">
                            <wp:extent cx="5754886" cy="691018"/>
                            <wp:effectExtent l="19050" t="19050" r="17780" b="13970"/>
                            <wp:docPr id="22" name="図 22" descr="C:\Users\troika\Desktop\ti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ika\Desktop\tim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9565" cy="717996"/>
                                    </a:xfrm>
                                    <a:prstGeom prst="rect">
                                      <a:avLst/>
                                    </a:prstGeom>
                                    <a:noFill/>
                                    <a:ln w="6350">
                                      <a:solidFill>
                                        <a:schemeClr val="tx1"/>
                                      </a:solidFill>
                                    </a:ln>
                                  </pic:spPr>
                                </pic:pic>
                              </a:graphicData>
                            </a:graphic>
                          </wp:inline>
                        </w:drawing>
                      </w:r>
                    </w:p>
                    <w:p w:rsidR="00E90938" w:rsidRPr="00E90938" w:rsidRDefault="00E90938" w:rsidP="00E90938">
                      <w:pPr>
                        <w:pStyle w:val="a4"/>
                        <w:rPr>
                          <w:sz w:val="20"/>
                          <w:szCs w:val="20"/>
                        </w:rPr>
                      </w:pPr>
                      <w:r w:rsidRPr="00E90938">
                        <w:rPr>
                          <w:rFonts w:hint="eastAsia"/>
                          <w:sz w:val="20"/>
                          <w:szCs w:val="20"/>
                        </w:rPr>
                        <w:t>図</w:t>
                      </w:r>
                      <w:r w:rsidRPr="00E90938">
                        <w:rPr>
                          <w:sz w:val="20"/>
                          <w:szCs w:val="20"/>
                        </w:rPr>
                        <w:t>7</w:t>
                      </w:r>
                      <w:r w:rsidRPr="00E90938">
                        <w:rPr>
                          <w:rFonts w:hint="eastAsia"/>
                          <w:sz w:val="20"/>
                          <w:szCs w:val="20"/>
                        </w:rPr>
                        <w:t xml:space="preserve">　低次レベル解釈表現の適用結果例</w:t>
                      </w:r>
                    </w:p>
                    <w:p w:rsidR="00E90938" w:rsidRPr="00E90938" w:rsidRDefault="00E90938" w:rsidP="00E90938">
                      <w:pPr>
                        <w:pStyle w:val="a5"/>
                        <w:spacing w:after="360"/>
                        <w:rPr>
                          <w:sz w:val="20"/>
                          <w:szCs w:val="20"/>
                        </w:rPr>
                      </w:pPr>
                      <w:r w:rsidRPr="00E90938">
                        <w:rPr>
                          <w:rFonts w:hint="eastAsia"/>
                          <w:sz w:val="20"/>
                          <w:szCs w:val="20"/>
                        </w:rPr>
                        <w:t xml:space="preserve">Figure </w:t>
                      </w:r>
                      <w:r w:rsidRPr="00E90938">
                        <w:rPr>
                          <w:sz w:val="20"/>
                          <w:szCs w:val="20"/>
                        </w:rPr>
                        <w:t>7</w:t>
                      </w:r>
                      <w:r w:rsidRPr="00E90938">
                        <w:rPr>
                          <w:rFonts w:hint="eastAsia"/>
                          <w:sz w:val="20"/>
                          <w:szCs w:val="20"/>
                        </w:rPr>
                        <w:t xml:space="preserve">　</w:t>
                      </w:r>
                      <w:r w:rsidRPr="00E90938">
                        <w:rPr>
                          <w:sz w:val="20"/>
                          <w:szCs w:val="20"/>
                        </w:rPr>
                        <w:t xml:space="preserve"> Result Examples of Applied Low-level Interpretation Representations</w:t>
                      </w:r>
                      <w:r w:rsidRPr="00E90938">
                        <w:rPr>
                          <w:rFonts w:hint="eastAsia"/>
                          <w:sz w:val="20"/>
                          <w:szCs w:val="20"/>
                        </w:rPr>
                        <w:t>.</w:t>
                      </w:r>
                    </w:p>
                  </w:txbxContent>
                </v:textbox>
                <w10:wrap type="square" anchorx="margin" anchory="margin"/>
              </v:shape>
            </w:pict>
          </mc:Fallback>
        </mc:AlternateContent>
      </w:r>
      <w:r w:rsidR="000358C8">
        <w:rPr>
          <w:rFonts w:hint="eastAsia"/>
        </w:rPr>
        <w:t xml:space="preserve">　</w:t>
      </w:r>
      <w:r w:rsidR="000358C8" w:rsidRPr="00EE2AC7">
        <w:rPr>
          <w:rFonts w:hint="eastAsia"/>
        </w:rPr>
        <w:t>①，②のタイムライン可視化結果より，添削者は混沌とした視線移動をするのではなく，思考エリア各々に対してある程度の時間をかけ，</w:t>
      </w:r>
      <w:r w:rsidR="000358C8">
        <w:rPr>
          <w:rFonts w:hint="eastAsia"/>
        </w:rPr>
        <w:t>他者（</w:t>
      </w:r>
      <w:r w:rsidR="000358C8" w:rsidRPr="00EE2AC7">
        <w:rPr>
          <w:rFonts w:hint="eastAsia"/>
        </w:rPr>
        <w:t>看護師</w:t>
      </w:r>
      <w:r w:rsidR="000358C8">
        <w:rPr>
          <w:rFonts w:hint="eastAsia"/>
        </w:rPr>
        <w:t>）が記述した思考を把握・修正している様子が見てとれる</w:t>
      </w:r>
      <w:r w:rsidR="000358C8" w:rsidRPr="00EE2AC7">
        <w:rPr>
          <w:rFonts w:hint="eastAsia"/>
        </w:rPr>
        <w:t>．また，ここで示した</w:t>
      </w:r>
      <w:r w:rsidR="000358C8">
        <w:rPr>
          <w:rFonts w:hint="eastAsia"/>
        </w:rPr>
        <w:t>４</w:t>
      </w:r>
      <w:r w:rsidR="000358C8" w:rsidRPr="00EE2AC7">
        <w:rPr>
          <w:rFonts w:hint="eastAsia"/>
        </w:rPr>
        <w:t>事例では，添削開始直後に葛藤エリア（紫色）に記述された内容を理解する作業から</w:t>
      </w:r>
      <w:r w:rsidR="000358C8">
        <w:rPr>
          <w:rFonts w:hint="eastAsia"/>
        </w:rPr>
        <w:t>葛藤の掘り下げに至る論理構造の把握を</w:t>
      </w:r>
      <w:r w:rsidR="000358C8" w:rsidRPr="00EE2AC7">
        <w:rPr>
          <w:rFonts w:hint="eastAsia"/>
        </w:rPr>
        <w:t>始めていることも</w:t>
      </w:r>
      <w:r w:rsidR="000358C8">
        <w:rPr>
          <w:rFonts w:hint="eastAsia"/>
        </w:rPr>
        <w:t>見てとれる</w:t>
      </w:r>
      <w:r w:rsidR="000358C8" w:rsidRPr="00EE2AC7">
        <w:rPr>
          <w:rFonts w:hint="eastAsia"/>
        </w:rPr>
        <w:t>．</w:t>
      </w:r>
    </w:p>
    <w:p w:rsidR="00A80346" w:rsidRDefault="000358C8" w:rsidP="0097448B">
      <w:r>
        <w:rPr>
          <w:rFonts w:hint="eastAsia"/>
        </w:rPr>
        <w:t xml:space="preserve">　</w:t>
      </w:r>
      <w:r w:rsidRPr="00EE2AC7">
        <w:rPr>
          <w:rFonts w:hint="eastAsia"/>
        </w:rPr>
        <w:t>図8に高次レベルの解釈表現を適用した結果を示す．こ</w:t>
      </w:r>
      <w:r>
        <w:rPr>
          <w:rFonts w:hint="eastAsia"/>
        </w:rPr>
        <w:t>れ</w:t>
      </w:r>
      <w:r w:rsidRPr="00EE2AC7">
        <w:rPr>
          <w:rFonts w:hint="eastAsia"/>
        </w:rPr>
        <w:t>は，表4に示される4種の高次解釈表現を図7のケース</w:t>
      </w:r>
      <w:r>
        <w:t>1</w:t>
      </w:r>
      <w:r w:rsidRPr="00EE2AC7">
        <w:rPr>
          <w:rFonts w:hint="eastAsia"/>
        </w:rPr>
        <w:t>に適用し</w:t>
      </w:r>
      <w:r>
        <w:rPr>
          <w:rFonts w:hint="eastAsia"/>
        </w:rPr>
        <w:t>たものであ</w:t>
      </w:r>
      <w:r w:rsidRPr="00EE2AC7">
        <w:rPr>
          <w:rFonts w:hint="eastAsia"/>
        </w:rPr>
        <w:t>る．</w:t>
      </w:r>
    </w:p>
    <w:p w:rsidR="00A80346" w:rsidRDefault="000358C8" w:rsidP="0097448B">
      <w:r>
        <w:rPr>
          <w:rFonts w:hint="eastAsia"/>
        </w:rPr>
        <w:t xml:space="preserve">　</w:t>
      </w:r>
      <w:r w:rsidRPr="00EE2AC7">
        <w:rPr>
          <w:rFonts w:hint="eastAsia"/>
        </w:rPr>
        <w:t>図8</w:t>
      </w:r>
      <w:r>
        <w:rPr>
          <w:rFonts w:hint="eastAsia"/>
        </w:rPr>
        <w:t>では，各解釈表現の適用結果が区分されて可視化されており，</w:t>
      </w:r>
      <w:r w:rsidRPr="00EE2AC7">
        <w:t>(i)</w:t>
      </w:r>
      <w:r w:rsidRPr="00EE2AC7">
        <w:rPr>
          <w:rFonts w:hint="eastAsia"/>
        </w:rPr>
        <w:t>は高次解釈表現</w:t>
      </w:r>
      <w:r w:rsidRPr="00EE2AC7">
        <w:rPr>
          <w:i/>
        </w:rPr>
        <w:t>hr</w:t>
      </w:r>
      <w:r w:rsidRPr="00EE2AC7">
        <w:rPr>
          <w:i/>
          <w:vertAlign w:val="subscript"/>
        </w:rPr>
        <w:t>1</w:t>
      </w:r>
      <w:r>
        <w:rPr>
          <w:rFonts w:hint="eastAsia"/>
        </w:rPr>
        <w:t>を適用した結果として，</w:t>
      </w:r>
      <w:r w:rsidRPr="00EE2AC7">
        <w:rPr>
          <w:rFonts w:hint="eastAsia"/>
        </w:rPr>
        <w:t>添削者が思考Aと思考Bを比較している区間を表す．</w:t>
      </w:r>
      <w:r w:rsidRPr="00EE2AC7">
        <w:rPr>
          <w:i/>
        </w:rPr>
        <w:t>hr</w:t>
      </w:r>
      <w:r w:rsidRPr="00EE2AC7">
        <w:rPr>
          <w:i/>
          <w:vertAlign w:val="subscript"/>
        </w:rPr>
        <w:t>1</w:t>
      </w:r>
      <w:r w:rsidRPr="00EE2AC7">
        <w:rPr>
          <w:rFonts w:hint="eastAsia"/>
        </w:rPr>
        <w:t>の条件部では，</w:t>
      </w:r>
      <w:r>
        <w:rPr>
          <w:rFonts w:hint="eastAsia"/>
        </w:rPr>
        <w:t>思考A，思考Bの理解行為が5000ms以内に連続する区間を</w:t>
      </w:r>
      <w:r w:rsidRPr="00EE2AC7">
        <w:rPr>
          <w:i/>
        </w:rPr>
        <w:t>lr</w:t>
      </w:r>
      <w:r w:rsidRPr="00EE2AC7">
        <w:rPr>
          <w:i/>
          <w:vertAlign w:val="subscript"/>
        </w:rPr>
        <w:t>1</w:t>
      </w:r>
      <w:r>
        <w:rPr>
          <w:rFonts w:hint="eastAsia"/>
        </w:rPr>
        <w:t>の適用結果から抽出し，葛藤の源泉となる２つの対立する思考（思考A，思考B）を比較（メタ認知的モニタリング）している活動と解釈することを表している．</w:t>
      </w:r>
      <w:r w:rsidRPr="00EE2AC7">
        <w:rPr>
          <w:rFonts w:hint="eastAsia"/>
        </w:rPr>
        <w:t>結果から</w:t>
      </w:r>
      <w:r>
        <w:rPr>
          <w:rFonts w:hint="eastAsia"/>
        </w:rPr>
        <w:t>この</w:t>
      </w:r>
      <w:r w:rsidRPr="00EE2AC7">
        <w:rPr>
          <w:rFonts w:hint="eastAsia"/>
        </w:rPr>
        <w:t>添削者は</w:t>
      </w:r>
      <w:r>
        <w:rPr>
          <w:rFonts w:hint="eastAsia"/>
        </w:rPr>
        <w:t>添削活動</w:t>
      </w:r>
      <w:r w:rsidRPr="00EE2AC7">
        <w:rPr>
          <w:rFonts w:hint="eastAsia"/>
        </w:rPr>
        <w:t>の前半部と後半部で思考Aと思考Bを比較するメタ認知的モニタリングしていること</w:t>
      </w:r>
      <w:r>
        <w:rPr>
          <w:rFonts w:hint="eastAsia"/>
        </w:rPr>
        <w:t>が見てとれる</w:t>
      </w:r>
      <w:r w:rsidRPr="00EE2AC7">
        <w:rPr>
          <w:rFonts w:hint="eastAsia"/>
        </w:rPr>
        <w:t>（図8青枠内）．</w:t>
      </w:r>
      <w:r w:rsidRPr="00EE2AC7">
        <w:rPr>
          <w:i/>
        </w:rPr>
        <w:t>hr</w:t>
      </w:r>
      <w:r w:rsidRPr="00EE2AC7">
        <w:rPr>
          <w:i/>
          <w:vertAlign w:val="subscript"/>
        </w:rPr>
        <w:t>2</w:t>
      </w:r>
      <w:r w:rsidRPr="00EE2AC7">
        <w:t xml:space="preserve">, </w:t>
      </w:r>
      <w:r w:rsidRPr="00EE2AC7">
        <w:rPr>
          <w:i/>
        </w:rPr>
        <w:t>hr</w:t>
      </w:r>
      <w:r w:rsidRPr="00EE2AC7">
        <w:rPr>
          <w:i/>
          <w:vertAlign w:val="subscript"/>
        </w:rPr>
        <w:t>3</w:t>
      </w:r>
      <w:r w:rsidRPr="00EE2AC7">
        <w:rPr>
          <w:rFonts w:hint="eastAsia"/>
        </w:rPr>
        <w:t>は，信念対立を成す葛藤ステートメントの理解プロセス区間（</w:t>
      </w:r>
      <w:r w:rsidRPr="00EE2AC7">
        <w:rPr>
          <w:i/>
        </w:rPr>
        <w:t>hr</w:t>
      </w:r>
      <w:r w:rsidRPr="00EE2AC7">
        <w:rPr>
          <w:i/>
          <w:vertAlign w:val="subscript"/>
        </w:rPr>
        <w:t>2</w:t>
      </w:r>
      <w:r w:rsidRPr="00EE2AC7">
        <w:rPr>
          <w:rFonts w:hint="eastAsia"/>
        </w:rPr>
        <w:t>），修正区間（</w:t>
      </w:r>
      <w:r w:rsidRPr="00EE2AC7">
        <w:rPr>
          <w:i/>
        </w:rPr>
        <w:t>hr</w:t>
      </w:r>
      <w:r w:rsidRPr="00EE2AC7">
        <w:rPr>
          <w:i/>
          <w:vertAlign w:val="subscript"/>
        </w:rPr>
        <w:t>3</w:t>
      </w:r>
      <w:r w:rsidRPr="00EE2AC7">
        <w:rPr>
          <w:rFonts w:hint="eastAsia"/>
        </w:rPr>
        <w:t>）をそれぞれ抽出することを</w:t>
      </w:r>
      <w:r>
        <w:rPr>
          <w:rFonts w:hint="eastAsia"/>
        </w:rPr>
        <w:t>表している</w:t>
      </w:r>
      <w:r w:rsidRPr="00EE2AC7">
        <w:rPr>
          <w:rFonts w:hint="eastAsia"/>
        </w:rPr>
        <w:t>．</w:t>
      </w:r>
      <w:r>
        <w:rPr>
          <w:rFonts w:hint="eastAsia"/>
        </w:rPr>
        <w:t>さらに</w:t>
      </w:r>
      <w:r w:rsidRPr="00EE2AC7">
        <w:rPr>
          <w:i/>
        </w:rPr>
        <w:t>hr</w:t>
      </w:r>
      <w:r w:rsidRPr="00EE2AC7">
        <w:rPr>
          <w:i/>
          <w:vertAlign w:val="subscript"/>
        </w:rPr>
        <w:t>4</w:t>
      </w:r>
      <w:r>
        <w:rPr>
          <w:rFonts w:hint="eastAsia"/>
        </w:rPr>
        <w:t>は，</w:t>
      </w:r>
      <w:r w:rsidRPr="00EE2AC7">
        <w:rPr>
          <w:i/>
        </w:rPr>
        <w:t>hr</w:t>
      </w:r>
      <w:r w:rsidRPr="00EE2AC7">
        <w:rPr>
          <w:i/>
          <w:vertAlign w:val="subscript"/>
        </w:rPr>
        <w:t>2</w:t>
      </w:r>
      <w:r w:rsidRPr="00EE2AC7">
        <w:rPr>
          <w:rFonts w:hint="eastAsia"/>
        </w:rPr>
        <w:t>と</w:t>
      </w:r>
      <w:r w:rsidRPr="00EE2AC7">
        <w:rPr>
          <w:i/>
        </w:rPr>
        <w:t>hr</w:t>
      </w:r>
      <w:r w:rsidRPr="00EE2AC7">
        <w:rPr>
          <w:i/>
          <w:vertAlign w:val="subscript"/>
        </w:rPr>
        <w:t>3</w:t>
      </w:r>
      <w:r w:rsidRPr="00EE2AC7">
        <w:rPr>
          <w:rFonts w:hint="eastAsia"/>
        </w:rPr>
        <w:t>の解釈結果を条件部に指定することによるメタ認知的思考プロセス区間の</w:t>
      </w:r>
      <w:r>
        <w:rPr>
          <w:rFonts w:hint="eastAsia"/>
        </w:rPr>
        <w:t>抽出を表しており，その適用結果が図8(</w:t>
      </w:r>
      <w:r>
        <w:t>iv</w:t>
      </w:r>
      <w:r>
        <w:rPr>
          <w:rFonts w:hint="eastAsia"/>
        </w:rPr>
        <w:t>)に示されている．</w:t>
      </w:r>
      <w:r w:rsidRPr="00EE2AC7">
        <w:rPr>
          <w:rFonts w:hint="eastAsia"/>
        </w:rPr>
        <w:t>ここでは，信念対立思考タスクにおいて重要な，葛藤を構成する</w:t>
      </w:r>
      <w:r>
        <w:rPr>
          <w:rFonts w:hint="eastAsia"/>
        </w:rPr>
        <w:t>２つの対立する</w:t>
      </w:r>
      <w:r w:rsidRPr="00EE2AC7">
        <w:rPr>
          <w:rFonts w:hint="eastAsia"/>
        </w:rPr>
        <w:t>指針を吟味している区間</w:t>
      </w:r>
      <w:r>
        <w:rPr>
          <w:rFonts w:hint="eastAsia"/>
        </w:rPr>
        <w:t>（メタ認知的モニタリング）が抽出され，</w:t>
      </w:r>
      <w:r w:rsidRPr="00EE2AC7">
        <w:rPr>
          <w:rFonts w:hint="eastAsia"/>
        </w:rPr>
        <w:t>葛藤ステートメントの修正</w:t>
      </w:r>
      <w:r>
        <w:rPr>
          <w:rFonts w:hint="eastAsia"/>
        </w:rPr>
        <w:t>（メタ認知的コントロール）</w:t>
      </w:r>
      <w:r w:rsidRPr="00EE2AC7">
        <w:rPr>
          <w:rFonts w:hint="eastAsia"/>
        </w:rPr>
        <w:t>に至る区間が</w:t>
      </w:r>
      <w:r>
        <w:rPr>
          <w:rFonts w:hint="eastAsia"/>
        </w:rPr>
        <w:t>示されて</w:t>
      </w:r>
      <w:r w:rsidRPr="00EE2AC7">
        <w:rPr>
          <w:rFonts w:hint="eastAsia"/>
        </w:rPr>
        <w:t>いる．</w:t>
      </w:r>
    </w:p>
    <w:p w:rsidR="000358C8" w:rsidRDefault="00B67238" w:rsidP="0097448B">
      <w:r>
        <w:rPr>
          <w:rFonts w:hint="eastAsia"/>
        </w:rPr>
        <w:t xml:space="preserve">　</w:t>
      </w:r>
      <w:r w:rsidRPr="00EE2AC7">
        <w:rPr>
          <w:rFonts w:hint="eastAsia"/>
        </w:rPr>
        <w:t>このように，ある思考タスク</w:t>
      </w:r>
      <w:r>
        <w:rPr>
          <w:rFonts w:hint="eastAsia"/>
        </w:rPr>
        <w:t>での</w:t>
      </w:r>
      <w:r w:rsidRPr="00EE2AC7">
        <w:rPr>
          <w:rFonts w:hint="eastAsia"/>
        </w:rPr>
        <w:t>ベース思考表現オントロジー</w:t>
      </w:r>
      <w:r>
        <w:rPr>
          <w:rFonts w:hint="eastAsia"/>
        </w:rPr>
        <w:t>を前提とし，これに基づいた思考外化</w:t>
      </w:r>
      <w:r w:rsidRPr="00EE2AC7">
        <w:rPr>
          <w:rFonts w:hint="eastAsia"/>
        </w:rPr>
        <w:t>アプリケーションを構築</w:t>
      </w:r>
      <w:r>
        <w:rPr>
          <w:rFonts w:hint="eastAsia"/>
        </w:rPr>
        <w:t>することで</w:t>
      </w:r>
      <w:r w:rsidRPr="00EE2AC7">
        <w:rPr>
          <w:rFonts w:hint="eastAsia"/>
        </w:rPr>
        <w:t>，思考表現オブジェクトに対する視線行為と思考操作行為に解釈表</w:t>
      </w:r>
      <w:r w:rsidRPr="00EE2AC7">
        <w:rPr>
          <w:rFonts w:hint="eastAsia"/>
        </w:rPr>
        <w:lastRenderedPageBreak/>
        <w:t>現を適用すること</w:t>
      </w:r>
      <w:r>
        <w:rPr>
          <w:rFonts w:hint="eastAsia"/>
        </w:rPr>
        <w:t>が可能となる．これにより，</w:t>
      </w:r>
      <w:r w:rsidRPr="00EE2AC7">
        <w:rPr>
          <w:rFonts w:hint="eastAsia"/>
        </w:rPr>
        <w:t>メタ認知的思考プロセスの一端を</w:t>
      </w:r>
      <w:r>
        <w:rPr>
          <w:rFonts w:hint="eastAsia"/>
        </w:rPr>
        <w:t>捉えることができる可能性がこの例から示唆される．勿論，抽出された解釈区間がある程度の妥当性を有するかは，分析者が定</w:t>
      </w:r>
      <w:r w:rsidR="00BE7BD0" w:rsidRPr="00EE2AC7">
        <w:rPr>
          <w:noProof/>
        </w:rPr>
        <mc:AlternateContent>
          <mc:Choice Requires="wps">
            <w:drawing>
              <wp:anchor distT="0" distB="0" distL="114300" distR="114300" simplePos="0" relativeHeight="251681792" behindDoc="0" locked="0" layoutInCell="1" allowOverlap="1" wp14:anchorId="04A16060" wp14:editId="3DFB03FD">
                <wp:simplePos x="0" y="0"/>
                <wp:positionH relativeFrom="margin">
                  <wp:posOffset>-19050</wp:posOffset>
                </wp:positionH>
                <wp:positionV relativeFrom="margin">
                  <wp:posOffset>3497580</wp:posOffset>
                </wp:positionV>
                <wp:extent cx="6265545" cy="2057400"/>
                <wp:effectExtent l="0" t="0" r="0" b="0"/>
                <wp:wrapSquare wrapText="bothSides"/>
                <wp:docPr id="24" name="テキスト ボックス 24"/>
                <wp:cNvGraphicFramePr/>
                <a:graphic xmlns:a="http://schemas.openxmlformats.org/drawingml/2006/main">
                  <a:graphicData uri="http://schemas.microsoft.com/office/word/2010/wordprocessingShape">
                    <wps:wsp>
                      <wps:cNvSpPr txBox="1"/>
                      <wps:spPr>
                        <a:xfrm>
                          <a:off x="0" y="0"/>
                          <a:ext cx="6265545"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E7BD0" w:rsidRPr="00BE7BD0" w:rsidRDefault="00BE7BD0" w:rsidP="00BE7BD0">
                            <w:pPr>
                              <w:pStyle w:val="a4"/>
                              <w:rPr>
                                <w:sz w:val="20"/>
                                <w:szCs w:val="20"/>
                              </w:rPr>
                            </w:pPr>
                            <w:r w:rsidRPr="00BE7BD0">
                              <w:rPr>
                                <w:rFonts w:hint="eastAsia"/>
                                <w:sz w:val="20"/>
                                <w:szCs w:val="20"/>
                              </w:rPr>
                              <w:t>表</w:t>
                            </w:r>
                            <w:r w:rsidRPr="00BE7BD0">
                              <w:rPr>
                                <w:sz w:val="20"/>
                                <w:szCs w:val="20"/>
                              </w:rPr>
                              <w:t>4</w:t>
                            </w:r>
                            <w:r w:rsidRPr="00BE7BD0">
                              <w:rPr>
                                <w:rFonts w:hint="eastAsia"/>
                                <w:sz w:val="20"/>
                                <w:szCs w:val="20"/>
                              </w:rPr>
                              <w:t xml:space="preserve">　高次レベルの解釈表現例</w:t>
                            </w:r>
                          </w:p>
                          <w:p w:rsidR="00BE7BD0" w:rsidRPr="00BE7BD0" w:rsidRDefault="00BE7BD0" w:rsidP="00BE7BD0">
                            <w:pPr>
                              <w:pStyle w:val="a5"/>
                              <w:spacing w:afterLines="50" w:after="180"/>
                              <w:rPr>
                                <w:sz w:val="20"/>
                                <w:szCs w:val="20"/>
                              </w:rPr>
                            </w:pPr>
                            <w:r w:rsidRPr="00BE7BD0">
                              <w:rPr>
                                <w:sz w:val="20"/>
                                <w:szCs w:val="20"/>
                              </w:rPr>
                              <w:t>Table</w:t>
                            </w:r>
                            <w:r w:rsidRPr="00BE7BD0">
                              <w:rPr>
                                <w:rFonts w:hint="eastAsia"/>
                                <w:sz w:val="20"/>
                                <w:szCs w:val="20"/>
                              </w:rPr>
                              <w:t xml:space="preserve"> </w:t>
                            </w:r>
                            <w:r w:rsidRPr="00BE7BD0">
                              <w:rPr>
                                <w:sz w:val="20"/>
                                <w:szCs w:val="20"/>
                              </w:rPr>
                              <w:t>4</w:t>
                            </w:r>
                            <w:r w:rsidRPr="00BE7BD0">
                              <w:rPr>
                                <w:rFonts w:hint="eastAsia"/>
                                <w:sz w:val="20"/>
                                <w:szCs w:val="20"/>
                              </w:rPr>
                              <w:t xml:space="preserve">　</w:t>
                            </w:r>
                            <w:r w:rsidRPr="00BE7BD0">
                              <w:rPr>
                                <w:sz w:val="20"/>
                                <w:szCs w:val="20"/>
                              </w:rPr>
                              <w:t xml:space="preserve"> High-level Interpretation Representations.</w:t>
                            </w:r>
                          </w:p>
                          <w:tbl>
                            <w:tblPr>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8"/>
                            </w:tblGrid>
                            <w:tr w:rsidR="00BE7BD0" w:rsidRPr="00BE7BD0" w:rsidTr="00BE7BD0">
                              <w:tc>
                                <w:tcPr>
                                  <w:tcW w:w="9498" w:type="dxa"/>
                                  <w:tcBorders>
                                    <w:bottom w:val="double" w:sz="4" w:space="0" w:color="auto"/>
                                  </w:tcBorders>
                                </w:tcPr>
                                <w:p w:rsidR="00BE7BD0" w:rsidRPr="00BE7BD0" w:rsidRDefault="00BE7BD0" w:rsidP="0039519C">
                                  <w:pPr>
                                    <w:jc w:val="center"/>
                                    <w:rPr>
                                      <w:sz w:val="20"/>
                                      <w:szCs w:val="20"/>
                                    </w:rPr>
                                  </w:pPr>
                                  <w:r w:rsidRPr="00BE7BD0">
                                    <w:rPr>
                                      <w:sz w:val="20"/>
                                      <w:szCs w:val="20"/>
                                    </w:rPr>
                                    <w:t>High</w:t>
                                  </w:r>
                                  <w:r w:rsidRPr="00BE7BD0">
                                    <w:rPr>
                                      <w:rFonts w:hint="eastAsia"/>
                                      <w:sz w:val="20"/>
                                      <w:szCs w:val="20"/>
                                    </w:rPr>
                                    <w:t>-level Interpretation Representation</w:t>
                                  </w:r>
                                </w:p>
                              </w:tc>
                            </w:tr>
                            <w:tr w:rsidR="00BE7BD0" w:rsidRPr="00BE7BD0" w:rsidTr="00BE7BD0">
                              <w:tc>
                                <w:tcPr>
                                  <w:tcW w:w="9498" w:type="dxa"/>
                                  <w:tcBorders>
                                    <w:top w:val="double" w:sz="4" w:space="0" w:color="auto"/>
                                  </w:tcBorders>
                                </w:tcPr>
                                <w:p w:rsidR="00BE7BD0" w:rsidRPr="00BE7BD0" w:rsidRDefault="00BE7BD0" w:rsidP="002E125C">
                                  <w:pPr>
                                    <w:ind w:leftChars="-57" w:left="-120" w:firstLineChars="62" w:firstLine="124"/>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 xml:space="preserve">1 </w:t>
                                  </w:r>
                                  <w:r w:rsidRPr="00BE7BD0">
                                    <w:rPr>
                                      <w:rFonts w:ascii="Cambria Math" w:hAnsi="Cambria Math"/>
                                      <w:i/>
                                      <w:sz w:val="20"/>
                                      <w:szCs w:val="20"/>
                                    </w:rPr>
                                    <w:t>((BEFORE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hint="eastAsia"/>
                                      <w:i/>
                                      <w:sz w:val="20"/>
                                      <w:szCs w:val="20"/>
                                    </w:rPr>
                                    <w:t>A</w:t>
                                  </w:r>
                                  <w:r w:rsidRPr="00BE7BD0">
                                    <w:rPr>
                                      <w:rFonts w:ascii="Cambria Math" w:hAnsi="Cambria Math"/>
                                      <w:i/>
                                      <w:sz w:val="20"/>
                                      <w:szCs w:val="20"/>
                                    </w:rPr>
                                    <w:t>,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 xml:space="preserve">B, 5000) OR </w:t>
                                  </w:r>
                                </w:p>
                                <w:p w:rsidR="00BE7BD0" w:rsidRPr="00BE7BD0" w:rsidRDefault="00BE7BD0" w:rsidP="00BE7BD0">
                                  <w:pPr>
                                    <w:ind w:leftChars="-57" w:left="-120" w:firstLineChars="262" w:firstLine="524"/>
                                    <w:jc w:val="left"/>
                                    <w:rPr>
                                      <w:rFonts w:ascii="Cambria Math" w:hAnsi="Cambria Math"/>
                                      <w:i/>
                                      <w:sz w:val="20"/>
                                      <w:szCs w:val="20"/>
                                    </w:rPr>
                                  </w:pPr>
                                  <w:r w:rsidRPr="00BE7BD0">
                                    <w:rPr>
                                      <w:rFonts w:ascii="Cambria Math" w:hAnsi="Cambria Math"/>
                                      <w:i/>
                                      <w:sz w:val="20"/>
                                      <w:szCs w:val="20"/>
                                    </w:rPr>
                                    <w:t>BEFORE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B,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A, 5000))</w:t>
                                  </w:r>
                                  <w:r w:rsidRPr="00BE7BD0">
                                    <w:rPr>
                                      <w:rFonts w:ascii="Cambria Math" w:hAnsi="Cambria Math" w:hint="eastAsia"/>
                                      <w:i/>
                                      <w:sz w:val="20"/>
                                      <w:szCs w:val="20"/>
                                    </w:rPr>
                                    <w:t>,</w:t>
                                  </w:r>
                                  <w:r w:rsidRPr="00BE7BD0">
                                    <w:rPr>
                                      <w:rFonts w:ascii="Cambria Math" w:hAnsi="Cambria Math"/>
                                      <w:i/>
                                      <w:sz w:val="20"/>
                                      <w:szCs w:val="20"/>
                                    </w:rPr>
                                    <w:t xml:space="preserve"> </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A</w:t>
                                  </w:r>
                                  <w:r w:rsidRPr="00BE7BD0">
                                    <w:rPr>
                                      <w:rFonts w:ascii="Cambria Math" w:hAnsi="Cambria Math"/>
                                      <w:i/>
                                      <w:sz w:val="20"/>
                                      <w:szCs w:val="20"/>
                                    </w:rPr>
                                    <w:t>と思考</w:t>
                                  </w:r>
                                  <w:r w:rsidRPr="00BE7BD0">
                                    <w:rPr>
                                      <w:rFonts w:ascii="Cambria Math" w:hAnsi="Cambria Math" w:hint="eastAsia"/>
                                      <w:i/>
                                      <w:sz w:val="20"/>
                                      <w:szCs w:val="20"/>
                                    </w:rPr>
                                    <w:t>B</w:t>
                                  </w:r>
                                  <w:r w:rsidRPr="00BE7BD0">
                                    <w:rPr>
                                      <w:rFonts w:ascii="Cambria Math" w:hAnsi="Cambria Math"/>
                                      <w:i/>
                                      <w:sz w:val="20"/>
                                      <w:szCs w:val="20"/>
                                    </w:rPr>
                                    <w:t>の比較</w:t>
                                  </w:r>
                                  <w:r w:rsidRPr="00BE7BD0">
                                    <w:rPr>
                                      <w:rFonts w:ascii="Cambria Math" w:hAnsi="Cambria Math"/>
                                      <w:i/>
                                      <w:sz w:val="20"/>
                                      <w:szCs w:val="20"/>
                                    </w:rPr>
                                    <w:t>”)</w:t>
                                  </w:r>
                                </w:p>
                              </w:tc>
                            </w:tr>
                            <w:tr w:rsidR="00BE7BD0" w:rsidRPr="00BE7BD0" w:rsidTr="00BE7BD0">
                              <w:tc>
                                <w:tcPr>
                                  <w:tcW w:w="9498" w:type="dxa"/>
                                </w:tcPr>
                                <w:p w:rsidR="00BE7BD0" w:rsidRPr="00BE7BD0" w:rsidRDefault="00BE7BD0" w:rsidP="002E125C">
                                  <w:pPr>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2</w:t>
                                  </w:r>
                                  <w:r w:rsidRPr="00BE7BD0">
                                    <w:rPr>
                                      <w:rFonts w:ascii="Cambria Math" w:hAnsi="Cambria Math"/>
                                      <w:i/>
                                      <w:sz w:val="20"/>
                                      <w:szCs w:val="20"/>
                                    </w:rPr>
                                    <w:t>(ALL (lr</w:t>
                                  </w:r>
                                  <w:r w:rsidRPr="00BE7BD0">
                                    <w:rPr>
                                      <w:rFonts w:ascii="Cambria Math" w:hAnsi="Cambria Math"/>
                                      <w:i/>
                                      <w:sz w:val="20"/>
                                      <w:szCs w:val="20"/>
                                      <w:vertAlign w:val="subscript"/>
                                    </w:rPr>
                                    <w:t>3</w:t>
                                  </w:r>
                                  <w:r w:rsidRPr="00BE7BD0">
                                    <w:rPr>
                                      <w:rFonts w:ascii="Cambria Math" w:hAnsi="Cambria Math"/>
                                      <w:i/>
                                      <w:sz w:val="20"/>
                                      <w:szCs w:val="20"/>
                                    </w:rPr>
                                    <w:t>.policy), “</w:t>
                                  </w:r>
                                  <w:r w:rsidRPr="00BE7BD0">
                                    <w:rPr>
                                      <w:rFonts w:ascii="Cambria Math" w:hAnsi="Cambria Math" w:hint="eastAsia"/>
                                      <w:i/>
                                      <w:sz w:val="20"/>
                                      <w:szCs w:val="20"/>
                                    </w:rPr>
                                    <w:t>指針の</w:t>
                                  </w:r>
                                  <w:r w:rsidRPr="00BE7BD0">
                                    <w:rPr>
                                      <w:rFonts w:ascii="Cambria Math" w:hAnsi="Cambria Math"/>
                                      <w:i/>
                                      <w:sz w:val="20"/>
                                      <w:szCs w:val="20"/>
                                    </w:rPr>
                                    <w:t>理解</w:t>
                                  </w:r>
                                  <w:r w:rsidRPr="00BE7BD0">
                                    <w:rPr>
                                      <w:rFonts w:ascii="Cambria Math" w:hAnsi="Cambria Math"/>
                                      <w:i/>
                                      <w:sz w:val="20"/>
                                      <w:szCs w:val="20"/>
                                    </w:rPr>
                                    <w:t>”)</w:t>
                                  </w:r>
                                </w:p>
                              </w:tc>
                            </w:tr>
                            <w:tr w:rsidR="00BE7BD0" w:rsidRPr="00BE7BD0" w:rsidTr="00BE7BD0">
                              <w:tc>
                                <w:tcPr>
                                  <w:tcW w:w="9498" w:type="dxa"/>
                                </w:tcPr>
                                <w:p w:rsidR="00BE7BD0" w:rsidRPr="00BE7BD0" w:rsidRDefault="00BE7BD0" w:rsidP="002E125C">
                                  <w:pPr>
                                    <w:jc w:val="left"/>
                                    <w:rPr>
                                      <w:sz w:val="20"/>
                                      <w:szCs w:val="20"/>
                                    </w:rPr>
                                  </w:pPr>
                                  <w:r w:rsidRPr="00BE7BD0">
                                    <w:rPr>
                                      <w:rFonts w:ascii="Cambria Math" w:hAnsi="Cambria Math"/>
                                      <w:i/>
                                      <w:sz w:val="20"/>
                                      <w:szCs w:val="20"/>
                                    </w:rPr>
                                    <w:t>hr</w:t>
                                  </w:r>
                                  <w:r w:rsidRPr="00BE7BD0">
                                    <w:rPr>
                                      <w:rFonts w:ascii="Cambria Math" w:hAnsi="Cambria Math"/>
                                      <w:i/>
                                      <w:sz w:val="20"/>
                                      <w:szCs w:val="20"/>
                                      <w:vertAlign w:val="subscript"/>
                                    </w:rPr>
                                    <w:t>3</w:t>
                                  </w:r>
                                  <w:r w:rsidRPr="00BE7BD0">
                                    <w:rPr>
                                      <w:rFonts w:ascii="Cambria Math" w:hAnsi="Cambria Math"/>
                                      <w:i/>
                                      <w:sz w:val="20"/>
                                      <w:szCs w:val="20"/>
                                    </w:rPr>
                                    <w:t xml:space="preserve"> (ALL (lr</w:t>
                                  </w:r>
                                  <w:r w:rsidRPr="00BE7BD0">
                                    <w:rPr>
                                      <w:rFonts w:ascii="Cambria Math" w:hAnsi="Cambria Math"/>
                                      <w:i/>
                                      <w:sz w:val="20"/>
                                      <w:szCs w:val="20"/>
                                      <w:vertAlign w:val="subscript"/>
                                    </w:rPr>
                                    <w:t>4</w:t>
                                  </w:r>
                                  <w:r w:rsidRPr="00BE7BD0">
                                    <w:rPr>
                                      <w:rFonts w:ascii="Cambria Math" w:hAnsi="Cambria Math"/>
                                      <w:i/>
                                      <w:sz w:val="20"/>
                                      <w:szCs w:val="20"/>
                                    </w:rPr>
                                    <w:t>.policy), “</w:t>
                                  </w:r>
                                  <w:r w:rsidRPr="00BE7BD0">
                                    <w:rPr>
                                      <w:rFonts w:ascii="Cambria Math" w:hAnsi="Cambria Math" w:hint="eastAsia"/>
                                      <w:i/>
                                      <w:sz w:val="20"/>
                                      <w:szCs w:val="20"/>
                                    </w:rPr>
                                    <w:t>指針の</w:t>
                                  </w:r>
                                  <w:r w:rsidRPr="00BE7BD0">
                                    <w:rPr>
                                      <w:rFonts w:ascii="Cambria Math" w:hAnsi="Cambria Math"/>
                                      <w:i/>
                                      <w:sz w:val="20"/>
                                      <w:szCs w:val="20"/>
                                    </w:rPr>
                                    <w:t>修正</w:t>
                                  </w:r>
                                  <w:r w:rsidRPr="00BE7BD0">
                                    <w:rPr>
                                      <w:rFonts w:ascii="Cambria Math" w:hAnsi="Cambria Math"/>
                                      <w:i/>
                                      <w:sz w:val="20"/>
                                      <w:szCs w:val="20"/>
                                    </w:rPr>
                                    <w:t>”)</w:t>
                                  </w:r>
                                </w:p>
                              </w:tc>
                            </w:tr>
                            <w:tr w:rsidR="00BE7BD0" w:rsidRPr="00BE7BD0" w:rsidTr="00BE7BD0">
                              <w:tc>
                                <w:tcPr>
                                  <w:tcW w:w="9498" w:type="dxa"/>
                                </w:tcPr>
                                <w:p w:rsidR="00BE7BD0" w:rsidRPr="00BE7BD0" w:rsidRDefault="00BE7BD0" w:rsidP="000055B0">
                                  <w:pPr>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4</w:t>
                                  </w:r>
                                  <w:r w:rsidRPr="00BE7BD0">
                                    <w:rPr>
                                      <w:rFonts w:ascii="Cambria Math" w:hAnsi="Cambria Math"/>
                                      <w:i/>
                                      <w:sz w:val="20"/>
                                      <w:szCs w:val="20"/>
                                    </w:rPr>
                                    <w:t xml:space="preserve"> (BEFORE (hr</w:t>
                                  </w:r>
                                  <w:r w:rsidRPr="00BE7BD0">
                                    <w:rPr>
                                      <w:rFonts w:ascii="Cambria Math" w:hAnsi="Cambria Math"/>
                                      <w:i/>
                                      <w:sz w:val="20"/>
                                      <w:szCs w:val="20"/>
                                      <w:vertAlign w:val="subscript"/>
                                    </w:rPr>
                                    <w:t>2</w:t>
                                  </w:r>
                                  <w:r w:rsidRPr="00BE7BD0">
                                    <w:rPr>
                                      <w:rFonts w:ascii="Cambria Math" w:hAnsi="Cambria Math"/>
                                      <w:i/>
                                      <w:sz w:val="20"/>
                                      <w:szCs w:val="20"/>
                                    </w:rPr>
                                    <w:t>, hr</w:t>
                                  </w:r>
                                  <w:r w:rsidRPr="00BE7BD0">
                                    <w:rPr>
                                      <w:rFonts w:ascii="Cambria Math" w:hAnsi="Cambria Math"/>
                                      <w:i/>
                                      <w:sz w:val="20"/>
                                      <w:szCs w:val="20"/>
                                      <w:vertAlign w:val="subscript"/>
                                    </w:rPr>
                                    <w:t>3</w:t>
                                  </w:r>
                                  <w:r w:rsidRPr="00BE7BD0">
                                    <w:rPr>
                                      <w:rFonts w:ascii="Cambria Math" w:hAnsi="Cambria Math"/>
                                      <w:i/>
                                      <w:sz w:val="20"/>
                                      <w:szCs w:val="20"/>
                                    </w:rPr>
                                    <w:t>, 5000), “</w:t>
                                  </w:r>
                                  <w:r w:rsidRPr="00BE7BD0">
                                    <w:rPr>
                                      <w:rFonts w:ascii="Cambria Math" w:hAnsi="Cambria Math" w:hint="eastAsia"/>
                                      <w:i/>
                                      <w:sz w:val="20"/>
                                      <w:szCs w:val="20"/>
                                    </w:rPr>
                                    <w:t>葛藤に</w:t>
                                  </w:r>
                                  <w:r w:rsidRPr="00BE7BD0">
                                    <w:rPr>
                                      <w:rFonts w:ascii="Cambria Math" w:hAnsi="Cambria Math"/>
                                      <w:i/>
                                      <w:sz w:val="20"/>
                                      <w:szCs w:val="20"/>
                                    </w:rPr>
                                    <w:t>至る</w:t>
                                  </w:r>
                                  <w:r w:rsidRPr="00BE7BD0">
                                    <w:rPr>
                                      <w:rFonts w:ascii="Cambria Math" w:hAnsi="Cambria Math" w:hint="eastAsia"/>
                                      <w:i/>
                                      <w:sz w:val="20"/>
                                      <w:szCs w:val="20"/>
                                    </w:rPr>
                                    <w:t>指針</w:t>
                                  </w:r>
                                  <w:r w:rsidRPr="00BE7BD0">
                                    <w:rPr>
                                      <w:rFonts w:ascii="Cambria Math" w:hAnsi="Cambria Math"/>
                                      <w:i/>
                                      <w:sz w:val="20"/>
                                      <w:szCs w:val="20"/>
                                    </w:rPr>
                                    <w:t>の吟味</w:t>
                                  </w:r>
                                  <w:r w:rsidRPr="00BE7BD0">
                                    <w:rPr>
                                      <w:rFonts w:ascii="Cambria Math" w:hAnsi="Cambria Math"/>
                                      <w:i/>
                                      <w:sz w:val="20"/>
                                      <w:szCs w:val="20"/>
                                    </w:rPr>
                                    <w:t>”)</w:t>
                                  </w:r>
                                </w:p>
                              </w:tc>
                            </w:tr>
                          </w:tbl>
                          <w:p w:rsidR="00BE7BD0" w:rsidRPr="00BE7BD0" w:rsidRDefault="00BE7BD0" w:rsidP="00BE7BD0">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6060" id="テキスト ボックス 24" o:spid="_x0000_s1035" type="#_x0000_t202" style="position:absolute;left:0;text-align:left;margin-left:-1.5pt;margin-top:275.4pt;width:493.35pt;height:16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" filled="f" stroked="f">
                <v:textbox>
                  <w:txbxContent>
                    <w:p w:rsidR="00BE7BD0" w:rsidRPr="00BE7BD0" w:rsidRDefault="00BE7BD0" w:rsidP="00BE7BD0">
                      <w:pPr>
                        <w:pStyle w:val="a4"/>
                        <w:rPr>
                          <w:sz w:val="20"/>
                          <w:szCs w:val="20"/>
                        </w:rPr>
                      </w:pPr>
                      <w:r w:rsidRPr="00BE7BD0">
                        <w:rPr>
                          <w:rFonts w:hint="eastAsia"/>
                          <w:sz w:val="20"/>
                          <w:szCs w:val="20"/>
                        </w:rPr>
                        <w:t>表</w:t>
                      </w:r>
                      <w:r w:rsidRPr="00BE7BD0">
                        <w:rPr>
                          <w:sz w:val="20"/>
                          <w:szCs w:val="20"/>
                        </w:rPr>
                        <w:t>4</w:t>
                      </w:r>
                      <w:r w:rsidRPr="00BE7BD0">
                        <w:rPr>
                          <w:rFonts w:hint="eastAsia"/>
                          <w:sz w:val="20"/>
                          <w:szCs w:val="20"/>
                        </w:rPr>
                        <w:t xml:space="preserve">　高次レベルの解釈表現例</w:t>
                      </w:r>
                    </w:p>
                    <w:p w:rsidR="00BE7BD0" w:rsidRPr="00BE7BD0" w:rsidRDefault="00BE7BD0" w:rsidP="00BE7BD0">
                      <w:pPr>
                        <w:pStyle w:val="a5"/>
                        <w:spacing w:afterLines="50" w:after="180"/>
                        <w:rPr>
                          <w:sz w:val="20"/>
                          <w:szCs w:val="20"/>
                        </w:rPr>
                      </w:pPr>
                      <w:r w:rsidRPr="00BE7BD0">
                        <w:rPr>
                          <w:sz w:val="20"/>
                          <w:szCs w:val="20"/>
                        </w:rPr>
                        <w:t>Table</w:t>
                      </w:r>
                      <w:r w:rsidRPr="00BE7BD0">
                        <w:rPr>
                          <w:rFonts w:hint="eastAsia"/>
                          <w:sz w:val="20"/>
                          <w:szCs w:val="20"/>
                        </w:rPr>
                        <w:t xml:space="preserve"> </w:t>
                      </w:r>
                      <w:r w:rsidRPr="00BE7BD0">
                        <w:rPr>
                          <w:sz w:val="20"/>
                          <w:szCs w:val="20"/>
                        </w:rPr>
                        <w:t>4</w:t>
                      </w:r>
                      <w:r w:rsidRPr="00BE7BD0">
                        <w:rPr>
                          <w:rFonts w:hint="eastAsia"/>
                          <w:sz w:val="20"/>
                          <w:szCs w:val="20"/>
                        </w:rPr>
                        <w:t xml:space="preserve">　</w:t>
                      </w:r>
                      <w:r w:rsidRPr="00BE7BD0">
                        <w:rPr>
                          <w:sz w:val="20"/>
                          <w:szCs w:val="20"/>
                        </w:rPr>
                        <w:t xml:space="preserve"> High-level Interpretation Representations.</w:t>
                      </w:r>
                    </w:p>
                    <w:tbl>
                      <w:tblPr>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8"/>
                      </w:tblGrid>
                      <w:tr w:rsidR="00BE7BD0" w:rsidRPr="00BE7BD0" w:rsidTr="00BE7BD0">
                        <w:tc>
                          <w:tcPr>
                            <w:tcW w:w="9498" w:type="dxa"/>
                            <w:tcBorders>
                              <w:bottom w:val="double" w:sz="4" w:space="0" w:color="auto"/>
                            </w:tcBorders>
                          </w:tcPr>
                          <w:p w:rsidR="00BE7BD0" w:rsidRPr="00BE7BD0" w:rsidRDefault="00BE7BD0" w:rsidP="0039519C">
                            <w:pPr>
                              <w:jc w:val="center"/>
                              <w:rPr>
                                <w:sz w:val="20"/>
                                <w:szCs w:val="20"/>
                              </w:rPr>
                            </w:pPr>
                            <w:r w:rsidRPr="00BE7BD0">
                              <w:rPr>
                                <w:sz w:val="20"/>
                                <w:szCs w:val="20"/>
                              </w:rPr>
                              <w:t>High</w:t>
                            </w:r>
                            <w:r w:rsidRPr="00BE7BD0">
                              <w:rPr>
                                <w:rFonts w:hint="eastAsia"/>
                                <w:sz w:val="20"/>
                                <w:szCs w:val="20"/>
                              </w:rPr>
                              <w:t>-level Interpretation Representation</w:t>
                            </w:r>
                          </w:p>
                        </w:tc>
                      </w:tr>
                      <w:tr w:rsidR="00BE7BD0" w:rsidRPr="00BE7BD0" w:rsidTr="00BE7BD0">
                        <w:tc>
                          <w:tcPr>
                            <w:tcW w:w="9498" w:type="dxa"/>
                            <w:tcBorders>
                              <w:top w:val="double" w:sz="4" w:space="0" w:color="auto"/>
                            </w:tcBorders>
                          </w:tcPr>
                          <w:p w:rsidR="00BE7BD0" w:rsidRPr="00BE7BD0" w:rsidRDefault="00BE7BD0" w:rsidP="002E125C">
                            <w:pPr>
                              <w:ind w:leftChars="-57" w:left="-120" w:firstLineChars="62" w:firstLine="124"/>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 xml:space="preserve">1 </w:t>
                            </w:r>
                            <w:r w:rsidRPr="00BE7BD0">
                              <w:rPr>
                                <w:rFonts w:ascii="Cambria Math" w:hAnsi="Cambria Math"/>
                                <w:i/>
                                <w:sz w:val="20"/>
                                <w:szCs w:val="20"/>
                              </w:rPr>
                              <w:t>((BEFORE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hint="eastAsia"/>
                                <w:i/>
                                <w:sz w:val="20"/>
                                <w:szCs w:val="20"/>
                              </w:rPr>
                              <w:t>A</w:t>
                            </w:r>
                            <w:r w:rsidRPr="00BE7BD0">
                              <w:rPr>
                                <w:rFonts w:ascii="Cambria Math" w:hAnsi="Cambria Math"/>
                                <w:i/>
                                <w:sz w:val="20"/>
                                <w:szCs w:val="20"/>
                              </w:rPr>
                              <w:t>,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 xml:space="preserve">B, 5000) OR </w:t>
                            </w:r>
                          </w:p>
                          <w:p w:rsidR="00BE7BD0" w:rsidRPr="00BE7BD0" w:rsidRDefault="00BE7BD0" w:rsidP="00BE7BD0">
                            <w:pPr>
                              <w:ind w:leftChars="-57" w:left="-120" w:firstLineChars="262" w:firstLine="524"/>
                              <w:jc w:val="left"/>
                              <w:rPr>
                                <w:rFonts w:ascii="Cambria Math" w:hAnsi="Cambria Math"/>
                                <w:i/>
                                <w:sz w:val="20"/>
                                <w:szCs w:val="20"/>
                              </w:rPr>
                            </w:pPr>
                            <w:r w:rsidRPr="00BE7BD0">
                              <w:rPr>
                                <w:rFonts w:ascii="Cambria Math" w:hAnsi="Cambria Math"/>
                                <w:i/>
                                <w:sz w:val="20"/>
                                <w:szCs w:val="20"/>
                              </w:rPr>
                              <w:t>BEFORE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B, lr</w:t>
                            </w:r>
                            <w:r w:rsidRPr="00BE7BD0">
                              <w:rPr>
                                <w:rFonts w:ascii="Cambria Math" w:hAnsi="Cambria Math"/>
                                <w:i/>
                                <w:sz w:val="20"/>
                                <w:szCs w:val="20"/>
                                <w:vertAlign w:val="subscript"/>
                              </w:rPr>
                              <w:t>1</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A, 5000))</w:t>
                            </w:r>
                            <w:r w:rsidRPr="00BE7BD0">
                              <w:rPr>
                                <w:rFonts w:ascii="Cambria Math" w:hAnsi="Cambria Math" w:hint="eastAsia"/>
                                <w:i/>
                                <w:sz w:val="20"/>
                                <w:szCs w:val="20"/>
                              </w:rPr>
                              <w:t>,</w:t>
                            </w:r>
                            <w:r w:rsidRPr="00BE7BD0">
                              <w:rPr>
                                <w:rFonts w:ascii="Cambria Math" w:hAnsi="Cambria Math"/>
                                <w:i/>
                                <w:sz w:val="20"/>
                                <w:szCs w:val="20"/>
                              </w:rPr>
                              <w:t xml:space="preserve"> </w:t>
                            </w:r>
                            <w:r w:rsidRPr="00BE7BD0">
                              <w:rPr>
                                <w:rFonts w:ascii="Cambria Math" w:hAnsi="Cambria Math"/>
                                <w:i/>
                                <w:sz w:val="20"/>
                                <w:szCs w:val="20"/>
                              </w:rPr>
                              <w:t>“</w:t>
                            </w:r>
                            <w:r w:rsidRPr="00BE7BD0">
                              <w:rPr>
                                <w:rFonts w:ascii="Cambria Math" w:hAnsi="Cambria Math" w:hint="eastAsia"/>
                                <w:i/>
                                <w:sz w:val="20"/>
                                <w:szCs w:val="20"/>
                              </w:rPr>
                              <w:t>思考</w:t>
                            </w:r>
                            <w:r w:rsidRPr="00BE7BD0">
                              <w:rPr>
                                <w:rFonts w:ascii="Cambria Math" w:hAnsi="Cambria Math"/>
                                <w:i/>
                                <w:sz w:val="20"/>
                                <w:szCs w:val="20"/>
                              </w:rPr>
                              <w:t>A</w:t>
                            </w:r>
                            <w:r w:rsidRPr="00BE7BD0">
                              <w:rPr>
                                <w:rFonts w:ascii="Cambria Math" w:hAnsi="Cambria Math"/>
                                <w:i/>
                                <w:sz w:val="20"/>
                                <w:szCs w:val="20"/>
                              </w:rPr>
                              <w:t>と思考</w:t>
                            </w:r>
                            <w:r w:rsidRPr="00BE7BD0">
                              <w:rPr>
                                <w:rFonts w:ascii="Cambria Math" w:hAnsi="Cambria Math" w:hint="eastAsia"/>
                                <w:i/>
                                <w:sz w:val="20"/>
                                <w:szCs w:val="20"/>
                              </w:rPr>
                              <w:t>B</w:t>
                            </w:r>
                            <w:r w:rsidRPr="00BE7BD0">
                              <w:rPr>
                                <w:rFonts w:ascii="Cambria Math" w:hAnsi="Cambria Math"/>
                                <w:i/>
                                <w:sz w:val="20"/>
                                <w:szCs w:val="20"/>
                              </w:rPr>
                              <w:t>の比較</w:t>
                            </w:r>
                            <w:r w:rsidRPr="00BE7BD0">
                              <w:rPr>
                                <w:rFonts w:ascii="Cambria Math" w:hAnsi="Cambria Math"/>
                                <w:i/>
                                <w:sz w:val="20"/>
                                <w:szCs w:val="20"/>
                              </w:rPr>
                              <w:t>”)</w:t>
                            </w:r>
                          </w:p>
                        </w:tc>
                      </w:tr>
                      <w:tr w:rsidR="00BE7BD0" w:rsidRPr="00BE7BD0" w:rsidTr="00BE7BD0">
                        <w:tc>
                          <w:tcPr>
                            <w:tcW w:w="9498" w:type="dxa"/>
                          </w:tcPr>
                          <w:p w:rsidR="00BE7BD0" w:rsidRPr="00BE7BD0" w:rsidRDefault="00BE7BD0" w:rsidP="002E125C">
                            <w:pPr>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2</w:t>
                            </w:r>
                            <w:r w:rsidRPr="00BE7BD0">
                              <w:rPr>
                                <w:rFonts w:ascii="Cambria Math" w:hAnsi="Cambria Math"/>
                                <w:i/>
                                <w:sz w:val="20"/>
                                <w:szCs w:val="20"/>
                              </w:rPr>
                              <w:t>(ALL (lr</w:t>
                            </w:r>
                            <w:r w:rsidRPr="00BE7BD0">
                              <w:rPr>
                                <w:rFonts w:ascii="Cambria Math" w:hAnsi="Cambria Math"/>
                                <w:i/>
                                <w:sz w:val="20"/>
                                <w:szCs w:val="20"/>
                                <w:vertAlign w:val="subscript"/>
                              </w:rPr>
                              <w:t>3</w:t>
                            </w:r>
                            <w:r w:rsidRPr="00BE7BD0">
                              <w:rPr>
                                <w:rFonts w:ascii="Cambria Math" w:hAnsi="Cambria Math"/>
                                <w:i/>
                                <w:sz w:val="20"/>
                                <w:szCs w:val="20"/>
                              </w:rPr>
                              <w:t>.policy), “</w:t>
                            </w:r>
                            <w:r w:rsidRPr="00BE7BD0">
                              <w:rPr>
                                <w:rFonts w:ascii="Cambria Math" w:hAnsi="Cambria Math" w:hint="eastAsia"/>
                                <w:i/>
                                <w:sz w:val="20"/>
                                <w:szCs w:val="20"/>
                              </w:rPr>
                              <w:t>指針の</w:t>
                            </w:r>
                            <w:r w:rsidRPr="00BE7BD0">
                              <w:rPr>
                                <w:rFonts w:ascii="Cambria Math" w:hAnsi="Cambria Math"/>
                                <w:i/>
                                <w:sz w:val="20"/>
                                <w:szCs w:val="20"/>
                              </w:rPr>
                              <w:t>理解</w:t>
                            </w:r>
                            <w:r w:rsidRPr="00BE7BD0">
                              <w:rPr>
                                <w:rFonts w:ascii="Cambria Math" w:hAnsi="Cambria Math"/>
                                <w:i/>
                                <w:sz w:val="20"/>
                                <w:szCs w:val="20"/>
                              </w:rPr>
                              <w:t>”)</w:t>
                            </w:r>
                          </w:p>
                        </w:tc>
                      </w:tr>
                      <w:tr w:rsidR="00BE7BD0" w:rsidRPr="00BE7BD0" w:rsidTr="00BE7BD0">
                        <w:tc>
                          <w:tcPr>
                            <w:tcW w:w="9498" w:type="dxa"/>
                          </w:tcPr>
                          <w:p w:rsidR="00BE7BD0" w:rsidRPr="00BE7BD0" w:rsidRDefault="00BE7BD0" w:rsidP="002E125C">
                            <w:pPr>
                              <w:jc w:val="left"/>
                              <w:rPr>
                                <w:sz w:val="20"/>
                                <w:szCs w:val="20"/>
                              </w:rPr>
                            </w:pPr>
                            <w:r w:rsidRPr="00BE7BD0">
                              <w:rPr>
                                <w:rFonts w:ascii="Cambria Math" w:hAnsi="Cambria Math"/>
                                <w:i/>
                                <w:sz w:val="20"/>
                                <w:szCs w:val="20"/>
                              </w:rPr>
                              <w:t>hr</w:t>
                            </w:r>
                            <w:r w:rsidRPr="00BE7BD0">
                              <w:rPr>
                                <w:rFonts w:ascii="Cambria Math" w:hAnsi="Cambria Math"/>
                                <w:i/>
                                <w:sz w:val="20"/>
                                <w:szCs w:val="20"/>
                                <w:vertAlign w:val="subscript"/>
                              </w:rPr>
                              <w:t>3</w:t>
                            </w:r>
                            <w:r w:rsidRPr="00BE7BD0">
                              <w:rPr>
                                <w:rFonts w:ascii="Cambria Math" w:hAnsi="Cambria Math"/>
                                <w:i/>
                                <w:sz w:val="20"/>
                                <w:szCs w:val="20"/>
                              </w:rPr>
                              <w:t xml:space="preserve"> (ALL (lr</w:t>
                            </w:r>
                            <w:r w:rsidRPr="00BE7BD0">
                              <w:rPr>
                                <w:rFonts w:ascii="Cambria Math" w:hAnsi="Cambria Math"/>
                                <w:i/>
                                <w:sz w:val="20"/>
                                <w:szCs w:val="20"/>
                                <w:vertAlign w:val="subscript"/>
                              </w:rPr>
                              <w:t>4</w:t>
                            </w:r>
                            <w:r w:rsidRPr="00BE7BD0">
                              <w:rPr>
                                <w:rFonts w:ascii="Cambria Math" w:hAnsi="Cambria Math"/>
                                <w:i/>
                                <w:sz w:val="20"/>
                                <w:szCs w:val="20"/>
                              </w:rPr>
                              <w:t>.policy), “</w:t>
                            </w:r>
                            <w:r w:rsidRPr="00BE7BD0">
                              <w:rPr>
                                <w:rFonts w:ascii="Cambria Math" w:hAnsi="Cambria Math" w:hint="eastAsia"/>
                                <w:i/>
                                <w:sz w:val="20"/>
                                <w:szCs w:val="20"/>
                              </w:rPr>
                              <w:t>指針の</w:t>
                            </w:r>
                            <w:r w:rsidRPr="00BE7BD0">
                              <w:rPr>
                                <w:rFonts w:ascii="Cambria Math" w:hAnsi="Cambria Math"/>
                                <w:i/>
                                <w:sz w:val="20"/>
                                <w:szCs w:val="20"/>
                              </w:rPr>
                              <w:t>修正</w:t>
                            </w:r>
                            <w:r w:rsidRPr="00BE7BD0">
                              <w:rPr>
                                <w:rFonts w:ascii="Cambria Math" w:hAnsi="Cambria Math"/>
                                <w:i/>
                                <w:sz w:val="20"/>
                                <w:szCs w:val="20"/>
                              </w:rPr>
                              <w:t>”)</w:t>
                            </w:r>
                          </w:p>
                        </w:tc>
                      </w:tr>
                      <w:tr w:rsidR="00BE7BD0" w:rsidRPr="00BE7BD0" w:rsidTr="00BE7BD0">
                        <w:tc>
                          <w:tcPr>
                            <w:tcW w:w="9498" w:type="dxa"/>
                          </w:tcPr>
                          <w:p w:rsidR="00BE7BD0" w:rsidRPr="00BE7BD0" w:rsidRDefault="00BE7BD0" w:rsidP="000055B0">
                            <w:pPr>
                              <w:jc w:val="left"/>
                              <w:rPr>
                                <w:rFonts w:ascii="Cambria Math" w:hAnsi="Cambria Math"/>
                                <w:i/>
                                <w:sz w:val="20"/>
                                <w:szCs w:val="20"/>
                              </w:rPr>
                            </w:pPr>
                            <w:r w:rsidRPr="00BE7BD0">
                              <w:rPr>
                                <w:rFonts w:ascii="Cambria Math" w:hAnsi="Cambria Math"/>
                                <w:i/>
                                <w:sz w:val="20"/>
                                <w:szCs w:val="20"/>
                              </w:rPr>
                              <w:t>hr</w:t>
                            </w:r>
                            <w:r w:rsidRPr="00BE7BD0">
                              <w:rPr>
                                <w:rFonts w:ascii="Cambria Math" w:hAnsi="Cambria Math"/>
                                <w:i/>
                                <w:sz w:val="20"/>
                                <w:szCs w:val="20"/>
                                <w:vertAlign w:val="subscript"/>
                              </w:rPr>
                              <w:t>4</w:t>
                            </w:r>
                            <w:r w:rsidRPr="00BE7BD0">
                              <w:rPr>
                                <w:rFonts w:ascii="Cambria Math" w:hAnsi="Cambria Math"/>
                                <w:i/>
                                <w:sz w:val="20"/>
                                <w:szCs w:val="20"/>
                              </w:rPr>
                              <w:t xml:space="preserve"> (BEFORE (hr</w:t>
                            </w:r>
                            <w:r w:rsidRPr="00BE7BD0">
                              <w:rPr>
                                <w:rFonts w:ascii="Cambria Math" w:hAnsi="Cambria Math"/>
                                <w:i/>
                                <w:sz w:val="20"/>
                                <w:szCs w:val="20"/>
                                <w:vertAlign w:val="subscript"/>
                              </w:rPr>
                              <w:t>2</w:t>
                            </w:r>
                            <w:r w:rsidRPr="00BE7BD0">
                              <w:rPr>
                                <w:rFonts w:ascii="Cambria Math" w:hAnsi="Cambria Math"/>
                                <w:i/>
                                <w:sz w:val="20"/>
                                <w:szCs w:val="20"/>
                              </w:rPr>
                              <w:t>, hr</w:t>
                            </w:r>
                            <w:r w:rsidRPr="00BE7BD0">
                              <w:rPr>
                                <w:rFonts w:ascii="Cambria Math" w:hAnsi="Cambria Math"/>
                                <w:i/>
                                <w:sz w:val="20"/>
                                <w:szCs w:val="20"/>
                                <w:vertAlign w:val="subscript"/>
                              </w:rPr>
                              <w:t>3</w:t>
                            </w:r>
                            <w:r w:rsidRPr="00BE7BD0">
                              <w:rPr>
                                <w:rFonts w:ascii="Cambria Math" w:hAnsi="Cambria Math"/>
                                <w:i/>
                                <w:sz w:val="20"/>
                                <w:szCs w:val="20"/>
                              </w:rPr>
                              <w:t>, 5000), “</w:t>
                            </w:r>
                            <w:r w:rsidRPr="00BE7BD0">
                              <w:rPr>
                                <w:rFonts w:ascii="Cambria Math" w:hAnsi="Cambria Math" w:hint="eastAsia"/>
                                <w:i/>
                                <w:sz w:val="20"/>
                                <w:szCs w:val="20"/>
                              </w:rPr>
                              <w:t>葛藤に</w:t>
                            </w:r>
                            <w:r w:rsidRPr="00BE7BD0">
                              <w:rPr>
                                <w:rFonts w:ascii="Cambria Math" w:hAnsi="Cambria Math"/>
                                <w:i/>
                                <w:sz w:val="20"/>
                                <w:szCs w:val="20"/>
                              </w:rPr>
                              <w:t>至る</w:t>
                            </w:r>
                            <w:r w:rsidRPr="00BE7BD0">
                              <w:rPr>
                                <w:rFonts w:ascii="Cambria Math" w:hAnsi="Cambria Math" w:hint="eastAsia"/>
                                <w:i/>
                                <w:sz w:val="20"/>
                                <w:szCs w:val="20"/>
                              </w:rPr>
                              <w:t>指針</w:t>
                            </w:r>
                            <w:r w:rsidRPr="00BE7BD0">
                              <w:rPr>
                                <w:rFonts w:ascii="Cambria Math" w:hAnsi="Cambria Math"/>
                                <w:i/>
                                <w:sz w:val="20"/>
                                <w:szCs w:val="20"/>
                              </w:rPr>
                              <w:t>の吟味</w:t>
                            </w:r>
                            <w:r w:rsidRPr="00BE7BD0">
                              <w:rPr>
                                <w:rFonts w:ascii="Cambria Math" w:hAnsi="Cambria Math"/>
                                <w:i/>
                                <w:sz w:val="20"/>
                                <w:szCs w:val="20"/>
                              </w:rPr>
                              <w:t>”)</w:t>
                            </w:r>
                          </w:p>
                        </w:tc>
                      </w:tr>
                    </w:tbl>
                    <w:p w:rsidR="00BE7BD0" w:rsidRPr="00BE7BD0" w:rsidRDefault="00BE7BD0" w:rsidP="00BE7BD0">
                      <w:pPr>
                        <w:jc w:val="center"/>
                        <w:rPr>
                          <w:sz w:val="20"/>
                          <w:szCs w:val="20"/>
                        </w:rPr>
                      </w:pPr>
                    </w:p>
                  </w:txbxContent>
                </v:textbox>
                <w10:wrap type="square" anchorx="margin" anchory="margin"/>
              </v:shape>
            </w:pict>
          </mc:Fallback>
        </mc:AlternateContent>
      </w:r>
      <w:r w:rsidR="003B4D7B" w:rsidRPr="00EE2AC7">
        <w:rPr>
          <w:noProof/>
        </w:rPr>
        <mc:AlternateContent>
          <mc:Choice Requires="wps">
            <w:drawing>
              <wp:anchor distT="0" distB="0" distL="114300" distR="114300" simplePos="0" relativeHeight="251679744" behindDoc="0" locked="0" layoutInCell="1" allowOverlap="1" wp14:anchorId="27F3DE38" wp14:editId="51A0C337">
                <wp:simplePos x="0" y="0"/>
                <wp:positionH relativeFrom="margin">
                  <wp:posOffset>-9525</wp:posOffset>
                </wp:positionH>
                <wp:positionV relativeFrom="margin">
                  <wp:posOffset>1554480</wp:posOffset>
                </wp:positionV>
                <wp:extent cx="6191250" cy="1828800"/>
                <wp:effectExtent l="0" t="0" r="0" b="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619125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B4D7B" w:rsidRPr="003B4D7B" w:rsidRDefault="003B4D7B" w:rsidP="003B4D7B">
                            <w:pPr>
                              <w:pStyle w:val="a4"/>
                              <w:rPr>
                                <w:sz w:val="20"/>
                                <w:szCs w:val="20"/>
                              </w:rPr>
                            </w:pPr>
                            <w:r w:rsidRPr="003B4D7B">
                              <w:rPr>
                                <w:rFonts w:hint="eastAsia"/>
                                <w:sz w:val="20"/>
                                <w:szCs w:val="20"/>
                              </w:rPr>
                              <w:t>表</w:t>
                            </w:r>
                            <w:r w:rsidRPr="003B4D7B">
                              <w:rPr>
                                <w:sz w:val="20"/>
                                <w:szCs w:val="20"/>
                              </w:rPr>
                              <w:t>3</w:t>
                            </w:r>
                            <w:r w:rsidRPr="003B4D7B">
                              <w:rPr>
                                <w:rFonts w:hint="eastAsia"/>
                                <w:sz w:val="20"/>
                                <w:szCs w:val="20"/>
                              </w:rPr>
                              <w:t xml:space="preserve">　低次レベルの解釈表現例</w:t>
                            </w:r>
                          </w:p>
                          <w:p w:rsidR="003B4D7B" w:rsidRPr="003B4D7B" w:rsidRDefault="003B4D7B" w:rsidP="003B4D7B">
                            <w:pPr>
                              <w:pStyle w:val="a5"/>
                              <w:spacing w:afterLines="50" w:after="180"/>
                              <w:rPr>
                                <w:sz w:val="20"/>
                                <w:szCs w:val="20"/>
                              </w:rPr>
                            </w:pPr>
                            <w:r w:rsidRPr="003B4D7B">
                              <w:rPr>
                                <w:sz w:val="20"/>
                                <w:szCs w:val="20"/>
                              </w:rPr>
                              <w:t>Table</w:t>
                            </w:r>
                            <w:r w:rsidRPr="003B4D7B">
                              <w:rPr>
                                <w:rFonts w:hint="eastAsia"/>
                                <w:sz w:val="20"/>
                                <w:szCs w:val="20"/>
                              </w:rPr>
                              <w:t xml:space="preserve"> </w:t>
                            </w:r>
                            <w:r w:rsidRPr="003B4D7B">
                              <w:rPr>
                                <w:sz w:val="20"/>
                                <w:szCs w:val="20"/>
                              </w:rPr>
                              <w:t>3</w:t>
                            </w:r>
                            <w:r w:rsidRPr="003B4D7B">
                              <w:rPr>
                                <w:rFonts w:hint="eastAsia"/>
                                <w:sz w:val="20"/>
                                <w:szCs w:val="20"/>
                              </w:rPr>
                              <w:t xml:space="preserve">　</w:t>
                            </w:r>
                            <w:r w:rsidRPr="003B4D7B">
                              <w:rPr>
                                <w:sz w:val="20"/>
                                <w:szCs w:val="20"/>
                              </w:rPr>
                              <w:t xml:space="preserve"> Low-level Interpretation Representations.</w:t>
                            </w:r>
                          </w:p>
                          <w:tbl>
                            <w:tblPr>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8"/>
                            </w:tblGrid>
                            <w:tr w:rsidR="003B4D7B" w:rsidTr="003B4D7B">
                              <w:tc>
                                <w:tcPr>
                                  <w:tcW w:w="9498" w:type="dxa"/>
                                  <w:tcBorders>
                                    <w:bottom w:val="double" w:sz="4" w:space="0" w:color="auto"/>
                                  </w:tcBorders>
                                </w:tcPr>
                                <w:p w:rsidR="003B4D7B" w:rsidRPr="00987B39" w:rsidRDefault="003B4D7B" w:rsidP="002E468B">
                                  <w:pPr>
                                    <w:jc w:val="center"/>
                                    <w:rPr>
                                      <w:sz w:val="20"/>
                                      <w:szCs w:val="20"/>
                                    </w:rPr>
                                  </w:pPr>
                                  <w:r w:rsidRPr="00987B39">
                                    <w:rPr>
                                      <w:rFonts w:hint="eastAsia"/>
                                      <w:sz w:val="20"/>
                                      <w:szCs w:val="20"/>
                                    </w:rPr>
                                    <w:t>Low-level Interpretation Representation</w:t>
                                  </w:r>
                                </w:p>
                              </w:tc>
                            </w:tr>
                            <w:tr w:rsidR="003B4D7B" w:rsidTr="003B4D7B">
                              <w:tc>
                                <w:tcPr>
                                  <w:tcW w:w="9498" w:type="dxa"/>
                                  <w:tcBorders>
                                    <w:top w:val="double" w:sz="4" w:space="0" w:color="auto"/>
                                  </w:tcBorders>
                                </w:tcPr>
                                <w:p w:rsidR="003B4D7B" w:rsidRPr="00987B39" w:rsidRDefault="003B4D7B" w:rsidP="002E125C">
                                  <w:pPr>
                                    <w:ind w:left="1800" w:hangingChars="900" w:hanging="18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1 </w:t>
                                  </w:r>
                                  <w:r w:rsidRPr="00987B39">
                                    <w:rPr>
                                      <w:rFonts w:ascii="Cambria Math" w:hAnsi="Cambria Math"/>
                                      <w:i/>
                                      <w:sz w:val="20"/>
                                      <w:szCs w:val="20"/>
                                    </w:rPr>
                                    <w:t>(GazeAt(</w:t>
                                  </w:r>
                                  <w:r w:rsidRPr="00987B39">
                                    <w:rPr>
                                      <w:rFonts w:ascii="Cambria Math" w:hAnsi="Cambria Math" w:hint="eastAsia"/>
                                      <w:i/>
                                      <w:sz w:val="20"/>
                                      <w:szCs w:val="20"/>
                                    </w:rPr>
                                    <w:t>思考エリア</w:t>
                                  </w:r>
                                  <w:r w:rsidRPr="00987B39">
                                    <w:rPr>
                                      <w:rFonts w:ascii="Cambria Math" w:hAnsi="Cambria Math"/>
                                      <w:i/>
                                      <w:sz w:val="20"/>
                                      <w:szCs w:val="20"/>
                                    </w:rPr>
                                    <w:t>[all]), “</w:t>
                                  </w:r>
                                  <w:r w:rsidRPr="00987B39">
                                    <w:rPr>
                                      <w:rFonts w:ascii="Cambria Math" w:hAnsi="Cambria Math" w:hint="eastAsia"/>
                                      <w:i/>
                                      <w:sz w:val="20"/>
                                      <w:szCs w:val="20"/>
                                    </w:rPr>
                                    <w:t>思考の</w:t>
                                  </w:r>
                                  <w:r w:rsidRPr="00987B39">
                                    <w:rPr>
                                      <w:rFonts w:ascii="Cambria Math" w:hAnsi="Cambria Math"/>
                                      <w:i/>
                                      <w:sz w:val="20"/>
                                      <w:szCs w:val="20"/>
                                    </w:rPr>
                                    <w:t>理解</w:t>
                                  </w:r>
                                  <w:r w:rsidRPr="00987B39">
                                    <w:rPr>
                                      <w:rFonts w:ascii="Cambria Math" w:hAnsi="Cambria Math"/>
                                      <w:i/>
                                      <w:sz w:val="20"/>
                                      <w:szCs w:val="20"/>
                                    </w:rPr>
                                    <w:t xml:space="preserve">”) </w:t>
                                  </w:r>
                                </w:p>
                              </w:tc>
                            </w:tr>
                            <w:tr w:rsidR="003B4D7B" w:rsidTr="003B4D7B">
                              <w:tc>
                                <w:tcPr>
                                  <w:tcW w:w="9498" w:type="dxa"/>
                                </w:tcPr>
                                <w:p w:rsidR="003B4D7B" w:rsidRPr="00987B39" w:rsidRDefault="003B4D7B" w:rsidP="002E125C">
                                  <w:pPr>
                                    <w:ind w:left="1900" w:hangingChars="950" w:hanging="19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2 </w:t>
                                  </w:r>
                                  <w:r w:rsidRPr="00987B39">
                                    <w:rPr>
                                      <w:rFonts w:ascii="Cambria Math" w:hAnsi="Cambria Math"/>
                                      <w:i/>
                                      <w:sz w:val="20"/>
                                      <w:szCs w:val="20"/>
                                    </w:rPr>
                                    <w:t>(GazeAt(</w:t>
                                  </w:r>
                                  <w:r w:rsidRPr="00987B39">
                                    <w:rPr>
                                      <w:rFonts w:ascii="Cambria Math" w:hAnsi="Cambria Math" w:hint="eastAsia"/>
                                      <w:i/>
                                      <w:sz w:val="20"/>
                                      <w:szCs w:val="20"/>
                                    </w:rPr>
                                    <w:t>葛藤</w:t>
                                  </w:r>
                                  <w:r w:rsidRPr="00987B39">
                                    <w:rPr>
                                      <w:rFonts w:ascii="Cambria Math" w:hAnsi="Cambria Math"/>
                                      <w:i/>
                                      <w:sz w:val="20"/>
                                      <w:szCs w:val="20"/>
                                    </w:rPr>
                                    <w:t>エリア</w:t>
                                  </w:r>
                                  <w:r w:rsidRPr="00987B39">
                                    <w:rPr>
                                      <w:rFonts w:ascii="Cambria Math" w:hAnsi="Cambria Math"/>
                                      <w:i/>
                                      <w:sz w:val="20"/>
                                      <w:szCs w:val="20"/>
                                    </w:rPr>
                                    <w:t>[all]), “</w:t>
                                  </w:r>
                                  <w:r w:rsidRPr="00987B39">
                                    <w:rPr>
                                      <w:rFonts w:ascii="Cambria Math" w:hAnsi="Cambria Math" w:hint="eastAsia"/>
                                      <w:i/>
                                      <w:sz w:val="20"/>
                                      <w:szCs w:val="20"/>
                                    </w:rPr>
                                    <w:t>葛藤の</w:t>
                                  </w:r>
                                  <w:r w:rsidRPr="00987B39">
                                    <w:rPr>
                                      <w:rFonts w:ascii="Cambria Math" w:hAnsi="Cambria Math"/>
                                      <w:i/>
                                      <w:sz w:val="20"/>
                                      <w:szCs w:val="20"/>
                                    </w:rPr>
                                    <w:t>理解</w:t>
                                  </w:r>
                                  <w:r w:rsidRPr="00987B39">
                                    <w:rPr>
                                      <w:rFonts w:ascii="Cambria Math" w:hAnsi="Cambria Math"/>
                                      <w:i/>
                                      <w:sz w:val="20"/>
                                      <w:szCs w:val="20"/>
                                    </w:rPr>
                                    <w:t>”)</w:t>
                                  </w:r>
                                </w:p>
                              </w:tc>
                            </w:tr>
                            <w:tr w:rsidR="003B4D7B" w:rsidTr="003B4D7B">
                              <w:tc>
                                <w:tcPr>
                                  <w:tcW w:w="9498" w:type="dxa"/>
                                </w:tcPr>
                                <w:p w:rsidR="003B4D7B" w:rsidRPr="00987B39" w:rsidRDefault="003B4D7B" w:rsidP="00C55EAD">
                                  <w:pPr>
                                    <w:ind w:left="2700" w:hangingChars="1350" w:hanging="27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3 </w:t>
                                  </w:r>
                                  <w:r w:rsidRPr="00987B39">
                                    <w:rPr>
                                      <w:rFonts w:ascii="Cambria Math" w:hAnsi="Cambria Math"/>
                                      <w:i/>
                                      <w:sz w:val="20"/>
                                      <w:szCs w:val="20"/>
                                    </w:rPr>
                                    <w:t>(GazeAt(</w:t>
                                  </w:r>
                                  <w:r w:rsidRPr="00987B39">
                                    <w:rPr>
                                      <w:rFonts w:ascii="Cambria Math" w:hAnsi="Cambria Math" w:hint="eastAsia"/>
                                      <w:i/>
                                      <w:sz w:val="20"/>
                                      <w:szCs w:val="20"/>
                                    </w:rPr>
                                    <w:t>ステートメント</w:t>
                                  </w:r>
                                  <w:r w:rsidRPr="00987B39">
                                    <w:rPr>
                                      <w:rFonts w:ascii="Cambria Math" w:hAnsi="Cambria Math"/>
                                      <w:i/>
                                      <w:sz w:val="20"/>
                                      <w:szCs w:val="20"/>
                                    </w:rPr>
                                    <w:t>[all]), “</w:t>
                                  </w:r>
                                  <w:r w:rsidRPr="00987B39">
                                    <w:rPr>
                                      <w:rFonts w:ascii="Cambria Math" w:hAnsi="Cambria Math" w:hint="eastAsia"/>
                                      <w:i/>
                                      <w:sz w:val="20"/>
                                      <w:szCs w:val="20"/>
                                    </w:rPr>
                                    <w:t>ステートメントの理解</w:t>
                                  </w:r>
                                  <w:r w:rsidRPr="00987B39">
                                    <w:rPr>
                                      <w:rFonts w:ascii="Cambria Math" w:hAnsi="Cambria Math"/>
                                      <w:i/>
                                      <w:sz w:val="20"/>
                                      <w:szCs w:val="20"/>
                                    </w:rPr>
                                    <w:t>)</w:t>
                                  </w:r>
                                </w:p>
                              </w:tc>
                            </w:tr>
                            <w:tr w:rsidR="003B4D7B" w:rsidTr="003B4D7B">
                              <w:tc>
                                <w:tcPr>
                                  <w:tcW w:w="9498" w:type="dxa"/>
                                </w:tcPr>
                                <w:p w:rsidR="003B4D7B" w:rsidRPr="00987B39" w:rsidRDefault="003B4D7B" w:rsidP="002E125C">
                                  <w:pPr>
                                    <w:ind w:left="900" w:hangingChars="450" w:hanging="900"/>
                                    <w:jc w:val="left"/>
                                    <w:rPr>
                                      <w:rFonts w:ascii="Cambria Math" w:hAnsi="Cambria Math"/>
                                      <w:i/>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4 </w:t>
                                  </w:r>
                                  <w:r w:rsidRPr="00987B39">
                                    <w:rPr>
                                      <w:rFonts w:ascii="Cambria Math" w:hAnsi="Cambria Math"/>
                                      <w:i/>
                                      <w:sz w:val="20"/>
                                      <w:szCs w:val="20"/>
                                    </w:rPr>
                                    <w:t>(Keypress(</w:t>
                                  </w:r>
                                  <w:r w:rsidRPr="00987B39">
                                    <w:rPr>
                                      <w:rFonts w:ascii="Cambria Math" w:hAnsi="Cambria Math" w:hint="eastAsia"/>
                                      <w:i/>
                                      <w:sz w:val="20"/>
                                      <w:szCs w:val="20"/>
                                    </w:rPr>
                                    <w:t>ステートメント</w:t>
                                  </w:r>
                                  <w:r w:rsidRPr="00987B39">
                                    <w:rPr>
                                      <w:rFonts w:ascii="Cambria Math" w:hAnsi="Cambria Math"/>
                                      <w:i/>
                                      <w:sz w:val="20"/>
                                      <w:szCs w:val="20"/>
                                    </w:rPr>
                                    <w:t>[all]), “</w:t>
                                  </w:r>
                                  <w:r w:rsidRPr="00987B39">
                                    <w:rPr>
                                      <w:rFonts w:ascii="Cambria Math" w:hAnsi="Cambria Math" w:hint="eastAsia"/>
                                      <w:i/>
                                      <w:sz w:val="20"/>
                                      <w:szCs w:val="20"/>
                                    </w:rPr>
                                    <w:t>思考の</w:t>
                                  </w:r>
                                  <w:r w:rsidRPr="00987B39">
                                    <w:rPr>
                                      <w:rFonts w:ascii="Cambria Math" w:hAnsi="Cambria Math"/>
                                      <w:i/>
                                      <w:sz w:val="20"/>
                                      <w:szCs w:val="20"/>
                                    </w:rPr>
                                    <w:t>修正</w:t>
                                  </w:r>
                                  <w:r w:rsidRPr="00987B39">
                                    <w:rPr>
                                      <w:rFonts w:ascii="Cambria Math" w:hAnsi="Cambria Math"/>
                                      <w:i/>
                                      <w:sz w:val="20"/>
                                      <w:szCs w:val="20"/>
                                    </w:rPr>
                                    <w:t>)</w:t>
                                  </w:r>
                                </w:p>
                              </w:tc>
                            </w:tr>
                          </w:tbl>
                          <w:p w:rsidR="003B4D7B" w:rsidRPr="00101E2C" w:rsidRDefault="003B4D7B" w:rsidP="003B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DE38" id="テキスト ボックス 21" o:spid="_x0000_s1036" type="#_x0000_t202" style="position:absolute;left:0;text-align:left;margin-left:-.75pt;margin-top:122.4pt;width:487.5pt;height:2in;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" filled="f" stroked="f">
                <v:textbox>
                  <w:txbxContent>
                    <w:p w:rsidR="003B4D7B" w:rsidRPr="003B4D7B" w:rsidRDefault="003B4D7B" w:rsidP="003B4D7B">
                      <w:pPr>
                        <w:pStyle w:val="a4"/>
                        <w:rPr>
                          <w:sz w:val="20"/>
                          <w:szCs w:val="20"/>
                        </w:rPr>
                      </w:pPr>
                      <w:r w:rsidRPr="003B4D7B">
                        <w:rPr>
                          <w:rFonts w:hint="eastAsia"/>
                          <w:sz w:val="20"/>
                          <w:szCs w:val="20"/>
                        </w:rPr>
                        <w:t>表</w:t>
                      </w:r>
                      <w:r w:rsidRPr="003B4D7B">
                        <w:rPr>
                          <w:sz w:val="20"/>
                          <w:szCs w:val="20"/>
                        </w:rPr>
                        <w:t>3</w:t>
                      </w:r>
                      <w:r w:rsidRPr="003B4D7B">
                        <w:rPr>
                          <w:rFonts w:hint="eastAsia"/>
                          <w:sz w:val="20"/>
                          <w:szCs w:val="20"/>
                        </w:rPr>
                        <w:t xml:space="preserve">　低次レベルの解釈表現例</w:t>
                      </w:r>
                    </w:p>
                    <w:p w:rsidR="003B4D7B" w:rsidRPr="003B4D7B" w:rsidRDefault="003B4D7B" w:rsidP="003B4D7B">
                      <w:pPr>
                        <w:pStyle w:val="a5"/>
                        <w:spacing w:afterLines="50" w:after="180"/>
                        <w:rPr>
                          <w:sz w:val="20"/>
                          <w:szCs w:val="20"/>
                        </w:rPr>
                      </w:pPr>
                      <w:r w:rsidRPr="003B4D7B">
                        <w:rPr>
                          <w:sz w:val="20"/>
                          <w:szCs w:val="20"/>
                        </w:rPr>
                        <w:t>Table</w:t>
                      </w:r>
                      <w:r w:rsidRPr="003B4D7B">
                        <w:rPr>
                          <w:rFonts w:hint="eastAsia"/>
                          <w:sz w:val="20"/>
                          <w:szCs w:val="20"/>
                        </w:rPr>
                        <w:t xml:space="preserve"> </w:t>
                      </w:r>
                      <w:r w:rsidRPr="003B4D7B">
                        <w:rPr>
                          <w:sz w:val="20"/>
                          <w:szCs w:val="20"/>
                        </w:rPr>
                        <w:t>3</w:t>
                      </w:r>
                      <w:r w:rsidRPr="003B4D7B">
                        <w:rPr>
                          <w:rFonts w:hint="eastAsia"/>
                          <w:sz w:val="20"/>
                          <w:szCs w:val="20"/>
                        </w:rPr>
                        <w:t xml:space="preserve">　</w:t>
                      </w:r>
                      <w:r w:rsidRPr="003B4D7B">
                        <w:rPr>
                          <w:sz w:val="20"/>
                          <w:szCs w:val="20"/>
                        </w:rPr>
                        <w:t xml:space="preserve"> Low-level Interpretation Representations.</w:t>
                      </w:r>
                    </w:p>
                    <w:tbl>
                      <w:tblPr>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8"/>
                      </w:tblGrid>
                      <w:tr w:rsidR="003B4D7B" w:rsidTr="003B4D7B">
                        <w:tc>
                          <w:tcPr>
                            <w:tcW w:w="9498" w:type="dxa"/>
                            <w:tcBorders>
                              <w:bottom w:val="double" w:sz="4" w:space="0" w:color="auto"/>
                            </w:tcBorders>
                          </w:tcPr>
                          <w:p w:rsidR="003B4D7B" w:rsidRPr="00987B39" w:rsidRDefault="003B4D7B" w:rsidP="002E468B">
                            <w:pPr>
                              <w:jc w:val="center"/>
                              <w:rPr>
                                <w:sz w:val="20"/>
                                <w:szCs w:val="20"/>
                              </w:rPr>
                            </w:pPr>
                            <w:r w:rsidRPr="00987B39">
                              <w:rPr>
                                <w:rFonts w:hint="eastAsia"/>
                                <w:sz w:val="20"/>
                                <w:szCs w:val="20"/>
                              </w:rPr>
                              <w:t>Low-level Interpretation Representation</w:t>
                            </w:r>
                          </w:p>
                        </w:tc>
                      </w:tr>
                      <w:tr w:rsidR="003B4D7B" w:rsidTr="003B4D7B">
                        <w:tc>
                          <w:tcPr>
                            <w:tcW w:w="9498" w:type="dxa"/>
                            <w:tcBorders>
                              <w:top w:val="double" w:sz="4" w:space="0" w:color="auto"/>
                            </w:tcBorders>
                          </w:tcPr>
                          <w:p w:rsidR="003B4D7B" w:rsidRPr="00987B39" w:rsidRDefault="003B4D7B" w:rsidP="002E125C">
                            <w:pPr>
                              <w:ind w:left="1800" w:hangingChars="900" w:hanging="18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1 </w:t>
                            </w:r>
                            <w:r w:rsidRPr="00987B39">
                              <w:rPr>
                                <w:rFonts w:ascii="Cambria Math" w:hAnsi="Cambria Math"/>
                                <w:i/>
                                <w:sz w:val="20"/>
                                <w:szCs w:val="20"/>
                              </w:rPr>
                              <w:t>(GazeAt(</w:t>
                            </w:r>
                            <w:r w:rsidRPr="00987B39">
                              <w:rPr>
                                <w:rFonts w:ascii="Cambria Math" w:hAnsi="Cambria Math" w:hint="eastAsia"/>
                                <w:i/>
                                <w:sz w:val="20"/>
                                <w:szCs w:val="20"/>
                              </w:rPr>
                              <w:t>思考エリア</w:t>
                            </w:r>
                            <w:r w:rsidRPr="00987B39">
                              <w:rPr>
                                <w:rFonts w:ascii="Cambria Math" w:hAnsi="Cambria Math"/>
                                <w:i/>
                                <w:sz w:val="20"/>
                                <w:szCs w:val="20"/>
                              </w:rPr>
                              <w:t>[all]), “</w:t>
                            </w:r>
                            <w:r w:rsidRPr="00987B39">
                              <w:rPr>
                                <w:rFonts w:ascii="Cambria Math" w:hAnsi="Cambria Math" w:hint="eastAsia"/>
                                <w:i/>
                                <w:sz w:val="20"/>
                                <w:szCs w:val="20"/>
                              </w:rPr>
                              <w:t>思考の</w:t>
                            </w:r>
                            <w:r w:rsidRPr="00987B39">
                              <w:rPr>
                                <w:rFonts w:ascii="Cambria Math" w:hAnsi="Cambria Math"/>
                                <w:i/>
                                <w:sz w:val="20"/>
                                <w:szCs w:val="20"/>
                              </w:rPr>
                              <w:t>理解</w:t>
                            </w:r>
                            <w:r w:rsidRPr="00987B39">
                              <w:rPr>
                                <w:rFonts w:ascii="Cambria Math" w:hAnsi="Cambria Math"/>
                                <w:i/>
                                <w:sz w:val="20"/>
                                <w:szCs w:val="20"/>
                              </w:rPr>
                              <w:t xml:space="preserve">”) </w:t>
                            </w:r>
                          </w:p>
                        </w:tc>
                      </w:tr>
                      <w:tr w:rsidR="003B4D7B" w:rsidTr="003B4D7B">
                        <w:tc>
                          <w:tcPr>
                            <w:tcW w:w="9498" w:type="dxa"/>
                          </w:tcPr>
                          <w:p w:rsidR="003B4D7B" w:rsidRPr="00987B39" w:rsidRDefault="003B4D7B" w:rsidP="002E125C">
                            <w:pPr>
                              <w:ind w:left="1900" w:hangingChars="950" w:hanging="19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2 </w:t>
                            </w:r>
                            <w:r w:rsidRPr="00987B39">
                              <w:rPr>
                                <w:rFonts w:ascii="Cambria Math" w:hAnsi="Cambria Math"/>
                                <w:i/>
                                <w:sz w:val="20"/>
                                <w:szCs w:val="20"/>
                              </w:rPr>
                              <w:t>(GazeAt(</w:t>
                            </w:r>
                            <w:r w:rsidRPr="00987B39">
                              <w:rPr>
                                <w:rFonts w:ascii="Cambria Math" w:hAnsi="Cambria Math" w:hint="eastAsia"/>
                                <w:i/>
                                <w:sz w:val="20"/>
                                <w:szCs w:val="20"/>
                              </w:rPr>
                              <w:t>葛藤</w:t>
                            </w:r>
                            <w:r w:rsidRPr="00987B39">
                              <w:rPr>
                                <w:rFonts w:ascii="Cambria Math" w:hAnsi="Cambria Math"/>
                                <w:i/>
                                <w:sz w:val="20"/>
                                <w:szCs w:val="20"/>
                              </w:rPr>
                              <w:t>エリア</w:t>
                            </w:r>
                            <w:r w:rsidRPr="00987B39">
                              <w:rPr>
                                <w:rFonts w:ascii="Cambria Math" w:hAnsi="Cambria Math"/>
                                <w:i/>
                                <w:sz w:val="20"/>
                                <w:szCs w:val="20"/>
                              </w:rPr>
                              <w:t>[all]), “</w:t>
                            </w:r>
                            <w:r w:rsidRPr="00987B39">
                              <w:rPr>
                                <w:rFonts w:ascii="Cambria Math" w:hAnsi="Cambria Math" w:hint="eastAsia"/>
                                <w:i/>
                                <w:sz w:val="20"/>
                                <w:szCs w:val="20"/>
                              </w:rPr>
                              <w:t>葛藤の</w:t>
                            </w:r>
                            <w:r w:rsidRPr="00987B39">
                              <w:rPr>
                                <w:rFonts w:ascii="Cambria Math" w:hAnsi="Cambria Math"/>
                                <w:i/>
                                <w:sz w:val="20"/>
                                <w:szCs w:val="20"/>
                              </w:rPr>
                              <w:t>理解</w:t>
                            </w:r>
                            <w:r w:rsidRPr="00987B39">
                              <w:rPr>
                                <w:rFonts w:ascii="Cambria Math" w:hAnsi="Cambria Math"/>
                                <w:i/>
                                <w:sz w:val="20"/>
                                <w:szCs w:val="20"/>
                              </w:rPr>
                              <w:t>”)</w:t>
                            </w:r>
                          </w:p>
                        </w:tc>
                      </w:tr>
                      <w:tr w:rsidR="003B4D7B" w:rsidTr="003B4D7B">
                        <w:tc>
                          <w:tcPr>
                            <w:tcW w:w="9498" w:type="dxa"/>
                          </w:tcPr>
                          <w:p w:rsidR="003B4D7B" w:rsidRPr="00987B39" w:rsidRDefault="003B4D7B" w:rsidP="00C55EAD">
                            <w:pPr>
                              <w:ind w:left="2700" w:hangingChars="1350" w:hanging="2700"/>
                              <w:jc w:val="left"/>
                              <w:rPr>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3 </w:t>
                            </w:r>
                            <w:r w:rsidRPr="00987B39">
                              <w:rPr>
                                <w:rFonts w:ascii="Cambria Math" w:hAnsi="Cambria Math"/>
                                <w:i/>
                                <w:sz w:val="20"/>
                                <w:szCs w:val="20"/>
                              </w:rPr>
                              <w:t>(GazeAt(</w:t>
                            </w:r>
                            <w:r w:rsidRPr="00987B39">
                              <w:rPr>
                                <w:rFonts w:ascii="Cambria Math" w:hAnsi="Cambria Math" w:hint="eastAsia"/>
                                <w:i/>
                                <w:sz w:val="20"/>
                                <w:szCs w:val="20"/>
                              </w:rPr>
                              <w:t>ステートメント</w:t>
                            </w:r>
                            <w:r w:rsidRPr="00987B39">
                              <w:rPr>
                                <w:rFonts w:ascii="Cambria Math" w:hAnsi="Cambria Math"/>
                                <w:i/>
                                <w:sz w:val="20"/>
                                <w:szCs w:val="20"/>
                              </w:rPr>
                              <w:t>[all]), “</w:t>
                            </w:r>
                            <w:r w:rsidRPr="00987B39">
                              <w:rPr>
                                <w:rFonts w:ascii="Cambria Math" w:hAnsi="Cambria Math" w:hint="eastAsia"/>
                                <w:i/>
                                <w:sz w:val="20"/>
                                <w:szCs w:val="20"/>
                              </w:rPr>
                              <w:t>ステートメントの理解</w:t>
                            </w:r>
                            <w:r w:rsidRPr="00987B39">
                              <w:rPr>
                                <w:rFonts w:ascii="Cambria Math" w:hAnsi="Cambria Math"/>
                                <w:i/>
                                <w:sz w:val="20"/>
                                <w:szCs w:val="20"/>
                              </w:rPr>
                              <w:t>)</w:t>
                            </w:r>
                          </w:p>
                        </w:tc>
                      </w:tr>
                      <w:tr w:rsidR="003B4D7B" w:rsidTr="003B4D7B">
                        <w:tc>
                          <w:tcPr>
                            <w:tcW w:w="9498" w:type="dxa"/>
                          </w:tcPr>
                          <w:p w:rsidR="003B4D7B" w:rsidRPr="00987B39" w:rsidRDefault="003B4D7B" w:rsidP="002E125C">
                            <w:pPr>
                              <w:ind w:left="900" w:hangingChars="450" w:hanging="900"/>
                              <w:jc w:val="left"/>
                              <w:rPr>
                                <w:rFonts w:ascii="Cambria Math" w:hAnsi="Cambria Math"/>
                                <w:i/>
                                <w:sz w:val="20"/>
                                <w:szCs w:val="20"/>
                              </w:rPr>
                            </w:pPr>
                            <w:r w:rsidRPr="00987B39">
                              <w:rPr>
                                <w:rFonts w:ascii="Cambria Math" w:hAnsi="Cambria Math"/>
                                <w:i/>
                                <w:sz w:val="20"/>
                                <w:szCs w:val="20"/>
                              </w:rPr>
                              <w:t>lr</w:t>
                            </w:r>
                            <w:r w:rsidRPr="00987B39">
                              <w:rPr>
                                <w:rFonts w:ascii="Cambria Math" w:hAnsi="Cambria Math"/>
                                <w:i/>
                                <w:sz w:val="20"/>
                                <w:szCs w:val="20"/>
                                <w:vertAlign w:val="subscript"/>
                              </w:rPr>
                              <w:t xml:space="preserve">4 </w:t>
                            </w:r>
                            <w:r w:rsidRPr="00987B39">
                              <w:rPr>
                                <w:rFonts w:ascii="Cambria Math" w:hAnsi="Cambria Math"/>
                                <w:i/>
                                <w:sz w:val="20"/>
                                <w:szCs w:val="20"/>
                              </w:rPr>
                              <w:t>(Keypress(</w:t>
                            </w:r>
                            <w:r w:rsidRPr="00987B39">
                              <w:rPr>
                                <w:rFonts w:ascii="Cambria Math" w:hAnsi="Cambria Math" w:hint="eastAsia"/>
                                <w:i/>
                                <w:sz w:val="20"/>
                                <w:szCs w:val="20"/>
                              </w:rPr>
                              <w:t>ステートメント</w:t>
                            </w:r>
                            <w:r w:rsidRPr="00987B39">
                              <w:rPr>
                                <w:rFonts w:ascii="Cambria Math" w:hAnsi="Cambria Math"/>
                                <w:i/>
                                <w:sz w:val="20"/>
                                <w:szCs w:val="20"/>
                              </w:rPr>
                              <w:t>[all]), “</w:t>
                            </w:r>
                            <w:r w:rsidRPr="00987B39">
                              <w:rPr>
                                <w:rFonts w:ascii="Cambria Math" w:hAnsi="Cambria Math" w:hint="eastAsia"/>
                                <w:i/>
                                <w:sz w:val="20"/>
                                <w:szCs w:val="20"/>
                              </w:rPr>
                              <w:t>思考の</w:t>
                            </w:r>
                            <w:r w:rsidRPr="00987B39">
                              <w:rPr>
                                <w:rFonts w:ascii="Cambria Math" w:hAnsi="Cambria Math"/>
                                <w:i/>
                                <w:sz w:val="20"/>
                                <w:szCs w:val="20"/>
                              </w:rPr>
                              <w:t>修正</w:t>
                            </w:r>
                            <w:r w:rsidRPr="00987B39">
                              <w:rPr>
                                <w:rFonts w:ascii="Cambria Math" w:hAnsi="Cambria Math"/>
                                <w:i/>
                                <w:sz w:val="20"/>
                                <w:szCs w:val="20"/>
                              </w:rPr>
                              <w:t>)</w:t>
                            </w:r>
                          </w:p>
                        </w:tc>
                      </w:tr>
                    </w:tbl>
                    <w:p w:rsidR="003B4D7B" w:rsidRPr="00101E2C" w:rsidRDefault="003B4D7B" w:rsidP="003B4D7B"/>
                  </w:txbxContent>
                </v:textbox>
                <w10:wrap type="square" anchorx="margin" anchory="margin"/>
              </v:shape>
            </w:pict>
          </mc:Fallback>
        </mc:AlternateContent>
      </w:r>
      <w:r w:rsidR="005423BC" w:rsidRPr="00EE2AC7">
        <w:rPr>
          <w:noProof/>
          <w:sz w:val="22"/>
        </w:rPr>
        <mc:AlternateContent>
          <mc:Choice Requires="wps">
            <w:drawing>
              <wp:anchor distT="0" distB="0" distL="114300" distR="114300" simplePos="0" relativeHeight="251677696" behindDoc="0" locked="0" layoutInCell="1" allowOverlap="1" wp14:anchorId="1F6DE9A7" wp14:editId="56A968E2">
                <wp:simplePos x="0" y="0"/>
                <wp:positionH relativeFrom="margin">
                  <wp:posOffset>47625</wp:posOffset>
                </wp:positionH>
                <wp:positionV relativeFrom="margin">
                  <wp:posOffset>68580</wp:posOffset>
                </wp:positionV>
                <wp:extent cx="6198870" cy="1428750"/>
                <wp:effectExtent l="0" t="0" r="0" b="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6198870" cy="1428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423BC" w:rsidRPr="00427353" w:rsidRDefault="005423BC" w:rsidP="005423BC">
                            <w:pPr>
                              <w:ind w:leftChars="-1" w:rightChars="-91" w:right="-191" w:hangingChars="1" w:hanging="2"/>
                              <w:jc w:val="center"/>
                            </w:pPr>
                            <w:r w:rsidRPr="00F7530D">
                              <w:rPr>
                                <w:noProof/>
                              </w:rPr>
                              <w:drawing>
                                <wp:inline distT="0" distB="0" distL="0" distR="0" wp14:anchorId="2559B295" wp14:editId="7D24C861">
                                  <wp:extent cx="5765332" cy="879082"/>
                                  <wp:effectExtent l="19050" t="19050" r="26035" b="16510"/>
                                  <wp:docPr id="23" name="図 23" descr="C:\Users\troika\Desktop\High-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oika\Desktop\High-timelin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2803" cy="915291"/>
                                          </a:xfrm>
                                          <a:prstGeom prst="rect">
                                            <a:avLst/>
                                          </a:prstGeom>
                                          <a:noFill/>
                                          <a:ln w="6350">
                                            <a:solidFill>
                                              <a:schemeClr val="tx1"/>
                                            </a:solidFill>
                                          </a:ln>
                                        </pic:spPr>
                                      </pic:pic>
                                    </a:graphicData>
                                  </a:graphic>
                                </wp:inline>
                              </w:drawing>
                            </w:r>
                          </w:p>
                          <w:p w:rsidR="005423BC" w:rsidRPr="005423BC" w:rsidRDefault="005423BC" w:rsidP="005423BC">
                            <w:pPr>
                              <w:pStyle w:val="a4"/>
                              <w:rPr>
                                <w:sz w:val="20"/>
                                <w:szCs w:val="20"/>
                              </w:rPr>
                            </w:pPr>
                            <w:r w:rsidRPr="005423BC">
                              <w:rPr>
                                <w:rFonts w:hint="eastAsia"/>
                                <w:sz w:val="20"/>
                                <w:szCs w:val="20"/>
                              </w:rPr>
                              <w:t>図</w:t>
                            </w:r>
                            <w:r w:rsidRPr="005423BC">
                              <w:rPr>
                                <w:sz w:val="20"/>
                                <w:szCs w:val="20"/>
                              </w:rPr>
                              <w:t>8</w:t>
                            </w:r>
                            <w:r w:rsidRPr="005423BC">
                              <w:rPr>
                                <w:rFonts w:hint="eastAsia"/>
                                <w:sz w:val="20"/>
                                <w:szCs w:val="20"/>
                              </w:rPr>
                              <w:t xml:space="preserve">　高次レベル解釈表現の適用結果例</w:t>
                            </w:r>
                          </w:p>
                          <w:p w:rsidR="005423BC" w:rsidRPr="005423BC" w:rsidRDefault="005423BC" w:rsidP="005423BC">
                            <w:pPr>
                              <w:pStyle w:val="a5"/>
                              <w:spacing w:after="360"/>
                              <w:rPr>
                                <w:sz w:val="20"/>
                                <w:szCs w:val="20"/>
                              </w:rPr>
                            </w:pPr>
                            <w:r w:rsidRPr="005423BC">
                              <w:rPr>
                                <w:rFonts w:hint="eastAsia"/>
                                <w:sz w:val="20"/>
                                <w:szCs w:val="20"/>
                              </w:rPr>
                              <w:t xml:space="preserve">Figure </w:t>
                            </w:r>
                            <w:r w:rsidRPr="005423BC">
                              <w:rPr>
                                <w:sz w:val="20"/>
                                <w:szCs w:val="20"/>
                              </w:rPr>
                              <w:t>8</w:t>
                            </w:r>
                            <w:r w:rsidRPr="005423BC">
                              <w:rPr>
                                <w:rFonts w:hint="eastAsia"/>
                                <w:sz w:val="20"/>
                                <w:szCs w:val="20"/>
                              </w:rPr>
                              <w:t xml:space="preserve">　</w:t>
                            </w:r>
                            <w:r w:rsidRPr="005423BC">
                              <w:rPr>
                                <w:sz w:val="20"/>
                                <w:szCs w:val="20"/>
                              </w:rPr>
                              <w:t xml:space="preserve"> Result Examples of Applied High-level Interpretation Representations</w:t>
                            </w:r>
                            <w:r w:rsidRPr="005423BC">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E9A7" id="テキスト ボックス 18" o:spid="_x0000_s1037" type="#_x0000_t202" style="position:absolute;left:0;text-align:left;margin-left:3.75pt;margin-top:5.4pt;width:488.1pt;height:1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" filled="f" stroked="f">
                <v:textbox>
                  <w:txbxContent>
                    <w:p w:rsidR="005423BC" w:rsidRPr="00427353" w:rsidRDefault="005423BC" w:rsidP="005423BC">
                      <w:pPr>
                        <w:ind w:leftChars="-1" w:rightChars="-91" w:right="-191" w:hangingChars="1" w:hanging="2"/>
                        <w:jc w:val="center"/>
                      </w:pPr>
                      <w:r w:rsidRPr="00F7530D">
                        <w:rPr>
                          <w:noProof/>
                        </w:rPr>
                        <w:drawing>
                          <wp:inline distT="0" distB="0" distL="0" distR="0" wp14:anchorId="2559B295" wp14:editId="7D24C861">
                            <wp:extent cx="5765332" cy="879082"/>
                            <wp:effectExtent l="19050" t="19050" r="26035" b="16510"/>
                            <wp:docPr id="23" name="図 23" descr="C:\Users\troika\Desktop\High-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oika\Desktop\High-timelin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2803" cy="915291"/>
                                    </a:xfrm>
                                    <a:prstGeom prst="rect">
                                      <a:avLst/>
                                    </a:prstGeom>
                                    <a:noFill/>
                                    <a:ln w="6350">
                                      <a:solidFill>
                                        <a:schemeClr val="tx1"/>
                                      </a:solidFill>
                                    </a:ln>
                                  </pic:spPr>
                                </pic:pic>
                              </a:graphicData>
                            </a:graphic>
                          </wp:inline>
                        </w:drawing>
                      </w:r>
                    </w:p>
                    <w:p w:rsidR="005423BC" w:rsidRPr="005423BC" w:rsidRDefault="005423BC" w:rsidP="005423BC">
                      <w:pPr>
                        <w:pStyle w:val="a4"/>
                        <w:rPr>
                          <w:sz w:val="20"/>
                          <w:szCs w:val="20"/>
                        </w:rPr>
                      </w:pPr>
                      <w:r w:rsidRPr="005423BC">
                        <w:rPr>
                          <w:rFonts w:hint="eastAsia"/>
                          <w:sz w:val="20"/>
                          <w:szCs w:val="20"/>
                        </w:rPr>
                        <w:t>図</w:t>
                      </w:r>
                      <w:r w:rsidRPr="005423BC">
                        <w:rPr>
                          <w:sz w:val="20"/>
                          <w:szCs w:val="20"/>
                        </w:rPr>
                        <w:t>8</w:t>
                      </w:r>
                      <w:r w:rsidRPr="005423BC">
                        <w:rPr>
                          <w:rFonts w:hint="eastAsia"/>
                          <w:sz w:val="20"/>
                          <w:szCs w:val="20"/>
                        </w:rPr>
                        <w:t xml:space="preserve">　高次レベル解釈表現の適用結果例</w:t>
                      </w:r>
                    </w:p>
                    <w:p w:rsidR="005423BC" w:rsidRPr="005423BC" w:rsidRDefault="005423BC" w:rsidP="005423BC">
                      <w:pPr>
                        <w:pStyle w:val="a5"/>
                        <w:spacing w:after="360"/>
                        <w:rPr>
                          <w:sz w:val="20"/>
                          <w:szCs w:val="20"/>
                        </w:rPr>
                      </w:pPr>
                      <w:r w:rsidRPr="005423BC">
                        <w:rPr>
                          <w:rFonts w:hint="eastAsia"/>
                          <w:sz w:val="20"/>
                          <w:szCs w:val="20"/>
                        </w:rPr>
                        <w:t xml:space="preserve">Figure </w:t>
                      </w:r>
                      <w:r w:rsidRPr="005423BC">
                        <w:rPr>
                          <w:sz w:val="20"/>
                          <w:szCs w:val="20"/>
                        </w:rPr>
                        <w:t>8</w:t>
                      </w:r>
                      <w:r w:rsidRPr="005423BC">
                        <w:rPr>
                          <w:rFonts w:hint="eastAsia"/>
                          <w:sz w:val="20"/>
                          <w:szCs w:val="20"/>
                        </w:rPr>
                        <w:t xml:space="preserve">　</w:t>
                      </w:r>
                      <w:r w:rsidRPr="005423BC">
                        <w:rPr>
                          <w:sz w:val="20"/>
                          <w:szCs w:val="20"/>
                        </w:rPr>
                        <w:t xml:space="preserve"> Result Examples of Applied High-level Interpretation Representations</w:t>
                      </w:r>
                      <w:r w:rsidRPr="005423BC">
                        <w:rPr>
                          <w:rFonts w:hint="eastAsia"/>
                          <w:sz w:val="20"/>
                          <w:szCs w:val="20"/>
                        </w:rPr>
                        <w:t>.</w:t>
                      </w:r>
                    </w:p>
                  </w:txbxContent>
                </v:textbox>
                <w10:wrap type="square" anchorx="margin" anchory="margin"/>
              </v:shape>
            </w:pict>
          </mc:Fallback>
        </mc:AlternateContent>
      </w:r>
      <w:r>
        <w:rPr>
          <w:rFonts w:hint="eastAsia"/>
        </w:rPr>
        <w:t>義する解釈表現に依存することころがある．</w:t>
      </w:r>
      <w:r w:rsidRPr="00EE2AC7">
        <w:rPr>
          <w:rFonts w:hint="eastAsia"/>
        </w:rPr>
        <w:t>こ</w:t>
      </w:r>
      <w:r>
        <w:rPr>
          <w:rFonts w:hint="eastAsia"/>
        </w:rPr>
        <w:t>れ</w:t>
      </w:r>
      <w:r w:rsidRPr="00EE2AC7">
        <w:rPr>
          <w:rFonts w:hint="eastAsia"/>
        </w:rPr>
        <w:t>を前提に置きながらも，分析</w:t>
      </w:r>
      <w:r w:rsidRPr="004701AB">
        <w:rPr>
          <w:rFonts w:hint="eastAsia"/>
        </w:rPr>
        <w:t>者は暗黙性，潜在性の強い思考を対象とする分析の前提概念を明</w:t>
      </w:r>
      <w:r>
        <w:rPr>
          <w:rFonts w:hint="eastAsia"/>
        </w:rPr>
        <w:t>示し，それに基づいた</w:t>
      </w:r>
      <w:r w:rsidRPr="00EE2AC7">
        <w:rPr>
          <w:rFonts w:hint="eastAsia"/>
        </w:rPr>
        <w:t>解釈表現を設定することで，どのようなメタ認知的思考プロセスを，どのような準メタ認知的モニタリング・コントロール行為として捉えようとしているか</w:t>
      </w:r>
      <w:r>
        <w:rPr>
          <w:rFonts w:hint="eastAsia"/>
        </w:rPr>
        <w:t>の合意性が高められ，</w:t>
      </w:r>
      <w:r w:rsidRPr="00EE2AC7">
        <w:rPr>
          <w:rFonts w:hint="eastAsia"/>
        </w:rPr>
        <w:t>本フレームワークを基礎とし</w:t>
      </w:r>
      <w:r>
        <w:rPr>
          <w:rFonts w:hint="eastAsia"/>
        </w:rPr>
        <w:t>た思考分析の知見の蓄積に資すると考えている．</w:t>
      </w:r>
    </w:p>
    <w:p w:rsidR="000358C8" w:rsidRDefault="000358C8" w:rsidP="0097448B"/>
    <w:p w:rsidR="000358C8" w:rsidRPr="00B67238" w:rsidRDefault="00B67238" w:rsidP="0097448B">
      <w:pPr>
        <w:rPr>
          <w:rFonts w:ascii="ＭＳ ゴシック" w:eastAsia="ＭＳ ゴシック" w:hAnsi="ＭＳ ゴシック"/>
        </w:rPr>
      </w:pPr>
      <w:r w:rsidRPr="00B67238">
        <w:rPr>
          <w:rFonts w:ascii="ＭＳ ゴシック" w:eastAsia="ＭＳ ゴシック" w:hAnsi="ＭＳ ゴシック"/>
        </w:rPr>
        <w:t>7．むすび</w:t>
      </w:r>
    </w:p>
    <w:p w:rsidR="000358C8" w:rsidRDefault="00B67238" w:rsidP="0097448B">
      <w:r>
        <w:rPr>
          <w:rFonts w:hint="eastAsia"/>
        </w:rPr>
        <w:t xml:space="preserve">　</w:t>
      </w:r>
      <w:r w:rsidRPr="00EE2AC7">
        <w:rPr>
          <w:rFonts w:hint="eastAsia"/>
        </w:rPr>
        <w:t>本研究では，外部観測することのできないメタ認知的思考</w:t>
      </w:r>
      <w:r>
        <w:rPr>
          <w:rFonts w:hint="eastAsia"/>
        </w:rPr>
        <w:t>プロセス</w:t>
      </w:r>
      <w:r w:rsidRPr="00EE2AC7">
        <w:rPr>
          <w:rFonts w:hint="eastAsia"/>
        </w:rPr>
        <w:t>の一端を捉えるための</w:t>
      </w:r>
      <w:r>
        <w:rPr>
          <w:rFonts w:hint="eastAsia"/>
        </w:rPr>
        <w:t>一つの</w:t>
      </w:r>
      <w:r w:rsidRPr="00EE2AC7">
        <w:rPr>
          <w:rFonts w:hint="eastAsia"/>
        </w:rPr>
        <w:t>方法論として，頭の中でのベー</w:t>
      </w:r>
      <w:r w:rsidRPr="00BA5DF8">
        <w:rPr>
          <w:rFonts w:hint="eastAsia"/>
        </w:rPr>
        <w:t>ス思考を対象としたメタ認知モニタリングとコントロールと，思考表現オブジェクトに外化されたベース思考活動のアウトプットを対象とした視線行為と思考操作行為の同型性に前提をおいたメタ思考解釈フレームワークを提案した．本研究の着想とメタ思考プロセスの計</w:t>
      </w:r>
      <w:r w:rsidRPr="004969C1">
        <w:rPr>
          <w:rFonts w:hint="eastAsia"/>
        </w:rPr>
        <w:t>測・分析支援システム</w:t>
      </w:r>
      <w:r>
        <w:rPr>
          <w:rFonts w:hint="eastAsia"/>
        </w:rPr>
        <w:t>の連続性を維持し，設計意図への合意性を高めるために，ベース思考のアウトプット概念</w:t>
      </w:r>
      <w:r>
        <w:rPr>
          <w:rFonts w:hint="eastAsia"/>
        </w:rPr>
        <w:lastRenderedPageBreak/>
        <w:t>と思考表現オブジェクト概念を導入することによりフレームワークの前提を提示した．さらにこれを構成概念とステークホルダの作業プロセスの観点からフレームワークとして整備した．</w:t>
      </w:r>
      <w:r w:rsidRPr="00EE2AC7">
        <w:rPr>
          <w:rFonts w:hint="eastAsia"/>
        </w:rPr>
        <w:t>そして，本フレームワークに基づくシステム開発事例として，信念対立思考を題材とした</w:t>
      </w:r>
      <w:r>
        <w:rPr>
          <w:rFonts w:hint="eastAsia"/>
        </w:rPr>
        <w:t>思考外化アプリケーションと</w:t>
      </w:r>
      <w:r w:rsidRPr="00EE2AC7">
        <w:rPr>
          <w:rFonts w:hint="eastAsia"/>
        </w:rPr>
        <w:t>思考分析支援システムを構築した．</w:t>
      </w:r>
    </w:p>
    <w:p w:rsidR="000358C8" w:rsidRDefault="00B67238" w:rsidP="0097448B">
      <w:pPr>
        <w:rPr>
          <w:rFonts w:hint="eastAsia"/>
        </w:rPr>
      </w:pPr>
      <w:r>
        <w:rPr>
          <w:rFonts w:hint="eastAsia"/>
        </w:rPr>
        <w:t xml:space="preserve">　</w:t>
      </w:r>
      <w:r w:rsidRPr="00EE2AC7">
        <w:rPr>
          <w:rFonts w:hint="eastAsia"/>
        </w:rPr>
        <w:t>分析結果の知見を共有・比較するためには，</w:t>
      </w:r>
      <w:r>
        <w:rPr>
          <w:rFonts w:hint="eastAsia"/>
        </w:rPr>
        <w:t>単にシステム開発するだけではなく，</w:t>
      </w:r>
      <w:r w:rsidRPr="00EE2AC7">
        <w:rPr>
          <w:rFonts w:hint="eastAsia"/>
        </w:rPr>
        <w:t>対象とする思考（メタ思考）を如何に捉えようとしているのか</w:t>
      </w:r>
      <w:r>
        <w:rPr>
          <w:rFonts w:hint="eastAsia"/>
        </w:rPr>
        <w:t>の前提について</w:t>
      </w:r>
      <w:r w:rsidRPr="00EE2AC7">
        <w:rPr>
          <w:rFonts w:hint="eastAsia"/>
        </w:rPr>
        <w:t>研究者間で合意を得るため</w:t>
      </w:r>
      <w:r>
        <w:rPr>
          <w:rFonts w:hint="eastAsia"/>
        </w:rPr>
        <w:t>に，</w:t>
      </w:r>
      <w:r w:rsidRPr="00EE2AC7">
        <w:rPr>
          <w:rFonts w:hint="eastAsia"/>
        </w:rPr>
        <w:t>共通土台の上で議論できる</w:t>
      </w:r>
      <w:r>
        <w:rPr>
          <w:rFonts w:hint="eastAsia"/>
        </w:rPr>
        <w:t>ようにする</w:t>
      </w:r>
      <w:r w:rsidRPr="00EE2AC7">
        <w:rPr>
          <w:rFonts w:hint="eastAsia"/>
        </w:rPr>
        <w:t>ことが研究成果を健全に積み上げていく上で肝要である．本フレームワークにおける表現形式の妥当性や解釈結果の適用可能性</w:t>
      </w:r>
      <w:r>
        <w:rPr>
          <w:rFonts w:hint="eastAsia"/>
        </w:rPr>
        <w:t>については</w:t>
      </w:r>
      <w:r w:rsidRPr="00EE2AC7">
        <w:rPr>
          <w:rFonts w:hint="eastAsia"/>
        </w:rPr>
        <w:t>，今後検証すべき多くの点が残されて</w:t>
      </w:r>
      <w:r>
        <w:rPr>
          <w:rFonts w:hint="eastAsia"/>
        </w:rPr>
        <w:t>は</w:t>
      </w:r>
      <w:r w:rsidRPr="00EE2AC7">
        <w:rPr>
          <w:rFonts w:hint="eastAsia"/>
        </w:rPr>
        <w:t>いる．しかしながら，本研究</w:t>
      </w:r>
      <w:r>
        <w:rPr>
          <w:rFonts w:hint="eastAsia"/>
        </w:rPr>
        <w:t>の</w:t>
      </w:r>
      <w:r w:rsidRPr="00EE2AC7">
        <w:rPr>
          <w:rFonts w:hint="eastAsia"/>
        </w:rPr>
        <w:t>フレームワークに則して，ベース思考表現オントロジーに基づく思考外化アプリケーション及び思考分析支援システムを実現できたこと，また，規定された解釈表現に基づき，思考プロセス</w:t>
      </w:r>
      <w:r>
        <w:rPr>
          <w:rFonts w:hint="eastAsia"/>
        </w:rPr>
        <w:t>を捉える可能性を示す</w:t>
      </w:r>
      <w:r w:rsidRPr="00EE2AC7">
        <w:rPr>
          <w:rFonts w:hint="eastAsia"/>
        </w:rPr>
        <w:t>所期の動作を確認できたことにより，メタ思考プロセスを捉え</w:t>
      </w:r>
      <w:r>
        <w:rPr>
          <w:rFonts w:hint="eastAsia"/>
        </w:rPr>
        <w:t>，そのための知見を積み上げる</w:t>
      </w:r>
      <w:r w:rsidRPr="00EE2AC7">
        <w:rPr>
          <w:rFonts w:hint="eastAsia"/>
        </w:rPr>
        <w:t>という</w:t>
      </w:r>
      <w:r>
        <w:rPr>
          <w:rFonts w:hint="eastAsia"/>
        </w:rPr>
        <w:t>難題</w:t>
      </w:r>
      <w:r w:rsidRPr="00EE2AC7">
        <w:rPr>
          <w:rFonts w:hint="eastAsia"/>
        </w:rPr>
        <w:t>にアプローチ</w:t>
      </w:r>
      <w:r>
        <w:rPr>
          <w:rFonts w:hint="eastAsia"/>
        </w:rPr>
        <w:t>できる</w:t>
      </w:r>
      <w:r w:rsidRPr="00EE2AC7">
        <w:rPr>
          <w:rFonts w:hint="eastAsia"/>
        </w:rPr>
        <w:t>可能性を示したこと</w:t>
      </w:r>
      <w:r>
        <w:rPr>
          <w:rFonts w:hint="eastAsia"/>
        </w:rPr>
        <w:t>は</w:t>
      </w:r>
      <w:r w:rsidRPr="00EE2AC7">
        <w:rPr>
          <w:rFonts w:hint="eastAsia"/>
        </w:rPr>
        <w:t>本研究の貢献である</w:t>
      </w:r>
      <w:r>
        <w:rPr>
          <w:rFonts w:hint="eastAsia"/>
        </w:rPr>
        <w:t>と考えている</w:t>
      </w:r>
      <w:r w:rsidRPr="00EE2AC7">
        <w:rPr>
          <w:rFonts w:hint="eastAsia"/>
        </w:rPr>
        <w:t>．</w:t>
      </w:r>
    </w:p>
    <w:p w:rsidR="00A80346" w:rsidRDefault="00B67238" w:rsidP="0097448B">
      <w:r>
        <w:rPr>
          <w:rFonts w:hint="eastAsia"/>
        </w:rPr>
        <w:t xml:space="preserve">　</w:t>
      </w:r>
      <w:r w:rsidRPr="00EE2AC7">
        <w:rPr>
          <w:rFonts w:hint="eastAsia"/>
        </w:rPr>
        <w:t>今後の課題として，</w:t>
      </w:r>
      <w:r>
        <w:rPr>
          <w:rFonts w:hint="eastAsia"/>
        </w:rPr>
        <w:t>本研究のフレームワークを洗練するとともに，</w:t>
      </w:r>
      <w:r w:rsidRPr="00EE2AC7">
        <w:rPr>
          <w:rFonts w:hint="eastAsia"/>
        </w:rPr>
        <w:t>看護思考法育成プログラムの実践を通して得られた添削データの詳細な分析を，思考分析支援システムを用いて進めていく予定である．また，</w:t>
      </w:r>
      <w:r>
        <w:rPr>
          <w:rFonts w:hint="eastAsia"/>
        </w:rPr>
        <w:t>大学</w:t>
      </w:r>
      <w:r w:rsidRPr="00EE2AC7">
        <w:rPr>
          <w:rFonts w:hint="eastAsia"/>
        </w:rPr>
        <w:t>初年次生を対象とした授業実践</w:t>
      </w:r>
      <w:r w:rsidRPr="00EE2AC7">
        <w:t>[2</w:t>
      </w:r>
      <w:r>
        <w:t>2</w:t>
      </w:r>
      <w:r w:rsidRPr="00EE2AC7">
        <w:t>]</w:t>
      </w:r>
      <w:r w:rsidRPr="00EE2AC7">
        <w:rPr>
          <w:rFonts w:hint="eastAsia"/>
        </w:rPr>
        <w:t>に</w:t>
      </w:r>
      <w:r>
        <w:rPr>
          <w:rFonts w:hint="eastAsia"/>
        </w:rPr>
        <w:t>お</w:t>
      </w:r>
      <w:r w:rsidRPr="00EE2AC7">
        <w:rPr>
          <w:rFonts w:hint="eastAsia"/>
        </w:rPr>
        <w:t>いて，初年次生の思考</w:t>
      </w:r>
      <w:r>
        <w:rPr>
          <w:rFonts w:hint="eastAsia"/>
        </w:rPr>
        <w:t>の成長度</w:t>
      </w:r>
      <w:r w:rsidRPr="00EE2AC7">
        <w:rPr>
          <w:rFonts w:hint="eastAsia"/>
        </w:rPr>
        <w:t>を</w:t>
      </w:r>
      <w:r>
        <w:rPr>
          <w:rFonts w:hint="eastAsia"/>
        </w:rPr>
        <w:t>測定</w:t>
      </w:r>
      <w:r w:rsidRPr="00EE2AC7">
        <w:rPr>
          <w:rFonts w:hint="eastAsia"/>
        </w:rPr>
        <w:t>する</w:t>
      </w:r>
      <w:r>
        <w:rPr>
          <w:rFonts w:hint="eastAsia"/>
        </w:rPr>
        <w:t>ことを目掛けた</w:t>
      </w:r>
      <w:r w:rsidRPr="00EE2AC7">
        <w:rPr>
          <w:rFonts w:hint="eastAsia"/>
        </w:rPr>
        <w:t>実践利用</w:t>
      </w:r>
      <w:r>
        <w:rPr>
          <w:rFonts w:hint="eastAsia"/>
        </w:rPr>
        <w:t>も</w:t>
      </w:r>
      <w:r w:rsidRPr="00555E12">
        <w:rPr>
          <w:rFonts w:hint="eastAsia"/>
        </w:rPr>
        <w:t>行っており，思考プロセスの一端を視線と思考操作行為から捉えるという本研究の仮説の妥当性を継続的に検証していく予定である．</w:t>
      </w:r>
    </w:p>
    <w:p w:rsidR="00A80346" w:rsidRDefault="00A80346" w:rsidP="0097448B"/>
    <w:p w:rsidR="00A80346" w:rsidRDefault="00A80346" w:rsidP="0097448B"/>
    <w:p w:rsidR="00577C04" w:rsidRDefault="00577C04" w:rsidP="0097448B">
      <w:pPr>
        <w:rPr>
          <w:rFonts w:hint="eastAsia"/>
        </w:rPr>
      </w:pPr>
      <w:bookmarkStart w:id="0" w:name="_GoBack"/>
      <w:bookmarkEnd w:id="0"/>
    </w:p>
    <w:sectPr w:rsidR="00577C04" w:rsidSect="00A4321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D87" w:rsidRDefault="00746D87" w:rsidP="00EA7D26">
      <w:r>
        <w:separator/>
      </w:r>
    </w:p>
  </w:endnote>
  <w:endnote w:type="continuationSeparator" w:id="0">
    <w:p w:rsidR="00746D87" w:rsidRDefault="00746D87" w:rsidP="00EA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PMingLiU">
    <w:altName w:val="Microsoft JhengHei"/>
    <w:panose1 w:val="02010601000101010101"/>
    <w:charset w:val="88"/>
    <w:family w:val="auto"/>
    <w:pitch w:val="variable"/>
    <w:sig w:usb0="00000000"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D87" w:rsidRDefault="00746D87" w:rsidP="00EA7D26">
      <w:r>
        <w:separator/>
      </w:r>
    </w:p>
  </w:footnote>
  <w:footnote w:type="continuationSeparator" w:id="0">
    <w:p w:rsidR="00746D87" w:rsidRDefault="00746D87" w:rsidP="00EA7D26">
      <w:r>
        <w:continuationSeparator/>
      </w:r>
    </w:p>
  </w:footnote>
  <w:footnote w:id="1">
    <w:p w:rsidR="00EA7D26" w:rsidRDefault="00EA7D26">
      <w:pPr>
        <w:pStyle w:val="a7"/>
        <w:rPr>
          <w:rFonts w:hint="eastAsia"/>
        </w:rPr>
      </w:pPr>
      <w:r>
        <w:rPr>
          <w:rStyle w:val="a9"/>
        </w:rPr>
        <w:footnoteRef/>
      </w:r>
      <w:r>
        <w:t xml:space="preserve"> </w:t>
      </w:r>
      <w:r w:rsidRPr="00EA7D26">
        <w:rPr>
          <w:rFonts w:hint="eastAsia"/>
        </w:rPr>
        <w:t>オントロジー構築ツール「法造（</w:t>
      </w:r>
      <w:r w:rsidRPr="00EA7D26">
        <w:t>http://www.hozo.jp/hozo/）」を利用している．なお，本文では初出の概念に下線を引いている．</w:t>
      </w:r>
    </w:p>
  </w:footnote>
  <w:footnote w:id="2">
    <w:p w:rsidR="00A26C48" w:rsidRDefault="00A26C48">
      <w:pPr>
        <w:pStyle w:val="a7"/>
        <w:rPr>
          <w:rFonts w:hint="eastAsia"/>
        </w:rPr>
      </w:pPr>
      <w:r>
        <w:rPr>
          <w:rStyle w:val="a9"/>
        </w:rPr>
        <w:footnoteRef/>
      </w:r>
      <w:r>
        <w:t xml:space="preserve"> </w:t>
      </w:r>
      <w:r w:rsidRPr="00A26C48">
        <w:rPr>
          <w:rFonts w:hint="eastAsia"/>
        </w:rPr>
        <w:t>現在，</w:t>
      </w:r>
      <w:r w:rsidRPr="00A26C48">
        <w:t>Allenの時間区間論理[20]を参考に時系列解析に利用可能なものを選定している．より柔軟な解釈表現を規定できるようにするため，SUBTRACT (L1, L2) （L2を除くL1の区間）などを追加していく予定である．</w:t>
      </w:r>
    </w:p>
  </w:footnote>
  <w:footnote w:id="3">
    <w:p w:rsidR="00A80346" w:rsidRDefault="00A80346">
      <w:pPr>
        <w:pStyle w:val="a7"/>
        <w:rPr>
          <w:rFonts w:hint="eastAsia"/>
        </w:rPr>
      </w:pPr>
      <w:r>
        <w:rPr>
          <w:rStyle w:val="a9"/>
        </w:rPr>
        <w:footnoteRef/>
      </w:r>
      <w:r>
        <w:t xml:space="preserve"> </w:t>
      </w:r>
      <w:r w:rsidRPr="00A80346">
        <w:t>2012年から継続して行われている看護思考法育成プログラムにおいて， 2015年末よりアイ思知を実践利用している．現在，添削者2名による看護師14名の成果物に対する26件の添削データがある．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11AEE"/>
    <w:multiLevelType w:val="hybridMultilevel"/>
    <w:tmpl w:val="B6EE4ED8"/>
    <w:lvl w:ilvl="0" w:tplc="8D522D2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CAB56B8"/>
    <w:multiLevelType w:val="hybridMultilevel"/>
    <w:tmpl w:val="854AEA82"/>
    <w:lvl w:ilvl="0" w:tplc="9FCCE2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213"/>
    <w:rsid w:val="000055B0"/>
    <w:rsid w:val="000358C8"/>
    <w:rsid w:val="0006666E"/>
    <w:rsid w:val="00083BB7"/>
    <w:rsid w:val="00105A9F"/>
    <w:rsid w:val="002526A1"/>
    <w:rsid w:val="0025714F"/>
    <w:rsid w:val="00272C21"/>
    <w:rsid w:val="002E5009"/>
    <w:rsid w:val="00396DB9"/>
    <w:rsid w:val="003B08A7"/>
    <w:rsid w:val="003B4D7B"/>
    <w:rsid w:val="003F4F52"/>
    <w:rsid w:val="00411908"/>
    <w:rsid w:val="00416CDB"/>
    <w:rsid w:val="004537C6"/>
    <w:rsid w:val="004A7E81"/>
    <w:rsid w:val="004B2125"/>
    <w:rsid w:val="005423BC"/>
    <w:rsid w:val="00577C04"/>
    <w:rsid w:val="005A11BC"/>
    <w:rsid w:val="005B034E"/>
    <w:rsid w:val="005E7BB6"/>
    <w:rsid w:val="005F29BE"/>
    <w:rsid w:val="00612D7D"/>
    <w:rsid w:val="00634695"/>
    <w:rsid w:val="0065621C"/>
    <w:rsid w:val="0068479C"/>
    <w:rsid w:val="006A6F81"/>
    <w:rsid w:val="007179B0"/>
    <w:rsid w:val="00720AC4"/>
    <w:rsid w:val="00746D87"/>
    <w:rsid w:val="00766DE4"/>
    <w:rsid w:val="007A0D9D"/>
    <w:rsid w:val="007C7B88"/>
    <w:rsid w:val="008A04A7"/>
    <w:rsid w:val="008A0E62"/>
    <w:rsid w:val="008A59B5"/>
    <w:rsid w:val="00934DA1"/>
    <w:rsid w:val="00946A11"/>
    <w:rsid w:val="0097448B"/>
    <w:rsid w:val="00987B39"/>
    <w:rsid w:val="0099717F"/>
    <w:rsid w:val="009D7E22"/>
    <w:rsid w:val="009F4984"/>
    <w:rsid w:val="00A26C48"/>
    <w:rsid w:val="00A43213"/>
    <w:rsid w:val="00A80346"/>
    <w:rsid w:val="00AC7ADB"/>
    <w:rsid w:val="00B0675C"/>
    <w:rsid w:val="00B429C8"/>
    <w:rsid w:val="00B67238"/>
    <w:rsid w:val="00B85EF9"/>
    <w:rsid w:val="00BE7BD0"/>
    <w:rsid w:val="00BF4E10"/>
    <w:rsid w:val="00C31D0F"/>
    <w:rsid w:val="00C61195"/>
    <w:rsid w:val="00C815BE"/>
    <w:rsid w:val="00CB572E"/>
    <w:rsid w:val="00D52B63"/>
    <w:rsid w:val="00D735DF"/>
    <w:rsid w:val="00DB3C3A"/>
    <w:rsid w:val="00E90938"/>
    <w:rsid w:val="00EA7D26"/>
    <w:rsid w:val="00F17F9E"/>
    <w:rsid w:val="00F938C0"/>
    <w:rsid w:val="00FE31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CEBC29"/>
  <w15:chartTrackingRefBased/>
  <w15:docId w15:val="{6D5186E4-2B3F-40AA-B365-2AF8C0F47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3213"/>
    <w:pPr>
      <w:ind w:leftChars="400" w:left="840"/>
    </w:pPr>
  </w:style>
  <w:style w:type="paragraph" w:customStyle="1" w:styleId="a4">
    <w:name w:val="共通_キャプション（和）"/>
    <w:basedOn w:val="a"/>
    <w:rsid w:val="004537C6"/>
    <w:pPr>
      <w:spacing w:line="184" w:lineRule="exact"/>
      <w:jc w:val="center"/>
    </w:pPr>
    <w:rPr>
      <w:rFonts w:ascii="Times New Roman" w:eastAsia="ＭＳ 明朝" w:hAnsi="Times New Roman" w:cs="Times New Roman"/>
      <w:sz w:val="14"/>
      <w:szCs w:val="14"/>
    </w:rPr>
  </w:style>
  <w:style w:type="paragraph" w:customStyle="1" w:styleId="a5">
    <w:name w:val="共通_キャプション（英）"/>
    <w:basedOn w:val="a4"/>
    <w:rsid w:val="004537C6"/>
    <w:pPr>
      <w:spacing w:afterLines="100" w:after="266"/>
    </w:pPr>
  </w:style>
  <w:style w:type="table" w:styleId="a6">
    <w:name w:val="Table Grid"/>
    <w:basedOn w:val="a1"/>
    <w:uiPriority w:val="39"/>
    <w:rsid w:val="00416CDB"/>
    <w:pPr>
      <w:widowControl w:val="0"/>
      <w:jc w:val="both"/>
    </w:pPr>
    <w:rPr>
      <w:rFonts w:ascii="Century" w:eastAsia="ＭＳ 明朝" w:hAnsi="Century"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unhideWhenUsed/>
    <w:rsid w:val="00EA7D26"/>
    <w:pPr>
      <w:snapToGrid w:val="0"/>
      <w:jc w:val="left"/>
    </w:pPr>
  </w:style>
  <w:style w:type="character" w:customStyle="1" w:styleId="a8">
    <w:name w:val="脚注文字列 (文字)"/>
    <w:basedOn w:val="a0"/>
    <w:link w:val="a7"/>
    <w:uiPriority w:val="99"/>
    <w:semiHidden/>
    <w:rsid w:val="00EA7D26"/>
  </w:style>
  <w:style w:type="character" w:styleId="a9">
    <w:name w:val="footnote reference"/>
    <w:basedOn w:val="a0"/>
    <w:uiPriority w:val="99"/>
    <w:semiHidden/>
    <w:unhideWhenUsed/>
    <w:rsid w:val="00EA7D26"/>
    <w:rPr>
      <w:vertAlign w:val="superscript"/>
    </w:rPr>
  </w:style>
  <w:style w:type="paragraph" w:customStyle="1" w:styleId="ICCENormalText1stparagraph">
    <w:name w:val="ICCE Normal Text (1st paragraph)"/>
    <w:basedOn w:val="a"/>
    <w:rsid w:val="00766DE4"/>
    <w:pPr>
      <w:widowControl/>
      <w:overflowPunct w:val="0"/>
      <w:autoSpaceDE w:val="0"/>
      <w:autoSpaceDN w:val="0"/>
      <w:adjustRightInd w:val="0"/>
      <w:textAlignment w:val="baseline"/>
    </w:pPr>
    <w:rPr>
      <w:rFonts w:ascii="Times New Roman" w:eastAsia="PMingLiU"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84B97-C5DA-4BF7-AA83-844104E90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2407</Words>
  <Characters>13722</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 Hayashi</dc:creator>
  <cp:keywords/>
  <dc:description/>
  <cp:lastModifiedBy>Yuki Hayashi</cp:lastModifiedBy>
  <cp:revision>98</cp:revision>
  <dcterms:created xsi:type="dcterms:W3CDTF">2017-11-20T09:19:00Z</dcterms:created>
  <dcterms:modified xsi:type="dcterms:W3CDTF">2017-11-20T10:06:00Z</dcterms:modified>
</cp:coreProperties>
</file>